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header19.xml" ContentType="application/vnd.openxmlformats-officedocument.wordprocessingml.header+xml"/>
  <Override PartName="/word/document.xml" ContentType="application/vnd.openxmlformats-officedocument.wordprocessingml.document.main+xml"/>
  <Override PartName="/word/footer1.xml" ContentType="application/vnd.openxmlformats-officedocument.wordprocessingml.footer+xml"/>
  <Override PartName="/word/footer12.xml" ContentType="application/vnd.openxmlformats-officedocument.wordprocessingml.footer+xml"/>
  <Override PartName="/word/styles.xml" ContentType="application/vnd.openxmlformats-officedocument.wordprocessingml.styles+xml"/>
  <Override PartName="/word/footer21.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media/image1.png" ContentType="image/png"/>
  <Override PartName="/word/media/image2.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9.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8.png" ContentType="image/png"/>
  <Override PartName="/word/media/image29.png" ContentType="image/png"/>
  <Override PartName="/word/media/image30.png" ContentType="image/png"/>
  <Override PartName="/word/media/image31.png" ContentType="image/png"/>
  <Override PartName="/word/media/image32.png" ContentType="image/png"/>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8.png" ContentType="image/pn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5.png" ContentType="image/png"/>
  <Override PartName="/word/media/image46.png" ContentType="image/png"/>
  <Override PartName="/word/media/image47.png" ContentType="image/png"/>
  <Override PartName="/word/media/image48.png" ContentType="image/png"/>
  <Override PartName="/word/media/image49.png" ContentType="image/png"/>
  <Override PartName="/word/media/image50.png" ContentType="image/png"/>
  <Override PartName="/word/media/image51.png" ContentType="image/png"/>
  <Override PartName="/word/footer16.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20.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numbering.xml" ContentType="application/vnd.openxmlformats-officedocument.wordprocessingml.numbering+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header20.xml" ContentType="application/vnd.openxmlformats-officedocument.wordprocessingml.header+xml"/>
  <Override PartName="/word/footer19.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settings.xml" ContentType="application/vnd.openxmlformats-officedocument.wordprocessingml.settings+xml"/>
  <Override PartName="/word/_rels/document.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P68B1DB1Corpsdetexte2"/>
        <w:jc w:val="left"/>
        <w:rPr/>
      </w:pPr>
      <w:r>
        <w:rPr/>
        <w:t>Az Európa jövőjéről szóló konferencia</w:t>
      </w:r>
      <w:r>
        <w:drawing>
          <wp:anchor behindDoc="0" distT="0" distB="0" distL="0" distR="0" simplePos="0" locked="0" layoutInCell="0" allowOverlap="1" relativeHeight="55">
            <wp:simplePos x="0" y="0"/>
            <wp:positionH relativeFrom="column">
              <wp:align>center</wp:align>
            </wp:positionH>
            <wp:positionV relativeFrom="paragraph">
              <wp:posOffset>635</wp:posOffset>
            </wp:positionV>
            <wp:extent cx="6120130" cy="3949700"/>
            <wp:effectExtent l="0" t="0" r="0" b="0"/>
            <wp:wrapSquare wrapText="largest"/>
            <wp:docPr id="1" name="Kép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ép 1" descr=""/>
                    <pic:cNvPicPr>
                      <a:picLocks noChangeAspect="1" noChangeArrowheads="1"/>
                    </pic:cNvPicPr>
                  </pic:nvPicPr>
                  <pic:blipFill>
                    <a:blip r:embed="rId2"/>
                    <a:stretch>
                      <a:fillRect/>
                    </a:stretch>
                  </pic:blipFill>
                  <pic:spPr bwMode="auto">
                    <a:xfrm>
                      <a:off x="0" y="0"/>
                      <a:ext cx="6120130" cy="3949700"/>
                    </a:xfrm>
                    <a:prstGeom prst="rect">
                      <a:avLst/>
                    </a:prstGeom>
                  </pic:spPr>
                </pic:pic>
              </a:graphicData>
            </a:graphic>
          </wp:anchor>
        </w:drawing>
        <mc:AlternateContent>
          <mc:Choice Requires="wps">
            <w:drawing>
              <wp:anchor behindDoc="0" distT="72390" distB="72390" distL="72390" distR="72390" simplePos="0" locked="0" layoutInCell="0" allowOverlap="1" relativeHeight="56">
                <wp:simplePos x="0" y="0"/>
                <wp:positionH relativeFrom="column">
                  <wp:posOffset>2969260</wp:posOffset>
                </wp:positionH>
                <wp:positionV relativeFrom="paragraph">
                  <wp:posOffset>394970</wp:posOffset>
                </wp:positionV>
                <wp:extent cx="3105150" cy="838200"/>
                <wp:effectExtent l="0" t="0" r="0" b="0"/>
                <wp:wrapSquare wrapText="bothSides"/>
                <wp:docPr id="2" name="Cadre1 – Videó letöltés mp3-ban"/>
                <a:graphic xmlns:a="http://schemas.openxmlformats.org/drawingml/2006/main">
                  <a:graphicData uri="http://schemas.microsoft.com/office/word/2010/wordprocessingShape">
                    <wps:wsp>
                      <wps:cNvSpPr/>
                      <wps:spPr>
                        <a:xfrm>
                          <a:off x="0" y="0"/>
                          <a:ext cx="3105000" cy="838080"/>
                        </a:xfrm>
                        <a:prstGeom prst="rect">
                          <a:avLst/>
                        </a:prstGeom>
                        <a:solidFill>
                          <a:srgbClr val="a3238e"/>
                        </a:solidFill>
                        <a:ln w="0">
                          <a:noFill/>
                        </a:ln>
                      </wps:spPr>
                      <wps:style>
                        <a:lnRef idx="0"/>
                        <a:fillRef idx="0"/>
                        <a:effectRef idx="0"/>
                        <a:fontRef idx="minor"/>
                      </wps:style>
                      <wps:txbx>
                        <w:txbxContent>
                          <w:p>
                            <w:pPr>
                              <w:pStyle w:val="P68B1DB1Normal1"/>
                              <w:widowControl w:val="false"/>
                              <w:spacing w:lineRule="auto" w:line="240"/>
                              <w:ind w:left="0" w:right="0" w:hanging="0"/>
                              <w:jc w:val="left"/>
                              <w:rPr>
                                <w:shd w:fill="A3238E" w:val="clear"/>
                              </w:rPr>
                            </w:pPr>
                            <w:r>
                              <w:rPr>
                                <w:sz w:val="44"/>
                              </w:rPr>
                              <w:t xml:space="preserve">A jövő a kezedben van, </w:t>
                            </w:r>
                            <w:r>
                              <w:rPr>
                                <w:sz w:val="36"/>
                              </w:rPr>
                              <w:t xml:space="preserve">hallgasd meg a hangodat </w:t>
                            </w:r>
                          </w:p>
                          <w:p>
                            <w:pPr>
                              <w:pStyle w:val="Normal"/>
                              <w:spacing w:lineRule="auto" w:line="240"/>
                              <w:ind w:left="0" w:right="0" w:hanging="0"/>
                              <w:jc w:val="left"/>
                              <w:rPr>
                                <w:shd w:fill="A3238E" w:val="clear"/>
                              </w:rPr>
                            </w:pPr>
                            <w:r>
                              <w:rPr/>
                            </w:r>
                          </w:p>
                        </w:txbxContent>
                      </wps:txbx>
                      <wps:bodyPr lIns="54000" rIns="54000" tIns="54000" bIns="54000" anchor="t">
                        <a:noAutofit/>
                      </wps:bodyPr>
                    </wps:wsp>
                  </a:graphicData>
                </a:graphic>
              </wp:anchor>
            </w:drawing>
          </mc:Choice>
          <mc:Fallback>
            <w:pict>
              <v:rect id="shape_0" ID="Cadre1 – Videó letöltés mp3-ban" path="m0,0l-2147483645,0l-2147483645,-2147483646l0,-2147483646xe" fillcolor="#a3238e" stroked="f" o:allowincell="f" style="position:absolute;margin-left:233.8pt;margin-top:31.1pt;width:244.45pt;height:65.95pt;mso-wrap-style:square;v-text-anchor:top">
                <v:fill o:detectmouseclick="t" type="solid" color2="#5cdc71"/>
                <v:stroke color="#3465a4" joinstyle="round" endcap="flat"/>
                <v:textbox>
                  <w:txbxContent>
                    <w:p>
                      <w:pPr>
                        <w:pStyle w:val="P68B1DB1Normal1"/>
                        <w:widowControl w:val="false"/>
                        <w:spacing w:lineRule="auto" w:line="240"/>
                        <w:ind w:left="0" w:right="0" w:hanging="0"/>
                        <w:jc w:val="left"/>
                        <w:rPr>
                          <w:shd w:fill="A3238E" w:val="clear"/>
                        </w:rPr>
                      </w:pPr>
                      <w:r>
                        <w:rPr>
                          <w:sz w:val="44"/>
                        </w:rPr>
                        <w:t xml:space="preserve">A jövő a kezedben van, </w:t>
                      </w:r>
                      <w:r>
                        <w:rPr>
                          <w:sz w:val="36"/>
                        </w:rPr>
                        <w:t xml:space="preserve">hallgasd meg a hangodat </w:t>
                      </w:r>
                    </w:p>
                    <w:p>
                      <w:pPr>
                        <w:pStyle w:val="Normal"/>
                        <w:spacing w:lineRule="auto" w:line="240"/>
                        <w:ind w:left="0" w:right="0" w:hanging="0"/>
                        <w:jc w:val="left"/>
                        <w:rPr>
                          <w:shd w:fill="A3238E" w:val="clear"/>
                        </w:rPr>
                      </w:pPr>
                      <w:r>
                        <w:rPr/>
                      </w:r>
                    </w:p>
                  </w:txbxContent>
                </v:textbox>
                <w10:wrap type="square"/>
              </v:rect>
            </w:pict>
          </mc:Fallback>
        </mc:AlternateContent>
      </w:r>
      <w:r>
        <w:rPr/>
        <w:t>többnyelvű digitális platformja</w:t>
      </w:r>
    </w:p>
    <w:p>
      <w:pPr>
        <w:pStyle w:val="P68B1DB1Corpsdetexte3"/>
        <w:jc w:val="left"/>
        <w:rPr/>
      </w:pPr>
      <w:r>
        <w:rPr/>
        <w:t>Zárójelentés 2022. május</w:t>
        <w:br/>
      </w:r>
    </w:p>
    <w:p>
      <w:pPr>
        <w:sectPr>
          <w:headerReference w:type="default" r:id="rId3"/>
          <w:type w:val="nextPage"/>
          <w:pgSz w:w="11906" w:h="16838"/>
          <w:pgMar w:left="1134" w:right="1134" w:gutter="0" w:header="1134" w:top="1417" w:footer="0" w:bottom="1134"/>
          <w:pgNumType w:fmt="decimal"/>
          <w:formProt w:val="false"/>
          <w:textDirection w:val="lrTb"/>
          <w:docGrid w:type="default" w:linePitch="600" w:charSpace="40960"/>
        </w:sectPr>
      </w:pPr>
    </w:p>
    <w:p>
      <w:pPr>
        <w:pStyle w:val="Normal"/>
        <w:jc w:val="left"/>
        <w:rPr>
          <w:rFonts w:ascii="Arial" w:hAnsi="Arial"/>
          <w:color w:val="000000"/>
          <w:sz w:val="40"/>
        </w:rPr>
      </w:pPr>
      <w:r>
        <w:rPr>
          <w:color w:val="000000"/>
          <w:sz w:val="40"/>
        </w:rPr>
        <mc:AlternateContent>
          <mc:Choice Requires="wps">
            <w:drawing>
              <wp:anchor behindDoc="0" distT="72390" distB="72390" distL="71120" distR="72390" simplePos="0" locked="0" layoutInCell="0" allowOverlap="1" relativeHeight="58">
                <wp:simplePos x="0" y="0"/>
                <wp:positionH relativeFrom="column">
                  <wp:posOffset>35560</wp:posOffset>
                </wp:positionH>
                <wp:positionV relativeFrom="paragraph">
                  <wp:posOffset>7912735</wp:posOffset>
                </wp:positionV>
                <wp:extent cx="4001135" cy="911860"/>
                <wp:effectExtent l="0" t="0" r="0" b="0"/>
                <wp:wrapSquare wrapText="bothSides"/>
                <wp:docPr id="4" name="Cadre2 (angol nyelven)"/>
                <a:graphic xmlns:a="http://schemas.openxmlformats.org/drawingml/2006/main">
                  <a:graphicData uri="http://schemas.microsoft.com/office/word/2010/wordprocessingShape">
                    <wps:wsp>
                      <wps:cNvSpPr/>
                      <wps:spPr>
                        <a:xfrm>
                          <a:off x="0" y="0"/>
                          <a:ext cx="4001040" cy="911880"/>
                        </a:xfrm>
                        <a:prstGeom prst="rect">
                          <a:avLst/>
                        </a:prstGeom>
                        <a:solidFill>
                          <a:srgbClr val="ffffff"/>
                        </a:solidFill>
                        <a:ln w="0">
                          <a:noFill/>
                        </a:ln>
                      </wps:spPr>
                      <wps:style>
                        <a:lnRef idx="0"/>
                        <a:fillRef idx="0"/>
                        <a:effectRef idx="0"/>
                        <a:fontRef idx="minor"/>
                      </wps:style>
                      <wps:txbx>
                        <w:txbxContent>
                          <w:p>
                            <w:pPr>
                              <w:pStyle w:val="Contenudecadre"/>
                              <w:spacing w:before="31" w:after="56"/>
                              <w:jc w:val="left"/>
                              <w:rPr>
                                <w:color w:val="000000"/>
                              </w:rPr>
                            </w:pPr>
                            <w:r>
                              <w:rPr>
                                <w:color w:val="000000"/>
                              </w:rPr>
                              <w:t xml:space="preserve">Jogi nyilatkozat: ez a jelentés a szerzők kizárólagos felelőssége, és nem tükrözi az uniós intézmények vagy az Európa jövőjéről szóló konferencia véleményét. </w:t>
                            </w:r>
                          </w:p>
                          <w:p>
                            <w:pPr>
                              <w:pStyle w:val="Contenudecadre"/>
                              <w:spacing w:before="31" w:after="56"/>
                              <w:jc w:val="left"/>
                              <w:rPr>
                                <w:color w:val="000000"/>
                              </w:rPr>
                            </w:pPr>
                            <w:r>
                              <w:rPr>
                                <w:color w:val="000000"/>
                              </w:rPr>
                              <w:t xml:space="preserve">A Kantar Public által végzett elemzés. </w:t>
                            </w:r>
                          </w:p>
                        </w:txbxContent>
                      </wps:txbx>
                      <wps:bodyPr lIns="54000" rIns="54000" tIns="54000" bIns="54000" anchor="t">
                        <a:noAutofit/>
                      </wps:bodyPr>
                    </wps:wsp>
                  </a:graphicData>
                </a:graphic>
              </wp:anchor>
            </w:drawing>
          </mc:Choice>
          <mc:Fallback>
            <w:pict>
              <v:rect id="shape_0" ID="Cadre2 (angol nyelven)" path="m0,0l-2147483645,0l-2147483645,-2147483646l0,-2147483646xe" fillcolor="white" stroked="f" o:allowincell="f" style="position:absolute;margin-left:2.8pt;margin-top:623.05pt;width:315pt;height:71.75pt;mso-wrap-style:square;v-text-anchor:top">
                <v:fill o:detectmouseclick="t" type="solid" color2="black"/>
                <v:stroke color="#3465a4" joinstyle="round" endcap="flat"/>
                <v:textbox>
                  <w:txbxContent>
                    <w:p>
                      <w:pPr>
                        <w:pStyle w:val="Contenudecadre"/>
                        <w:spacing w:before="31" w:after="56"/>
                        <w:jc w:val="left"/>
                        <w:rPr>
                          <w:color w:val="000000"/>
                        </w:rPr>
                      </w:pPr>
                      <w:r>
                        <w:rPr>
                          <w:color w:val="000000"/>
                        </w:rPr>
                        <w:t xml:space="preserve">Jogi nyilatkozat: ez a jelentés a szerzők kizárólagos felelőssége, és nem tükrözi az uniós intézmények vagy az Európa jövőjéről szóló konferencia véleményét. </w:t>
                      </w:r>
                    </w:p>
                    <w:p>
                      <w:pPr>
                        <w:pStyle w:val="Contenudecadre"/>
                        <w:spacing w:before="31" w:after="56"/>
                        <w:jc w:val="left"/>
                        <w:rPr>
                          <w:color w:val="000000"/>
                        </w:rPr>
                      </w:pPr>
                      <w:r>
                        <w:rPr>
                          <w:color w:val="000000"/>
                        </w:rPr>
                        <w:t xml:space="preserve">A Kantar Public által végzett elemzés. </w:t>
                      </w:r>
                    </w:p>
                  </w:txbxContent>
                </v:textbox>
                <w10:wrap type="square"/>
              </v:rect>
            </w:pict>
          </mc:Fallback>
        </mc:AlternateContent>
        <w:drawing>
          <wp:anchor behindDoc="0" distT="0" distB="0" distL="0" distR="0" simplePos="0" locked="0" layoutInCell="0" allowOverlap="1" relativeHeight="60">
            <wp:simplePos x="0" y="0"/>
            <wp:positionH relativeFrom="column">
              <wp:posOffset>3923030</wp:posOffset>
            </wp:positionH>
            <wp:positionV relativeFrom="paragraph">
              <wp:posOffset>635</wp:posOffset>
            </wp:positionV>
            <wp:extent cx="2179320" cy="723900"/>
            <wp:effectExtent l="0" t="0" r="0" b="0"/>
            <wp:wrapSquare wrapText="largest"/>
            <wp:docPr id="6" name="Kép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ép 2" descr=""/>
                    <pic:cNvPicPr>
                      <a:picLocks noChangeAspect="1" noChangeArrowheads="1"/>
                    </pic:cNvPicPr>
                  </pic:nvPicPr>
                  <pic:blipFill>
                    <a:blip r:embed="rId4"/>
                    <a:stretch>
                      <a:fillRect/>
                    </a:stretch>
                  </pic:blipFill>
                  <pic:spPr bwMode="auto">
                    <a:xfrm>
                      <a:off x="0" y="0"/>
                      <a:ext cx="2179320" cy="723900"/>
                    </a:xfrm>
                    <a:prstGeom prst="rect">
                      <a:avLst/>
                    </a:prstGeom>
                  </pic:spPr>
                </pic:pic>
              </a:graphicData>
            </a:graphic>
          </wp:anchor>
        </w:drawing>
        <mc:AlternateContent>
          <mc:Choice Requires="wps">
            <w:drawing>
              <wp:anchor behindDoc="0" distT="72390" distB="72390" distL="72390" distR="72390" simplePos="0" locked="0" layoutInCell="0" allowOverlap="1" relativeHeight="124">
                <wp:simplePos x="0" y="0"/>
                <wp:positionH relativeFrom="column">
                  <wp:posOffset>52070</wp:posOffset>
                </wp:positionH>
                <wp:positionV relativeFrom="paragraph">
                  <wp:posOffset>807085</wp:posOffset>
                </wp:positionV>
                <wp:extent cx="6076950" cy="5524500"/>
                <wp:effectExtent l="0" t="0" r="0" b="0"/>
                <wp:wrapSquare wrapText="bothSides"/>
                <wp:docPr id="7" name="Cadre8 – Videó letöltés mp3-ban"/>
                <a:graphic xmlns:a="http://schemas.openxmlformats.org/drawingml/2006/main">
                  <a:graphicData uri="http://schemas.microsoft.com/office/word/2010/wordprocessingShape">
                    <wps:wsp>
                      <wps:cNvSpPr/>
                      <wps:spPr>
                        <a:xfrm>
                          <a:off x="0" y="0"/>
                          <a:ext cx="6076800" cy="5524560"/>
                        </a:xfrm>
                        <a:prstGeom prst="rect">
                          <a:avLst/>
                        </a:prstGeom>
                        <a:solidFill>
                          <a:srgbClr val="ffffff"/>
                        </a:solidFill>
                        <a:ln w="0">
                          <a:noFill/>
                        </a:ln>
                      </wps:spPr>
                      <wps:style>
                        <a:lnRef idx="0"/>
                        <a:fillRef idx="0"/>
                        <a:effectRef idx="0"/>
                        <a:fontRef idx="minor"/>
                      </wps:style>
                      <wps:txbx>
                        <w:txbxContent>
                          <w:p>
                            <w:pPr>
                              <w:pStyle w:val="Normal"/>
                              <w:jc w:val="left"/>
                              <w:rPr/>
                            </w:pPr>
                            <w:r>
                              <w:rPr/>
                              <w:drawing>
                                <wp:inline distT="0" distB="0" distL="0" distR="0">
                                  <wp:extent cx="4069080" cy="1244600"/>
                                  <wp:effectExtent l="0" t="0" r="0" b="0"/>
                                  <wp:docPr id="9" name="Kép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ép42" descr=""/>
                                          <pic:cNvPicPr>
                                            <a:picLocks noChangeAspect="1" noChangeArrowheads="1"/>
                                          </pic:cNvPicPr>
                                        </pic:nvPicPr>
                                        <pic:blipFill>
                                          <a:blip r:embed="rId5"/>
                                          <a:stretch>
                                            <a:fillRect/>
                                          </a:stretch>
                                        </pic:blipFill>
                                        <pic:spPr bwMode="auto">
                                          <a:xfrm>
                                            <a:off x="0" y="0"/>
                                            <a:ext cx="4069080" cy="1244600"/>
                                          </a:xfrm>
                                          <a:prstGeom prst="rect">
                                            <a:avLst/>
                                          </a:prstGeom>
                                        </pic:spPr>
                                      </pic:pic>
                                    </a:graphicData>
                                  </a:graphic>
                                </wp:inline>
                              </w:drawing>
                            </w:r>
                          </w:p>
                          <w:p>
                            <w:pPr>
                              <w:pStyle w:val="Normal"/>
                              <w:jc w:val="left"/>
                              <w:rPr/>
                            </w:pPr>
                            <w:r>
                              <w:rPr/>
                              <w:t>Pierre Dieumegard által készített dokumentum</w:t>
                            </w:r>
                          </w:p>
                          <w:p>
                            <w:pPr>
                              <w:pStyle w:val="Normal"/>
                              <w:jc w:val="left"/>
                              <w:rPr/>
                            </w:pPr>
                            <w:hyperlink r:id="rId6">
                              <w:r>
                                <w:rPr>
                                  <w:rStyle w:val="LienInternet"/>
                                </w:rPr>
                                <w:t>Európa-Demokrácia-Espe</w:t>
                              </w:r>
                            </w:hyperlink>
                            <w:hyperlink r:id="rId7">
                              <w:r>
                                <w:rPr>
                                  <w:rStyle w:val="LienInternet"/>
                                </w:rPr>
                                <w:t>ranto</w:t>
                              </w:r>
                            </w:hyperlink>
                          </w:p>
                          <w:p>
                            <w:pPr>
                              <w:pStyle w:val="Normal"/>
                              <w:jc w:val="left"/>
                              <w:rPr/>
                            </w:pPr>
                            <w:r>
                              <w:rPr/>
                            </w:r>
                          </w:p>
                          <w:p>
                            <w:pPr>
                              <w:pStyle w:val="Normal"/>
                              <w:jc w:val="left"/>
                              <w:rPr/>
                            </w:pPr>
                            <w:r>
                              <w:rPr/>
                              <w:t xml:space="preserve">Ennek az „ideiglenes” dokumentumnak az a célja, hogy az Európai Unióban minél több ember tudomást szerezzen az Európai Unió által készített (adóból finanszírozott) dokumentumokról. </w:t>
                            </w:r>
                          </w:p>
                          <w:p>
                            <w:pPr>
                              <w:pStyle w:val="Normal"/>
                              <w:jc w:val="left"/>
                              <w:rPr/>
                            </w:pPr>
                            <w:r>
                              <w:rPr/>
                              <w:t xml:space="preserve">Az Európa jövőjéről szóló konferencia zárójelentése csak angol nyelven készült. Az eredeti dokumentumot Libre Office szoftver készítette és automatikusan lefordította a </w:t>
                            </w:r>
                            <w:hyperlink r:id="rId8">
                              <w:r>
                                <w:rPr>
                                  <w:rStyle w:val="LienInternet"/>
                                </w:rPr>
                                <w:t>https://webgate.ec.europa.eu/etranslation</w:t>
                              </w:r>
                            </w:hyperlink>
                          </w:p>
                          <w:p>
                            <w:pPr>
                              <w:pStyle w:val="Normal"/>
                              <w:jc w:val="left"/>
                              <w:rPr/>
                            </w:pPr>
                            <w:r>
                              <w:rPr/>
                            </w:r>
                          </w:p>
                          <w:p>
                            <w:pPr>
                              <w:pStyle w:val="Normal"/>
                              <w:jc w:val="left"/>
                              <w:rPr/>
                            </w:pPr>
                            <w:r>
                              <w:rPr/>
                              <w:t xml:space="preserve">Ez jól illusztrálja a többnyelvűség szükségességét az Európai Unióban: fordítás nélkül az emberek ki vannak zárva a vitából. </w:t>
                            </w:r>
                          </w:p>
                          <w:p>
                            <w:pPr>
                              <w:pStyle w:val="P68B1DB1Normal4"/>
                              <w:jc w:val="left"/>
                              <w:rPr>
                                <w:b/>
                                <w:b/>
                              </w:rPr>
                            </w:pPr>
                            <w:r>
                              <w:rPr/>
                              <w:t>Kívánatos, hogy az uniós közigazgatás átvegye a fontos dokumentumok fordítását. A fontos dokumentumok nemcsak törvények és rendeletek, hanem a megalapozott döntésekhez szükséges fontos információk is.</w:t>
                            </w:r>
                          </w:p>
                          <w:p>
                            <w:pPr>
                              <w:pStyle w:val="Normal"/>
                              <w:jc w:val="left"/>
                              <w:rPr/>
                            </w:pPr>
                            <w:r>
                              <w:rPr/>
                            </w:r>
                          </w:p>
                          <w:p>
                            <w:pPr>
                              <w:pStyle w:val="Normal"/>
                              <w:jc w:val="left"/>
                              <w:rPr/>
                            </w:pPr>
                            <w:r>
                              <w:rPr/>
                              <w:t>Közös jövőnk közös megvitatása és a megbízható fordítás lehetővé tétele érdekében a nemzetközi eszperantó nyelv egyszerűsége, szabályszerűsége és pontossága miatt nagyon hasznos lenne.</w:t>
                            </w:r>
                          </w:p>
                          <w:p>
                            <w:pPr>
                              <w:pStyle w:val="Normal"/>
                              <w:jc w:val="left"/>
                              <w:rPr/>
                            </w:pPr>
                            <w:r>
                              <w:rPr/>
                            </w:r>
                          </w:p>
                          <w:p>
                            <w:pPr>
                              <w:pStyle w:val="Normal"/>
                              <w:jc w:val="left"/>
                              <w:rPr/>
                            </w:pPr>
                            <w:r>
                              <w:rPr/>
                            </w:r>
                          </w:p>
                          <w:p>
                            <w:pPr>
                              <w:pStyle w:val="Normal"/>
                              <w:jc w:val="left"/>
                              <w:rPr/>
                            </w:pPr>
                            <w:r>
                              <w:rPr/>
                            </w:r>
                          </w:p>
                        </w:txbxContent>
                      </wps:txbx>
                      <wps:bodyPr lIns="54000" rIns="54000" tIns="54000" bIns="54000" anchor="t">
                        <a:noAutofit/>
                      </wps:bodyPr>
                    </wps:wsp>
                  </a:graphicData>
                </a:graphic>
              </wp:anchor>
            </w:drawing>
          </mc:Choice>
          <mc:Fallback>
            <w:pict>
              <v:rect id="shape_0" ID="Cadre8 – Videó letöltés mp3-ban" path="m0,0l-2147483645,0l-2147483645,-2147483646l0,-2147483646xe" fillcolor="white" stroked="f" o:allowincell="f" style="position:absolute;margin-left:4.1pt;margin-top:63.55pt;width:478.45pt;height:434.95pt;mso-wrap-style:square;v-text-anchor:top">
                <v:fill o:detectmouseclick="t" type="solid" color2="black"/>
                <v:stroke color="#3465a4" joinstyle="round" endcap="flat"/>
                <v:textbox>
                  <w:txbxContent>
                    <w:p>
                      <w:pPr>
                        <w:pStyle w:val="Normal"/>
                        <w:jc w:val="left"/>
                        <w:rPr/>
                      </w:pPr>
                      <w:r>
                        <w:rPr/>
                        <w:drawing>
                          <wp:inline distT="0" distB="0" distL="0" distR="0">
                            <wp:extent cx="4069080" cy="1244600"/>
                            <wp:effectExtent l="0" t="0" r="0" b="0"/>
                            <wp:docPr id="10" name="Kép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Kép42" descr=""/>
                                    <pic:cNvPicPr>
                                      <a:picLocks noChangeAspect="1" noChangeArrowheads="1"/>
                                    </pic:cNvPicPr>
                                  </pic:nvPicPr>
                                  <pic:blipFill>
                                    <a:blip r:embed="rId9"/>
                                    <a:stretch>
                                      <a:fillRect/>
                                    </a:stretch>
                                  </pic:blipFill>
                                  <pic:spPr bwMode="auto">
                                    <a:xfrm>
                                      <a:off x="0" y="0"/>
                                      <a:ext cx="4069080" cy="1244600"/>
                                    </a:xfrm>
                                    <a:prstGeom prst="rect">
                                      <a:avLst/>
                                    </a:prstGeom>
                                  </pic:spPr>
                                </pic:pic>
                              </a:graphicData>
                            </a:graphic>
                          </wp:inline>
                        </w:drawing>
                      </w:r>
                    </w:p>
                    <w:p>
                      <w:pPr>
                        <w:pStyle w:val="Normal"/>
                        <w:jc w:val="left"/>
                        <w:rPr/>
                      </w:pPr>
                      <w:r>
                        <w:rPr/>
                        <w:t>Pierre Dieumegard által készített dokumentum</w:t>
                      </w:r>
                    </w:p>
                    <w:p>
                      <w:pPr>
                        <w:pStyle w:val="Normal"/>
                        <w:jc w:val="left"/>
                        <w:rPr/>
                      </w:pPr>
                      <w:hyperlink r:id="rId10">
                        <w:r>
                          <w:rPr>
                            <w:rStyle w:val="LienInternet"/>
                          </w:rPr>
                          <w:t>Európa-Demokrácia-Espe</w:t>
                        </w:r>
                      </w:hyperlink>
                      <w:hyperlink r:id="rId11">
                        <w:r>
                          <w:rPr>
                            <w:rStyle w:val="LienInternet"/>
                          </w:rPr>
                          <w:t>ranto</w:t>
                        </w:r>
                      </w:hyperlink>
                    </w:p>
                    <w:p>
                      <w:pPr>
                        <w:pStyle w:val="Normal"/>
                        <w:jc w:val="left"/>
                        <w:rPr/>
                      </w:pPr>
                      <w:r>
                        <w:rPr/>
                      </w:r>
                    </w:p>
                    <w:p>
                      <w:pPr>
                        <w:pStyle w:val="Normal"/>
                        <w:jc w:val="left"/>
                        <w:rPr/>
                      </w:pPr>
                      <w:r>
                        <w:rPr/>
                        <w:t xml:space="preserve">Ennek az „ideiglenes” dokumentumnak az a célja, hogy az Európai Unióban minél több ember tudomást szerezzen az Európai Unió által készített (adóból finanszírozott) dokumentumokról. </w:t>
                      </w:r>
                    </w:p>
                    <w:p>
                      <w:pPr>
                        <w:pStyle w:val="Normal"/>
                        <w:jc w:val="left"/>
                        <w:rPr/>
                      </w:pPr>
                      <w:r>
                        <w:rPr/>
                        <w:t xml:space="preserve">Az Európa jövőjéről szóló konferencia zárójelentése csak angol nyelven készült. Az eredeti dokumentumot Libre Office szoftver készítette és automatikusan lefordította a </w:t>
                      </w:r>
                      <w:hyperlink r:id="rId12">
                        <w:r>
                          <w:rPr>
                            <w:rStyle w:val="LienInternet"/>
                          </w:rPr>
                          <w:t>https://webgate.ec.europa.eu/etranslation</w:t>
                        </w:r>
                      </w:hyperlink>
                    </w:p>
                    <w:p>
                      <w:pPr>
                        <w:pStyle w:val="Normal"/>
                        <w:jc w:val="left"/>
                        <w:rPr/>
                      </w:pPr>
                      <w:r>
                        <w:rPr/>
                      </w:r>
                    </w:p>
                    <w:p>
                      <w:pPr>
                        <w:pStyle w:val="Normal"/>
                        <w:jc w:val="left"/>
                        <w:rPr/>
                      </w:pPr>
                      <w:r>
                        <w:rPr/>
                        <w:t xml:space="preserve">Ez jól illusztrálja a többnyelvűség szükségességét az Európai Unióban: fordítás nélkül az emberek ki vannak zárva a vitából. </w:t>
                      </w:r>
                    </w:p>
                    <w:p>
                      <w:pPr>
                        <w:pStyle w:val="P68B1DB1Normal4"/>
                        <w:jc w:val="left"/>
                        <w:rPr>
                          <w:b/>
                          <w:b/>
                        </w:rPr>
                      </w:pPr>
                      <w:r>
                        <w:rPr/>
                        <w:t>Kívánatos, hogy az uniós közigazgatás átvegye a fontos dokumentumok fordítását. A fontos dokumentumok nemcsak törvények és rendeletek, hanem a megalapozott döntésekhez szükséges fontos információk is.</w:t>
                      </w:r>
                    </w:p>
                    <w:p>
                      <w:pPr>
                        <w:pStyle w:val="Normal"/>
                        <w:jc w:val="left"/>
                        <w:rPr/>
                      </w:pPr>
                      <w:r>
                        <w:rPr/>
                      </w:r>
                    </w:p>
                    <w:p>
                      <w:pPr>
                        <w:pStyle w:val="Normal"/>
                        <w:jc w:val="left"/>
                        <w:rPr/>
                      </w:pPr>
                      <w:r>
                        <w:rPr/>
                        <w:t>Közös jövőnk közös megvitatása és a megbízható fordítás lehetővé tétele érdekében a nemzetközi eszperantó nyelv egyszerűsége, szabályszerűsége és pontossága miatt nagyon hasznos lenne.</w:t>
                      </w:r>
                    </w:p>
                    <w:p>
                      <w:pPr>
                        <w:pStyle w:val="Normal"/>
                        <w:jc w:val="left"/>
                        <w:rPr/>
                      </w:pPr>
                      <w:r>
                        <w:rPr/>
                      </w:r>
                    </w:p>
                    <w:p>
                      <w:pPr>
                        <w:pStyle w:val="Normal"/>
                        <w:jc w:val="left"/>
                        <w:rPr/>
                      </w:pPr>
                      <w:r>
                        <w:rPr/>
                      </w:r>
                    </w:p>
                    <w:p>
                      <w:pPr>
                        <w:pStyle w:val="Normal"/>
                        <w:jc w:val="left"/>
                        <w:rPr/>
                      </w:pPr>
                      <w:r>
                        <w:rPr/>
                      </w:r>
                    </w:p>
                  </w:txbxContent>
                </v:textbox>
                <w10:wrap type="square"/>
              </v:rect>
            </w:pict>
          </mc:Fallback>
        </mc:AlternateContent>
      </w:r>
    </w:p>
    <w:sdt>
      <w:sdtPr>
        <w:docPartObj>
          <w:docPartGallery w:val="Table of Contents"/>
          <w:docPartUnique w:val="true"/>
        </w:docPartObj>
      </w:sdtPr>
      <w:sdtContent>
        <w:p>
          <w:pPr>
            <w:pStyle w:val="Titredetabledesmatires"/>
            <w:rPr/>
          </w:pPr>
          <w:r>
            <w:br w:type="page"/>
          </w:r>
          <w:r>
            <w:rPr/>
            <w:t>Összefoglaló</w:t>
          </w:r>
        </w:p>
        <w:p>
          <w:pPr>
            <w:pStyle w:val="Tabledesmatiresniveau1"/>
            <w:tabs>
              <w:tab w:val="right" w:pos="9638" w:leader="dot"/>
            </w:tabs>
            <w:rPr/>
          </w:pPr>
          <w:r>
            <w:fldChar w:fldCharType="begin"/>
          </w:r>
          <w:r>
            <w:rPr>
              <w:rStyle w:val="Sautdindex"/>
            </w:rPr>
            <w:instrText xml:space="preserve"> TOC \f \o "1-9" \h</w:instrText>
          </w:r>
          <w:r>
            <w:rPr>
              <w:rStyle w:val="Sautdindex"/>
            </w:rPr>
            <w:fldChar w:fldCharType="separate"/>
          </w:r>
          <w:hyperlink w:anchor="__RefHeading___Toc86329_2514204080">
            <w:r>
              <w:rPr>
                <w:rStyle w:val="Sautdindex"/>
              </w:rPr>
              <w:t>Bevezetés</w:t>
              <w:tab/>
              <w:t>6</w:t>
            </w:r>
          </w:hyperlink>
        </w:p>
        <w:p>
          <w:pPr>
            <w:pStyle w:val="Tabledesmatiresniveau1"/>
            <w:tabs>
              <w:tab w:val="right" w:pos="9638" w:leader="dot"/>
            </w:tabs>
            <w:rPr/>
          </w:pPr>
          <w:hyperlink w:anchor="__RefHeading___Toc86331_2514204080">
            <w:r>
              <w:rPr>
                <w:rStyle w:val="Sautdindex"/>
              </w:rPr>
              <w:t>Vezetői összefoglaló</w:t>
              <w:tab/>
              <w:t>8</w:t>
            </w:r>
          </w:hyperlink>
        </w:p>
        <w:p>
          <w:pPr>
            <w:pStyle w:val="Tabledesmatiresniveau2"/>
            <w:tabs>
              <w:tab w:val="right" w:pos="9638" w:leader="dot"/>
            </w:tabs>
            <w:rPr/>
          </w:pPr>
          <w:hyperlink w:anchor="__RefHeading___Toc86333_2514204080">
            <w:r>
              <w:rPr>
                <w:rStyle w:val="Sautdindex"/>
              </w:rPr>
              <w:t>Az éghajlatváltozás és a környezet</w:t>
              <w:tab/>
              <w:t>9</w:t>
            </w:r>
          </w:hyperlink>
        </w:p>
        <w:p>
          <w:pPr>
            <w:pStyle w:val="Tabledesmatiresniveau2"/>
            <w:tabs>
              <w:tab w:val="right" w:pos="9638" w:leader="dot"/>
            </w:tabs>
            <w:rPr/>
          </w:pPr>
          <w:hyperlink w:anchor="__RefHeading___Toc86335_2514204080">
            <w:r>
              <w:rPr>
                <w:rStyle w:val="Sautdindex"/>
              </w:rPr>
              <w:t>Egészség</w:t>
              <w:tab/>
              <w:t>11</w:t>
            </w:r>
          </w:hyperlink>
        </w:p>
        <w:p>
          <w:pPr>
            <w:pStyle w:val="Tabledesmatiresniveau2"/>
            <w:tabs>
              <w:tab w:val="right" w:pos="9638" w:leader="dot"/>
            </w:tabs>
            <w:rPr/>
          </w:pPr>
          <w:hyperlink w:anchor="__RefHeading___Toc86337_2514204080">
            <w:r>
              <w:rPr>
                <w:rStyle w:val="Sautdindex"/>
              </w:rPr>
              <w:t>Erősebb gazdaság, társadalmi igazságosság és munkahelyek</w:t>
              <w:tab/>
              <w:t>11</w:t>
            </w:r>
          </w:hyperlink>
        </w:p>
        <w:p>
          <w:pPr>
            <w:pStyle w:val="Tabledesmatiresniveau2"/>
            <w:tabs>
              <w:tab w:val="right" w:pos="9638" w:leader="dot"/>
            </w:tabs>
            <w:rPr/>
          </w:pPr>
          <w:hyperlink w:anchor="__RefHeading___Toc86339_2514204080">
            <w:r>
              <w:rPr>
                <w:rStyle w:val="Sautdindex"/>
              </w:rPr>
              <w:t>Az EU a világban</w:t>
              <w:tab/>
              <w:t>12</w:t>
            </w:r>
          </w:hyperlink>
        </w:p>
        <w:p>
          <w:pPr>
            <w:pStyle w:val="Tabledesmatiresniveau2"/>
            <w:tabs>
              <w:tab w:val="right" w:pos="9638" w:leader="dot"/>
            </w:tabs>
            <w:rPr/>
          </w:pPr>
          <w:hyperlink w:anchor="__RefHeading___Toc86341_2514204080">
            <w:r>
              <w:rPr>
                <w:rStyle w:val="Sautdindex"/>
              </w:rPr>
              <w:t>Értékek és jogok, jogállamiság és biztonság</w:t>
              <w:tab/>
              <w:t>13</w:t>
            </w:r>
          </w:hyperlink>
        </w:p>
        <w:p>
          <w:pPr>
            <w:pStyle w:val="Tabledesmatiresniveau2"/>
            <w:tabs>
              <w:tab w:val="right" w:pos="9638" w:leader="dot"/>
            </w:tabs>
            <w:rPr/>
          </w:pPr>
          <w:hyperlink w:anchor="__RefHeading___Toc86343_2514204080">
            <w:r>
              <w:rPr>
                <w:rStyle w:val="Sautdindex"/>
              </w:rPr>
              <w:t>Digitális transzformáció</w:t>
              <w:tab/>
              <w:t>14</w:t>
            </w:r>
          </w:hyperlink>
        </w:p>
        <w:p>
          <w:pPr>
            <w:pStyle w:val="Tabledesmatiresniveau2"/>
            <w:tabs>
              <w:tab w:val="right" w:pos="9638" w:leader="dot"/>
            </w:tabs>
            <w:rPr/>
          </w:pPr>
          <w:hyperlink w:anchor="__RefHeading___Toc175897_1436627219">
            <w:r>
              <w:rPr>
                <w:rStyle w:val="Sautdindex"/>
              </w:rPr>
              <w:t>Migráció</w:t>
              <w:tab/>
              <w:t>14</w:t>
            </w:r>
          </w:hyperlink>
        </w:p>
        <w:p>
          <w:pPr>
            <w:pStyle w:val="Tabledesmatiresniveau2"/>
            <w:tabs>
              <w:tab w:val="right" w:pos="9638" w:leader="dot"/>
            </w:tabs>
            <w:rPr/>
          </w:pPr>
          <w:hyperlink w:anchor="__RefHeading___Toc86345_2514204080">
            <w:r>
              <w:rPr>
                <w:rStyle w:val="Sautdindex"/>
              </w:rPr>
              <w:t>Oktatás, kultúra, ifjúság és sport</w:t>
              <w:tab/>
              <w:t>15</w:t>
            </w:r>
          </w:hyperlink>
        </w:p>
        <w:p>
          <w:pPr>
            <w:pStyle w:val="Tabledesmatiresniveau1"/>
            <w:tabs>
              <w:tab w:val="right" w:pos="9638" w:leader="dot"/>
            </w:tabs>
            <w:rPr/>
          </w:pPr>
          <w:hyperlink w:anchor="__RefHeading___Toc86347_2514204080">
            <w:r>
              <w:rPr>
                <w:rStyle w:val="Sautdindex"/>
              </w:rPr>
              <w:t>1. A platformon tett hozzászólások áttekintése</w:t>
              <w:tab/>
              <w:t>17</w:t>
            </w:r>
          </w:hyperlink>
        </w:p>
        <w:p>
          <w:pPr>
            <w:pStyle w:val="Tabledesmatiresniveau2"/>
            <w:tabs>
              <w:tab w:val="right" w:pos="9638" w:leader="dot"/>
            </w:tabs>
            <w:rPr/>
          </w:pPr>
          <w:hyperlink w:anchor="__RefHeading___Toc86349_2514204080">
            <w:r>
              <w:rPr>
                <w:rStyle w:val="Sautdindex"/>
              </w:rPr>
              <w:t>A tevékenység áttekintése</w:t>
              <w:tab/>
              <w:t>17</w:t>
            </w:r>
          </w:hyperlink>
        </w:p>
        <w:p>
          <w:pPr>
            <w:pStyle w:val="Tabledesmatiresniveau2"/>
            <w:tabs>
              <w:tab w:val="right" w:pos="9638" w:leader="dot"/>
            </w:tabs>
            <w:rPr/>
          </w:pPr>
          <w:hyperlink w:anchor="__RefHeading___Toc86351_2514204080">
            <w:r>
              <w:rPr>
                <w:rStyle w:val="Sautdindex"/>
              </w:rPr>
              <w:t>Események áttekintése</w:t>
              <w:tab/>
              <w:t>20</w:t>
            </w:r>
          </w:hyperlink>
        </w:p>
        <w:p>
          <w:pPr>
            <w:pStyle w:val="Tabledesmatiresniveau2"/>
            <w:tabs>
              <w:tab w:val="right" w:pos="9638" w:leader="dot"/>
            </w:tabs>
            <w:rPr/>
          </w:pPr>
          <w:hyperlink w:anchor="__RefHeading___Toc86353_2514204080">
            <w:r>
              <w:rPr>
                <w:rStyle w:val="Sautdindex"/>
              </w:rPr>
              <w:t>Ki vett részt a vitában?</w:t>
              <w:tab/>
              <w:t>22</w:t>
            </w:r>
          </w:hyperlink>
        </w:p>
        <w:p>
          <w:pPr>
            <w:pStyle w:val="Tabledesmatiresniveau2"/>
            <w:tabs>
              <w:tab w:val="right" w:pos="9638" w:leader="dot"/>
            </w:tabs>
            <w:rPr/>
          </w:pPr>
          <w:hyperlink w:anchor="__RefHeading___Toc86355_2514204080">
            <w:r>
              <w:rPr>
                <w:rStyle w:val="Sautdindex"/>
              </w:rPr>
              <w:t>Trendi témák a hozzájárulások tekintetében</w:t>
              <w:tab/>
              <w:t>23</w:t>
            </w:r>
          </w:hyperlink>
        </w:p>
        <w:p>
          <w:pPr>
            <w:pStyle w:val="Tabledesmatiresniveau2"/>
            <w:tabs>
              <w:tab w:val="right" w:pos="9638" w:leader="dot"/>
            </w:tabs>
            <w:rPr/>
          </w:pPr>
          <w:hyperlink w:anchor="__RefHeading___Toc86357_2514204080">
            <w:r>
              <w:rPr>
                <w:rStyle w:val="Sautdindex"/>
              </w:rPr>
              <w:t>A legújabb fejlemények</w:t>
              <w:tab/>
              <w:t>24</w:t>
            </w:r>
          </w:hyperlink>
        </w:p>
        <w:p>
          <w:pPr>
            <w:pStyle w:val="Tabledesmatiresniveau2"/>
            <w:tabs>
              <w:tab w:val="right" w:pos="9638" w:leader="dot"/>
            </w:tabs>
            <w:rPr/>
          </w:pPr>
          <w:hyperlink w:anchor="__RefHeading___Toc86359_2514204080">
            <w:r>
              <w:rPr>
                <w:rStyle w:val="Sautdindex"/>
              </w:rPr>
              <w:t>Trendi témák 2022. február 21-től május 9-ig</w:t>
              <w:tab/>
              <w:t>25</w:t>
            </w:r>
          </w:hyperlink>
        </w:p>
        <w:p>
          <w:pPr>
            <w:pStyle w:val="Tabledesmatiresniveau1"/>
            <w:tabs>
              <w:tab w:val="right" w:pos="9638" w:leader="dot"/>
            </w:tabs>
            <w:rPr/>
          </w:pPr>
          <w:hyperlink w:anchor="__RefHeading___Toc86361_2514204080">
            <w:r>
              <w:rPr>
                <w:rStyle w:val="Sautdindex"/>
              </w:rPr>
              <w:t>2. Az éghajlatváltozás és a környezet</w:t>
              <w:tab/>
              <w:t>26</w:t>
            </w:r>
          </w:hyperlink>
        </w:p>
        <w:p>
          <w:pPr>
            <w:pStyle w:val="Tabledesmatiresniveau2"/>
            <w:tabs>
              <w:tab w:val="right" w:pos="9638" w:leader="dot"/>
            </w:tabs>
            <w:rPr/>
          </w:pPr>
          <w:hyperlink w:anchor="__RefHeading___Toc175917_1436627219">
            <w:r>
              <w:rPr>
                <w:rStyle w:val="Sautdindex"/>
              </w:rPr>
              <w:t>Események</w:t>
              <w:tab/>
              <w:t>26</w:t>
            </w:r>
          </w:hyperlink>
        </w:p>
        <w:p>
          <w:pPr>
            <w:pStyle w:val="Tabledesmatiresniveau2"/>
            <w:tabs>
              <w:tab w:val="right" w:pos="9638" w:leader="dot"/>
            </w:tabs>
            <w:rPr/>
          </w:pPr>
          <w:hyperlink w:anchor="__RefHeading___Toc86363_2514204080">
            <w:r>
              <w:rPr>
                <w:rStyle w:val="Sautdindex"/>
              </w:rPr>
              <w:t>Az éghajlatváltozás és a „zöld megállapodás” kezelése</w:t>
              <w:tab/>
              <w:t>27</w:t>
            </w:r>
          </w:hyperlink>
        </w:p>
        <w:p>
          <w:pPr>
            <w:pStyle w:val="Tabledesmatiresniveau2"/>
            <w:tabs>
              <w:tab w:val="right" w:pos="9638" w:leader="dot"/>
            </w:tabs>
            <w:rPr/>
          </w:pPr>
          <w:hyperlink w:anchor="__RefHeading___Toc86365_2514204080">
            <w:r>
              <w:rPr>
                <w:rStyle w:val="Sautdindex"/>
              </w:rPr>
              <w:t>Energia</w:t>
              <w:tab/>
              <w:t>28</w:t>
            </w:r>
          </w:hyperlink>
        </w:p>
        <w:p>
          <w:pPr>
            <w:pStyle w:val="Tabledesmatiresniveau2"/>
            <w:tabs>
              <w:tab w:val="right" w:pos="9638" w:leader="dot"/>
            </w:tabs>
            <w:rPr/>
          </w:pPr>
          <w:hyperlink w:anchor="__RefHeading___Toc86367_2514204080">
            <w:r>
              <w:rPr>
                <w:rStyle w:val="Sautdindex"/>
              </w:rPr>
              <w:t>Szállítás</w:t>
              <w:tab/>
              <w:t>28</w:t>
            </w:r>
          </w:hyperlink>
        </w:p>
        <w:p>
          <w:pPr>
            <w:pStyle w:val="Tabledesmatiresniveau2"/>
            <w:tabs>
              <w:tab w:val="right" w:pos="9638" w:leader="dot"/>
            </w:tabs>
            <w:rPr/>
          </w:pPr>
          <w:hyperlink w:anchor="__RefHeading___Toc86369_2514204080">
            <w:r>
              <w:rPr>
                <w:rStyle w:val="Sautdindex"/>
              </w:rPr>
              <w:t>Fogyasztás</w:t>
              <w:tab/>
              <w:t>29</w:t>
            </w:r>
          </w:hyperlink>
        </w:p>
        <w:p>
          <w:pPr>
            <w:pStyle w:val="Tabledesmatiresniveau2"/>
            <w:tabs>
              <w:tab w:val="right" w:pos="9638" w:leader="dot"/>
            </w:tabs>
            <w:rPr/>
          </w:pPr>
          <w:hyperlink w:anchor="__RefHeading___Toc86371_2514204080">
            <w:r>
              <w:rPr>
                <w:rStyle w:val="Sautdindex"/>
              </w:rPr>
              <w:t>Biológiai sokféleség és állatjólét</w:t>
              <w:tab/>
              <w:t>30</w:t>
            </w:r>
          </w:hyperlink>
        </w:p>
        <w:p>
          <w:pPr>
            <w:pStyle w:val="Tabledesmatiresniveau2"/>
            <w:tabs>
              <w:tab w:val="right" w:pos="9638" w:leader="dot"/>
            </w:tabs>
            <w:rPr/>
          </w:pPr>
          <w:hyperlink w:anchor="__RefHeading___Toc86373_2514204080">
            <w:r>
              <w:rPr>
                <w:rStyle w:val="Sautdindex"/>
              </w:rPr>
              <w:t>Mezőgazdaság</w:t>
              <w:tab/>
              <w:t>30</w:t>
            </w:r>
          </w:hyperlink>
        </w:p>
        <w:p>
          <w:pPr>
            <w:pStyle w:val="Tabledesmatiresniveau2"/>
            <w:tabs>
              <w:tab w:val="right" w:pos="9638" w:leader="dot"/>
            </w:tabs>
            <w:rPr/>
          </w:pPr>
          <w:hyperlink w:anchor="__RefHeading___Toc86375_2514204080">
            <w:r>
              <w:rPr>
                <w:rStyle w:val="Sautdindex"/>
              </w:rPr>
              <w:t>Szennyezés</w:t>
              <w:tab/>
              <w:t>31</w:t>
            </w:r>
          </w:hyperlink>
        </w:p>
        <w:p>
          <w:pPr>
            <w:pStyle w:val="Tabledesmatiresniveau2"/>
            <w:tabs>
              <w:tab w:val="right" w:pos="9638" w:leader="dot"/>
            </w:tabs>
            <w:rPr/>
          </w:pPr>
          <w:hyperlink w:anchor="__RefHeading___Toc86377_2514204080">
            <w:r>
              <w:rPr>
                <w:rStyle w:val="Sautdindex"/>
              </w:rPr>
              <w:t>Támogatás, adózás</w:t>
              <w:tab/>
              <w:t>31</w:t>
            </w:r>
          </w:hyperlink>
        </w:p>
        <w:p>
          <w:pPr>
            <w:pStyle w:val="Tabledesmatiresniveau2"/>
            <w:tabs>
              <w:tab w:val="right" w:pos="9638" w:leader="dot"/>
            </w:tabs>
            <w:rPr/>
          </w:pPr>
          <w:hyperlink w:anchor="__RefHeading___Toc86379_2514204080">
            <w:r>
              <w:rPr>
                <w:rStyle w:val="Sautdindex"/>
              </w:rPr>
              <w:t>Változás az attitűdökben és viselkedés</w:t>
              <w:tab/>
              <w:t>31</w:t>
            </w:r>
          </w:hyperlink>
        </w:p>
        <w:p>
          <w:pPr>
            <w:pStyle w:val="Tabledesmatiresniveau2"/>
            <w:tabs>
              <w:tab w:val="right" w:pos="9638" w:leader="dot"/>
            </w:tabs>
            <w:rPr/>
          </w:pPr>
          <w:hyperlink w:anchor="__RefHeading___Toc86381_2514204080">
            <w:r>
              <w:rPr>
                <w:rStyle w:val="Sautdindex"/>
              </w:rPr>
              <w:t>Lakás és építés</w:t>
              <w:tab/>
              <w:t>32</w:t>
            </w:r>
          </w:hyperlink>
        </w:p>
        <w:p>
          <w:pPr>
            <w:pStyle w:val="Tabledesmatiresniveau2"/>
            <w:tabs>
              <w:tab w:val="right" w:pos="9638" w:leader="dot"/>
            </w:tabs>
            <w:rPr/>
          </w:pPr>
          <w:hyperlink w:anchor="__RefHeading___Toc86383_2514204080">
            <w:r>
              <w:rPr>
                <w:rStyle w:val="Sautdindex"/>
              </w:rPr>
              <w:t>Új ötletek az elmúlt időszakban (21/02/2022–09/05/2022)</w:t>
              <w:tab/>
              <w:t>32</w:t>
            </w:r>
          </w:hyperlink>
        </w:p>
        <w:p>
          <w:pPr>
            <w:pStyle w:val="Tabledesmatiresniveau1"/>
            <w:tabs>
              <w:tab w:val="right" w:pos="9638" w:leader="dot"/>
            </w:tabs>
            <w:rPr/>
          </w:pPr>
          <w:hyperlink w:anchor="__RefHeading___Toc86385_2514204080">
            <w:r>
              <w:rPr>
                <w:rStyle w:val="Sautdindex"/>
              </w:rPr>
              <w:t>3. Egészség</w:t>
              <w:tab/>
              <w:t>35</w:t>
            </w:r>
          </w:hyperlink>
        </w:p>
        <w:p>
          <w:pPr>
            <w:pStyle w:val="Tabledesmatiresniveau2"/>
            <w:tabs>
              <w:tab w:val="right" w:pos="9638" w:leader="dot"/>
            </w:tabs>
            <w:rPr/>
          </w:pPr>
          <w:hyperlink w:anchor="__RefHeading___Toc86387_2514204080">
            <w:r>
              <w:rPr>
                <w:rStyle w:val="Sautdindex"/>
              </w:rPr>
              <w:t>Események</w:t>
              <w:tab/>
              <w:t>35</w:t>
            </w:r>
          </w:hyperlink>
        </w:p>
        <w:p>
          <w:pPr>
            <w:pStyle w:val="Tabledesmatiresniveau2"/>
            <w:tabs>
              <w:tab w:val="right" w:pos="9638" w:leader="dot"/>
            </w:tabs>
            <w:rPr/>
          </w:pPr>
          <w:hyperlink w:anchor="__RefHeading___Toc86389_2514204080">
            <w:r>
              <w:rPr>
                <w:rStyle w:val="Sautdindex"/>
              </w:rPr>
              <w:t>Egészségügyi ellátás mindenki számára</w:t>
              <w:tab/>
              <w:t>35</w:t>
            </w:r>
          </w:hyperlink>
        </w:p>
        <w:p>
          <w:pPr>
            <w:pStyle w:val="Tabledesmatiresniveau2"/>
            <w:tabs>
              <w:tab w:val="right" w:pos="9638" w:leader="dot"/>
            </w:tabs>
            <w:rPr/>
          </w:pPr>
          <w:hyperlink w:anchor="__RefHeading___Toc86391_2514204080">
            <w:r>
              <w:rPr>
                <w:rStyle w:val="Sautdindex"/>
              </w:rPr>
              <w:t>Az uniós egészségügyi rendszerek integrálása</w:t>
              <w:tab/>
              <w:t>36</w:t>
            </w:r>
          </w:hyperlink>
        </w:p>
        <w:p>
          <w:pPr>
            <w:pStyle w:val="Tabledesmatiresniveau2"/>
            <w:tabs>
              <w:tab w:val="right" w:pos="9638" w:leader="dot"/>
            </w:tabs>
            <w:rPr/>
          </w:pPr>
          <w:hyperlink w:anchor="__RefHeading___Toc86393_2514204080">
            <w:r>
              <w:rPr>
                <w:rStyle w:val="Sautdindex"/>
              </w:rPr>
              <w:t>Egészséges életmód</w:t>
              <w:tab/>
              <w:t>37</w:t>
            </w:r>
          </w:hyperlink>
        </w:p>
        <w:p>
          <w:pPr>
            <w:pStyle w:val="Tabledesmatiresniveau2"/>
            <w:tabs>
              <w:tab w:val="right" w:pos="9638" w:leader="dot"/>
            </w:tabs>
            <w:rPr/>
          </w:pPr>
          <w:hyperlink w:anchor="__RefHeading___Toc86395_2514204080">
            <w:r>
              <w:rPr>
                <w:rStyle w:val="Sautdindex"/>
              </w:rPr>
              <w:t>Egészségügyi kutatás</w:t>
              <w:tab/>
              <w:t>38</w:t>
            </w:r>
          </w:hyperlink>
        </w:p>
        <w:p>
          <w:pPr>
            <w:pStyle w:val="Tabledesmatiresniveau2"/>
            <w:tabs>
              <w:tab w:val="right" w:pos="9638" w:leader="dot"/>
            </w:tabs>
            <w:rPr/>
          </w:pPr>
          <w:hyperlink w:anchor="__RefHeading___Toc86397_2514204080">
            <w:r>
              <w:rPr>
                <w:rStyle w:val="Sautdindex"/>
              </w:rPr>
              <w:t>Megelőzés, nem pedig beavatkozás</w:t>
              <w:tab/>
              <w:t>38</w:t>
            </w:r>
          </w:hyperlink>
        </w:p>
        <w:p>
          <w:pPr>
            <w:pStyle w:val="Tabledesmatiresniveau2"/>
            <w:tabs>
              <w:tab w:val="right" w:pos="9638" w:leader="dot"/>
            </w:tabs>
            <w:rPr/>
          </w:pPr>
          <w:hyperlink w:anchor="__RefHeading___Toc86399_2514204080">
            <w:r>
              <w:rPr>
                <w:rStyle w:val="Sautdindex"/>
              </w:rPr>
              <w:t>Egészséges öregedés és öregedésgátló</w:t>
              <w:tab/>
              <w:t>39</w:t>
            </w:r>
          </w:hyperlink>
        </w:p>
        <w:p>
          <w:pPr>
            <w:pStyle w:val="Tabledesmatiresniveau2"/>
            <w:tabs>
              <w:tab w:val="right" w:pos="9638" w:leader="dot"/>
            </w:tabs>
            <w:rPr/>
          </w:pPr>
          <w:hyperlink w:anchor="__RefHeading___Toc86401_2514204080">
            <w:r>
              <w:rPr>
                <w:rStyle w:val="Sautdindex"/>
              </w:rPr>
              <w:t>Megközelítések az orvostudományhoz</w:t>
              <w:tab/>
              <w:t>39</w:t>
            </w:r>
          </w:hyperlink>
        </w:p>
        <w:p>
          <w:pPr>
            <w:pStyle w:val="Tabledesmatiresniveau2"/>
            <w:tabs>
              <w:tab w:val="right" w:pos="9638" w:leader="dot"/>
            </w:tabs>
            <w:rPr/>
          </w:pPr>
          <w:hyperlink w:anchor="__RefHeading___Toc86403_2514204080">
            <w:r>
              <w:rPr>
                <w:rStyle w:val="Sautdindex"/>
              </w:rPr>
              <w:t>A Covid19-járványra adott válaszok</w:t>
              <w:tab/>
              <w:t>39</w:t>
            </w:r>
          </w:hyperlink>
        </w:p>
        <w:p>
          <w:pPr>
            <w:pStyle w:val="Tabledesmatiresniveau2"/>
            <w:tabs>
              <w:tab w:val="right" w:pos="9638" w:leader="dot"/>
            </w:tabs>
            <w:rPr/>
          </w:pPr>
          <w:hyperlink w:anchor="__RefHeading___Toc86405_2514204080">
            <w:r>
              <w:rPr>
                <w:rStyle w:val="Sautdindex"/>
              </w:rPr>
              <w:t>A rák kezelése</w:t>
              <w:tab/>
              <w:t>40</w:t>
            </w:r>
          </w:hyperlink>
        </w:p>
        <w:p>
          <w:pPr>
            <w:pStyle w:val="Tabledesmatiresniveau2"/>
            <w:tabs>
              <w:tab w:val="right" w:pos="9638" w:leader="dot"/>
            </w:tabs>
            <w:rPr/>
          </w:pPr>
          <w:hyperlink w:anchor="__RefHeading___Toc86407_2514204080">
            <w:r>
              <w:rPr>
                <w:rStyle w:val="Sautdindex"/>
              </w:rPr>
              <w:t>Egészségügyi dolgozók</w:t>
              <w:tab/>
              <w:t>41</w:t>
            </w:r>
          </w:hyperlink>
        </w:p>
        <w:p>
          <w:pPr>
            <w:pStyle w:val="Tabledesmatiresniveau2"/>
            <w:tabs>
              <w:tab w:val="right" w:pos="9638" w:leader="dot"/>
            </w:tabs>
            <w:rPr/>
          </w:pPr>
          <w:hyperlink w:anchor="__RefHeading___Toc86409_2514204080">
            <w:r>
              <w:rPr>
                <w:rStyle w:val="Sautdindex"/>
              </w:rPr>
              <w:t>Szexualitás reproduktív egészség</w:t>
              <w:tab/>
              <w:t>41</w:t>
            </w:r>
          </w:hyperlink>
        </w:p>
        <w:p>
          <w:pPr>
            <w:pStyle w:val="Tabledesmatiresniveau2"/>
            <w:tabs>
              <w:tab w:val="right" w:pos="9638" w:leader="dot"/>
            </w:tabs>
            <w:rPr/>
          </w:pPr>
          <w:hyperlink w:anchor="__RefHeading___Toc86411_2514204080">
            <w:r>
              <w:rPr>
                <w:rStyle w:val="Sautdindex"/>
              </w:rPr>
              <w:t>Új ötletek az elmúlt időszakban (21/02/2022–09/05/2022)</w:t>
              <w:tab/>
              <w:t>41</w:t>
            </w:r>
          </w:hyperlink>
        </w:p>
        <w:p>
          <w:pPr>
            <w:pStyle w:val="Tabledesmatiresniveau1"/>
            <w:tabs>
              <w:tab w:val="right" w:pos="9638" w:leader="dot"/>
            </w:tabs>
            <w:rPr/>
          </w:pPr>
          <w:hyperlink w:anchor="__RefHeading___Toc86413_2514204080">
            <w:r>
              <w:rPr>
                <w:rStyle w:val="Sautdindex"/>
              </w:rPr>
              <w:t>4. Erősebb gazdaság, társadalmi igazságosság és munkahelyek</w:t>
              <w:tab/>
              <w:t>46</w:t>
            </w:r>
          </w:hyperlink>
        </w:p>
        <w:p>
          <w:pPr>
            <w:pStyle w:val="Tabledesmatiresniveau2"/>
            <w:tabs>
              <w:tab w:val="right" w:pos="9638" w:leader="dot"/>
            </w:tabs>
            <w:rPr/>
          </w:pPr>
          <w:hyperlink w:anchor="__RefHeading___Toc175967_1436627219">
            <w:r>
              <w:rPr>
                <w:rStyle w:val="Sautdindex"/>
              </w:rPr>
              <w:t>Események</w:t>
              <w:tab/>
              <w:t>46</w:t>
            </w:r>
          </w:hyperlink>
        </w:p>
        <w:p>
          <w:pPr>
            <w:pStyle w:val="Tabledesmatiresniveau2"/>
            <w:tabs>
              <w:tab w:val="right" w:pos="9638" w:leader="dot"/>
            </w:tabs>
            <w:rPr/>
          </w:pPr>
          <w:hyperlink w:anchor="__RefHeading___Toc86415_2514204080">
            <w:r>
              <w:rPr>
                <w:rStyle w:val="Sautdindex"/>
              </w:rPr>
              <w:t>Befogadóbb, társadalmilag igazságosabb Európa</w:t>
              <w:tab/>
              <w:t>47</w:t>
            </w:r>
          </w:hyperlink>
        </w:p>
        <w:p>
          <w:pPr>
            <w:pStyle w:val="Tabledesmatiresniveau2"/>
            <w:tabs>
              <w:tab w:val="right" w:pos="9638" w:leader="dot"/>
            </w:tabs>
            <w:rPr/>
          </w:pPr>
          <w:hyperlink w:anchor="__RefHeading___Toc86417_2514204080">
            <w:r>
              <w:rPr>
                <w:rStyle w:val="Sautdindex"/>
              </w:rPr>
              <w:t>Gazdasági fellendülés</w:t>
              <w:tab/>
              <w:t>48</w:t>
            </w:r>
          </w:hyperlink>
        </w:p>
        <w:p>
          <w:pPr>
            <w:pStyle w:val="Tabledesmatiresniveau2"/>
            <w:tabs>
              <w:tab w:val="right" w:pos="9638" w:leader="dot"/>
            </w:tabs>
            <w:rPr/>
          </w:pPr>
          <w:hyperlink w:anchor="__RefHeading___Toc86419_2514204080">
            <w:r>
              <w:rPr>
                <w:rStyle w:val="Sautdindex"/>
              </w:rPr>
              <w:t>Innováció – a növekedés fellendítése</w:t>
              <w:tab/>
              <w:t>48</w:t>
            </w:r>
          </w:hyperlink>
        </w:p>
        <w:p>
          <w:pPr>
            <w:pStyle w:val="Tabledesmatiresniveau2"/>
            <w:tabs>
              <w:tab w:val="right" w:pos="9638" w:leader="dot"/>
            </w:tabs>
            <w:rPr/>
          </w:pPr>
          <w:hyperlink w:anchor="__RefHeading___Toc86421_2514204080">
            <w:r>
              <w:rPr>
                <w:rStyle w:val="Sautdindex"/>
              </w:rPr>
              <w:t>Szociális védelem és szociális biztonság</w:t>
              <w:tab/>
              <w:t>49</w:t>
            </w:r>
          </w:hyperlink>
        </w:p>
        <w:p>
          <w:pPr>
            <w:pStyle w:val="Tabledesmatiresniveau2"/>
            <w:tabs>
              <w:tab w:val="right" w:pos="9638" w:leader="dot"/>
            </w:tabs>
            <w:rPr/>
          </w:pPr>
          <w:hyperlink w:anchor="__RefHeading___Toc86423_2514204080">
            <w:r>
              <w:rPr>
                <w:rStyle w:val="Sautdindex"/>
              </w:rPr>
              <w:t>Adózás a méltányos gazdaságért</w:t>
              <w:tab/>
              <w:t>50</w:t>
            </w:r>
          </w:hyperlink>
        </w:p>
        <w:p>
          <w:pPr>
            <w:pStyle w:val="Tabledesmatiresniveau2"/>
            <w:tabs>
              <w:tab w:val="right" w:pos="9638" w:leader="dot"/>
            </w:tabs>
            <w:rPr/>
          </w:pPr>
          <w:hyperlink w:anchor="__RefHeading___Toc86425_2514204080">
            <w:r>
              <w:rPr>
                <w:rStyle w:val="Sautdindex"/>
              </w:rPr>
              <w:t>Az európai egységes piac további erősítése</w:t>
              <w:tab/>
              <w:t>51</w:t>
            </w:r>
          </w:hyperlink>
        </w:p>
        <w:p>
          <w:pPr>
            <w:pStyle w:val="Tabledesmatiresniveau2"/>
            <w:tabs>
              <w:tab w:val="right" w:pos="9638" w:leader="dot"/>
            </w:tabs>
            <w:rPr/>
          </w:pPr>
          <w:hyperlink w:anchor="__RefHeading___Toc86427_2514204080">
            <w:r>
              <w:rPr>
                <w:rStyle w:val="Sautdindex"/>
              </w:rPr>
              <w:t>Növelje a munkahelyeket</w:t>
              <w:tab/>
              <w:t>51</w:t>
            </w:r>
          </w:hyperlink>
        </w:p>
        <w:p>
          <w:pPr>
            <w:pStyle w:val="Tabledesmatiresniveau2"/>
            <w:tabs>
              <w:tab w:val="right" w:pos="9638" w:leader="dot"/>
            </w:tabs>
            <w:rPr/>
          </w:pPr>
          <w:hyperlink w:anchor="__RefHeading___Toc86429_2514204080">
            <w:r>
              <w:rPr>
                <w:rStyle w:val="Sautdindex"/>
              </w:rPr>
              <w:t>A jelenlegi gazdasági modell megkérdőjelezése</w:t>
              <w:tab/>
              <w:t>52</w:t>
            </w:r>
          </w:hyperlink>
        </w:p>
        <w:p>
          <w:pPr>
            <w:pStyle w:val="Tabledesmatiresniveau2"/>
            <w:tabs>
              <w:tab w:val="right" w:pos="9638" w:leader="dot"/>
            </w:tabs>
            <w:rPr/>
          </w:pPr>
          <w:hyperlink w:anchor="__RefHeading___Toc86431_2514204080">
            <w:r>
              <w:rPr>
                <w:rStyle w:val="Sautdindex"/>
              </w:rPr>
              <w:t>Új ötletek az elmúlt időszakban (21/02/2022–09/05/2022)</w:t>
              <w:tab/>
              <w:t>53</w:t>
            </w:r>
          </w:hyperlink>
        </w:p>
        <w:p>
          <w:pPr>
            <w:pStyle w:val="Tabledesmatiresniveau1"/>
            <w:tabs>
              <w:tab w:val="right" w:pos="9638" w:leader="dot"/>
            </w:tabs>
            <w:rPr/>
          </w:pPr>
          <w:hyperlink w:anchor="__RefHeading___Toc86433_2514204080">
            <w:r>
              <w:rPr>
                <w:rStyle w:val="Sautdindex"/>
              </w:rPr>
              <w:t>5. Az EU a világban</w:t>
              <w:tab/>
              <w:t>57</w:t>
            </w:r>
          </w:hyperlink>
        </w:p>
        <w:p>
          <w:pPr>
            <w:pStyle w:val="Tabledesmatiresniveau2"/>
            <w:tabs>
              <w:tab w:val="right" w:pos="9638" w:leader="dot"/>
            </w:tabs>
            <w:rPr/>
          </w:pPr>
          <w:hyperlink w:anchor="__RefHeading___Toc86435_2514204080">
            <w:r>
              <w:rPr>
                <w:rStyle w:val="Sautdindex"/>
              </w:rPr>
              <w:t>Események</w:t>
              <w:tab/>
              <w:t>57</w:t>
            </w:r>
          </w:hyperlink>
        </w:p>
        <w:p>
          <w:pPr>
            <w:pStyle w:val="Tabledesmatiresniveau2"/>
            <w:tabs>
              <w:tab w:val="right" w:pos="9638" w:leader="dot"/>
            </w:tabs>
            <w:rPr/>
          </w:pPr>
          <w:hyperlink w:anchor="__RefHeading___Toc86437_2514204080">
            <w:r>
              <w:rPr>
                <w:rStyle w:val="Sautdindex"/>
              </w:rPr>
              <w:t>Az EU külpolitikájának általános célkitűzései</w:t>
              <w:tab/>
              <w:t>58</w:t>
            </w:r>
          </w:hyperlink>
        </w:p>
        <w:p>
          <w:pPr>
            <w:pStyle w:val="Tabledesmatiresniveau2"/>
            <w:tabs>
              <w:tab w:val="right" w:pos="9638" w:leader="dot"/>
            </w:tabs>
            <w:rPr/>
          </w:pPr>
          <w:hyperlink w:anchor="__RefHeading___Toc86439_2514204080">
            <w:r>
              <w:rPr>
                <w:rStyle w:val="Sautdindex"/>
              </w:rPr>
              <w:t>Védelmi és fegyveres erők</w:t>
              <w:tab/>
              <w:t>58</w:t>
            </w:r>
          </w:hyperlink>
        </w:p>
        <w:p>
          <w:pPr>
            <w:pStyle w:val="Tabledesmatiresniveau2"/>
            <w:tabs>
              <w:tab w:val="right" w:pos="9638" w:leader="dot"/>
            </w:tabs>
            <w:rPr/>
          </w:pPr>
          <w:hyperlink w:anchor="__RefHeading___Toc86441_2514204080">
            <w:r>
              <w:rPr>
                <w:rStyle w:val="Sautdindex"/>
              </w:rPr>
              <w:t>Döntéshozás</w:t>
              <w:tab/>
              <w:t>59</w:t>
            </w:r>
          </w:hyperlink>
        </w:p>
        <w:p>
          <w:pPr>
            <w:pStyle w:val="Tabledesmatiresniveau2"/>
            <w:tabs>
              <w:tab w:val="right" w:pos="9638" w:leader="dot"/>
            </w:tabs>
            <w:rPr/>
          </w:pPr>
          <w:hyperlink w:anchor="__RefHeading___Toc86443_2514204080">
            <w:r>
              <w:rPr>
                <w:rStyle w:val="Sautdindex"/>
              </w:rPr>
              <w:t>Szomszédságpolitika és a másokkal fenntartott kapcsolatok</w:t>
              <w:tab/>
              <w:t>59</w:t>
            </w:r>
          </w:hyperlink>
        </w:p>
        <w:p>
          <w:pPr>
            <w:pStyle w:val="Tabledesmatiresniveau2"/>
            <w:tabs>
              <w:tab w:val="right" w:pos="9638" w:leader="dot"/>
            </w:tabs>
            <w:rPr/>
          </w:pPr>
          <w:hyperlink w:anchor="__RefHeading___Toc86445_2514204080">
            <w:r>
              <w:rPr>
                <w:rStyle w:val="Sautdindex"/>
              </w:rPr>
              <w:t>Bővítés</w:t>
              <w:tab/>
              <w:t>60</w:t>
            </w:r>
          </w:hyperlink>
        </w:p>
        <w:p>
          <w:pPr>
            <w:pStyle w:val="Tabledesmatiresniveau2"/>
            <w:tabs>
              <w:tab w:val="right" w:pos="9638" w:leader="dot"/>
            </w:tabs>
            <w:rPr/>
          </w:pPr>
          <w:hyperlink w:anchor="__RefHeading___Toc86447_2514204080">
            <w:r>
              <w:rPr>
                <w:rStyle w:val="Sautdindex"/>
              </w:rPr>
              <w:t>Kereskedelempolitika</w:t>
              <w:tab/>
              <w:t>60</w:t>
            </w:r>
          </w:hyperlink>
        </w:p>
        <w:p>
          <w:pPr>
            <w:pStyle w:val="Tabledesmatiresniveau2"/>
            <w:tabs>
              <w:tab w:val="right" w:pos="9638" w:leader="dot"/>
            </w:tabs>
            <w:rPr/>
          </w:pPr>
          <w:hyperlink w:anchor="__RefHeading___Toc86449_2514204080">
            <w:r>
              <w:rPr>
                <w:rStyle w:val="Sautdindex"/>
              </w:rPr>
              <w:t>Új ötletek az elmúlt időszakban (21/02/2022–09/05/2022)</w:t>
              <w:tab/>
              <w:t>61</w:t>
            </w:r>
          </w:hyperlink>
        </w:p>
        <w:p>
          <w:pPr>
            <w:pStyle w:val="Tabledesmatiresniveau1"/>
            <w:tabs>
              <w:tab w:val="right" w:pos="9638" w:leader="dot"/>
            </w:tabs>
            <w:rPr/>
          </w:pPr>
          <w:hyperlink w:anchor="__RefHeading___Toc86451_2514204080">
            <w:r>
              <w:rPr>
                <w:rStyle w:val="Sautdindex"/>
              </w:rPr>
              <w:t>6. Értékek és jogok, jogállamiság, biztonság</w:t>
              <w:tab/>
              <w:t>65</w:t>
            </w:r>
          </w:hyperlink>
        </w:p>
        <w:p>
          <w:pPr>
            <w:pStyle w:val="Tabledesmatiresniveau2"/>
            <w:tabs>
              <w:tab w:val="right" w:pos="9638" w:leader="dot"/>
            </w:tabs>
            <w:rPr/>
          </w:pPr>
          <w:hyperlink w:anchor="__RefHeading___Toc86453_2514204080">
            <w:r>
              <w:rPr>
                <w:rStyle w:val="Sautdindex"/>
              </w:rPr>
              <w:t>Események</w:t>
              <w:tab/>
              <w:t>65</w:t>
            </w:r>
          </w:hyperlink>
        </w:p>
        <w:p>
          <w:pPr>
            <w:pStyle w:val="Tabledesmatiresniveau2"/>
            <w:tabs>
              <w:tab w:val="right" w:pos="9638" w:leader="dot"/>
            </w:tabs>
            <w:rPr/>
          </w:pPr>
          <w:hyperlink w:anchor="__RefHeading___Toc86455_2514204080">
            <w:r>
              <w:rPr>
                <w:rStyle w:val="Sautdindex"/>
              </w:rPr>
              <w:t>Jogok és szabadságok</w:t>
              <w:tab/>
              <w:t>66</w:t>
            </w:r>
          </w:hyperlink>
        </w:p>
        <w:p>
          <w:pPr>
            <w:pStyle w:val="Tabledesmatiresniveau2"/>
            <w:tabs>
              <w:tab w:val="right" w:pos="9638" w:leader="dot"/>
            </w:tabs>
            <w:rPr/>
          </w:pPr>
          <w:hyperlink w:anchor="__RefHeading___Toc86457_2514204080">
            <w:r>
              <w:rPr>
                <w:rStyle w:val="Sautdindex"/>
              </w:rPr>
              <w:t>Befogadó társadalom</w:t>
              <w:tab/>
              <w:t>67</w:t>
            </w:r>
          </w:hyperlink>
        </w:p>
        <w:p>
          <w:pPr>
            <w:pStyle w:val="Tabledesmatiresniveau2"/>
            <w:tabs>
              <w:tab w:val="right" w:pos="9638" w:leader="dot"/>
            </w:tabs>
            <w:rPr/>
          </w:pPr>
          <w:hyperlink w:anchor="__RefHeading___Toc86459_2514204080">
            <w:r>
              <w:rPr>
                <w:rStyle w:val="Sautdindex"/>
              </w:rPr>
              <w:t>A jogállamiság védelme</w:t>
              <w:tab/>
              <w:t>68</w:t>
            </w:r>
          </w:hyperlink>
        </w:p>
        <w:p>
          <w:pPr>
            <w:pStyle w:val="Tabledesmatiresniveau2"/>
            <w:tabs>
              <w:tab w:val="right" w:pos="9638" w:leader="dot"/>
            </w:tabs>
            <w:rPr/>
          </w:pPr>
          <w:hyperlink w:anchor="__RefHeading___Toc86461_2514204080">
            <w:r>
              <w:rPr>
                <w:rStyle w:val="Sautdindex"/>
              </w:rPr>
              <w:t>Biztonság</w:t>
              <w:tab/>
              <w:t>69</w:t>
            </w:r>
          </w:hyperlink>
        </w:p>
        <w:p>
          <w:pPr>
            <w:pStyle w:val="Tabledesmatiresniveau2"/>
            <w:tabs>
              <w:tab w:val="right" w:pos="9638" w:leader="dot"/>
            </w:tabs>
            <w:rPr/>
          </w:pPr>
          <w:hyperlink w:anchor="__RefHeading___Toc86463_2514204080">
            <w:r>
              <w:rPr>
                <w:rStyle w:val="Sautdindex"/>
              </w:rPr>
              <w:t>Az EU értékei</w:t>
              <w:tab/>
              <w:t>70</w:t>
            </w:r>
          </w:hyperlink>
        </w:p>
        <w:p>
          <w:pPr>
            <w:pStyle w:val="Tabledesmatiresniveau2"/>
            <w:tabs>
              <w:tab w:val="right" w:pos="9638" w:leader="dot"/>
            </w:tabs>
            <w:rPr/>
          </w:pPr>
          <w:hyperlink w:anchor="__RefHeading___Toc86465_2514204080">
            <w:r>
              <w:rPr>
                <w:rStyle w:val="Sautdindex"/>
              </w:rPr>
              <w:t>Lobbizás és korrupció</w:t>
              <w:tab/>
              <w:t>70</w:t>
            </w:r>
          </w:hyperlink>
        </w:p>
        <w:p>
          <w:pPr>
            <w:pStyle w:val="Tabledesmatiresniveau2"/>
            <w:tabs>
              <w:tab w:val="right" w:pos="9638" w:leader="dot"/>
            </w:tabs>
            <w:rPr/>
          </w:pPr>
          <w:hyperlink w:anchor="__RefHeading___Toc86467_2514204080">
            <w:r>
              <w:rPr>
                <w:rStyle w:val="Sautdindex"/>
              </w:rPr>
              <w:t>Új ötletek az elmúlt időszakban (21/02/2022–09/05/2022)</w:t>
              <w:tab/>
              <w:t>70</w:t>
            </w:r>
          </w:hyperlink>
        </w:p>
        <w:p>
          <w:pPr>
            <w:pStyle w:val="Tabledesmatiresniveau1"/>
            <w:tabs>
              <w:tab w:val="right" w:pos="9638" w:leader="dot"/>
            </w:tabs>
            <w:rPr/>
          </w:pPr>
          <w:hyperlink w:anchor="__RefHeading___Toc86469_2514204080">
            <w:r>
              <w:rPr>
                <w:rStyle w:val="Sautdindex"/>
              </w:rPr>
              <w:t>7. Digitális transzformáció</w:t>
              <w:tab/>
              <w:t>75</w:t>
            </w:r>
          </w:hyperlink>
        </w:p>
        <w:p>
          <w:pPr>
            <w:pStyle w:val="Tabledesmatiresniveau2"/>
            <w:tabs>
              <w:tab w:val="right" w:pos="9638" w:leader="dot"/>
            </w:tabs>
            <w:rPr/>
          </w:pPr>
          <w:hyperlink w:anchor="__RefHeading___Toc86471_2514204080">
            <w:r>
              <w:rPr>
                <w:rStyle w:val="Sautdindex"/>
              </w:rPr>
              <w:t>Események</w:t>
              <w:tab/>
              <w:t>76</w:t>
            </w:r>
          </w:hyperlink>
        </w:p>
        <w:p>
          <w:pPr>
            <w:pStyle w:val="Tabledesmatiresniveau2"/>
            <w:tabs>
              <w:tab w:val="right" w:pos="9638" w:leader="dot"/>
            </w:tabs>
            <w:rPr/>
          </w:pPr>
          <w:hyperlink w:anchor="__RefHeading___Toc86473_2514204080">
            <w:r>
              <w:rPr>
                <w:rStyle w:val="Sautdindex"/>
              </w:rPr>
              <w:t>Oktatás és képzés: digitális készségek</w:t>
              <w:tab/>
              <w:t>76</w:t>
            </w:r>
          </w:hyperlink>
        </w:p>
        <w:p>
          <w:pPr>
            <w:pStyle w:val="Tabledesmatiresniveau2"/>
            <w:tabs>
              <w:tab w:val="right" w:pos="9638" w:leader="dot"/>
            </w:tabs>
            <w:rPr/>
          </w:pPr>
          <w:hyperlink w:anchor="__RefHeading___Toc86475_2514204080">
            <w:r>
              <w:rPr>
                <w:rStyle w:val="Sautdindex"/>
              </w:rPr>
              <w:t>Digitális szuverenitás és etika</w:t>
              <w:tab/>
              <w:t>76</w:t>
            </w:r>
          </w:hyperlink>
        </w:p>
        <w:p>
          <w:pPr>
            <w:pStyle w:val="Tabledesmatiresniveau2"/>
            <w:tabs>
              <w:tab w:val="right" w:pos="9638" w:leader="dot"/>
            </w:tabs>
            <w:rPr/>
          </w:pPr>
          <w:hyperlink w:anchor="__RefHeading___Toc86477_2514204080">
            <w:r>
              <w:rPr>
                <w:rStyle w:val="Sautdindex"/>
              </w:rPr>
              <w:t>A társadalom általános digitalizációja</w:t>
              <w:tab/>
              <w:t>77</w:t>
            </w:r>
          </w:hyperlink>
        </w:p>
        <w:p>
          <w:pPr>
            <w:pStyle w:val="Tabledesmatiresniveau2"/>
            <w:tabs>
              <w:tab w:val="right" w:pos="9638" w:leader="dot"/>
            </w:tabs>
            <w:rPr/>
          </w:pPr>
          <w:hyperlink w:anchor="__RefHeading___Toc86479_2514204080">
            <w:r>
              <w:rPr>
                <w:rStyle w:val="Sautdindex"/>
              </w:rPr>
              <w:t>Európai digitális eszközök – a közszféra digitalizálása</w:t>
              <w:tab/>
              <w:t>78</w:t>
            </w:r>
          </w:hyperlink>
        </w:p>
        <w:p>
          <w:pPr>
            <w:pStyle w:val="Tabledesmatiresniveau2"/>
            <w:tabs>
              <w:tab w:val="right" w:pos="9638" w:leader="dot"/>
            </w:tabs>
            <w:rPr/>
          </w:pPr>
          <w:hyperlink w:anchor="__RefHeading___Toc86481_2514204080">
            <w:r>
              <w:rPr>
                <w:rStyle w:val="Sautdindex"/>
              </w:rPr>
              <w:t>Digitális adatok</w:t>
              <w:tab/>
              <w:t>78</w:t>
            </w:r>
          </w:hyperlink>
        </w:p>
        <w:p>
          <w:pPr>
            <w:pStyle w:val="Tabledesmatiresniveau2"/>
            <w:tabs>
              <w:tab w:val="right" w:pos="9638" w:leader="dot"/>
            </w:tabs>
            <w:rPr/>
          </w:pPr>
          <w:hyperlink w:anchor="__RefHeading___Toc86483_2514204080">
            <w:r>
              <w:rPr>
                <w:rStyle w:val="Sautdindex"/>
              </w:rPr>
              <w:t>Kiberbiztonság</w:t>
              <w:tab/>
              <w:t>79</w:t>
            </w:r>
          </w:hyperlink>
        </w:p>
        <w:p>
          <w:pPr>
            <w:pStyle w:val="Tabledesmatiresniveau2"/>
            <w:tabs>
              <w:tab w:val="right" w:pos="9638" w:leader="dot"/>
            </w:tabs>
            <w:rPr/>
          </w:pPr>
          <w:hyperlink w:anchor="__RefHeading___Toc86485_2514204080">
            <w:r>
              <w:rPr>
                <w:rStyle w:val="Sautdindex"/>
              </w:rPr>
              <w:t>Digitális jogok és befogadás</w:t>
              <w:tab/>
              <w:t>79</w:t>
            </w:r>
          </w:hyperlink>
        </w:p>
        <w:p>
          <w:pPr>
            <w:pStyle w:val="Tabledesmatiresniveau2"/>
            <w:tabs>
              <w:tab w:val="right" w:pos="9638" w:leader="dot"/>
            </w:tabs>
            <w:rPr/>
          </w:pPr>
          <w:hyperlink w:anchor="__RefHeading___Toc86487_2514204080">
            <w:r>
              <w:rPr>
                <w:rStyle w:val="Sautdindex"/>
              </w:rPr>
              <w:t>Szennyezés, fenntarthatóság és tartósság</w:t>
              <w:tab/>
              <w:t>80</w:t>
            </w:r>
          </w:hyperlink>
        </w:p>
        <w:p>
          <w:pPr>
            <w:pStyle w:val="Tabledesmatiresniveau2"/>
            <w:tabs>
              <w:tab w:val="right" w:pos="9638" w:leader="dot"/>
            </w:tabs>
            <w:rPr/>
          </w:pPr>
          <w:hyperlink w:anchor="__RefHeading___Toc86489_2514204080">
            <w:r>
              <w:rPr>
                <w:rStyle w:val="Sautdindex"/>
              </w:rPr>
              <w:t>A gazdaság digitalizálása</w:t>
              <w:tab/>
              <w:t>80</w:t>
            </w:r>
          </w:hyperlink>
        </w:p>
        <w:p>
          <w:pPr>
            <w:pStyle w:val="Tabledesmatiresniveau2"/>
            <w:tabs>
              <w:tab w:val="right" w:pos="9638" w:leader="dot"/>
            </w:tabs>
            <w:rPr/>
          </w:pPr>
          <w:hyperlink w:anchor="__RefHeading___Toc86491_2514204080">
            <w:r>
              <w:rPr>
                <w:rStyle w:val="Sautdindex"/>
              </w:rPr>
              <w:t>Digitális egészség</w:t>
              <w:tab/>
              <w:t>80</w:t>
            </w:r>
          </w:hyperlink>
        </w:p>
        <w:p>
          <w:pPr>
            <w:pStyle w:val="Tabledesmatiresniveau2"/>
            <w:tabs>
              <w:tab w:val="right" w:pos="9638" w:leader="dot"/>
            </w:tabs>
            <w:rPr/>
          </w:pPr>
          <w:hyperlink w:anchor="__RefHeading___Toc86493_2514204080">
            <w:r>
              <w:rPr>
                <w:rStyle w:val="Sautdindex"/>
              </w:rPr>
              <w:t>Új ötletek az elmúlt időszakban (21/02/2022–09/05/2022)</w:t>
              <w:tab/>
              <w:t>81</w:t>
            </w:r>
          </w:hyperlink>
        </w:p>
        <w:p>
          <w:pPr>
            <w:pStyle w:val="Tabledesmatiresniveau1"/>
            <w:tabs>
              <w:tab w:val="right" w:pos="9638" w:leader="dot"/>
            </w:tabs>
            <w:rPr/>
          </w:pPr>
          <w:hyperlink w:anchor="__RefHeading___Toc228938_11952128">
            <w:r>
              <w:rPr>
                <w:rStyle w:val="Sautdindex"/>
              </w:rPr>
              <w:t>8. Európai demokrácia</w:t>
              <w:tab/>
              <w:t>85</w:t>
            </w:r>
          </w:hyperlink>
        </w:p>
        <w:p>
          <w:pPr>
            <w:pStyle w:val="Tabledesmatiresniveau2"/>
            <w:tabs>
              <w:tab w:val="right" w:pos="9638" w:leader="dot"/>
            </w:tabs>
            <w:rPr/>
          </w:pPr>
          <w:hyperlink w:anchor="__RefHeading___Toc228940_11952128">
            <w:r>
              <w:rPr>
                <w:rStyle w:val="Sautdindex"/>
              </w:rPr>
              <w:t>Események</w:t>
              <w:tab/>
              <w:t>85</w:t>
            </w:r>
          </w:hyperlink>
        </w:p>
        <w:p>
          <w:pPr>
            <w:pStyle w:val="Tabledesmatiresniveau2"/>
            <w:tabs>
              <w:tab w:val="right" w:pos="9638" w:leader="dot"/>
            </w:tabs>
            <w:rPr/>
          </w:pPr>
          <w:hyperlink w:anchor="__RefHeading___Toc228942_11952128">
            <w:r>
              <w:rPr>
                <w:rStyle w:val="Sautdindex"/>
              </w:rPr>
              <w:t>Európai parlamenti választások</w:t>
              <w:tab/>
              <w:t>86</w:t>
            </w:r>
          </w:hyperlink>
        </w:p>
        <w:p>
          <w:pPr>
            <w:pStyle w:val="Tabledesmatiresniveau2"/>
            <w:tabs>
              <w:tab w:val="right" w:pos="9638" w:leader="dot"/>
            </w:tabs>
            <w:rPr/>
          </w:pPr>
          <w:hyperlink w:anchor="__RefHeading___Toc86501_2514204080">
            <w:r>
              <w:rPr>
                <w:rStyle w:val="Sautdindex"/>
              </w:rPr>
              <w:t>Az Európai Unió föderalizációja</w:t>
              <w:tab/>
              <w:t>86</w:t>
            </w:r>
          </w:hyperlink>
        </w:p>
        <w:p>
          <w:pPr>
            <w:pStyle w:val="Tabledesmatiresniveau2"/>
            <w:tabs>
              <w:tab w:val="right" w:pos="9638" w:leader="dot"/>
            </w:tabs>
            <w:rPr/>
          </w:pPr>
          <w:hyperlink w:anchor="__RefHeading___Toc86503_2514204080">
            <w:r>
              <w:rPr>
                <w:rStyle w:val="Sautdindex"/>
              </w:rPr>
              <w:t>A polgárok részvétele és konzultációk</w:t>
              <w:tab/>
              <w:t>87</w:t>
            </w:r>
          </w:hyperlink>
        </w:p>
        <w:p>
          <w:pPr>
            <w:pStyle w:val="Tabledesmatiresniveau2"/>
            <w:tabs>
              <w:tab w:val="right" w:pos="9638" w:leader="dot"/>
            </w:tabs>
            <w:rPr/>
          </w:pPr>
          <w:hyperlink w:anchor="__RefHeading___Toc86505_2514204080">
            <w:r>
              <w:rPr>
                <w:rStyle w:val="Sautdindex"/>
              </w:rPr>
              <w:t>Intézményi reformok</w:t>
              <w:tab/>
              <w:t>88</w:t>
            </w:r>
          </w:hyperlink>
        </w:p>
        <w:p>
          <w:pPr>
            <w:pStyle w:val="Tabledesmatiresniveau2"/>
            <w:tabs>
              <w:tab w:val="right" w:pos="9638" w:leader="dot"/>
            </w:tabs>
            <w:rPr/>
          </w:pPr>
          <w:hyperlink w:anchor="__RefHeading___Toc228944_11952128">
            <w:r>
              <w:rPr>
                <w:rStyle w:val="Sautdindex"/>
              </w:rPr>
              <w:t>A közös európai identitás és a közélet előmozdítása</w:t>
              <w:tab/>
              <w:t>89</w:t>
            </w:r>
          </w:hyperlink>
        </w:p>
        <w:p>
          <w:pPr>
            <w:pStyle w:val="Tabledesmatiresniveau2"/>
            <w:tabs>
              <w:tab w:val="right" w:pos="9638" w:leader="dot"/>
            </w:tabs>
            <w:rPr/>
          </w:pPr>
          <w:hyperlink w:anchor="__RefHeading___Toc228946_11952128">
            <w:r>
              <w:rPr>
                <w:rStyle w:val="Sautdindex"/>
              </w:rPr>
              <w:t>A demokrácia védelme és megerősítése</w:t>
              <w:tab/>
              <w:t>89</w:t>
            </w:r>
          </w:hyperlink>
        </w:p>
        <w:p>
          <w:pPr>
            <w:pStyle w:val="Tabledesmatiresniveau2"/>
            <w:tabs>
              <w:tab w:val="right" w:pos="9638" w:leader="dot"/>
            </w:tabs>
            <w:rPr/>
          </w:pPr>
          <w:hyperlink w:anchor="__RefHeading___Toc228948_11952128">
            <w:r>
              <w:rPr>
                <w:rStyle w:val="Sautdindex"/>
              </w:rPr>
              <w:t>Új ötletek az elmúlt időszakban (21/02/2022–09/05/2022)</w:t>
              <w:tab/>
              <w:t>90</w:t>
            </w:r>
          </w:hyperlink>
        </w:p>
        <w:p>
          <w:pPr>
            <w:pStyle w:val="Tabledesmatiresniveau1"/>
            <w:tabs>
              <w:tab w:val="right" w:pos="9638" w:leader="dot"/>
            </w:tabs>
            <w:rPr/>
          </w:pPr>
          <w:hyperlink w:anchor="__RefHeading___Toc228950_11952128">
            <w:r>
              <w:rPr>
                <w:rStyle w:val="Sautdindex"/>
              </w:rPr>
              <w:t>9. Migráció</w:t>
              <w:tab/>
              <w:t>94</w:t>
            </w:r>
          </w:hyperlink>
        </w:p>
        <w:p>
          <w:pPr>
            <w:pStyle w:val="Tabledesmatiresniveau2"/>
            <w:tabs>
              <w:tab w:val="right" w:pos="9638" w:leader="dot"/>
            </w:tabs>
            <w:rPr/>
          </w:pPr>
          <w:hyperlink w:anchor="__RefHeading___Toc86515_2514204080">
            <w:r>
              <w:rPr>
                <w:rStyle w:val="Sautdindex"/>
              </w:rPr>
              <w:t>Események</w:t>
              <w:tab/>
              <w:t>94</w:t>
            </w:r>
          </w:hyperlink>
        </w:p>
        <w:p>
          <w:pPr>
            <w:pStyle w:val="Tabledesmatiresniveau2"/>
            <w:tabs>
              <w:tab w:val="right" w:pos="9638" w:leader="dot"/>
            </w:tabs>
            <w:rPr/>
          </w:pPr>
          <w:hyperlink w:anchor="__RefHeading___Toc86517_2514204080">
            <w:r>
              <w:rPr>
                <w:rStyle w:val="Sautdindex"/>
              </w:rPr>
              <w:t>Közös uniós migrációs politika</w:t>
              <w:tab/>
              <w:t>95</w:t>
            </w:r>
          </w:hyperlink>
        </w:p>
        <w:p>
          <w:pPr>
            <w:pStyle w:val="Tabledesmatiresniveau2"/>
            <w:tabs>
              <w:tab w:val="right" w:pos="9638" w:leader="dot"/>
            </w:tabs>
            <w:rPr/>
          </w:pPr>
          <w:hyperlink w:anchor="__RefHeading___Toc86519_2514204080">
            <w:r>
              <w:rPr>
                <w:rStyle w:val="Sautdindex"/>
              </w:rPr>
              <w:t>Humanista álláspont a migrációval kapcsolatban</w:t>
              <w:tab/>
              <w:t>95</w:t>
            </w:r>
          </w:hyperlink>
        </w:p>
        <w:p>
          <w:pPr>
            <w:pStyle w:val="Tabledesmatiresniveau2"/>
            <w:tabs>
              <w:tab w:val="right" w:pos="9638" w:leader="dot"/>
            </w:tabs>
            <w:rPr/>
          </w:pPr>
          <w:hyperlink w:anchor="__RefHeading___Toc86521_2514204080">
            <w:r>
              <w:rPr>
                <w:rStyle w:val="Sautdindex"/>
              </w:rPr>
              <w:t>Integráció</w:t>
              <w:tab/>
              <w:t>96</w:t>
            </w:r>
          </w:hyperlink>
        </w:p>
        <w:p>
          <w:pPr>
            <w:pStyle w:val="Tabledesmatiresniveau2"/>
            <w:tabs>
              <w:tab w:val="right" w:pos="9638" w:leader="dot"/>
            </w:tabs>
            <w:rPr/>
          </w:pPr>
          <w:hyperlink w:anchor="__RefHeading___Toc86523_2514204080">
            <w:r>
              <w:rPr>
                <w:rStyle w:val="Sautdindex"/>
              </w:rPr>
              <w:t>A nem uniós migráció mint fenyegetés</w:t>
              <w:tab/>
              <w:t>96</w:t>
            </w:r>
          </w:hyperlink>
        </w:p>
        <w:p>
          <w:pPr>
            <w:pStyle w:val="Tabledesmatiresniveau2"/>
            <w:tabs>
              <w:tab w:val="right" w:pos="9638" w:leader="dot"/>
            </w:tabs>
            <w:rPr/>
          </w:pPr>
          <w:hyperlink w:anchor="__RefHeading___Toc86525_2514204080">
            <w:r>
              <w:rPr>
                <w:rStyle w:val="Sautdindex"/>
              </w:rPr>
              <w:t>Határellenőrzés</w:t>
              <w:tab/>
              <w:t>97</w:t>
            </w:r>
          </w:hyperlink>
        </w:p>
        <w:p>
          <w:pPr>
            <w:pStyle w:val="Tabledesmatiresniveau2"/>
            <w:tabs>
              <w:tab w:val="right" w:pos="9638" w:leader="dot"/>
            </w:tabs>
            <w:rPr/>
          </w:pPr>
          <w:hyperlink w:anchor="__RefHeading___Toc86527_2514204080">
            <w:r>
              <w:rPr>
                <w:rStyle w:val="Sautdindex"/>
              </w:rPr>
              <w:t>A migráció kiváltó okainak kezelése</w:t>
              <w:tab/>
              <w:t>97</w:t>
            </w:r>
          </w:hyperlink>
        </w:p>
        <w:p>
          <w:pPr>
            <w:pStyle w:val="Tabledesmatiresniveau2"/>
            <w:tabs>
              <w:tab w:val="right" w:pos="9638" w:leader="dot"/>
            </w:tabs>
            <w:rPr/>
          </w:pPr>
          <w:hyperlink w:anchor="__RefHeading___Toc86529_2514204080">
            <w:r>
              <w:rPr>
                <w:rStyle w:val="Sautdindex"/>
              </w:rPr>
              <w:t>Új ötletek az elmúlt időszakban (21/02/2022–09/05/2022)</w:t>
              <w:tab/>
              <w:t>98</w:t>
            </w:r>
          </w:hyperlink>
        </w:p>
        <w:p>
          <w:pPr>
            <w:pStyle w:val="Tabledesmatiresniveau1"/>
            <w:tabs>
              <w:tab w:val="right" w:pos="9638" w:leader="dot"/>
            </w:tabs>
            <w:rPr/>
          </w:pPr>
          <w:hyperlink w:anchor="__RefHeading___Toc228952_11952128">
            <w:r>
              <w:rPr>
                <w:rStyle w:val="Sautdindex"/>
              </w:rPr>
              <w:t>10. Oktatás, kultúra, ifjúság és sport</w:t>
              <w:tab/>
              <w:t>102</w:t>
            </w:r>
          </w:hyperlink>
        </w:p>
        <w:p>
          <w:pPr>
            <w:pStyle w:val="Tabledesmatiresniveau2"/>
            <w:tabs>
              <w:tab w:val="right" w:pos="9638" w:leader="dot"/>
            </w:tabs>
            <w:rPr/>
          </w:pPr>
          <w:hyperlink w:anchor="__RefHeading___Toc228954_11952128">
            <w:r>
              <w:rPr>
                <w:rStyle w:val="Sautdindex"/>
              </w:rPr>
              <w:t>Események</w:t>
              <w:tab/>
              <w:t>102</w:t>
            </w:r>
          </w:hyperlink>
        </w:p>
        <w:p>
          <w:pPr>
            <w:pStyle w:val="Tabledesmatiresniveau2"/>
            <w:tabs>
              <w:tab w:val="right" w:pos="9638" w:leader="dot"/>
            </w:tabs>
            <w:rPr/>
          </w:pPr>
          <w:hyperlink w:anchor="__RefHeading___Toc86535_2514204080">
            <w:r>
              <w:rPr>
                <w:rStyle w:val="Sautdindex"/>
              </w:rPr>
              <w:t>A közös uniós identitás előmozdítása</w:t>
              <w:tab/>
              <w:t>103</w:t>
            </w:r>
          </w:hyperlink>
        </w:p>
        <w:p>
          <w:pPr>
            <w:pStyle w:val="Tabledesmatiresniveau2"/>
            <w:tabs>
              <w:tab w:val="right" w:pos="9638" w:leader="dot"/>
            </w:tabs>
            <w:rPr/>
          </w:pPr>
          <w:hyperlink w:anchor="__RefHeading___Toc86537_2514204080">
            <w:r>
              <w:rPr>
                <w:rStyle w:val="Sautdindex"/>
              </w:rPr>
              <w:t>EU-n belüli mobilitás</w:t>
              <w:tab/>
              <w:t>103</w:t>
            </w:r>
          </w:hyperlink>
        </w:p>
        <w:p>
          <w:pPr>
            <w:pStyle w:val="Tabledesmatiresniveau2"/>
            <w:tabs>
              <w:tab w:val="right" w:pos="9638" w:leader="dot"/>
            </w:tabs>
            <w:rPr/>
          </w:pPr>
          <w:hyperlink w:anchor="__RefHeading___Toc86539_2514204080">
            <w:r>
              <w:rPr>
                <w:rStyle w:val="Sautdindex"/>
              </w:rPr>
              <w:t>Időtálló oktatás</w:t>
              <w:tab/>
              <w:t>104</w:t>
            </w:r>
          </w:hyperlink>
        </w:p>
        <w:p>
          <w:pPr>
            <w:pStyle w:val="Tabledesmatiresniveau2"/>
            <w:tabs>
              <w:tab w:val="right" w:pos="9638" w:leader="dot"/>
            </w:tabs>
            <w:rPr/>
          </w:pPr>
          <w:hyperlink w:anchor="__RefHeading___Toc86541_2514204080">
            <w:r>
              <w:rPr>
                <w:rStyle w:val="Sautdindex"/>
              </w:rPr>
              <w:t>Munkahelyi bizonytalanság és munkanélküliség a fiatalok körében</w:t>
              <w:tab/>
              <w:t>105</w:t>
            </w:r>
          </w:hyperlink>
        </w:p>
        <w:p>
          <w:pPr>
            <w:pStyle w:val="Tabledesmatiresniveau2"/>
            <w:tabs>
              <w:tab w:val="right" w:pos="9638" w:leader="dot"/>
            </w:tabs>
            <w:rPr/>
          </w:pPr>
          <w:hyperlink w:anchor="__RefHeading___Toc86543_2514204080">
            <w:r>
              <w:rPr>
                <w:rStyle w:val="Sautdindex"/>
              </w:rPr>
              <w:t>Európai örökség</w:t>
              <w:tab/>
              <w:t>105</w:t>
            </w:r>
          </w:hyperlink>
        </w:p>
        <w:p>
          <w:pPr>
            <w:pStyle w:val="Tabledesmatiresniveau2"/>
            <w:tabs>
              <w:tab w:val="right" w:pos="9638" w:leader="dot"/>
            </w:tabs>
            <w:rPr/>
          </w:pPr>
          <w:hyperlink w:anchor="__RefHeading___Toc86545_2514204080">
            <w:r>
              <w:rPr>
                <w:rStyle w:val="Sautdindex"/>
              </w:rPr>
              <w:t>Hozzáférés az oktatáshoz és a kultúrához</w:t>
              <w:tab/>
              <w:t>106</w:t>
            </w:r>
          </w:hyperlink>
        </w:p>
        <w:p>
          <w:pPr>
            <w:pStyle w:val="Tabledesmatiresniveau2"/>
            <w:tabs>
              <w:tab w:val="right" w:pos="9638" w:leader="dot"/>
            </w:tabs>
            <w:rPr/>
          </w:pPr>
          <w:hyperlink w:anchor="__RefHeading___Toc86547_2514204080">
            <w:r>
              <w:rPr>
                <w:rStyle w:val="Sautdindex"/>
              </w:rPr>
              <w:t>Kreatív és tudományos szakemberek</w:t>
              <w:tab/>
              <w:t>106</w:t>
            </w:r>
          </w:hyperlink>
        </w:p>
        <w:p>
          <w:pPr>
            <w:pStyle w:val="Tabledesmatiresniveau2"/>
            <w:tabs>
              <w:tab w:val="right" w:pos="9638" w:leader="dot"/>
            </w:tabs>
            <w:rPr/>
          </w:pPr>
          <w:hyperlink w:anchor="__RefHeading___Toc86549_2514204080">
            <w:r>
              <w:rPr>
                <w:rStyle w:val="Sautdindex"/>
              </w:rPr>
              <w:t>Inkluzivitás a sportban</w:t>
              <w:tab/>
              <w:t>107</w:t>
            </w:r>
          </w:hyperlink>
        </w:p>
        <w:p>
          <w:pPr>
            <w:pStyle w:val="Tabledesmatiresniveau2"/>
            <w:tabs>
              <w:tab w:val="right" w:pos="9638" w:leader="dot"/>
            </w:tabs>
            <w:rPr/>
          </w:pPr>
          <w:hyperlink w:anchor="__RefHeading___Toc228956_11952128">
            <w:r>
              <w:rPr>
                <w:rStyle w:val="Sautdindex"/>
              </w:rPr>
              <w:t>Új ötletek az elmúlt időszakban (21/02/2022–09/05/2022)</w:t>
              <w:tab/>
              <w:t>107</w:t>
            </w:r>
          </w:hyperlink>
        </w:p>
        <w:p>
          <w:pPr>
            <w:pStyle w:val="Tabledesmatiresniveau1"/>
            <w:tabs>
              <w:tab w:val="right" w:pos="9638" w:leader="dot"/>
            </w:tabs>
            <w:rPr/>
          </w:pPr>
          <w:hyperlink w:anchor="__RefHeading___Toc86553_2514204080">
            <w:r>
              <w:rPr>
                <w:rStyle w:val="Sautdindex"/>
              </w:rPr>
              <w:t>I. MELLÉKLET: A jelenleg leginkább támogatott és kommentált ötletek listája témánként</w:t>
              <w:tab/>
              <w:t>111</w:t>
            </w:r>
          </w:hyperlink>
        </w:p>
        <w:p>
          <w:pPr>
            <w:pStyle w:val="Tabledesmatiresniveau2"/>
            <w:tabs>
              <w:tab w:val="right" w:pos="9638" w:leader="dot"/>
            </w:tabs>
            <w:rPr/>
          </w:pPr>
          <w:hyperlink w:anchor="__RefHeading___Toc86555_2514204080">
            <w:r>
              <w:rPr>
                <w:rStyle w:val="Sautdindex"/>
              </w:rPr>
              <w:t>A legtöbb kommentált és jóváhagyott ötlet téma szerint (19/04/2021–09/05/2022)</w:t>
              <w:tab/>
              <w:t>111</w:t>
            </w:r>
          </w:hyperlink>
        </w:p>
        <w:p>
          <w:pPr>
            <w:pStyle w:val="Tabledesmatiresniveau1"/>
            <w:tabs>
              <w:tab w:val="right" w:pos="9638" w:leader="dot"/>
            </w:tabs>
            <w:rPr/>
          </w:pPr>
          <w:hyperlink w:anchor="__RefHeading___Toc86557_2514204080">
            <w:r>
              <w:rPr>
                <w:rStyle w:val="Sautdindex"/>
              </w:rPr>
              <w:t>II. melléklet: Módszertan</w:t>
              <w:tab/>
              <w:t>122</w:t>
            </w:r>
          </w:hyperlink>
          <w:r>
            <w:rPr>
              <w:rStyle w:val="Sautdindex"/>
            </w:rPr>
            <w:fldChar w:fldCharType="end"/>
          </w:r>
        </w:p>
      </w:sdtContent>
    </w:sdt>
    <w:p>
      <w:pPr>
        <w:pStyle w:val="Normal"/>
        <w:jc w:val="left"/>
        <w:rPr/>
      </w:pPr>
      <w:r>
        <w:rPr/>
      </w:r>
    </w:p>
    <w:p>
      <w:pPr>
        <w:pStyle w:val="Normal"/>
        <w:jc w:val="left"/>
        <w:rPr/>
      </w:pPr>
      <w:r>
        <w:rPr/>
      </w:r>
    </w:p>
    <w:p>
      <w:pPr>
        <w:pStyle w:val="Normal"/>
        <w:jc w:val="left"/>
        <w:rPr/>
      </w:pPr>
      <w:r>
        <w:rPr/>
      </w:r>
      <w:r>
        <w:br w:type="page"/>
      </w:r>
    </w:p>
    <w:p>
      <w:pPr>
        <w:pStyle w:val="Titre1"/>
        <w:numPr>
          <w:ilvl w:val="0"/>
          <w:numId w:val="1"/>
        </w:numPr>
        <w:rPr/>
      </w:pPr>
      <w:bookmarkStart w:id="0" w:name="__RefHeading___Toc86329_2514204080"/>
      <w:bookmarkEnd w:id="0"/>
      <w:r>
        <w:rPr/>
        <w:t>Bevezetés</w:t>
      </w:r>
    </w:p>
    <w:p>
      <w:pPr>
        <w:pStyle w:val="Corpsdetexte"/>
        <w:spacing w:lineRule="auto" w:line="240" w:before="57" w:after="57"/>
        <w:jc w:val="left"/>
        <w:rPr/>
      </w:pPr>
      <w:r>
        <w:rPr/>
        <w:t>Az Európa jövőjéről szóló konferenciával az Európai Parlament, a Tanács és az Európai Bizottság lehetőséget teremtett mind a 27 tagállam európai polgárai számára, hogy vitát folytassanak a kihívásokról és a prioritásokról annak érdekében, hogy közösen alakítsák ki a jövő kihívásait és prioritásait. A konferencia folyamatának részeként 2021. április 19-én útjára indították a többnyelvű digitális platformot (a továbbiakban</w:t>
      </w:r>
      <w:hyperlink r:id="rId13">
        <w:r>
          <w:rPr>
            <w:rStyle w:val="LienInternet"/>
          </w:rPr>
          <w:t>:</w:t>
        </w:r>
      </w:hyperlink>
      <w:r>
        <w:rPr/>
        <w:t>platform) (futureu.europa.eu), amely a konferencia munkája során mindvégig jelen maradt.</w:t>
      </w:r>
    </w:p>
    <w:p>
      <w:pPr>
        <w:pStyle w:val="Corpsdetexte"/>
        <w:jc w:val="left"/>
        <w:rPr/>
      </w:pPr>
      <w:r>
        <w:rPr/>
        <w:t>A platform a konferencia kulcsfontosságú eleme volt; minden uniós polgárnak lehetősége nyílt arra, hogy az EU 24 hivatalos nyelvének bármelyikén részt vegyen. A polgárok előterjeszthetik ötleteiket, támogathatják mások elképzeléseit és kommentálhatják azokat. A platform volt az a hely is, ahol mindenki megoszthatta a konferencia eseményeivel kapcsolatos információkat, és beszámolhatott azok eredményeiről.</w:t>
      </w:r>
    </w:p>
    <w:p>
      <w:pPr>
        <w:pStyle w:val="Corpsdetexte"/>
        <w:jc w:val="left"/>
        <w:rPr/>
      </w:pPr>
      <w:r>
        <w:rPr/>
        <w:t xml:space="preserve">Ezt követően összegyűjtötték és elemezték a platform valamennyi hozzászólását annak érdekében, hogy hozzájáruljanak az </w:t>
      </w:r>
      <w:hyperlink r:id="rId14">
        <w:r>
          <w:rPr>
            <w:rStyle w:val="LienInternet"/>
          </w:rPr>
          <w:t>európai polgári vitacsoportok</w:t>
        </w:r>
      </w:hyperlink>
      <w:r>
        <w:rPr/>
        <w:t xml:space="preserve"> munkájához, a </w:t>
      </w:r>
      <w:hyperlink r:id="rId15">
        <w:r>
          <w:rPr>
            <w:rStyle w:val="LienInternet"/>
          </w:rPr>
          <w:t xml:space="preserve">konferenciaplenáris ülésének </w:t>
        </w:r>
      </w:hyperlink>
      <w:r>
        <w:rPr/>
        <w:t xml:space="preserve">munkájához. Eddig három </w:t>
      </w:r>
      <w:hyperlink r:id="rId16">
        <w:r>
          <w:rPr>
            <w:rStyle w:val="LienInternet"/>
          </w:rPr>
          <w:t>időközi jelentést, három tagállami jelentést és egy teljes jelentést</w:t>
        </w:r>
      </w:hyperlink>
      <w:r>
        <w:rPr/>
        <w:t xml:space="preserve"> tettek közzé, amelyek 2022. február 20-ig tartalmazzák a platformon tett hozzájárulásokat.</w:t>
      </w:r>
    </w:p>
    <w:p>
      <w:pPr>
        <w:pStyle w:val="Corpsdetexte"/>
        <w:jc w:val="left"/>
        <w:rPr/>
      </w:pPr>
      <w:r>
        <w:rPr/>
        <w:t>Ez a jelentés a platformon 2021. április 19-én és 2022. május 9-én, a konferencia munkájának lezárásakor tett valamennyi hozzászólást tartalmazza.</w:t>
      </w:r>
    </w:p>
    <w:p>
      <w:pPr>
        <w:pStyle w:val="Corpsdetexte"/>
        <w:jc w:val="left"/>
        <w:rPr/>
      </w:pPr>
      <w:r>
        <w:rPr/>
        <w:t xml:space="preserve">E jelentés elolvasása során fontos szem előtt tartani, hogy a platformon szereplő hozzászólások az érintett közreműködők véleményét tükrözik, és nem tekinthetők úgy, mint amelyek az európai polgárok egészének nézeteit képviselik. </w:t>
      </w:r>
    </w:p>
    <w:p>
      <w:pPr>
        <w:pStyle w:val="Corpsdetexte"/>
        <w:jc w:val="left"/>
        <w:rPr/>
      </w:pPr>
      <w:r>
        <w:rPr/>
        <w:t xml:space="preserve">Az elemzési eredmények a platformon meghatározott témák szerint kerülnek bemutatásra a jelentésben: </w:t>
      </w:r>
    </w:p>
    <w:p>
      <w:pPr>
        <w:pStyle w:val="Corpsdetexte"/>
        <w:jc w:val="left"/>
        <w:rPr/>
      </w:pPr>
      <w:r>
        <w:rPr/>
        <w:t xml:space="preserve">Az éghajlatváltozás és a környezet </w:t>
      </w:r>
    </w:p>
    <w:p>
      <w:pPr>
        <w:pStyle w:val="Corpsdetexte"/>
        <w:jc w:val="left"/>
        <w:rPr/>
      </w:pPr>
      <w:r>
        <w:rPr/>
        <w:t xml:space="preserve">– </w:t>
      </w:r>
      <w:r>
        <w:rPr/>
        <w:t xml:space="preserve">Egészség </w:t>
      </w:r>
    </w:p>
    <w:p>
      <w:pPr>
        <w:pStyle w:val="Corpsdetexte"/>
        <w:jc w:val="left"/>
        <w:rPr/>
      </w:pPr>
      <w:r>
        <w:rPr/>
        <w:t xml:space="preserve">Erősebb gazdaság, társadalmi igazságosság és munkahelyek </w:t>
      </w:r>
    </w:p>
    <w:p>
      <w:pPr>
        <w:pStyle w:val="Corpsdetexte"/>
        <w:jc w:val="left"/>
        <w:rPr/>
      </w:pPr>
      <w:r>
        <w:rPr/>
        <w:t xml:space="preserve">Az EU a világban </w:t>
      </w:r>
    </w:p>
    <w:p>
      <w:pPr>
        <w:pStyle w:val="Corpsdetexte"/>
        <w:jc w:val="left"/>
        <w:rPr/>
      </w:pPr>
      <w:r>
        <w:rPr/>
        <w:t xml:space="preserve">Értékek és jogok, jogállamiság, biztonság </w:t>
      </w:r>
    </w:p>
    <w:p>
      <w:pPr>
        <w:pStyle w:val="Corpsdetexte"/>
        <w:jc w:val="left"/>
        <w:rPr/>
      </w:pPr>
      <w:r>
        <w:rPr/>
        <w:t xml:space="preserve">Digitális transzformáció </w:t>
      </w:r>
    </w:p>
    <w:p>
      <w:pPr>
        <w:pStyle w:val="Corpsdetexte"/>
        <w:jc w:val="left"/>
        <w:rPr/>
      </w:pPr>
      <w:r>
        <w:rPr/>
        <w:t xml:space="preserve">Az európai demokrácia </w:t>
      </w:r>
    </w:p>
    <w:p>
      <w:pPr>
        <w:pStyle w:val="Corpsdetexte"/>
        <w:jc w:val="left"/>
        <w:rPr/>
      </w:pPr>
      <w:r>
        <w:rPr/>
        <w:t xml:space="preserve">– </w:t>
      </w:r>
      <w:r>
        <w:rPr/>
        <w:t xml:space="preserve">Migráció </w:t>
      </w:r>
    </w:p>
    <w:p>
      <w:pPr>
        <w:pStyle w:val="Corpsdetexte"/>
        <w:jc w:val="left"/>
        <w:rPr/>
      </w:pPr>
      <w:r>
        <w:rPr/>
        <w:t xml:space="preserve">Oktatás, kultúra, ifjúság és sport </w:t>
      </w:r>
    </w:p>
    <w:p>
      <w:pPr>
        <w:pStyle w:val="Corpsdetexte"/>
        <w:jc w:val="left"/>
        <w:rPr/>
      </w:pPr>
      <w:r>
        <w:rPr/>
        <w:t xml:space="preserve">A platformon az „Egyéb ötletek” alatt említett ötleteket a fent említett kilenc téma egyikébe, illetve a több területet érintő kérdések esetében több témába sorolták. </w:t>
      </w:r>
    </w:p>
    <w:p>
      <w:pPr>
        <w:pStyle w:val="Corpsdetexte"/>
        <w:jc w:val="left"/>
        <w:rPr/>
      </w:pPr>
      <w:r>
        <w:rPr/>
        <w:t xml:space="preserve">Minden témához áttekintést nyújt az ötletek és események tematikus klaszterezéséről eseményjelentésekkel, amelyet egy szövegelemzési rendszer segít, amely bármely nyelven azonosítja egy hasonló ötlet többszörös előfordulását. Ezek az azonosított témák és altémák az elemző által a Szövegelemzési rendszer segítségével értékelt előfordulási szint sorrendjében kerülnek bemutatásra. Az egyes témák elején található szövegdoboz néhány példát ad az adott témában tartott eseményekre, a legutóbbi jelentés óta hozzáadott új eseményekre összpontosítva. A 2022. február 20. után a platformra feltöltött új hozzászólások tematikus áttekintését minden témafejezet végén egy keretbe foglaltuk. </w:t>
      </w:r>
    </w:p>
    <w:p>
      <w:pPr>
        <w:pStyle w:val="Corpsdetexte"/>
        <w:jc w:val="left"/>
        <w:rPr/>
      </w:pPr>
      <w:r>
        <w:rPr/>
        <w:t xml:space="preserve">Az egyes témákhoz tartozó elmetérkép vizuálisan ábrázolja a tartalomelemzést témák és altémák szerint. </w:t>
      </w:r>
    </w:p>
    <w:p>
      <w:pPr>
        <w:pStyle w:val="Corpsdetexte"/>
        <w:jc w:val="left"/>
        <w:rPr/>
      </w:pPr>
      <w:r>
        <w:rPr/>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t>Megjegyzés a módszertanról</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t xml:space="preserve">E jelentés középpontjában a platformon nyújtott hozzájárulások </w:t>
      </w:r>
      <w:r>
        <w:rPr>
          <w:b/>
        </w:rPr>
        <w:t>minőségi elemzése</w:t>
      </w:r>
      <w:r>
        <w:rPr/>
        <w:t xml:space="preserve"> áll. Erre a közreműködők által benyújtott ötletek, eseményjelentések és észrevételek alapján kerül sor annak érdekében, hogy széles körű áttekintést nyújtsunk a platform tartalmáról. A gyakorlatban az egyes témákban a javasolt ötletek és zárt események kézi szöveges elemzését és csoportosítását végezte egy kutatócsoport, amelyet számítógéppel támogatott klaszterező eszköz segített. Ezt követően összefoglalót készítettek a közös témákról és a lehetséges altémákról. A témakörök és altémák klaszterelemzése az előre meghatározott témákban történik. Ez azt jelenti, hogy a több témakörben vagy az „Egyéb ötletek” rovatban a közreműködők által benyújtott témákra vagy ötletekre kiterjedő ötletek többször is jelenhetnek meg ebben a jelentésben a vonatkozó témakörökben. Ezt a megközelítést úgy választották meg, hogy a konferencia minden egyes témáját holisztikus perspektívával lássa el.</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t>A kisszámú közreműködő által felvetett kérdések szintén szerepelnek ebben az elemzésben, ha más hozzájárulókéhoz képest új perspektívát nyújtanak. A cél az, hogy általános áttekintést nyújtson a platformon jelenleg javasolt ötletek széles köréről és sokféleségéről, ahelyett, hogy a mennyiségi elemekre összpontosítana. Mindazonáltal a szövegben olyan témákat, altémákat vagy ötleteket tüntetnek fel, amelyek gyakran ismétlődnek meg, vagy nagyszámú jóváhagyással vagy észrevétellel rendelkeznek, hogy tükrözzék a platformon folytatott megbeszélések jelenlegi állását, beleértve az egyes kérdések iránt nagy érdeklődést vagy vitát. Ezeket az elemeket arra is használják, hogy iránymutatást adjanak a jelentésben szereplő témák bemutatásának sorrendjéhez.</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b/>
        </w:rPr>
        <w:t>Mennyiségi elemeket</w:t>
      </w:r>
      <w:r>
        <w:rPr/>
        <w:t xml:space="preserve"> (ötletek, észrevételek, jóváhagyások és események száma) is felhasználnak a hozzászólások áttekintésében, valamint az I. </w:t>
      </w:r>
      <w:r>
        <w:rPr>
          <w:b/>
        </w:rPr>
        <w:t>mellékletben bemutatott, jelenleg leginkább jóváhagyott és kommentált ötletek jegyzékében</w:t>
      </w:r>
      <w:r>
        <w:rPr/>
        <w:t>.</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t>Kérjük, vegye figyelembe azt is, hogy a jelentésben szereplő elemzésben a „</w:t>
      </w:r>
      <w:r>
        <w:rPr>
          <w:b/>
        </w:rPr>
        <w:t>hozzájárulások</w:t>
      </w:r>
      <w:r>
        <w:rPr/>
        <w:t>” kifejezés ötletek, észrevételek és eseményjelentések kombinációjára utal.</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t xml:space="preserve">A módszertani megközelítés további részleteit a II. </w:t>
      </w:r>
      <w:r>
        <w:rPr>
          <w:b/>
        </w:rPr>
        <w:t>melléklet tartalmazza</w:t>
      </w:r>
      <w:r>
        <w:rPr/>
        <w:t>.</w:t>
      </w:r>
    </w:p>
    <w:p>
      <w:pPr>
        <w:pStyle w:val="Corpsdetexte"/>
        <w:spacing w:lineRule="auto" w:line="240" w:before="57" w:after="57"/>
        <w:jc w:val="left"/>
        <w:rPr/>
      </w:pPr>
      <w:r>
        <w:rPr/>
      </w:r>
    </w:p>
    <w:p>
      <w:pPr>
        <w:pStyle w:val="Normal"/>
        <w:jc w:val="left"/>
        <w:rPr/>
      </w:pPr>
      <w:r>
        <w:rPr/>
      </w:r>
      <w:r>
        <w:br w:type="page"/>
      </w:r>
    </w:p>
    <w:p>
      <w:pPr>
        <w:pStyle w:val="Normal"/>
        <w:jc w:val="left"/>
        <w:rPr/>
      </w:pPr>
      <w:r>
        <w:rPr/>
        <w:drawing>
          <wp:anchor behindDoc="0" distT="0" distB="0" distL="0" distR="0" simplePos="0" locked="0" layoutInCell="0" allowOverlap="1" relativeHeight="61">
            <wp:simplePos x="0" y="0"/>
            <wp:positionH relativeFrom="column">
              <wp:align>center</wp:align>
            </wp:positionH>
            <wp:positionV relativeFrom="paragraph">
              <wp:posOffset>635</wp:posOffset>
            </wp:positionV>
            <wp:extent cx="2970530" cy="1978025"/>
            <wp:effectExtent l="0" t="0" r="0" b="0"/>
            <wp:wrapSquare wrapText="largest"/>
            <wp:docPr id="11" name="Image3 – Videó letöltés mp3-ban"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3 – Videó letöltés mp3-ban" descr=""/>
                    <pic:cNvPicPr>
                      <a:picLocks noChangeAspect="1" noChangeArrowheads="1"/>
                    </pic:cNvPicPr>
                  </pic:nvPicPr>
                  <pic:blipFill>
                    <a:blip r:embed="rId17"/>
                    <a:stretch>
                      <a:fillRect/>
                    </a:stretch>
                  </pic:blipFill>
                  <pic:spPr bwMode="auto">
                    <a:xfrm>
                      <a:off x="0" y="0"/>
                      <a:ext cx="2970530" cy="1978025"/>
                    </a:xfrm>
                    <a:prstGeom prst="rect">
                      <a:avLst/>
                    </a:prstGeom>
                  </pic:spPr>
                </pic:pic>
              </a:graphicData>
            </a:graphic>
          </wp:anchor>
        </w:drawing>
      </w:r>
    </w:p>
    <w:p>
      <w:pPr>
        <w:pStyle w:val="Titre1"/>
        <w:numPr>
          <w:ilvl w:val="0"/>
          <w:numId w:val="1"/>
        </w:numPr>
        <w:spacing w:before="0" w:after="1718"/>
        <w:rPr/>
      </w:pPr>
      <w:bookmarkStart w:id="1" w:name="__RefHeading___Toc86331_2514204080"/>
      <w:bookmarkEnd w:id="1"/>
      <w:r>
        <w:rPr/>
        <w:t>Vezetői összefoglaló</w:t>
      </w:r>
    </w:p>
    <w:p>
      <w:pPr>
        <w:pStyle w:val="Corpsdetexte"/>
        <w:spacing w:lineRule="auto" w:line="240" w:before="57" w:after="57"/>
        <w:jc w:val="left"/>
        <w:rPr/>
      </w:pPr>
      <w:r>
        <w:rPr/>
        <w:t>Ez a jelentés összefoglalja az Európa jövőjéről szóló konferencia többnyelvű digitális platformjának 2022. május 9-ig tartó tevékenységét. Ebben az időszakban 48 530 hozzászólást rögzítettek a platformon, 18 955 ötlettel, 22 570 megjegyzéssel és 7,005 eseménylel, amelyek mind az 10 témát lefedték. 2022. február 21. és május 9. között 4796 új hozzájárulással bővült a platform. Ezen új hozzájárulások többsége megszilárdítja a különböző témákban már létező témákat és altémákat, és nem befolyásolja a témák sorrendjét azok általános előfordulása szerint. Az Ukrajna elleni agressziós háború 2022. február 24-i kezdete hatással volt néhány új altémára különböző témákban, mint például az EU-nak a világban zajló konfliktusba való fokozottabb bevonására irányuló felhívások, valamint az erősebb gazdaság, a társadalmi igazságosság és a munkahelyek témájában az európai energiaszuverenitás elérésére irányuló javaslatok.</w:t>
      </w:r>
    </w:p>
    <w:p>
      <w:pPr>
        <w:pStyle w:val="Normal"/>
        <w:jc w:val="left"/>
        <w:rPr/>
      </w:pPr>
      <w:r>
        <w:rPr/>
      </w:r>
      <w:r>
        <w:br w:type="page"/>
      </w:r>
    </w:p>
    <w:p>
      <w:pPr>
        <w:pStyle w:val="Titre2"/>
        <w:numPr>
          <w:ilvl w:val="1"/>
          <w:numId w:val="1"/>
        </w:numPr>
        <w:jc w:val="left"/>
        <w:rPr/>
      </w:pPr>
      <w:bookmarkStart w:id="2" w:name="__RefHeading___Toc86333_2514204080"/>
      <w:bookmarkEnd w:id="2"/>
      <w:r>
        <w:drawing>
          <wp:anchor behindDoc="0" distT="0" distB="0" distL="0" distR="0" simplePos="0" locked="0" layoutInCell="0" allowOverlap="1" relativeHeight="62">
            <wp:simplePos x="0" y="0"/>
            <wp:positionH relativeFrom="column">
              <wp:posOffset>32385</wp:posOffset>
            </wp:positionH>
            <wp:positionV relativeFrom="paragraph">
              <wp:posOffset>68580</wp:posOffset>
            </wp:positionV>
            <wp:extent cx="794385" cy="858520"/>
            <wp:effectExtent l="0" t="0" r="0" b="0"/>
            <wp:wrapSquare wrapText="largest"/>
            <wp:docPr id="12" name="Kép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ép 5" descr=""/>
                    <pic:cNvPicPr>
                      <a:picLocks noChangeAspect="1" noChangeArrowheads="1"/>
                    </pic:cNvPicPr>
                  </pic:nvPicPr>
                  <pic:blipFill>
                    <a:blip r:embed="rId18"/>
                    <a:stretch>
                      <a:fillRect/>
                    </a:stretch>
                  </pic:blipFill>
                  <pic:spPr bwMode="auto">
                    <a:xfrm>
                      <a:off x="0" y="0"/>
                      <a:ext cx="794385" cy="858520"/>
                    </a:xfrm>
                    <a:prstGeom prst="rect">
                      <a:avLst/>
                    </a:prstGeom>
                  </pic:spPr>
                </pic:pic>
              </a:graphicData>
            </a:graphic>
          </wp:anchor>
        </w:drawing>
      </w:r>
      <w:r>
        <w:rPr/>
        <w:t>Az éghajlatváltozás és a környezet</w:t>
      </w:r>
    </w:p>
    <w:p>
      <w:pPr>
        <w:pStyle w:val="Corpsdetexte"/>
        <w:jc w:val="left"/>
        <w:rPr/>
      </w:pPr>
      <w:r>
        <w:rPr/>
      </w:r>
    </w:p>
    <w:p>
      <w:pPr>
        <w:pStyle w:val="Corpsdetexte"/>
        <w:jc w:val="left"/>
        <w:rPr/>
      </w:pPr>
      <w:r>
        <w:rPr/>
      </w:r>
    </w:p>
    <w:p>
      <w:pPr>
        <w:pStyle w:val="Corpsdetexte"/>
        <w:jc w:val="left"/>
        <w:rPr/>
      </w:pPr>
      <w:r>
        <w:rPr/>
        <w:t>A hozzászólók aggódnak az éghajlatváltozás és annak hatásai, valamint számos más környezeti kihívás miatt. A leggyakoribb témák a kibocsátással és a megújuló energiával foglalkoznak. A hozzászólók általában gyorsított zöld átállást szeretnének az EU és a kormányok azonnali és konkrét intézkedéseivel, számos javaslattal, mint például a környezetbarátabb energiatermelés és -szállítás előmozdítása, a fogyasztási szokások megváltoztatása, a fenntarthatóbb mezőgazdaság, a biológiai sokféleség előmozdítása és a szennyezés megállítása. A hozzászólások hangsúlyozták az uniós szintű oktatás és kommunikáció szükségességét, és kezdeményezéseket tettek e kérdések kezelésére. Néhány hozzászóló felvetette a társadalmi igazságosság kérdését az éghajlat-politikával összefüggésben. Az ötletek tematikusan a következőképpen csoportosíthatók:</w:t>
      </w:r>
    </w:p>
    <w:p>
      <w:pPr>
        <w:pStyle w:val="Corpsdetexte"/>
        <w:jc w:val="left"/>
        <w:rPr/>
      </w:pPr>
      <w:r>
        <w:rPr/>
        <w:t>Átfogó felhívás, amely arra ösztönzi a kormányokat és az EU-t, hogy haladéktalanul lépjenek fel, és határozottabb európai környezetvédelmi politikát folytassanak az éghajlatváltozás elleni küzdelem érdekében. A hozzászólók számos javaslatot terjesztettek elő a kibocsátások kezelésére, és megvitatták a zöld átállás felgyorsításának és a zöld megállapodás helyi és regionális szintű végrehajtásának legjobb gyakorlatait és módjait;</w:t>
      </w:r>
    </w:p>
    <w:p>
      <w:pPr>
        <w:pStyle w:val="Corpsdetexte"/>
        <w:jc w:val="left"/>
        <w:rPr/>
      </w:pPr>
      <w:r>
        <w:rPr/>
        <w:t xml:space="preserve">– </w:t>
      </w:r>
      <w:r>
        <w:rPr/>
        <w:t>Az energia témakörében a hozzájárulók határozottan támogatják a megújuló energia felhasználásának növelését és az energia sokszínűségének a kutatás révén történő fokozását, valamint az alternatív energiaforrásokkal kapcsolatos innovációt mind a háztartások, mind a kis- és középvállalkozások (kkv-k) számára. Néhány hozzászóló azonban felhívta a figyelmet a lakosság általi elfogadás kérdésére, és az atomenergia kérdése megosztó vitát váltott ki;</w:t>
      </w:r>
    </w:p>
    <w:p>
      <w:pPr>
        <w:pStyle w:val="Corpsdetexte"/>
        <w:jc w:val="left"/>
        <w:rPr/>
      </w:pPr>
      <w:r>
        <w:rPr/>
        <w:t>A résztvevők olyan intézkedéseket szeretnének, amelyek ösztönzik az alternatív, környezetbarát közlekedési eszközök kifejlesztését és használatát, különböző javaslatokkal a tömegközlekedés használatának ösztönzésére, és kérik az alternatív közlekedési megoldásokba való fokozott kutatást és beruházást;</w:t>
      </w:r>
    </w:p>
    <w:p>
      <w:pPr>
        <w:pStyle w:val="Corpsdetexte"/>
        <w:spacing w:lineRule="auto" w:line="240" w:before="57" w:after="57"/>
        <w:jc w:val="left"/>
        <w:rPr/>
      </w:pPr>
      <w:r>
        <w:rPr/>
      </w:r>
    </w:p>
    <w:p>
      <w:pPr>
        <w:pStyle w:val="Corpsdetexte"/>
        <w:jc w:val="left"/>
        <w:rPr/>
      </w:pPr>
      <w:r>
        <w:rPr/>
        <w:t>A fogyasztás témájában a hozzájárulók erősebb intézkedéseket akarnak a hulladék és az élelmiszer-pazarlás kezelésére, valamint az újrafeldolgozás és a körforgásos gazdaság előmozdítására, mind a gyártókat, mind a fogyasztókat célozva. Emellett olyan intézkedésekre van szükség, amelyek előmozdítják a fenntarthatóbb fogyasztást a turizmustól, a divattól az elektronikus készülékekig terjedő ágazatokban.</w:t>
      </w:r>
    </w:p>
    <w:p>
      <w:pPr>
        <w:pStyle w:val="Corpsdetexte"/>
        <w:jc w:val="left"/>
        <w:rPr/>
      </w:pPr>
      <w:r>
        <w:rPr/>
        <w:t>A hozzászólókat hasonlóképpen aggasztják a digitális átalakuláshoz kapcsolódó környezeti terhelések, például a kriptovaluták fejlesztése;</w:t>
      </w:r>
    </w:p>
    <w:p>
      <w:pPr>
        <w:pStyle w:val="Corpsdetexte"/>
        <w:jc w:val="left"/>
        <w:rPr/>
      </w:pPr>
      <w:r>
        <w:rPr/>
        <w:t>A biológiai sokféleség és az állatjólét előmozdítása az újraerdősítés, az erdőirtás megállítása, a veszélyeztetett fajok védelme és a biológiai sokféleséggel kapcsolatos kutatási létesítmények bővítése révén;</w:t>
      </w:r>
    </w:p>
    <w:p>
      <w:pPr>
        <w:pStyle w:val="Corpsdetexte"/>
        <w:jc w:val="left"/>
        <w:rPr/>
      </w:pPr>
      <w:r>
        <w:rPr/>
        <w:t xml:space="preserve">– </w:t>
      </w:r>
      <w:r>
        <w:rPr/>
        <w:t>A mezőgazdaság témájában erős altéma a peszticidek használatának megszüntetésére és általában a környezetbarátabb mezőgazdasági gyakorlatok alkalmazására való felhívás.</w:t>
      </w:r>
    </w:p>
    <w:p>
      <w:pPr>
        <w:pStyle w:val="Corpsdetexte"/>
        <w:jc w:val="left"/>
        <w:rPr/>
      </w:pPr>
      <w:r>
        <w:rPr/>
        <w:t>A környezettel kapcsolatos egyéb intézkedések közé tartozik a helyi gazdálkodás, a biológiai sokféleség, a vegetáriánus vagy vegán étrend, valamint a mezőgazdasági termelők méltányos árainak előmozdítása;</w:t>
      </w:r>
    </w:p>
    <w:p>
      <w:pPr>
        <w:pStyle w:val="Corpsdetexte"/>
        <w:jc w:val="left"/>
        <w:rPr/>
      </w:pPr>
      <w:r>
        <w:rPr/>
        <w:t>A szennyezés elleni küzdelem eszközei és intézkedései, mivel azt a környezetre gyakorolt nyomás forrásának tekintik. Megoldásokat javasoltak a vízszennyezés, a műanyag szennyező használata elleni küzdelemre, az egyműanyag-használat, valamint a fényszennyezés betiltására irányuló felhívásokkal;</w:t>
      </w:r>
    </w:p>
    <w:p>
      <w:pPr>
        <w:pStyle w:val="Corpsdetexte"/>
        <w:jc w:val="left"/>
        <w:rPr/>
      </w:pPr>
      <w:r>
        <w:rPr/>
        <w:t>A környezetbarát támogatások – például a fosszilis tüzelőanyagok vagy a káros halászati támogatások – megállítása, valamint a magatartásbeli változások ösztönzését és a fenntartható fogyasztást előmozdító adózási intézkedésekre vonatkozó különböző javaslatok, például a fenntarthatósági adó révén;</w:t>
      </w:r>
    </w:p>
    <w:p>
      <w:pPr>
        <w:pStyle w:val="Corpsdetexte"/>
        <w:jc w:val="left"/>
        <w:rPr/>
      </w:pPr>
      <w:r>
        <w:rPr/>
        <w:t>A hozzászólók fokozott erőfeszítéseket szeretnének a magatartásformák és attitűdök megváltoztatására a fokozott figyelemfelkeltés, oktatás és kommunikáció révén;</w:t>
      </w:r>
    </w:p>
    <w:p>
      <w:pPr>
        <w:pStyle w:val="Corpsdetexte"/>
        <w:jc w:val="left"/>
        <w:rPr/>
      </w:pPr>
      <w:r>
        <w:rPr/>
        <w:t>Az energiaárak közelmúltbeli emelkedésével és az EU orosz gáz- és olajellátástól való egyre problematikusabb függőségével kapcsolatban számos hozzájárulás a megújuló energiaforrásokra való átállás felgyorsítására, a tudatosabb energiafogyasztás előmozdítására, valamint az EU energia-önrendelkezésének támogatására szólított fel;</w:t>
      </w:r>
    </w:p>
    <w:p>
      <w:pPr>
        <w:pStyle w:val="Corpsdetexte"/>
        <w:jc w:val="left"/>
        <w:rPr/>
      </w:pPr>
      <w:r>
        <w:rPr/>
        <w:t xml:space="preserve">– </w:t>
      </w:r>
      <w:r>
        <w:rPr/>
        <w:t>Külön téma a lakhatás és az építőipar, amely ötleteket tartalmaz a fenntartható lakhatásra, a környezetbarát építőanyagokra és az „Új európai Bauhausra” vonatkozóan; A hozzászólók megvitatták a digitalizáció és az éghajlatváltozás közötti kölcsönhatást a „digitális átalakulás” témájában.</w:t>
      </w:r>
    </w:p>
    <w:p>
      <w:pPr>
        <w:pStyle w:val="Corpsdetexte"/>
        <w:spacing w:lineRule="auto" w:line="240" w:before="57" w:after="57"/>
        <w:jc w:val="left"/>
        <w:rPr/>
      </w:pPr>
      <w:r>
        <w:rPr/>
      </w:r>
      <w:r>
        <w:br w:type="page"/>
      </w:r>
    </w:p>
    <w:p>
      <w:pPr>
        <w:pStyle w:val="Titre2"/>
        <w:numPr>
          <w:ilvl w:val="1"/>
          <w:numId w:val="1"/>
        </w:numPr>
        <w:spacing w:lineRule="auto" w:line="240" w:before="57" w:after="57"/>
        <w:jc w:val="left"/>
        <w:rPr/>
      </w:pPr>
      <w:bookmarkStart w:id="3" w:name="__RefHeading___Toc86335_2514204080"/>
      <w:bookmarkEnd w:id="3"/>
      <w:r>
        <w:drawing>
          <wp:anchor behindDoc="0" distT="0" distB="0" distL="0" distR="0" simplePos="0" locked="0" layoutInCell="0" allowOverlap="1" relativeHeight="65">
            <wp:simplePos x="0" y="0"/>
            <wp:positionH relativeFrom="column">
              <wp:posOffset>2540</wp:posOffset>
            </wp:positionH>
            <wp:positionV relativeFrom="paragraph">
              <wp:posOffset>79375</wp:posOffset>
            </wp:positionV>
            <wp:extent cx="760730" cy="705485"/>
            <wp:effectExtent l="0" t="0" r="0" b="0"/>
            <wp:wrapSquare wrapText="largest"/>
            <wp:docPr id="13" name="Forrás: 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orrás: Image6" descr=""/>
                    <pic:cNvPicPr>
                      <a:picLocks noChangeAspect="1" noChangeArrowheads="1"/>
                    </pic:cNvPicPr>
                  </pic:nvPicPr>
                  <pic:blipFill>
                    <a:blip r:embed="rId19"/>
                    <a:stretch>
                      <a:fillRect/>
                    </a:stretch>
                  </pic:blipFill>
                  <pic:spPr bwMode="auto">
                    <a:xfrm>
                      <a:off x="0" y="0"/>
                      <a:ext cx="760730" cy="705485"/>
                    </a:xfrm>
                    <a:prstGeom prst="rect">
                      <a:avLst/>
                    </a:prstGeom>
                  </pic:spPr>
                </pic:pic>
              </a:graphicData>
            </a:graphic>
          </wp:anchor>
        </w:drawing>
      </w:r>
      <w:r>
        <w:rPr/>
        <w:t>Egészség</w:t>
      </w:r>
    </w:p>
    <w:p>
      <w:pPr>
        <w:pStyle w:val="Corpsdetexte"/>
        <w:jc w:val="left"/>
        <w:rPr/>
      </w:pPr>
      <w:r>
        <w:rPr/>
      </w:r>
    </w:p>
    <w:p>
      <w:pPr>
        <w:pStyle w:val="Corpsdetexte"/>
        <w:jc w:val="left"/>
        <w:rPr/>
      </w:pPr>
      <w:r>
        <w:rPr/>
        <w:t>Az egészség témaköre a témák széles skáláját öleli fel. A Covid19-cel kapcsolatos tapasztalatok és hatásai által erősen befolyásolt leggyakrabban felvetett téma a következő:</w:t>
      </w:r>
    </w:p>
    <w:p>
      <w:pPr>
        <w:pStyle w:val="Corpsdetexte"/>
        <w:jc w:val="left"/>
        <w:rPr/>
      </w:pPr>
      <w:r>
        <w:rPr/>
        <w:t>a minőségi egészségügyi ellátáshoz való egyenlő hozzáférés biztosítása az EU-ban, a tagállamok közötti szorosabb együttműködésre, a nagyobb harmonizációra és integrációra vonatkozó elképzelésekkel, például az egész EU-ra kiterjedő minőségi gondozási előírások révén. A hozzászólók több kutatást és beruházást szeretnének az orvostudomány területén, és számos ötletet javasoltak a közegészség általános javítására. A fő témák a következők:</w:t>
      </w:r>
    </w:p>
    <w:p>
      <w:pPr>
        <w:pStyle w:val="Corpsdetexte"/>
        <w:jc w:val="left"/>
        <w:rPr/>
      </w:pPr>
      <w:r>
        <w:rPr/>
        <w:t>Olyan intézkedések, amelyek biztosítják a megfizethető, magas színvonalú egészségügyi ellátáshoz való hozzáférést, mindenki számára hozzáférést biztosítva, különösen a mentális egészségügyi ellátáshoz. A javaslatok között szerepel többek között egy európai egészségbiztosítási rendszer a megfizethetőség biztosítása érdekében;</w:t>
      </w:r>
    </w:p>
    <w:p>
      <w:pPr>
        <w:pStyle w:val="Corpsdetexte"/>
        <w:jc w:val="left"/>
        <w:rPr/>
      </w:pPr>
      <w:r>
        <w:rPr/>
        <w:t>Több együttműködés és integráció, megerősített uniós egészségügyi rendszer, vagy akár nagyobb hatáskör az EU közegészségügyi kérdésekben;</w:t>
      </w:r>
    </w:p>
    <w:p>
      <w:pPr>
        <w:pStyle w:val="Corpsdetexte"/>
        <w:jc w:val="left"/>
        <w:rPr/>
      </w:pPr>
      <w:r>
        <w:rPr/>
        <w:t>Integrált stratégiák a közös uniós egészségügyi kihívásokra, például a rákra, a mentális egészségre, az öngyilkosság megelőzésére, a ritka betegségekre stb.; Erőforrások és intézkedések az egészségtudatosság, az egészséges életmód és az étrend előmozdítására, beleértve a mentális egészséget is, valamint az egészségtelen termékek, például a dohány fogyasztásának visszaszorítását célzó különböző intézkedések. A résztvevők azt szeretnék, ha az EU többet fektessen be az egészséggel kapcsolatos megelőző intézkedésekbe; Az EU összehangolt innovációjának és az egészségügyi kutatásba való beruházásának szükségessége, különös tekintettel az EU elöregedő demográfiai profiljára;</w:t>
      </w:r>
    </w:p>
    <w:p>
      <w:pPr>
        <w:pStyle w:val="Corpsdetexte"/>
        <w:jc w:val="left"/>
        <w:rPr/>
      </w:pPr>
      <w:r>
        <w:rPr/>
        <w:t xml:space="preserve">– </w:t>
      </w:r>
      <w:r>
        <w:rPr/>
        <w:t>Az orvostudomány megközelítéseinek témájában a megvitatott ötletek közé tartozik a palliatív és az életvégi ellátás, a természetes gyógymódok integrálása vagy az orvostudomány holisztikusabb megközelítése;</w:t>
      </w:r>
    </w:p>
    <w:p>
      <w:pPr>
        <w:pStyle w:val="Corpsdetexte"/>
        <w:jc w:val="left"/>
        <w:rPr/>
      </w:pPr>
      <w:r>
        <w:rPr/>
        <w:t>Az elmúlt évtizedek fokozott digitalizációjával kapcsolatos lehetőségek és egészségügyi veszélyek, a lehetőségek között megvitatták az európai e-egészségügyi rendszerek integrációját, valamint a digitális függőség veszélyeit;</w:t>
      </w:r>
    </w:p>
    <w:p>
      <w:pPr>
        <w:pStyle w:val="Corpsdetexte"/>
        <w:jc w:val="left"/>
        <w:rPr/>
      </w:pPr>
      <w:r>
        <w:rPr/>
        <w:t>A Covid19 hatásának értékelése, beleértve az olyan válaszok értékelését, mint a digitális koronaigazolvány, az egészségügyi dolgozók átértékelésének szükségessége, valamint a jövőbeli világjárványokra való felkészülés és az azok elleni küzdelem során levonandó tanulságok;</w:t>
      </w:r>
    </w:p>
    <w:p>
      <w:pPr>
        <w:pStyle w:val="Corpsdetexte"/>
        <w:jc w:val="left"/>
        <w:rPr/>
      </w:pPr>
      <w:r>
        <w:rPr/>
        <w:t xml:space="preserve">– </w:t>
      </w:r>
      <w:r>
        <w:rPr/>
        <w:t>Kevésbé hangsúlyos témák a szexuális és reproduktív egészséggel kapcsolatos intézkedések, mint például az időszaki szegénység elleni küzdelem, a szexuális oktatás és az abortuszhoz való jog, valamint a rákkezelés, amelyeket különösen a megelőzéssel, a korai diagnózissal és az erőforrások uniós szintű összevonásával kapcsolatban vitatnak meg.</w:t>
      </w:r>
    </w:p>
    <w:p>
      <w:pPr>
        <w:pStyle w:val="Corpsdetexte"/>
        <w:spacing w:lineRule="auto" w:line="240" w:before="57" w:after="57"/>
        <w:jc w:val="left"/>
        <w:rPr/>
      </w:pPr>
      <w:r>
        <w:rPr/>
      </w:r>
    </w:p>
    <w:p>
      <w:pPr>
        <w:pStyle w:val="Titre2"/>
        <w:numPr>
          <w:ilvl w:val="1"/>
          <w:numId w:val="1"/>
        </w:numPr>
        <w:spacing w:lineRule="auto" w:line="240" w:before="57" w:after="57"/>
        <w:jc w:val="left"/>
        <w:rPr/>
      </w:pPr>
      <w:bookmarkStart w:id="4" w:name="__RefHeading___Toc86337_2514204080"/>
      <w:bookmarkEnd w:id="4"/>
      <w:r>
        <w:drawing>
          <wp:anchor behindDoc="0" distT="0" distB="0" distL="0" distR="0" simplePos="0" locked="0" layoutInCell="0" allowOverlap="1" relativeHeight="63">
            <wp:simplePos x="0" y="0"/>
            <wp:positionH relativeFrom="column">
              <wp:posOffset>45085</wp:posOffset>
            </wp:positionH>
            <wp:positionV relativeFrom="paragraph">
              <wp:posOffset>62230</wp:posOffset>
            </wp:positionV>
            <wp:extent cx="715645" cy="605790"/>
            <wp:effectExtent l="0" t="0" r="0" b="0"/>
            <wp:wrapSquare wrapText="largest"/>
            <wp:docPr id="14" name="Kép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Kép7" descr=""/>
                    <pic:cNvPicPr>
                      <a:picLocks noChangeAspect="1" noChangeArrowheads="1"/>
                    </pic:cNvPicPr>
                  </pic:nvPicPr>
                  <pic:blipFill>
                    <a:blip r:embed="rId20"/>
                    <a:stretch>
                      <a:fillRect/>
                    </a:stretch>
                  </pic:blipFill>
                  <pic:spPr bwMode="auto">
                    <a:xfrm>
                      <a:off x="0" y="0"/>
                      <a:ext cx="715645" cy="605790"/>
                    </a:xfrm>
                    <a:prstGeom prst="rect">
                      <a:avLst/>
                    </a:prstGeom>
                  </pic:spPr>
                </pic:pic>
              </a:graphicData>
            </a:graphic>
          </wp:anchor>
        </w:drawing>
      </w:r>
      <w:r>
        <w:rPr/>
        <w:t>Erősebb gazdaság, társadalmi igazságosság és munkahelyek</w:t>
      </w:r>
    </w:p>
    <w:p>
      <w:pPr>
        <w:pStyle w:val="Corpsdetexte"/>
        <w:jc w:val="left"/>
        <w:rPr/>
      </w:pPr>
      <w:r>
        <w:rPr/>
        <w:t>E témában gyakran megvitatott téma az, hogy Európa befogadóbbá és társadalmilag igazságosabbá váljon, különösen a Covid19-világjárvány fényében. Az e témához kapcsolódó hozzájárulások közé tartoznak az EU gazdasági növekedésének ösztönzésére irányuló különböző javaslatok is, például a kutatás és az innováció, az egységes piac további erősítése, valamint a kis- és középvállalkozások és a stratégiai iparágak támogatására irányuló különböző intézkedések. Emellett a hozzászólók úgy vélik, hogy a különböző csoportok – különösen a leghátrányosabb helyzetűek – jóléte kulcsfontosságú az EU sikeres működése és további növekedése szempontjából. A témával kapcsolatban megvitatott legfontosabb témák a következők:</w:t>
      </w:r>
    </w:p>
    <w:p>
      <w:pPr>
        <w:pStyle w:val="Corpsdetexte"/>
        <w:jc w:val="left"/>
        <w:rPr/>
      </w:pPr>
      <w:r>
        <w:rPr/>
        <w:t>Javaslatok egy befogadóbb, társadalmilag igazságosabb Európa kialakítására a szociális jogok európai pillérével összhangban, mint például a szociális védelmi intézkedések, a nemek közötti bérszakadék megszüntetése, a szegénység csökkentését célzó intézkedések, a nemek közötti egyenlőség, a fogyatékossággal élő személyek jogainak biztosítása, az LMBTIQ-személyek jogainak és képviseletének biztosítása. A megvitatott konkrét elképzelések közé tartozik a szociális biztonsággal kapcsolatos egységes uniós megközelítés, a nemek közötti kvóták igazgatótanácsi szinten történő bevezetése és a társadalmi egyenlőség mérésére szolgáló mutató;</w:t>
      </w:r>
    </w:p>
    <w:p>
      <w:pPr>
        <w:pStyle w:val="Corpsdetexte"/>
        <w:jc w:val="left"/>
        <w:rPr/>
      </w:pPr>
      <w:r>
        <w:rPr/>
        <w:t xml:space="preserve">A gazdasági fellendülés, beleértve az EU-n belüli államadósság növekedésével kapcsolatos aggályokat, az Európai Központi Bank szerepéről folytatott megbeszéléseket, a Stabilitási és Növekedési Paktum felülvizsgálatát, valamint a Helyreállítási és Rezilienciaépítési Eszköz kiterjesztését, valamint a helyi termelés és a helyi fogyasztás támogatására irányuló különböző javaslatokat a belső piac és az uniós gazdaság fellendítése érdekében. Tekintettel az Ukrajna elleni orosz agressziós háborúra adott stratégiai válaszok által előidézett közelmúltbeli energiaválságra, fokozták a stratégiai energiafüggetlenségre irányuló felhívásokat; </w:t>
      </w:r>
    </w:p>
    <w:p>
      <w:pPr>
        <w:pStyle w:val="Corpsdetexte"/>
        <w:jc w:val="left"/>
        <w:rPr/>
      </w:pPr>
      <w:r>
        <w:rPr/>
        <w:t xml:space="preserve">A munkahelyteremtés fellendítése az innovációba, az oktatásba, a digitalizációba, a kutatásba és fejlesztésbe való beruházással, de a zöld gazdaság létrehozásával is. Különös hangsúlyt fektetnek a kis- és középvállalkozások támogatására, mivel ezek az innováció mozgatórugói. Emellett számos hozzájárulás megvitatta a vidéki területek gazdasági innovációban rejlő potenciálját, és intézkedéseket sürget a vidéki területek elnéptelenedésének megakadályozására vagy a mezőgazdasági ágazat általános támogatására, különösen a fiatal mezőgazdasági termelők ösztönzésére; </w:t>
      </w:r>
    </w:p>
    <w:p>
      <w:pPr>
        <w:pStyle w:val="Corpsdetexte"/>
        <w:jc w:val="left"/>
        <w:rPr/>
      </w:pPr>
      <w:r>
        <w:rPr/>
        <w:t xml:space="preserve">A hozzászólók úgy vélik, hogy a szociális biztonsági intézkedések fontosak a társadalmi igazságosság eléréséhez. A feltétel nélküli alapjövedelem a leggyakrabban felvetett ötlet. További ötletek közé tartozik az uniós tagállamok közötti összehangolt nyugdíjpolitikák és nyugdíjak, valamint az EU-n belüli szegénység visszaszorítására irányuló intézkedések, valamint az EU demográfiai átalakulásának általánosabb figyelembevételére irányuló felhívás. Felszólít egy – másutt is felvetett – digitalizált közös uniós társadalombiztosítási kártya létrehozására, és a mobil európaiak számára átruházható szociális jogok is jelen vannak az e témához tartozó hozzájárulásokban; </w:t>
      </w:r>
    </w:p>
    <w:p>
      <w:pPr>
        <w:pStyle w:val="Corpsdetexte"/>
        <w:jc w:val="left"/>
        <w:rPr/>
      </w:pPr>
      <w:r>
        <w:rPr/>
        <w:t xml:space="preserve">A méltányos és inkluzív gazdaság különböző adózási formái, például a vállalatok közötti tisztességes versenyt biztosító adóintézkedések, a környezetvédelmi adók és az adóparadicsomok elleni uniós szintű minimumadók; </w:t>
      </w:r>
    </w:p>
    <w:p>
      <w:pPr>
        <w:pStyle w:val="Corpsdetexte"/>
        <w:jc w:val="left"/>
        <w:rPr/>
      </w:pPr>
      <w:r>
        <w:rPr/>
        <w:t xml:space="preserve">– </w:t>
      </w:r>
      <w:r>
        <w:rPr/>
        <w:t>A hozzászólók felvetették az egységesebb európai jövő érdekében az európai költségvetési reformmal együtt megvalósítandó közös adópolitika gondolatát is, beleértve a több uniós saját forrást vagy a tagállamoktól független költségvetést, valamint javaslatokat terjesztettek elő az egységes piac további megerősítésére; Javaslatok a munkakörülmények javítására, például a rugalmas munkavégzésre és a kijelentkezéshez való jogra, valamint konkrét intézkedések az EU-n belüli munkavállalói mobilitás további megkönnyítésére. Különösen az ifjúsági munkanélküliséget vitatták meg, és számos javaslatot tettek a munkaerőpiacra belépő fiatalok támogatására; Néhány ötlet megkérdőjelezi a jelenlegi gazdasági modellt azzal a céllal, hogy egy olyan inkluzív és méltányos európai modell felé mozduljon el, amely túlmutat a GDP-n.</w:t>
      </w:r>
    </w:p>
    <w:p>
      <w:pPr>
        <w:pStyle w:val="Corpsdetexte"/>
        <w:spacing w:lineRule="auto" w:line="240" w:before="57" w:after="57"/>
        <w:jc w:val="left"/>
        <w:rPr/>
      </w:pPr>
      <w:r>
        <w:rPr/>
      </w:r>
    </w:p>
    <w:p>
      <w:pPr>
        <w:pStyle w:val="Normal"/>
        <w:jc w:val="left"/>
        <w:rPr/>
      </w:pPr>
      <w:r>
        <w:rPr/>
        <w:drawing>
          <wp:anchor behindDoc="0" distT="0" distB="0" distL="0" distR="0" simplePos="0" locked="0" layoutInCell="0" allowOverlap="1" relativeHeight="66">
            <wp:simplePos x="0" y="0"/>
            <wp:positionH relativeFrom="column">
              <wp:posOffset>24130</wp:posOffset>
            </wp:positionH>
            <wp:positionV relativeFrom="paragraph">
              <wp:posOffset>127000</wp:posOffset>
            </wp:positionV>
            <wp:extent cx="902970" cy="902970"/>
            <wp:effectExtent l="0" t="0" r="0" b="0"/>
            <wp:wrapSquare wrapText="largest"/>
            <wp:docPr id="15" name="Image9 – Videó letöltés mp3-ban"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9 – Videó letöltés mp3-ban" descr=""/>
                    <pic:cNvPicPr>
                      <a:picLocks noChangeAspect="1" noChangeArrowheads="1"/>
                    </pic:cNvPicPr>
                  </pic:nvPicPr>
                  <pic:blipFill>
                    <a:blip r:embed="rId21"/>
                    <a:stretch>
                      <a:fillRect/>
                    </a:stretch>
                  </pic:blipFill>
                  <pic:spPr bwMode="auto">
                    <a:xfrm>
                      <a:off x="0" y="0"/>
                      <a:ext cx="902970" cy="902970"/>
                    </a:xfrm>
                    <a:prstGeom prst="rect">
                      <a:avLst/>
                    </a:prstGeom>
                  </pic:spPr>
                </pic:pic>
              </a:graphicData>
            </a:graphic>
          </wp:anchor>
        </w:drawing>
      </w:r>
    </w:p>
    <w:p>
      <w:pPr>
        <w:pStyle w:val="Titre2"/>
        <w:numPr>
          <w:ilvl w:val="1"/>
          <w:numId w:val="1"/>
        </w:numPr>
        <w:jc w:val="left"/>
        <w:rPr/>
      </w:pPr>
      <w:bookmarkStart w:id="5" w:name="__RefHeading___Toc86339_2514204080"/>
      <w:bookmarkEnd w:id="5"/>
      <w:r>
        <w:rPr/>
        <w:t>Az EU a világban</w:t>
      </w:r>
    </w:p>
    <w:p>
      <w:pPr>
        <w:pStyle w:val="Corpsdetexte"/>
        <w:jc w:val="left"/>
        <w:rPr/>
      </w:pPr>
      <w:r>
        <w:rPr/>
      </w:r>
    </w:p>
    <w:p>
      <w:pPr>
        <w:pStyle w:val="Corpsdetexte"/>
        <w:jc w:val="left"/>
        <w:rPr/>
      </w:pPr>
      <w:r>
        <w:rPr/>
      </w:r>
    </w:p>
    <w:p>
      <w:pPr>
        <w:pStyle w:val="Corpsdetexte"/>
        <w:jc w:val="left"/>
        <w:rPr/>
      </w:pPr>
      <w:r>
        <w:rPr/>
        <w:t xml:space="preserve">A témával kapcsolatban számos, a külpolitikához kapcsolódó téma merült fel. Összességében a leggyakrabban visszatérő témák azok, amelyek az EU alapértékeivel összhangban a globális politikai színtéren való erőteljesebb uniós jelenlétre szólítanak fel. A platform hozzászólói felvetették a stratégiai autonómia kérdését, és gyakran úgy érzik, hogy az EU-nak merészebbnek kell lennie mind a puha, mind a kemény hatalom gyakorlásában, bár néhány hozzászóló kétségeinek adott hangot e tekintetben. A fő témák a következők: </w:t>
      </w:r>
    </w:p>
    <w:p>
      <w:pPr>
        <w:pStyle w:val="Corpsdetexte"/>
        <w:jc w:val="left"/>
        <w:rPr/>
      </w:pPr>
      <w:r>
        <w:rPr/>
        <w:t xml:space="preserve">Az EU külpolitikájának általános célkitűzéseit megvitató hozzászólások az emberi jogokat és a demokratikus értékeket világszerte védő közös uniós külpolitikára való felhívással; </w:t>
      </w:r>
    </w:p>
    <w:p>
      <w:pPr>
        <w:pStyle w:val="Corpsdetexte"/>
        <w:jc w:val="left"/>
        <w:rPr/>
      </w:pPr>
      <w:r>
        <w:rPr/>
        <w:t>Különböző eszközök és mechanizmusok kidolgozása az EU imázsának javítása és annak biztosítása érdekében, hogy komolyan vegyék a globális politikai színtéren, jelentős vitát folytatva a közös védelmi politikáról annak érdekében, hogy beavatkozhasson, de visszatartó szerepet játsszon és geopolitikai hatalmat képviseljen más globális hatalmakkal szemben;</w:t>
      </w:r>
    </w:p>
    <w:p>
      <w:pPr>
        <w:pStyle w:val="Corpsdetexte"/>
        <w:jc w:val="left"/>
        <w:rPr/>
      </w:pPr>
      <w:r>
        <w:rPr/>
        <w:t xml:space="preserve">Uniós hadsereg és a kapcsolódó központosított védelmi vagy katonai intézmények létrehozása; </w:t>
      </w:r>
    </w:p>
    <w:p>
      <w:pPr>
        <w:pStyle w:val="Corpsdetexte"/>
        <w:jc w:val="left"/>
        <w:rPr/>
      </w:pPr>
      <w:r>
        <w:rPr/>
        <w:t xml:space="preserve">Az egyhangúság szabályának újragondolása a külpolitikai döntéshozatalban, és nagyobb hatáskörök biztosítása az Európai Parlament számára; </w:t>
      </w:r>
    </w:p>
    <w:p>
      <w:pPr>
        <w:pStyle w:val="Corpsdetexte"/>
        <w:jc w:val="left"/>
        <w:rPr/>
      </w:pPr>
      <w:r>
        <w:rPr/>
        <w:t xml:space="preserve">Az EU láthatóbbá tételére irányuló intézkedések, valamint az EU diplomáciai képviseletére vonatkozó elképzelések, például az Egyesült Nemzetek Biztonsági Tanácsában egyetlen székhellyel; </w:t>
      </w:r>
    </w:p>
    <w:p>
      <w:pPr>
        <w:pStyle w:val="Corpsdetexte"/>
        <w:jc w:val="left"/>
        <w:rPr/>
      </w:pPr>
      <w:r>
        <w:rPr/>
        <w:t>Puha hatalom gyakorlása a multilateralizmus szószólójaként a kereskedelempolitikák megerősítése révén;</w:t>
      </w:r>
    </w:p>
    <w:p>
      <w:pPr>
        <w:pStyle w:val="Corpsdetexte"/>
        <w:jc w:val="left"/>
        <w:rPr/>
      </w:pPr>
      <w:r>
        <w:rPr/>
        <w:t>További bővítés, különösen a nyugat-balkáni országokban. Az Ukrajna elleni orosz agressziós háború fényében az EU Ukrajna tagságát is megvitatták;</w:t>
      </w:r>
    </w:p>
    <w:p>
      <w:pPr>
        <w:pStyle w:val="Corpsdetexte"/>
        <w:jc w:val="left"/>
        <w:rPr/>
      </w:pPr>
      <w:r>
        <w:rPr/>
        <w:t xml:space="preserve">Az EU stratégiai autonómiájának előmozdítása és az EU elsődleges közös gazdasági piaci funkciójára való összpontosítás fokozása; </w:t>
      </w:r>
    </w:p>
    <w:p>
      <w:pPr>
        <w:pStyle w:val="Corpsdetexte"/>
        <w:jc w:val="left"/>
        <w:rPr/>
      </w:pPr>
      <w:r>
        <w:rPr/>
        <w:t xml:space="preserve">Határozottabb álláspont kialakítása Kínával szemben, különösen az Európai Unió külberuházási stratégiájának elfogadása révén; </w:t>
      </w:r>
    </w:p>
    <w:p>
      <w:pPr>
        <w:pStyle w:val="Corpsdetexte"/>
        <w:jc w:val="left"/>
        <w:rPr/>
      </w:pPr>
      <w:r>
        <w:rPr/>
        <w:t>A legutóbbi hozzájárulások nagy része az EU szerepét érintette az Ukrajna elleni orosz agressziós háborúban, és leggyakrabban arra szólítja fel az EU-t, hogy támogassa Ukrajnát, vagy vállaljon vezető szerepet a konfliktus megszüntetésében.</w:t>
      </w:r>
    </w:p>
    <w:p>
      <w:pPr>
        <w:pStyle w:val="Normal"/>
        <w:jc w:val="left"/>
        <w:rPr/>
      </w:pPr>
      <w:r>
        <w:rPr/>
      </w:r>
    </w:p>
    <w:p>
      <w:pPr>
        <w:pStyle w:val="Normal"/>
        <w:jc w:val="left"/>
        <w:rPr/>
      </w:pPr>
      <w:r>
        <w:rPr/>
        <w:drawing>
          <wp:anchor behindDoc="0" distT="0" distB="0" distL="0" distR="0" simplePos="0" locked="0" layoutInCell="0" allowOverlap="1" relativeHeight="64">
            <wp:simplePos x="0" y="0"/>
            <wp:positionH relativeFrom="column">
              <wp:posOffset>5715</wp:posOffset>
            </wp:positionH>
            <wp:positionV relativeFrom="paragraph">
              <wp:posOffset>127000</wp:posOffset>
            </wp:positionV>
            <wp:extent cx="825500" cy="795655"/>
            <wp:effectExtent l="0" t="0" r="0" b="0"/>
            <wp:wrapSquare wrapText="largest"/>
            <wp:docPr id="16" name="10 kép"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0 kép" descr=""/>
                    <pic:cNvPicPr>
                      <a:picLocks noChangeAspect="1" noChangeArrowheads="1"/>
                    </pic:cNvPicPr>
                  </pic:nvPicPr>
                  <pic:blipFill>
                    <a:blip r:embed="rId22"/>
                    <a:stretch>
                      <a:fillRect/>
                    </a:stretch>
                  </pic:blipFill>
                  <pic:spPr bwMode="auto">
                    <a:xfrm>
                      <a:off x="0" y="0"/>
                      <a:ext cx="825500" cy="795655"/>
                    </a:xfrm>
                    <a:prstGeom prst="rect">
                      <a:avLst/>
                    </a:prstGeom>
                  </pic:spPr>
                </pic:pic>
              </a:graphicData>
            </a:graphic>
          </wp:anchor>
        </w:drawing>
      </w:r>
    </w:p>
    <w:p>
      <w:pPr>
        <w:pStyle w:val="Titre2"/>
        <w:numPr>
          <w:ilvl w:val="1"/>
          <w:numId w:val="1"/>
        </w:numPr>
        <w:jc w:val="left"/>
        <w:rPr/>
      </w:pPr>
      <w:bookmarkStart w:id="6" w:name="__RefHeading___Toc86341_2514204080"/>
      <w:bookmarkEnd w:id="6"/>
      <w:r>
        <w:rPr/>
        <w:t>Értékek és jogok, jogállamiság és biztonság</w:t>
      </w:r>
    </w:p>
    <w:p>
      <w:pPr>
        <w:pStyle w:val="Corpsdetexte"/>
        <w:jc w:val="left"/>
        <w:rPr/>
      </w:pPr>
      <w:r>
        <w:rPr/>
        <w:t>A hozzászólók előrehaladott elképzelésekkel rendelkeznek az egyenlőségről, valamint a különböző jogokról és szabadságokról, és megvitatták az európai értékek mint az uniós szakpolitikai döntéshozatal irányadó elve fogalmát. Mivel az egyenlőséget alapvető uniós értéknek tekintik, határozottan támogatják a befogadó társadalom létrehozására irányuló fokozott erőfeszítéseket, és a hozzájárulók különösen a nemek közötti egyenlőség fokozására, az LMBTIQ-személyek jogainak elismerésére, valamint az etnikai kisebbségek és a fogyatékossággal élők befogadására szólítanak fel. Egy másik visszatérő elképzelés ebben a témában a jogállamiság fenntartásának és védelmének szükségességével kapcsolatos. A fő témák és ötletek a következők:</w:t>
      </w:r>
    </w:p>
    <w:p>
      <w:pPr>
        <w:pStyle w:val="Corpsdetexte"/>
        <w:jc w:val="left"/>
        <w:rPr/>
      </w:pPr>
      <w:r>
        <w:rPr/>
        <w:t>A megbeszélések során általánosságban biztosították az emberi jogokat és azok végrehajthatóvá tételének módjait, valamint a jogok és szabadságok széles skáláját. A civil és politikai jogok erőteljesen képviseltetve vannak ebben a témában a platformon, a magánélethez és a véleménynyilvánítás szabadságához való jog, valamint azok korlátai (dezinformáció, gyűlöletbeszéd) a legfontosabbak a hozzájárulások között. Felmerültek a gazdasági és szociális jogok is, mint például az erősebb gazdaság témájában;</w:t>
      </w:r>
    </w:p>
    <w:p>
      <w:pPr>
        <w:pStyle w:val="Corpsdetexte"/>
        <w:jc w:val="left"/>
        <w:rPr/>
      </w:pPr>
      <w:r>
        <w:rPr/>
        <w:t xml:space="preserve">A megkülönböztetés elleni küzdelem, valamint az egyenlőbb és befogadóbb társadalom elérésére irányuló eszközök és intézkedések, különösen a fogyatékossággal élő személyek, az idősek, a nemzeti és etnikai kisebbségek tekintetében. Számos ötlet kapcsolódik a nemek közötti egyenlőség megvalósításához, mint például az egyenlő díjazás biztosítása, valamint az LMBTIQ-személyek jogainak és szabadságainak védelme; </w:t>
      </w:r>
    </w:p>
    <w:p>
      <w:pPr>
        <w:pStyle w:val="Corpsdetexte"/>
        <w:jc w:val="left"/>
        <w:rPr/>
      </w:pPr>
      <w:r>
        <w:rPr/>
        <w:t xml:space="preserve">– </w:t>
      </w:r>
      <w:r>
        <w:rPr/>
        <w:t>Számos konkrét javaslat vonatkozik a jogállamiság védelmének javítására az EU-ban, például felülvizsgálati mechanizmusra vagy büntető stratégiák bevezetésére azon országok esetében, amelyek megsértik a jogállamiságot, például a támogatások csökkentésével vagy a szavazati jogok Tanácson belüli elvonásával. Néhány hozzászóló azonban kritikusnak tartja, hogy mit tekintenek az EU-nak a tagállamok belügyeibe való beavatkozással kapcsolatban;</w:t>
      </w:r>
    </w:p>
    <w:p>
      <w:pPr>
        <w:pStyle w:val="Corpsdetexte"/>
        <w:jc w:val="left"/>
        <w:rPr/>
      </w:pPr>
      <w:r>
        <w:rPr/>
        <w:t xml:space="preserve">– </w:t>
      </w:r>
      <w:r>
        <w:rPr/>
        <w:t xml:space="preserve">A hozzájárulások egy csoportja arra összpontosított, hogy mi minősül az uniós értékeknek, például az emberi jogoknak, a szabadságnak, az egyenlőségnek, a demokráciának, a jogállamiságnak, a pluralizmusnak, a szolidaritásnak és a nemek közötti egyenlőségnek, amelynek az EU politikáit és kölcsönhatásait globálisan kell irányítania, vagy akár bele kell foglalnia az uniós alkotmányba a közreműködők szerint; </w:t>
      </w:r>
    </w:p>
    <w:p>
      <w:pPr>
        <w:pStyle w:val="Corpsdetexte"/>
        <w:jc w:val="left"/>
        <w:rPr/>
      </w:pPr>
      <w:r>
        <w:rPr/>
        <w:t>A megbeszélések kitértek a keresztény értékek szerepére is, és néhány hozzászóló arra a következtetésre jutott, hogy az EU-n belüli konzervatívabb hangokat és megközelítéseket nem szabad elutasítani;</w:t>
      </w:r>
    </w:p>
    <w:p>
      <w:pPr>
        <w:pStyle w:val="Corpsdetexte"/>
        <w:jc w:val="left"/>
        <w:rPr/>
      </w:pPr>
      <w:r>
        <w:rPr/>
        <w:t xml:space="preserve">– </w:t>
      </w:r>
      <w:r>
        <w:rPr/>
        <w:t xml:space="preserve">Ahogy az EU a világ témájában, a biztonsági téma keretében számos résztvevő megvitatta az uniós hadsereg elképzelését és az európai országok közötti szorosabb együttműködés szükségességét a belső biztonsági kérdésekben. A közelmúlt geopolitikai eseményei csak megerősítették ezt a fokozott uniós katonai szervezetre és határvédelemre irányuló felhívást; </w:t>
      </w:r>
    </w:p>
    <w:p>
      <w:pPr>
        <w:pStyle w:val="Corpsdetexte"/>
        <w:jc w:val="left"/>
        <w:rPr/>
      </w:pPr>
      <w:r>
        <w:rPr/>
        <w:t xml:space="preserve">– </w:t>
      </w:r>
      <w:r>
        <w:rPr/>
        <w:t>A lobbizás átláthatóbbá tétele és a korrupció elleni küzdelem érdekében megerősített szabályozásra van szükség.</w:t>
      </w:r>
    </w:p>
    <w:p>
      <w:pPr>
        <w:pStyle w:val="Corpsdetexte"/>
        <w:spacing w:lineRule="auto" w:line="240" w:before="57" w:after="57"/>
        <w:jc w:val="left"/>
        <w:rPr/>
      </w:pPr>
      <w:r>
        <w:rPr/>
      </w:r>
    </w:p>
    <w:p>
      <w:pPr>
        <w:pStyle w:val="Normal"/>
        <w:jc w:val="left"/>
        <w:rPr/>
      </w:pPr>
      <w:r>
        <w:rPr/>
      </w:r>
    </w:p>
    <w:p>
      <w:pPr>
        <w:pStyle w:val="Normal"/>
        <w:jc w:val="left"/>
        <w:rPr/>
      </w:pPr>
      <w:r>
        <w:rPr/>
      </w:r>
    </w:p>
    <w:p>
      <w:pPr>
        <w:pStyle w:val="Normal"/>
        <w:jc w:val="left"/>
        <w:rPr/>
      </w:pPr>
      <w:r>
        <w:rPr/>
      </w:r>
    </w:p>
    <w:p>
      <w:pPr>
        <w:pStyle w:val="Titre2"/>
        <w:numPr>
          <w:ilvl w:val="1"/>
          <w:numId w:val="1"/>
        </w:numPr>
        <w:jc w:val="left"/>
        <w:rPr/>
      </w:pPr>
      <w:bookmarkStart w:id="7" w:name="__RefHeading___Toc86343_2514204080"/>
      <w:bookmarkEnd w:id="7"/>
      <w:r>
        <w:drawing>
          <wp:anchor behindDoc="0" distT="0" distB="0" distL="0" distR="0" simplePos="0" locked="0" layoutInCell="0" allowOverlap="1" relativeHeight="67">
            <wp:simplePos x="0" y="0"/>
            <wp:positionH relativeFrom="column">
              <wp:align>left</wp:align>
            </wp:positionH>
            <wp:positionV relativeFrom="line">
              <wp:posOffset>635</wp:posOffset>
            </wp:positionV>
            <wp:extent cx="628650" cy="1057275"/>
            <wp:effectExtent l="0" t="0" r="0" b="0"/>
            <wp:wrapSquare wrapText="right"/>
            <wp:docPr id="17" name="Image12 – Videó letöltés mp3-ban"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2 – Videó letöltés mp3-ban" descr=""/>
                    <pic:cNvPicPr>
                      <a:picLocks noChangeAspect="1" noChangeArrowheads="1"/>
                    </pic:cNvPicPr>
                  </pic:nvPicPr>
                  <pic:blipFill>
                    <a:blip r:embed="rId23"/>
                    <a:stretch>
                      <a:fillRect/>
                    </a:stretch>
                  </pic:blipFill>
                  <pic:spPr bwMode="auto">
                    <a:xfrm>
                      <a:off x="0" y="0"/>
                      <a:ext cx="628650" cy="1057275"/>
                    </a:xfrm>
                    <a:prstGeom prst="rect">
                      <a:avLst/>
                    </a:prstGeom>
                  </pic:spPr>
                </pic:pic>
              </a:graphicData>
            </a:graphic>
          </wp:anchor>
        </w:drawing>
      </w:r>
      <w:r>
        <w:rPr/>
        <w:t>Digitális transzformáció</w:t>
      </w:r>
    </w:p>
    <w:p>
      <w:pPr>
        <w:pStyle w:val="Corpsdetexte"/>
        <w:jc w:val="left"/>
        <w:rPr/>
      </w:pPr>
      <w:r>
        <w:rPr/>
      </w:r>
    </w:p>
    <w:p>
      <w:pPr>
        <w:pStyle w:val="Corpsdetexte"/>
        <w:jc w:val="left"/>
        <w:rPr/>
      </w:pPr>
      <w:r>
        <w:rPr/>
      </w:r>
    </w:p>
    <w:p>
      <w:pPr>
        <w:pStyle w:val="Corpsdetexte"/>
        <w:jc w:val="left"/>
        <w:rPr/>
      </w:pPr>
      <w:r>
        <w:rPr/>
        <w:t>A hozzászólók általánosságban hangsúlyozták a digitális átalakulás elősegítésének és az abba való beruházásnak a fontosságát számos területen, beleértve a kormányzást, a gazdaságot és az egészségügyet is. Ugyanakkor a digitális átalakulással kapcsolatos számos kihívásra is rávilágítottak, például az etikai megfontolásokra, a növekvő digitális szakadékra, az általános adatvédelmi rendelet hiányosságaira és a kiberfenyegetésekre. Összességében a leggyakrabban előforduló témák a digitális oktatásba való beruházás és a digitális készségek előmozdítása, valamint a digitális innovációba való beruházás és a digitálisan szuverén Európa felé való elmozdulás szükségességével kapcsolatosak. A fő témák a következők:</w:t>
      </w:r>
    </w:p>
    <w:p>
      <w:pPr>
        <w:pStyle w:val="Corpsdetexte"/>
        <w:jc w:val="left"/>
        <w:rPr/>
      </w:pPr>
      <w:r>
        <w:rPr/>
        <w:t>Annak biztosítása, hogy az uniós polgárok rendelkezzenek az egyre inkább digitális világban való sikerhez szükséges digitális készségekkel, valamint az oktatási rendszer digitalizálása;</w:t>
      </w:r>
    </w:p>
    <w:p>
      <w:pPr>
        <w:pStyle w:val="Corpsdetexte"/>
        <w:jc w:val="left"/>
        <w:rPr/>
      </w:pPr>
      <w:r>
        <w:rPr/>
        <w:t xml:space="preserve">A digitális innovációt támogató eszközök és intézkedések, például a mesterséges intelligencia és a digitális szuverenitás erősítése. Ez az altémák széles skáláját öleli fel: a nyílt forráskódú szoftverek, a fenntartható gyártás, a közösségi média és a platformok használatának ösztönzése, amelyek megfelelnek az uniós adatvédelmi normáknak, és szélesebb körben olyan európai digitális ökoszisztémát építenek ki, amely versenyképes és nyitott a világ számára, ugyanakkor biztonságos és tiszteletben tartja a magánélet védelmét is; </w:t>
      </w:r>
    </w:p>
    <w:p>
      <w:pPr>
        <w:pStyle w:val="Corpsdetexte"/>
        <w:jc w:val="left"/>
        <w:rPr/>
      </w:pPr>
      <w:r>
        <w:rPr/>
        <w:t xml:space="preserve">A digitális polgárság és az EU digitális egységesítésének számos eszköze, a digitális portálokra, az egész Európára kiterjedő digitális azonosításra vagy a személyes adatokhoz vagy közszolgáltatásokhoz való hozzáférés európai szintű hitelesítési módszerére vonatkozó javaslatokkal; </w:t>
      </w:r>
    </w:p>
    <w:p>
      <w:pPr>
        <w:pStyle w:val="Corpsdetexte"/>
        <w:jc w:val="left"/>
        <w:rPr/>
      </w:pPr>
      <w:r>
        <w:rPr/>
        <w:t>A résztvevők aggodalmukat fejezik ki az adatvédelem és a biztonság, az érzékeny személyes adatok központosított tárolásával kapcsolatos elképzelések, a nyílt forráskódú szoftverek vagy blokklánc-technológiák biztonságos nyilvános hálózatainak biztosítása, az adatvédelem védelmét célzó jogalkotási intézkedések és az EU kiberterrorizmussal szembeni védelmére irányuló központosított megközelítés miatt;</w:t>
      </w:r>
    </w:p>
    <w:p>
      <w:pPr>
        <w:pStyle w:val="Corpsdetexte"/>
        <w:jc w:val="left"/>
        <w:rPr/>
      </w:pPr>
      <w:r>
        <w:rPr/>
        <w:t>A digitális befogadásra irányuló munka a digitális térhez való megfizethető és inkluzív hozzáférést biztosító intézkedésekkel, valamint a digitális készségek előmozdítása a népességi profilok széles körében, valamint a digitális hozzáférhetőség biztosítása földrajzilag, többek között a vidéki területeken is;</w:t>
      </w:r>
    </w:p>
    <w:p>
      <w:pPr>
        <w:pStyle w:val="Corpsdetexte"/>
        <w:jc w:val="left"/>
        <w:rPr/>
      </w:pPr>
      <w:r>
        <w:rPr/>
        <w:t xml:space="preserve">Tartós digitális átállási intézkedések, amelyek révén a digitalizáció csökkenti a szennyezést, </w:t>
      </w:r>
      <w:r>
        <w:rPr>
          <w:rFonts w:ascii="Arial;sans-serif" w:hAnsi="Arial;sans-serif"/>
          <w:color w:val="000000"/>
        </w:rPr>
        <w:t>és többek között tartós, javítható digitális berendezésekre szólít fel</w:t>
      </w:r>
      <w:r>
        <w:rPr/>
        <w:t xml:space="preserve">; </w:t>
      </w:r>
    </w:p>
    <w:p>
      <w:pPr>
        <w:pStyle w:val="Corpsdetexte"/>
        <w:jc w:val="left"/>
        <w:rPr/>
      </w:pPr>
      <w:r>
        <w:rPr/>
        <w:t>A gazdaság digitalizálása a kriptovalutával kapcsolatos intézkedésekkel és a digitális euróra való felhívással;</w:t>
      </w:r>
    </w:p>
    <w:p>
      <w:pPr>
        <w:pStyle w:val="Corpsdetexte"/>
        <w:jc w:val="left"/>
        <w:rPr/>
      </w:pPr>
      <w:r>
        <w:rPr/>
        <w:t>Beruházás a digitális oktatásba és a digitális egészségügybe a technológia egészséges és tudatos használatának előmozdítása érdekében.</w:t>
      </w:r>
    </w:p>
    <w:p>
      <w:pPr>
        <w:pStyle w:val="Normal"/>
        <w:jc w:val="left"/>
        <w:rPr/>
      </w:pPr>
      <w:r>
        <w:rPr/>
        <w:drawing>
          <wp:anchor behindDoc="0" distT="0" distB="0" distL="0" distR="0" simplePos="0" locked="0" layoutInCell="0" allowOverlap="1" relativeHeight="69">
            <wp:simplePos x="0" y="0"/>
            <wp:positionH relativeFrom="column">
              <wp:posOffset>23495</wp:posOffset>
            </wp:positionH>
            <wp:positionV relativeFrom="paragraph">
              <wp:posOffset>60325</wp:posOffset>
            </wp:positionV>
            <wp:extent cx="815975" cy="1112520"/>
            <wp:effectExtent l="0" t="0" r="0" b="0"/>
            <wp:wrapSquare wrapText="largest"/>
            <wp:docPr id="18" name="Kép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Kép13" descr=""/>
                    <pic:cNvPicPr>
                      <a:picLocks noChangeAspect="1" noChangeArrowheads="1"/>
                    </pic:cNvPicPr>
                  </pic:nvPicPr>
                  <pic:blipFill>
                    <a:blip r:embed="rId24"/>
                    <a:stretch>
                      <a:fillRect/>
                    </a:stretch>
                  </pic:blipFill>
                  <pic:spPr bwMode="auto">
                    <a:xfrm>
                      <a:off x="0" y="0"/>
                      <a:ext cx="815975" cy="1112520"/>
                    </a:xfrm>
                    <a:prstGeom prst="rect">
                      <a:avLst/>
                    </a:prstGeom>
                  </pic:spPr>
                </pic:pic>
              </a:graphicData>
            </a:graphic>
          </wp:anchor>
        </w:drawing>
      </w:r>
    </w:p>
    <w:p>
      <w:pPr>
        <w:pStyle w:val="Corpsdetexte"/>
        <w:jc w:val="left"/>
        <w:rPr/>
      </w:pPr>
      <w:r>
        <w:rPr/>
      </w:r>
    </w:p>
    <w:p>
      <w:pPr>
        <w:pStyle w:val="Titre2"/>
        <w:numPr>
          <w:ilvl w:val="1"/>
          <w:numId w:val="1"/>
        </w:numPr>
        <w:jc w:val="left"/>
        <w:rPr/>
      </w:pPr>
      <w:bookmarkStart w:id="8" w:name="__RefHeading___Toc175897_1436627219"/>
      <w:bookmarkEnd w:id="8"/>
      <w:r>
        <w:rPr/>
        <w:t>Migráció</w:t>
      </w:r>
    </w:p>
    <w:p>
      <w:pPr>
        <w:pStyle w:val="Corpsdetexte"/>
        <w:jc w:val="left"/>
        <w:rPr/>
      </w:pPr>
      <w:r>
        <w:rPr/>
      </w:r>
    </w:p>
    <w:p>
      <w:pPr>
        <w:pStyle w:val="Corpsdetexte"/>
        <w:jc w:val="left"/>
        <w:rPr/>
      </w:pPr>
      <w:r>
        <w:rPr/>
        <w:t>Bár az e témával kapcsolatos hozzászólások következetesen közös uniós megközelítést igényelnek a migrációval kapcsolatban, többet tárnak fel, mint bármely más, rendkívül eltérő vélemény esetében. Egyrészt az interakciók egyik csoportja nagyobb szolidaritást és jobb integrációs eljárásokat tesz szükségessé, míg más hozzájárulások több fellépést kívánnak a migráció ellenőrzésére és csökkentésére. Köztes álláspontot képviselve a résztvevők egy másik csoportja szeretné előmozdítani a nemzetközi mobilitást, de csak a gazdaságilag fejlett demokráciák között. A leggyakrabban visszatérő témák közé tartozik a migrációval kapcsolatos közös uniós politika, az emberi jogok tiszteletben tartása a migráció területén, a migránsok integrációjának támogatása különböző módokon, valamint a szigorúbb határellenőrzésre és a migrációkezelésre irányuló elképzelések. Az ötletek a következőképpen foglalhatók össze: – Közös migrációs politikát szorgalmaz, mint például az uniós munkaerő-migrációs politika, az EU szelektív migrációs politikája vagy egy pontalapú rendszer; Felszólít az emberi jogokat tiszteletben tartó migrációs politikára, amely jobb befogadási infrastruktúrát és biztonságosabb migrációs útvonalakat biztosít; és humánusabb menekültügyi és kiutasítási eljárások; A migráció vagy az ellenőrzött migráció különböző formáinak csökkentésére irányuló egyedi intézkedések és eszközök, szigorúbb határellenőrzéssel és szigorúbb hazaszállítással;</w:t>
      </w:r>
    </w:p>
    <w:p>
      <w:pPr>
        <w:pStyle w:val="Corpsdetexte"/>
        <w:jc w:val="left"/>
        <w:rPr/>
      </w:pPr>
      <w:r>
        <w:rPr/>
        <w:t>Olyan eszközök és intézkedések, amelyek megkönnyítik és támogatják a migránsok és az állandó lakosok integrációját az EU-ban. A javasolt intézkedések közé tartoznak a migránsoknak szóló nyelvoktatási és önkéntes programok, valamint az uniós polgárok rasszizmus elleni érzékenységét célzó tájékoztató kampányok;</w:t>
      </w:r>
    </w:p>
    <w:p>
      <w:pPr>
        <w:pStyle w:val="Corpsdetexte"/>
        <w:jc w:val="left"/>
        <w:rPr/>
      </w:pPr>
      <w:r>
        <w:rPr/>
        <w:t>A migráció bármilyen formában való ellenállása, amely összekapcsolja azt a terrorizmussal, fenyegetést jelent az EU kulturális identitására, vagy a migrációt politikai fegyverként használja;</w:t>
      </w:r>
    </w:p>
    <w:p>
      <w:pPr>
        <w:pStyle w:val="Corpsdetexte"/>
        <w:jc w:val="left"/>
        <w:rPr/>
      </w:pPr>
      <w:r>
        <w:rPr/>
        <w:t>Jobban szervezett és összehangolt erőfeszítések a határellenőrzés terén: a Frontex fokozott támogatása és a tagállamok közötti nagyobb szolidaritás;</w:t>
      </w:r>
    </w:p>
    <w:p>
      <w:pPr>
        <w:pStyle w:val="Corpsdetexte"/>
        <w:jc w:val="left"/>
        <w:rPr/>
      </w:pPr>
      <w:r>
        <w:rPr/>
        <w:t>A migráció kiváltó okainak kezelése a származási országokban, például megerősített fejlesztési politikák és egyenlő kereskedelmi kapcsolatok révén. A megbeszélések az éghajlatváltozás elleni küzdelem módjaival is foglalkoztak.</w:t>
      </w:r>
    </w:p>
    <w:p>
      <w:pPr>
        <w:pStyle w:val="Corpsdetexte"/>
        <w:spacing w:lineRule="auto" w:line="240" w:before="57" w:after="57"/>
        <w:jc w:val="left"/>
        <w:rPr/>
      </w:pPr>
      <w:r>
        <w:rPr/>
      </w:r>
    </w:p>
    <w:p>
      <w:pPr>
        <w:pStyle w:val="Normal"/>
        <w:jc w:val="left"/>
        <w:rPr/>
      </w:pPr>
      <w:r>
        <w:rPr/>
      </w:r>
    </w:p>
    <w:p>
      <w:pPr>
        <w:pStyle w:val="Titre2"/>
        <w:numPr>
          <w:ilvl w:val="1"/>
          <w:numId w:val="1"/>
        </w:numPr>
        <w:jc w:val="left"/>
        <w:rPr/>
      </w:pPr>
      <w:bookmarkStart w:id="9" w:name="__RefHeading___Toc86345_2514204080"/>
      <w:bookmarkEnd w:id="9"/>
      <w:r>
        <w:drawing>
          <wp:anchor behindDoc="0" distT="0" distB="0" distL="0" distR="0" simplePos="0" locked="0" layoutInCell="0" allowOverlap="1" relativeHeight="68">
            <wp:simplePos x="0" y="0"/>
            <wp:positionH relativeFrom="column">
              <wp:align>left</wp:align>
            </wp:positionH>
            <wp:positionV relativeFrom="line">
              <wp:posOffset>635</wp:posOffset>
            </wp:positionV>
            <wp:extent cx="1019175" cy="857250"/>
            <wp:effectExtent l="0" t="0" r="0" b="0"/>
            <wp:wrapSquare wrapText="right"/>
            <wp:docPr id="19" name="Kép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Kép15" descr=""/>
                    <pic:cNvPicPr>
                      <a:picLocks noChangeAspect="1" noChangeArrowheads="1"/>
                    </pic:cNvPicPr>
                  </pic:nvPicPr>
                  <pic:blipFill>
                    <a:blip r:embed="rId25"/>
                    <a:stretch>
                      <a:fillRect/>
                    </a:stretch>
                  </pic:blipFill>
                  <pic:spPr bwMode="auto">
                    <a:xfrm>
                      <a:off x="0" y="0"/>
                      <a:ext cx="1019175" cy="857250"/>
                    </a:xfrm>
                    <a:prstGeom prst="rect">
                      <a:avLst/>
                    </a:prstGeom>
                  </pic:spPr>
                </pic:pic>
              </a:graphicData>
            </a:graphic>
          </wp:anchor>
        </w:drawing>
      </w:r>
      <w:r>
        <w:rPr/>
        <w:t>Oktatás, kultúra, ifjúság és sport</w:t>
      </w:r>
    </w:p>
    <w:p>
      <w:pPr>
        <w:pStyle w:val="Corpsdetexte"/>
        <w:jc w:val="left"/>
        <w:rPr/>
      </w:pPr>
      <w:r>
        <w:rPr/>
        <w:t xml:space="preserve">Több tematikus jellege miatt az e témához tartozó tartalmak különböző témákat fednek le. Míg a fiatalok számos ötletben jelen vannak a platformon, a téma középpontjában az oktatás és a kultúra áll. A platform más részeihez hasonlóan a közös uniós identitás előmozdítására irányuló felhívás az e téma keretében azonosított témák visszatérő érzése, amely többek között a cserékhez, a különböző kultúráknak való kitettséghez és a mobilitáshoz kapcsolódik. Az e témához tartozó témák közül sok horizontális jellegű, ezért másutt is megjelenik a platformon: </w:t>
      </w:r>
    </w:p>
    <w:p>
      <w:pPr>
        <w:pStyle w:val="Corpsdetexte"/>
        <w:jc w:val="left"/>
        <w:rPr/>
      </w:pPr>
      <w:r>
        <w:rPr/>
        <w:t>Az európai identitás és az európai polgárság fejlesztését elősegítő eszközök és intézkedések; kulcsfontosságú szerepet tölt be a média és az európai újságírás, valamint az európai értékeket és kultúrát terjesztő európai produkciók számára;</w:t>
      </w:r>
    </w:p>
    <w:p>
      <w:pPr>
        <w:pStyle w:val="Corpsdetexte"/>
        <w:jc w:val="left"/>
        <w:rPr/>
      </w:pPr>
      <w:r>
        <w:rPr/>
        <w:t>Az uniós intézményekről és az európai történelemről szóló iskolákban a fokozott idegennyelv-oktatás vagy kötelező tanfolyamok szintén az elismerés és a közös uniós identitás előmozdításának eszközei. Számos javaslat született egy egységesítő, közös nyelvre a platformon, különböző témákban; a javaslatok az eszperantótól az angolig terjednek, mint közös nyelv. Különösen az eszperantó elismerésére vonatkozó felhívás széles körben fordul elő a különböző témákban, többek között az egyéb ötletekben;</w:t>
      </w:r>
    </w:p>
    <w:p>
      <w:pPr>
        <w:pStyle w:val="Corpsdetexte"/>
        <w:jc w:val="left"/>
        <w:rPr/>
      </w:pPr>
      <w:r>
        <w:rPr/>
        <w:t>Különböző javaslatok az EU-n belüli mobilitás előmozdítására, különös tekintettel az oktatásra, többek között az Erasmus-ösztöndíjak bővítésével;</w:t>
      </w:r>
    </w:p>
    <w:p>
      <w:pPr>
        <w:pStyle w:val="Corpsdetexte"/>
        <w:jc w:val="left"/>
        <w:rPr/>
      </w:pPr>
      <w:r>
        <w:rPr/>
        <w:t xml:space="preserve">Számos ötlet veti fel az időtálló oktatás szükségességét a digitalizáció, a STEM-készségek mellett a puha készségek előmozdítása, illetve általában a kultúrák közötti készségek előmozdítása révén; </w:t>
      </w:r>
    </w:p>
    <w:p>
      <w:pPr>
        <w:pStyle w:val="Corpsdetexte"/>
        <w:jc w:val="left"/>
        <w:rPr/>
      </w:pPr>
      <w:r>
        <w:rPr/>
        <w:t xml:space="preserve">– </w:t>
      </w:r>
      <w:r>
        <w:rPr/>
        <w:t xml:space="preserve">Emellett az e témában benyújtott ötletek konkrét intézkedéseket is megvitatnak az ifjúsági munkanélküliséggel és az ifjúsági munkanélküliséggel, a munkahelyi bizonytalansággal, az oktatási és képzési szükségletekkel vagy a fiataloknak nyújtott konkrét foglalkoztatási támogatással kapcsolatban; </w:t>
      </w:r>
    </w:p>
    <w:p>
      <w:pPr>
        <w:pStyle w:val="Corpsdetexte"/>
        <w:jc w:val="left"/>
        <w:rPr/>
      </w:pPr>
      <w:r>
        <w:rPr/>
        <w:t xml:space="preserve">Az oktatáshoz, különösen a felsőoktatáshoz való egyenlő hozzáférés biztosítása, különösen a vidéki lakosok, a volt fogvatartottak, az etnikai kisebbségek és a fogyatékossággal élők támogatása a felsőfokú tanulmányokhoz való hozzáférés lehetővé tétele érdekében; </w:t>
      </w:r>
    </w:p>
    <w:p>
      <w:pPr>
        <w:pStyle w:val="Corpsdetexte"/>
        <w:jc w:val="left"/>
        <w:rPr/>
      </w:pPr>
      <w:r>
        <w:rPr/>
        <w:t xml:space="preserve">A kulturális és kreatív ágazat jogi kerettel történő támogatásának és védelmének szükségessége; </w:t>
      </w:r>
    </w:p>
    <w:p>
      <w:pPr>
        <w:pStyle w:val="Corpsdetexte"/>
        <w:jc w:val="left"/>
        <w:rPr/>
      </w:pPr>
      <w:r>
        <w:rPr/>
        <w:t xml:space="preserve">A tudományos szakembereket és kutatókat támogató eszközök és intézkedések; </w:t>
      </w:r>
    </w:p>
    <w:p>
      <w:pPr>
        <w:pStyle w:val="Corpsdetexte"/>
        <w:jc w:val="left"/>
        <w:rPr/>
      </w:pPr>
      <w:r>
        <w:rPr/>
        <w:t>Az ötletek kisebb hányada foglalkozott az EU-n belüli sporttal és a sporttal kapcsolatos inkluzivitás javításának módjaival.</w:t>
      </w:r>
    </w:p>
    <w:p>
      <w:pPr>
        <w:pStyle w:val="Corpsdetexte"/>
        <w:spacing w:lineRule="auto" w:line="240" w:before="57" w:after="57"/>
        <w:jc w:val="left"/>
        <w:rPr/>
      </w:pPr>
      <w:r>
        <w:rPr/>
      </w:r>
      <w:r>
        <w:br w:type="page"/>
      </w:r>
    </w:p>
    <w:p>
      <w:pPr>
        <w:pStyle w:val="Corpsdetexte"/>
        <w:spacing w:lineRule="auto" w:line="240" w:before="57" w:after="57"/>
        <w:jc w:val="left"/>
        <w:rPr/>
      </w:pPr>
      <w:r>
        <w:rPr/>
        <w:drawing>
          <wp:anchor behindDoc="0" distT="0" distB="0" distL="0" distR="0" simplePos="0" locked="0" layoutInCell="0" allowOverlap="1" relativeHeight="73">
            <wp:simplePos x="0" y="0"/>
            <wp:positionH relativeFrom="column">
              <wp:align>center</wp:align>
            </wp:positionH>
            <wp:positionV relativeFrom="paragraph">
              <wp:posOffset>635</wp:posOffset>
            </wp:positionV>
            <wp:extent cx="2970530" cy="1986915"/>
            <wp:effectExtent l="0" t="0" r="0" b="0"/>
            <wp:wrapSquare wrapText="largest"/>
            <wp:docPr id="20" name="Kép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Kép16" descr=""/>
                    <pic:cNvPicPr>
                      <a:picLocks noChangeAspect="1" noChangeArrowheads="1"/>
                    </pic:cNvPicPr>
                  </pic:nvPicPr>
                  <pic:blipFill>
                    <a:blip r:embed="rId26"/>
                    <a:stretch>
                      <a:fillRect/>
                    </a:stretch>
                  </pic:blipFill>
                  <pic:spPr bwMode="auto">
                    <a:xfrm>
                      <a:off x="0" y="0"/>
                      <a:ext cx="2970530" cy="1986915"/>
                    </a:xfrm>
                    <a:prstGeom prst="rect">
                      <a:avLst/>
                    </a:prstGeom>
                  </pic:spPr>
                </pic:pic>
              </a:graphicData>
            </a:graphic>
          </wp:anchor>
        </w:drawing>
      </w:r>
    </w:p>
    <w:p>
      <w:pPr>
        <w:pStyle w:val="Titre1"/>
        <w:numPr>
          <w:ilvl w:val="0"/>
          <w:numId w:val="1"/>
        </w:numPr>
        <w:rPr/>
      </w:pPr>
      <w:bookmarkStart w:id="10" w:name="__RefHeading___Toc86347_2514204080"/>
      <w:bookmarkEnd w:id="10"/>
      <w:r>
        <w:rPr/>
        <w:t xml:space="preserve">1. A platformon tett hozzászólások áttekintése </w:t>
      </w:r>
    </w:p>
    <w:p>
      <w:pPr>
        <w:pStyle w:val="Normal"/>
        <w:jc w:val="left"/>
        <w:rPr/>
      </w:pPr>
      <w:r>
        <w:rPr/>
        <w:drawing>
          <wp:anchor behindDoc="0" distT="0" distB="0" distL="0" distR="0" simplePos="0" locked="0" layoutInCell="0" allowOverlap="1" relativeHeight="70">
            <wp:simplePos x="0" y="0"/>
            <wp:positionH relativeFrom="column">
              <wp:posOffset>-26035</wp:posOffset>
            </wp:positionH>
            <wp:positionV relativeFrom="paragraph">
              <wp:posOffset>244475</wp:posOffset>
            </wp:positionV>
            <wp:extent cx="622935" cy="362585"/>
            <wp:effectExtent l="0" t="0" r="0" b="0"/>
            <wp:wrapSquare wrapText="largest"/>
            <wp:docPr id="21" name="Kép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Kép17" descr=""/>
                    <pic:cNvPicPr>
                      <a:picLocks noChangeAspect="1" noChangeArrowheads="1"/>
                    </pic:cNvPicPr>
                  </pic:nvPicPr>
                  <pic:blipFill>
                    <a:blip r:embed="rId27"/>
                    <a:stretch>
                      <a:fillRect/>
                    </a:stretch>
                  </pic:blipFill>
                  <pic:spPr bwMode="auto">
                    <a:xfrm>
                      <a:off x="0" y="0"/>
                      <a:ext cx="622935" cy="362585"/>
                    </a:xfrm>
                    <a:prstGeom prst="rect">
                      <a:avLst/>
                    </a:prstGeom>
                  </pic:spPr>
                </pic:pic>
              </a:graphicData>
            </a:graphic>
          </wp:anchor>
        </w:drawing>
      </w:r>
    </w:p>
    <w:p>
      <w:pPr>
        <w:pStyle w:val="Titre2"/>
        <w:numPr>
          <w:ilvl w:val="1"/>
          <w:numId w:val="1"/>
        </w:numPr>
        <w:jc w:val="left"/>
        <w:rPr/>
      </w:pPr>
      <w:bookmarkStart w:id="11" w:name="__RefHeading___Toc86349_2514204080"/>
      <w:bookmarkEnd w:id="11"/>
      <w:r>
        <w:rPr/>
        <w:t>A tevékenység áttekintése</w:t>
      </w:r>
    </w:p>
    <w:p>
      <w:pPr>
        <w:pStyle w:val="Corpsdetexte"/>
        <w:jc w:val="left"/>
        <w:rPr/>
      </w:pPr>
      <w:r>
        <w:rPr/>
        <w:t>A többnyelvű digitális platform 2022. április 19-től május 9-ig történő elindítása óta összesen 48 530 hozzászólás érkezett a platformra, amely ötleteket, észrevételeket és eseményeket tartalmazott. A tevékenység az alábbiak szerint bontható:</w:t>
      </w:r>
    </w:p>
    <w:p>
      <w:pPr>
        <w:pStyle w:val="Corpsdetexte"/>
        <w:jc w:val="left"/>
        <w:rPr/>
      </w:pPr>
      <w:r>
        <w:rPr/>
        <w:t xml:space="preserve">– </w:t>
      </w:r>
      <w:r>
        <w:rPr/>
        <w:t>Ötletek: 18,955</w:t>
      </w:r>
    </w:p>
    <w:p>
      <w:pPr>
        <w:pStyle w:val="Corpsdetexte"/>
        <w:jc w:val="left"/>
        <w:rPr/>
      </w:pPr>
      <w:r>
        <w:rPr/>
        <w:t xml:space="preserve">– </w:t>
      </w:r>
      <w:r>
        <w:rPr/>
        <w:t>Megjegyzések: 22,570</w:t>
      </w:r>
    </w:p>
    <w:p>
      <w:pPr>
        <w:pStyle w:val="Corpsdetexte"/>
        <w:jc w:val="left"/>
        <w:rPr/>
      </w:pPr>
      <w:r>
        <w:rPr/>
        <w:t xml:space="preserve">– </w:t>
      </w:r>
      <w:r>
        <w:rPr/>
        <w:t>Események: 7,005</w:t>
      </w:r>
    </w:p>
    <w:p>
      <w:pPr>
        <w:pStyle w:val="Corpsdetexte"/>
        <w:spacing w:lineRule="auto" w:line="240" w:before="57" w:after="57"/>
        <w:jc w:val="left"/>
        <w:rPr/>
      </w:pPr>
      <w:r>
        <w:rPr/>
      </w:r>
    </w:p>
    <w:p>
      <w:pPr>
        <w:pStyle w:val="Corpsdetexte"/>
        <w:jc w:val="left"/>
        <w:rPr/>
      </w:pPr>
      <w:r>
        <w:rPr/>
        <w:t>A trendvonalat vizsgálva (lásd az 1. ábrát) az ötletek és észrevételek benyújtásában három csúcspont figyelhető meg. Az első csúcs egybeesett a platform elindításával, a második csúcs az Európa jövőjéről szóló konferencia május 9-i felavatása körül következett be, míg a harmadik csúcs a február 20-i határidő előtti utolsó héten történt, amikor a legutóbbi közzétett jelentésben figyelembe kell venni a hozzájárulásokat.</w:t>
      </w:r>
    </w:p>
    <w:p>
      <w:pPr>
        <w:pStyle w:val="Corpsdetexte"/>
        <w:spacing w:lineRule="auto" w:line="240" w:before="57" w:after="57"/>
        <w:jc w:val="left"/>
        <w:rPr/>
      </w:pPr>
      <w:r>
        <w:rPr/>
      </w:r>
      <w:r>
        <w:br w:type="page"/>
      </w:r>
    </w:p>
    <w:p>
      <w:pPr>
        <w:pStyle w:val="Corpsdetexte"/>
        <w:spacing w:lineRule="auto" w:line="240" w:before="57" w:after="57"/>
        <w:jc w:val="left"/>
        <w:rPr/>
      </w:pPr>
      <w:r>
        <w:rPr/>
        <mc:AlternateContent>
          <mc:Choice Requires="wps">
            <w:drawing>
              <wp:anchor behindDoc="0" distT="0" distB="0" distL="0" distR="0" simplePos="0" locked="0" layoutInCell="0" allowOverlap="1" relativeHeight="71">
                <wp:simplePos x="0" y="0"/>
                <wp:positionH relativeFrom="column">
                  <wp:posOffset>-127635</wp:posOffset>
                </wp:positionH>
                <wp:positionV relativeFrom="paragraph">
                  <wp:posOffset>7620</wp:posOffset>
                </wp:positionV>
                <wp:extent cx="6149975" cy="4934585"/>
                <wp:effectExtent l="0" t="0" r="0" b="0"/>
                <wp:wrapTopAndBottom/>
                <wp:docPr id="22" name="Cadre4 – Videó letöltés mp3-ban"/>
                <a:graphic xmlns:a="http://schemas.openxmlformats.org/drawingml/2006/main">
                  <a:graphicData uri="http://schemas.microsoft.com/office/word/2010/wordprocessingShape">
                    <wps:wsp>
                      <wps:cNvSpPr/>
                      <wps:spPr>
                        <a:xfrm>
                          <a:off x="0" y="0"/>
                          <a:ext cx="6149880" cy="493452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Ábra. Az ötletek és észrevételek napi benyújtási ütemterve (19/04/2021–09/05/2022) </w:t>
                            </w:r>
                          </w:p>
                        </w:txbxContent>
                      </wps:txbx>
                      <wps:bodyPr lIns="0" rIns="0" tIns="0" bIns="0" anchor="t">
                        <a:noAutofit/>
                      </wps:bodyPr>
                    </wps:wsp>
                  </a:graphicData>
                </a:graphic>
              </wp:anchor>
            </w:drawing>
          </mc:Choice>
          <mc:Fallback>
            <w:pict>
              <v:rect id="shape_0" ID="Cadre4 – Videó letöltés mp3-ban" path="m0,0l-2147483645,0l-2147483645,-2147483646l0,-2147483646xe" fillcolor="white" stroked="f" o:allowincell="f" style="position:absolute;margin-left:-10.05pt;margin-top:0.6pt;width:484.2pt;height:388.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Ábra. Az ötletek és észrevételek napi benyújtási ütemterve (19/04/2021–09/05/2022) </w:t>
                      </w:r>
                    </w:p>
                  </w:txbxContent>
                </v:textbox>
                <w10:wrap type="topAndBottom"/>
              </v:rect>
            </w:pict>
          </mc:Fallback>
        </mc:AlternateContent>
        <mc:AlternateContent>
          <mc:Choice Requires="wpg">
            <w:drawing>
              <wp:anchor behindDoc="0" distT="0" distB="0" distL="0" distR="0" simplePos="0" locked="0" layoutInCell="0" allowOverlap="1" relativeHeight="74">
                <wp:simplePos x="0" y="0"/>
                <wp:positionH relativeFrom="column">
                  <wp:posOffset>-61595</wp:posOffset>
                </wp:positionH>
                <wp:positionV relativeFrom="paragraph">
                  <wp:posOffset>457835</wp:posOffset>
                </wp:positionV>
                <wp:extent cx="6083935" cy="3895090"/>
                <wp:effectExtent l="0" t="0" r="0" b="0"/>
                <wp:wrapTopAndBottom/>
                <wp:docPr id="24" name="Forrás: Forme1"/>
                <a:graphic xmlns:a="http://schemas.openxmlformats.org/drawingml/2006/main">
                  <a:graphicData uri="http://schemas.microsoft.com/office/word/2010/wordprocessingGroup">
                    <wpg:wgp>
                      <wpg:cNvGrpSpPr/>
                      <wpg:grpSpPr>
                        <a:xfrm>
                          <a:off x="0" y="0"/>
                          <a:ext cx="6084000" cy="3895200"/>
                          <a:chOff x="0" y="0"/>
                          <a:chExt cx="6084000" cy="3895200"/>
                        </a:xfrm>
                      </wpg:grpSpPr>
                      <pic:pic xmlns:pic="http://schemas.openxmlformats.org/drawingml/2006/picture">
                        <pic:nvPicPr>
                          <pic:cNvPr id="0" name="" descr=""/>
                          <pic:cNvPicPr/>
                        </pic:nvPicPr>
                        <pic:blipFill>
                          <a:blip r:embed="rId28"/>
                          <a:stretch/>
                        </pic:blipFill>
                        <pic:spPr>
                          <a:xfrm>
                            <a:off x="139680" y="207000"/>
                            <a:ext cx="5749200" cy="3102120"/>
                          </a:xfrm>
                          <a:prstGeom prst="rect">
                            <a:avLst/>
                          </a:prstGeom>
                          <a:ln w="0">
                            <a:noFill/>
                          </a:ln>
                        </pic:spPr>
                      </pic:pic>
                      <wps:wsp>
                        <wps:cNvSpPr/>
                        <wps:spPr>
                          <a:xfrm>
                            <a:off x="1569600" y="0"/>
                            <a:ext cx="3666960" cy="3524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Ötletek és megjegyzések napi beküldése</w:t>
                              </w:r>
                            </w:p>
                          </w:txbxContent>
                        </wps:txbx>
                        <wps:bodyPr lIns="90000" rIns="90000" tIns="45000" bIns="45000" anchor="t">
                          <a:noAutofit/>
                        </wps:bodyPr>
                      </wps:wsp>
                      <wps:wsp>
                        <wps:cNvSpPr/>
                        <wps:spPr>
                          <a:xfrm>
                            <a:off x="0" y="418320"/>
                            <a:ext cx="652680" cy="351720"/>
                          </a:xfrm>
                          <a:prstGeom prst="rect">
                            <a:avLst/>
                          </a:prstGeom>
                          <a:solidFill>
                            <a:srgbClr val="ffffff"/>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1000</w:t>
                              </w:r>
                            </w:p>
                          </w:txbxContent>
                        </wps:txbx>
                        <wps:bodyPr lIns="90000" rIns="90000" tIns="45000" bIns="45000" anchor="t">
                          <a:noAutofit/>
                        </wps:bodyPr>
                      </wps:wsp>
                      <wps:wsp>
                        <wps:cNvSpPr/>
                        <wps:spPr>
                          <a:xfrm>
                            <a:off x="378360" y="3310200"/>
                            <a:ext cx="746640" cy="58500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2021. május 9.</w:t>
                              </w:r>
                            </w:p>
                          </w:txbxContent>
                        </wps:txbx>
                        <wps:bodyPr lIns="90000" rIns="90000" tIns="45000" bIns="45000" anchor="t">
                          <a:noAutofit/>
                        </wps:bodyPr>
                      </wps:wsp>
                      <wps:wsp>
                        <wps:cNvSpPr/>
                        <wps:spPr>
                          <a:xfrm>
                            <a:off x="5336640" y="3310200"/>
                            <a:ext cx="747360" cy="58500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2022. május 9.</w:t>
                              </w:r>
                            </w:p>
                          </w:txbxContent>
                        </wps:txbx>
                        <wps:bodyPr lIns="90000" rIns="90000" tIns="45000" bIns="45000" anchor="t">
                          <a:noAutofit/>
                        </wps:bodyPr>
                      </wps:wsp>
                    </wpg:wgp>
                  </a:graphicData>
                </a:graphic>
              </wp:anchor>
            </w:drawing>
          </mc:Choice>
          <mc:Fallback>
            <w:pict>
              <v:group id="shape_0" alt="Forrás: Forme1" style="position:absolute;margin-left:-4.85pt;margin-top:36.05pt;width:479.05pt;height:306.7pt" coordorigin="-97,721" coordsize="9581,61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o:allowincell="f" style="position:absolute;left:123;top:1047;width:9053;height:4884;mso-wrap-style:none;v-text-anchor:middle" type="_x0000_t75">
                  <v:imagedata r:id="rId28" o:detectmouseclick="t"/>
                  <v:stroke color="#3465a4" joinstyle="round" endcap="flat"/>
                  <w10:wrap type="topAndBottom"/>
                </v:shape>
                <v:rect id="shape_0" path="m0,0l-2147483645,0l-2147483645,-2147483646l0,-2147483646xe" stroked="f" o:allowincell="f" style="position:absolute;left:2375;top:721;width:5774;height:55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Ötletek és megjegyzések napi beküldése</w:t>
                        </w:r>
                      </w:p>
                    </w:txbxContent>
                  </v:textbox>
                  <v:fill o:detectmouseclick="t" on="false"/>
                  <v:stroke color="#3465a4" joinstyle="round" endcap="flat"/>
                  <w10:wrap type="topAndBottom"/>
                </v:rect>
                <v:rect id="shape_0" path="m0,0l-2147483645,0l-2147483645,-2147483646l0,-2147483646xe" fillcolor="white" stroked="f" o:allowincell="f" style="position:absolute;left:-97;top:1380;width:1027;height:553;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1000</w:t>
                        </w:r>
                      </w:p>
                    </w:txbxContent>
                  </v:textbox>
                  <v:fill o:detectmouseclick="t" type="solid" color2="black"/>
                  <v:stroke color="#3465a4" joinstyle="round" endcap="flat"/>
                  <w10:wrap type="topAndBottom"/>
                </v:rect>
                <v:rect id="shape_0" path="m0,0l-2147483645,0l-2147483645,-2147483646l0,-2147483646xe" stroked="f" o:allowincell="f" style="position:absolute;left:499;top:5934;width:1175;height:92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2021. május 9.</w:t>
                        </w:r>
                      </w:p>
                    </w:txbxContent>
                  </v:textbox>
                  <v:fill o:detectmouseclick="t" on="false"/>
                  <v:stroke color="#3465a4" joinstyle="round" endcap="flat"/>
                  <w10:wrap type="topAndBottom"/>
                </v:rect>
                <v:rect id="shape_0" path="m0,0l-2147483645,0l-2147483645,-2147483646l0,-2147483646xe" stroked="f" o:allowincell="f" style="position:absolute;left:8307;top:5934;width:1176;height:92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2022. május 9.</w:t>
                        </w:r>
                      </w:p>
                    </w:txbxContent>
                  </v:textbox>
                  <v:fill o:detectmouseclick="t" on="false"/>
                  <v:stroke color="#3465a4" joinstyle="round" endcap="flat"/>
                  <w10:wrap type="topAndBottom"/>
                </v:rect>
              </v:group>
            </w:pict>
          </mc:Fallback>
        </mc:AlternateContent>
      </w:r>
    </w:p>
    <w:p>
      <w:pPr>
        <w:pStyle w:val="Corpsdetexte"/>
        <w:spacing w:lineRule="auto" w:line="240" w:before="57" w:after="57"/>
        <w:jc w:val="left"/>
        <w:rPr/>
      </w:pPr>
      <w:r>
        <w:rPr/>
      </w:r>
    </w:p>
    <w:p>
      <w:pPr>
        <w:sectPr>
          <w:headerReference w:type="default" r:id="rId29"/>
          <w:footerReference w:type="default" r:id="rId30"/>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r>
        <w:br w:type="page"/>
      </w:r>
    </w:p>
    <w:p>
      <w:pPr>
        <w:pStyle w:val="Corpsdetexte"/>
        <w:jc w:val="left"/>
        <w:rPr/>
      </w:pPr>
      <w:r>
        <w:rPr/>
        <w:t>A platformon való részvételt megelőzően a válaszadókat felkérték, hogy adjanak tájékoztatást a lakóhelyük szerinti országról, az oktatási hátterükről, az életkorukról, a nemükről és a foglalkoztatási státuszukról. Az adatokat anonim módon dolgozták fel. Mivel ezt az információt önkéntesen osztották meg, az ezen az alapon rendelkezésre bocsátható és az alábbiakban bemutatott információk korlátozottak. Például a hozzájárulások 29,5%-a olyan résztvevőktől származott, akik nem közölték a lakóhelyük szerinti országot.</w:t>
      </w:r>
    </w:p>
    <w:p>
      <w:pPr>
        <w:pStyle w:val="Corpsdetexte"/>
        <w:jc w:val="left"/>
        <w:rPr/>
      </w:pPr>
      <w:r>
        <w:rPr/>
        <w:t>Amint az a 2. ábrán látható, az országonkénti hozzájárulások teljes számát mutatja be valamennyi uniós ország. Emellett az EU-n kívüli harmadik országok 1,4%-át jegyezték be.</w:t>
      </w:r>
    </w:p>
    <w:p>
      <w:pPr>
        <w:pStyle w:val="Normal"/>
        <w:jc w:val="left"/>
        <w:rPr/>
      </w:pPr>
      <w:r>
        <w:rPr/>
        <mc:AlternateContent>
          <mc:Choice Requires="wps">
            <w:drawing>
              <wp:anchor behindDoc="0" distT="0" distB="0" distL="0" distR="0" simplePos="0" locked="0" layoutInCell="0" allowOverlap="1" relativeHeight="53">
                <wp:simplePos x="0" y="0"/>
                <wp:positionH relativeFrom="column">
                  <wp:posOffset>-19050</wp:posOffset>
                </wp:positionH>
                <wp:positionV relativeFrom="paragraph">
                  <wp:posOffset>90805</wp:posOffset>
                </wp:positionV>
                <wp:extent cx="2970530" cy="3801745"/>
                <wp:effectExtent l="0" t="0" r="0" b="0"/>
                <wp:wrapSquare wrapText="largest"/>
                <wp:docPr id="25" name="Cadre5 – Videó letöltés mp3-ban"/>
                <a:graphic xmlns:a="http://schemas.openxmlformats.org/drawingml/2006/main">
                  <a:graphicData uri="http://schemas.microsoft.com/office/word/2010/wordprocessingShape">
                    <wps:wsp>
                      <wps:cNvSpPr/>
                      <wps:spPr>
                        <a:xfrm>
                          <a:off x="0" y="0"/>
                          <a:ext cx="2970360" cy="380160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drawing>
                                <wp:inline distT="0" distB="0" distL="0" distR="0">
                                  <wp:extent cx="2874645" cy="3150235"/>
                                  <wp:effectExtent l="0" t="0" r="0" b="0"/>
                                  <wp:docPr id="27" name="Kép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Kép18" descr=""/>
                                          <pic:cNvPicPr>
                                            <a:picLocks noChangeAspect="1" noChangeArrowheads="1"/>
                                          </pic:cNvPicPr>
                                        </pic:nvPicPr>
                                        <pic:blipFill>
                                          <a:blip r:embed="rId31"/>
                                          <a:stretch>
                                            <a:fillRect/>
                                          </a:stretch>
                                        </pic:blipFill>
                                        <pic:spPr bwMode="auto">
                                          <a:xfrm>
                                            <a:off x="0" y="0"/>
                                            <a:ext cx="2874645" cy="3150235"/>
                                          </a:xfrm>
                                          <a:prstGeom prst="rect">
                                            <a:avLst/>
                                          </a:prstGeom>
                                        </pic:spPr>
                                      </pic:pic>
                                    </a:graphicData>
                                  </a:graphic>
                                </wp:inline>
                              </w:drawing>
                            </w:r>
                            <w:r>
                              <w:rPr>
                                <w:vanish/>
                                <w:color w:val="000000"/>
                              </w:rPr>
                              <w:br/>
                            </w:r>
                            <w:r>
                              <w:rPr>
                                <w:color w:val="000000"/>
                              </w:rPr>
                              <w:t xml:space="preserve">Ábra. A hozzájárulások mennyisége országonként (19/04/2021–09/05/2022) </w:t>
                            </w:r>
                          </w:p>
                        </w:txbxContent>
                      </wps:txbx>
                      <wps:bodyPr lIns="0" rIns="0" tIns="0" bIns="0" anchor="t">
                        <a:noAutofit/>
                      </wps:bodyPr>
                    </wps:wsp>
                  </a:graphicData>
                </a:graphic>
              </wp:anchor>
            </w:drawing>
          </mc:Choice>
          <mc:Fallback>
            <w:pict>
              <v:rect id="shape_0" ID="Cadre5 – Videó letöltés mp3-ban" path="m0,0l-2147483645,0l-2147483645,-2147483646l0,-2147483646xe" fillcolor="white" stroked="f" o:allowincell="f" style="position:absolute;margin-left:-1.5pt;margin-top:7.15pt;width:233.85pt;height:299.3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drawing>
                          <wp:inline distT="0" distB="0" distL="0" distR="0">
                            <wp:extent cx="2874645" cy="3150235"/>
                            <wp:effectExtent l="0" t="0" r="0" b="0"/>
                            <wp:docPr id="28" name="Kép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Kép18" descr=""/>
                                    <pic:cNvPicPr>
                                      <a:picLocks noChangeAspect="1" noChangeArrowheads="1"/>
                                    </pic:cNvPicPr>
                                  </pic:nvPicPr>
                                  <pic:blipFill>
                                    <a:blip r:embed="rId32"/>
                                    <a:stretch>
                                      <a:fillRect/>
                                    </a:stretch>
                                  </pic:blipFill>
                                  <pic:spPr bwMode="auto">
                                    <a:xfrm>
                                      <a:off x="0" y="0"/>
                                      <a:ext cx="2874645" cy="3150235"/>
                                    </a:xfrm>
                                    <a:prstGeom prst="rect">
                                      <a:avLst/>
                                    </a:prstGeom>
                                  </pic:spPr>
                                </pic:pic>
                              </a:graphicData>
                            </a:graphic>
                          </wp:inline>
                        </w:drawing>
                      </w:r>
                      <w:r>
                        <w:rPr>
                          <w:vanish/>
                          <w:color w:val="000000"/>
                        </w:rPr>
                        <w:br/>
                      </w:r>
                      <w:r>
                        <w:rPr>
                          <w:color w:val="000000"/>
                        </w:rPr>
                        <w:t xml:space="preserve">Ábra. A hozzájárulások mennyisége országonként (19/04/2021–09/05/2022) </w:t>
                      </w:r>
                    </w:p>
                  </w:txbxContent>
                </v:textbox>
                <w10:wrap type="square" side="largest"/>
              </v:rect>
            </w:pict>
          </mc:Fallback>
        </mc:AlternateContent>
      </w:r>
    </w:p>
    <w:p>
      <w:pPr>
        <w:pStyle w:val="Normal"/>
        <w:jc w:val="left"/>
        <w:rPr/>
      </w:pPr>
      <w:r>
        <w:rPr/>
      </w:r>
    </w:p>
    <w:p>
      <w:pPr>
        <w:pStyle w:val="Corpsdetexte"/>
        <w:jc w:val="left"/>
        <w:rPr/>
      </w:pPr>
      <w:r>
        <w:br w:type="column"/>
      </w:r>
      <w:r>
        <w:rPr/>
        <w:t xml:space="preserve">Annak érdekében, hogy részletesebb képet kapjunk a járulékok népességhez viszonyított arányáról, az alábbi ábra áttekintést ad az egyes országok egymillió lakosra jutó hozzájárulásainak számáról. </w:t>
      </w:r>
    </w:p>
    <w:p>
      <w:pPr>
        <w:pStyle w:val="Normal"/>
        <w:jc w:val="left"/>
        <w:rPr/>
      </w:pPr>
      <w:r>
        <w:rPr/>
        <mc:AlternateContent>
          <mc:Choice Requires="wps">
            <w:drawing>
              <wp:anchor behindDoc="0" distT="0" distB="0" distL="0" distR="0" simplePos="0" locked="0" layoutInCell="0" allowOverlap="1" relativeHeight="51">
                <wp:simplePos x="0" y="0"/>
                <wp:positionH relativeFrom="column">
                  <wp:posOffset>68580</wp:posOffset>
                </wp:positionH>
                <wp:positionV relativeFrom="paragraph">
                  <wp:posOffset>635</wp:posOffset>
                </wp:positionV>
                <wp:extent cx="2738755" cy="5587365"/>
                <wp:effectExtent l="0" t="0" r="0" b="0"/>
                <wp:wrapSquare wrapText="largest"/>
                <wp:docPr id="29" name="Cadre6 – Videó letöltés mp3-ban"/>
                <a:graphic xmlns:a="http://schemas.openxmlformats.org/drawingml/2006/main">
                  <a:graphicData uri="http://schemas.microsoft.com/office/word/2010/wordprocessingShape">
                    <wps:wsp>
                      <wps:cNvSpPr/>
                      <wps:spPr>
                        <a:xfrm>
                          <a:off x="0" y="0"/>
                          <a:ext cx="2738880" cy="558720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drawing>
                                <wp:inline distT="0" distB="0" distL="0" distR="0">
                                  <wp:extent cx="2970530" cy="4788535"/>
                                  <wp:effectExtent l="0" t="0" r="0" b="0"/>
                                  <wp:docPr id="31" name="Kép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Kép19" descr=""/>
                                          <pic:cNvPicPr>
                                            <a:picLocks noChangeAspect="1" noChangeArrowheads="1"/>
                                          </pic:cNvPicPr>
                                        </pic:nvPicPr>
                                        <pic:blipFill>
                                          <a:blip r:embed="rId33"/>
                                          <a:stretch>
                                            <a:fillRect/>
                                          </a:stretch>
                                        </pic:blipFill>
                                        <pic:spPr bwMode="auto">
                                          <a:xfrm>
                                            <a:off x="0" y="0"/>
                                            <a:ext cx="2970530" cy="4788535"/>
                                          </a:xfrm>
                                          <a:prstGeom prst="rect">
                                            <a:avLst/>
                                          </a:prstGeom>
                                        </pic:spPr>
                                      </pic:pic>
                                    </a:graphicData>
                                  </a:graphic>
                                </wp:inline>
                              </w:drawing>
                            </w:r>
                            <w:r>
                              <w:rPr>
                                <w:vanish/>
                                <w:color w:val="000000"/>
                              </w:rPr>
                              <w:br/>
                            </w:r>
                            <w:r>
                              <w:rPr>
                                <w:color w:val="000000"/>
                              </w:rPr>
                              <w:t xml:space="preserve">Ábra. A hozzájárulások mennyisége országonként, arányos reflexió 1 millió lakosra vetítve (19/04/2021–09/05/2022) </w:t>
                            </w:r>
                          </w:p>
                        </w:txbxContent>
                      </wps:txbx>
                      <wps:bodyPr lIns="0" rIns="0" tIns="0" bIns="0" anchor="t">
                        <a:noAutofit/>
                      </wps:bodyPr>
                    </wps:wsp>
                  </a:graphicData>
                </a:graphic>
              </wp:anchor>
            </w:drawing>
          </mc:Choice>
          <mc:Fallback>
            <w:pict>
              <v:rect id="shape_0" ID="Cadre6 – Videó letöltés mp3-ban" path="m0,0l-2147483645,0l-2147483645,-2147483646l0,-2147483646xe" fillcolor="white" stroked="f" o:allowincell="f" style="position:absolute;margin-left:5.4pt;margin-top:0.05pt;width:215.6pt;height:439.9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drawing>
                          <wp:inline distT="0" distB="0" distL="0" distR="0">
                            <wp:extent cx="2970530" cy="4788535"/>
                            <wp:effectExtent l="0" t="0" r="0" b="0"/>
                            <wp:docPr id="32" name="Kép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Kép19" descr=""/>
                                    <pic:cNvPicPr>
                                      <a:picLocks noChangeAspect="1" noChangeArrowheads="1"/>
                                    </pic:cNvPicPr>
                                  </pic:nvPicPr>
                                  <pic:blipFill>
                                    <a:blip r:embed="rId34"/>
                                    <a:stretch>
                                      <a:fillRect/>
                                    </a:stretch>
                                  </pic:blipFill>
                                  <pic:spPr bwMode="auto">
                                    <a:xfrm>
                                      <a:off x="0" y="0"/>
                                      <a:ext cx="2970530" cy="4788535"/>
                                    </a:xfrm>
                                    <a:prstGeom prst="rect">
                                      <a:avLst/>
                                    </a:prstGeom>
                                  </pic:spPr>
                                </pic:pic>
                              </a:graphicData>
                            </a:graphic>
                          </wp:inline>
                        </w:drawing>
                      </w:r>
                      <w:r>
                        <w:rPr>
                          <w:vanish/>
                          <w:color w:val="000000"/>
                        </w:rPr>
                        <w:br/>
                      </w:r>
                      <w:r>
                        <w:rPr>
                          <w:color w:val="000000"/>
                        </w:rPr>
                        <w:t xml:space="preserve">Ábra. A hozzájárulások mennyisége országonként, arányos reflexió 1 millió lakosra vetítve (19/04/2021–09/05/2022) </w:t>
                      </w:r>
                    </w:p>
                  </w:txbxContent>
                </v:textbox>
                <w10:wrap type="square" side="largest"/>
              </v:rect>
            </w:pict>
          </mc:Fallback>
        </mc:AlternateContent>
      </w:r>
    </w:p>
    <w:p>
      <w:pPr>
        <w:pStyle w:val="Normal"/>
        <w:jc w:val="left"/>
        <w:rPr/>
      </w:pPr>
      <w:r>
        <w:rPr/>
      </w:r>
      <w:r>
        <w:br w:type="page"/>
      </w:r>
    </w:p>
    <w:p>
      <w:pPr>
        <w:pStyle w:val="Normal"/>
        <w:jc w:val="left"/>
        <w:rPr/>
      </w:pPr>
      <w:r>
        <w:rPr/>
        <w:drawing>
          <wp:anchor behindDoc="0" distT="0" distB="0" distL="0" distR="0" simplePos="0" locked="0" layoutInCell="0" allowOverlap="1" relativeHeight="75">
            <wp:simplePos x="0" y="0"/>
            <wp:positionH relativeFrom="column">
              <wp:posOffset>23495</wp:posOffset>
            </wp:positionH>
            <wp:positionV relativeFrom="paragraph">
              <wp:posOffset>12700</wp:posOffset>
            </wp:positionV>
            <wp:extent cx="899160" cy="899160"/>
            <wp:effectExtent l="0" t="0" r="0" b="0"/>
            <wp:wrapSquare wrapText="largest"/>
            <wp:docPr id="33" name="Képgaléria"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Képgaléria" descr=""/>
                    <pic:cNvPicPr>
                      <a:picLocks noChangeAspect="1" noChangeArrowheads="1"/>
                    </pic:cNvPicPr>
                  </pic:nvPicPr>
                  <pic:blipFill>
                    <a:blip r:embed="rId35"/>
                    <a:stretch>
                      <a:fillRect/>
                    </a:stretch>
                  </pic:blipFill>
                  <pic:spPr bwMode="auto">
                    <a:xfrm>
                      <a:off x="0" y="0"/>
                      <a:ext cx="899160" cy="899160"/>
                    </a:xfrm>
                    <a:prstGeom prst="rect">
                      <a:avLst/>
                    </a:prstGeom>
                  </pic:spPr>
                </pic:pic>
              </a:graphicData>
            </a:graphic>
          </wp:anchor>
        </w:drawing>
      </w:r>
    </w:p>
    <w:p>
      <w:pPr>
        <w:pStyle w:val="Titre2"/>
        <w:numPr>
          <w:ilvl w:val="1"/>
          <w:numId w:val="1"/>
        </w:numPr>
        <w:jc w:val="left"/>
        <w:rPr/>
      </w:pPr>
      <w:bookmarkStart w:id="12" w:name="__RefHeading___Toc86351_2514204080"/>
      <w:bookmarkEnd w:id="12"/>
      <w:r>
        <w:rPr/>
        <w:t xml:space="preserve">Események áttekintése </w:t>
      </w:r>
    </w:p>
    <w:p>
      <w:pPr>
        <w:pStyle w:val="Corpsdetexte"/>
        <w:spacing w:lineRule="auto" w:line="240" w:before="57" w:after="57"/>
        <w:jc w:val="left"/>
        <w:rPr/>
      </w:pPr>
      <w:r>
        <w:rPr/>
      </w:r>
    </w:p>
    <w:p>
      <w:pPr>
        <w:pStyle w:val="Corpsdetexte"/>
        <w:jc w:val="left"/>
        <w:rPr/>
      </w:pPr>
      <w:r>
        <w:rPr/>
        <w:t xml:space="preserve">A konferencia során jelentős számú rendezvényre került sor. Lehetőséget biztosítottak arra, hogy több ember vegyen részt ebben az alulról építkező demokratikus gyakorlatban. A digitális platform elindításától 2022. május 9-ig összesen 7005 eseményt regisztráltak a platformon. A konferencia alapokmányával ( </w:t>
      </w:r>
      <w:hyperlink r:id="rId36">
        <w:r>
          <w:rPr>
            <w:rStyle w:val="LienInternet"/>
          </w:rPr>
          <w:t>itt</w:t>
        </w:r>
      </w:hyperlink>
      <w:r>
        <w:rPr/>
        <w:t xml:space="preserve">elérhető) összhangban a polgároknak az események középpontjában kellett állniuk, amelyeknek inkluzívnak és hozzáférhetőnek kell lenniük, és ösztönözniük kell a viták sokféleségét. Eszköztárak voltak érvényben a rendezvényszervezők segítésére ( </w:t>
      </w:r>
      <w:hyperlink r:id="rId37">
        <w:r>
          <w:rPr>
            <w:rStyle w:val="LienInternet"/>
          </w:rPr>
          <w:t>itt érhető el</w:t>
        </w:r>
      </w:hyperlink>
      <w:r>
        <w:rPr/>
        <w:t xml:space="preserve">). Annak érdekében, hogy az események hatékonyan hozzájárulhassanak a konferenciához, a következtetéseket és az ezekből eredő konkrét ötleteket részletező eseményjelentéseket fel kellett tölteni a digitális platformra (lásd az </w:t>
      </w:r>
      <w:hyperlink r:id="rId38">
        <w:r>
          <w:rPr>
            <w:rStyle w:val="LienInternet"/>
          </w:rPr>
          <w:t>iránymutatásokat</w:t>
        </w:r>
      </w:hyperlink>
      <w:r>
        <w:rPr/>
        <w:t>). Ezeket az eseményjelentéseket, valamint az eseményleírást és a kapcsolódó ötleteket figyelembe vették a platformon tett hozzájárulások átfogó elemzése során.</w:t>
      </w:r>
    </w:p>
    <w:p>
      <w:pPr>
        <w:pStyle w:val="Corpsdetexte"/>
        <w:jc w:val="left"/>
        <w:rPr/>
      </w:pPr>
      <w:r>
        <w:rPr/>
        <w:t>A konferenciához kapcsolódó rendezvényeket a rendezvény típusa, nagyságrendje, a közönség vagy a szervezők profilja, valamint tematikus hatóköre tekintetében különböző formában szervezték meg. Ennek a szakasznak az a célja, hogy betekintést nyújtson az eseménytípusok sokféleségébe, míg azok érdemi hozzájárulásával a releváns platformtémák foglalkoznak.</w:t>
      </w:r>
    </w:p>
    <w:p>
      <w:pPr>
        <w:pStyle w:val="Corpsdetexte"/>
        <w:jc w:val="left"/>
        <w:rPr/>
      </w:pPr>
      <w:r>
        <w:rPr/>
        <w:t>Az események online, személyesen vagy hibridek voltak. Ezeket gyakran viták vagy műhelytalálkozók formájában szervezték, például Spanyolországban a jövőről szóló párbeszédsorozat keretében, többek között az alapjövedelemről szóló polgári munkaértekezlettel (lásd az</w:t>
      </w:r>
      <w:hyperlink r:id="rId39">
        <w:r>
          <w:rPr>
            <w:rStyle w:val="LienInternet"/>
          </w:rPr>
          <w:t xml:space="preserve"> eseményt</w:t>
        </w:r>
      </w:hyperlink>
      <w:r>
        <w:rPr/>
        <w:t xml:space="preserve">) vagy a fenntartható városi gyakorlatokról szóló polgári műhelytalálkozóval, amelyet egy kis flamand városban tartottak (lásd az </w:t>
      </w:r>
      <w:hyperlink r:id="rId40">
        <w:r>
          <w:rPr>
            <w:rStyle w:val="LienInternet"/>
          </w:rPr>
          <w:t>eseményt</w:t>
        </w:r>
      </w:hyperlink>
      <w:r>
        <w:rPr/>
        <w:t xml:space="preserve">). Világ kávézókat is szerveztek, például a lett fiatalokkal folytatott megbeszélések során, amelyek feltárták Európával kapcsolatos elképzeléseiket és a jövő Európájában betöltött szerepüket (lásd az </w:t>
      </w:r>
      <w:hyperlink r:id="rId41">
        <w:r>
          <w:rPr>
            <w:rStyle w:val="LienInternet"/>
          </w:rPr>
          <w:t>eseményt</w:t>
        </w:r>
      </w:hyperlink>
      <w:r>
        <w:rPr/>
        <w:t xml:space="preserve">). Néhány eseményt klasszikusabb formában szerveztek, például vitaindító előadást, majd kérdés- és válaszüléseket, míg más rendezvényeket inkább deliberatív formában szerveztek. A platformon regisztrált események egy része hosszabb ideig tartó deliberatív konzultációs projektek részét képezte, mint például a Decide Europe projekt, a csehországi és szlovákiai középiskolások uniós szintű jogalkotási tanácskozásainak szimulációja (lásd az </w:t>
      </w:r>
      <w:hyperlink r:id="rId42">
        <w:r>
          <w:rPr>
            <w:rStyle w:val="LienInternet"/>
          </w:rPr>
          <w:t>eseményt</w:t>
        </w:r>
      </w:hyperlink>
      <w:r>
        <w:rPr/>
        <w:t xml:space="preserve">). Voltak olyan innovatív formák is, mint például egy workshop, ahol a résztvevők egy szerepjáték (lásd az </w:t>
      </w:r>
      <w:hyperlink r:id="rId43">
        <w:r>
          <w:rPr>
            <w:rStyle w:val="LienInternet"/>
          </w:rPr>
          <w:t>eseményt</w:t>
        </w:r>
      </w:hyperlink>
      <w:r>
        <w:rPr/>
        <w:t xml:space="preserve">) során ajánlásokat tehettek, egy Lettországban szervezett hackathonon, ahol a résztvevők csapatban versenyeztek egymással innovatív és fenntartható megoldások létrehozása érdekében (lásd az </w:t>
      </w:r>
      <w:hyperlink r:id="rId44">
        <w:r>
          <w:rPr>
            <w:rStyle w:val="LienInternet"/>
          </w:rPr>
          <w:t>eseményt</w:t>
        </w:r>
      </w:hyperlink>
      <w:r>
        <w:rPr/>
        <w:t xml:space="preserve">) vagy egy spanyolországi „gyaloglás és éghajlatváltozásról szóló beszélgetés” rendezvényt (lásd az </w:t>
      </w:r>
      <w:hyperlink r:id="rId45">
        <w:r>
          <w:rPr>
            <w:rStyle w:val="LienInternet"/>
          </w:rPr>
          <w:t>eseményt</w:t>
        </w:r>
      </w:hyperlink>
      <w:r>
        <w:rPr/>
        <w:t>).</w:t>
      </w:r>
    </w:p>
    <w:p>
      <w:pPr>
        <w:pStyle w:val="Corpsdetexte"/>
        <w:jc w:val="left"/>
        <w:rPr/>
      </w:pPr>
      <w:r>
        <w:rPr/>
        <w:t xml:space="preserve">Ami a részvételt illeti, néhány rendezvényt azzal a céllal szerveztek, hogy a résztvevők meghatározott kategóriáit is bevonják, mint például a nők (lásd egy </w:t>
      </w:r>
      <w:hyperlink r:id="rId46">
        <w:r>
          <w:rPr>
            <w:rStyle w:val="LienInternet"/>
          </w:rPr>
          <w:t>rendezvény</w:t>
        </w:r>
      </w:hyperlink>
      <w:r>
        <w:rPr/>
        <w:t xml:space="preserve">példáját), a fiatalok (lásd egy </w:t>
      </w:r>
      <w:hyperlink r:id="rId47">
        <w:r>
          <w:rPr>
            <w:rStyle w:val="LienInternet"/>
          </w:rPr>
          <w:t>rendezvény</w:t>
        </w:r>
      </w:hyperlink>
      <w:r>
        <w:rPr/>
        <w:t xml:space="preserve">példáját), vagy a fogyatékossággal élő személyek (lásd az </w:t>
      </w:r>
      <w:hyperlink r:id="rId48">
        <w:r>
          <w:rPr>
            <w:rStyle w:val="LienInternet"/>
          </w:rPr>
          <w:t>eseményt</w:t>
        </w:r>
      </w:hyperlink>
      <w:r>
        <w:rPr/>
        <w:t>).</w:t>
      </w:r>
    </w:p>
    <w:p>
      <w:pPr>
        <w:pStyle w:val="Corpsdetexte"/>
        <w:jc w:val="left"/>
        <w:rPr/>
      </w:pPr>
      <w:r>
        <w:rPr/>
        <w:t xml:space="preserve">Közösségi szinten számos rendezvényre került sor, például egy bizonyos város vagy régió, például Jönköping megye lakosainak részvételével (lásd az </w:t>
      </w:r>
      <w:hyperlink r:id="rId49">
        <w:r>
          <w:rPr>
            <w:rStyle w:val="LienInternet"/>
          </w:rPr>
          <w:t>eseményt</w:t>
        </w:r>
      </w:hyperlink>
      <w:r>
        <w:rPr/>
        <w:t xml:space="preserve">) vagy egy határokon átnyúló régió lakosaival közös kihívás megvitatására, például a spanyol-portugál határt érintő éghajlatváltozáshoz való alkalmazkodásra (lásd az </w:t>
      </w:r>
      <w:hyperlink r:id="rId50">
        <w:r>
          <w:rPr>
            <w:rStyle w:val="LienInternet"/>
          </w:rPr>
          <w:t>eseményt</w:t>
        </w:r>
      </w:hyperlink>
      <w:r>
        <w:rPr/>
        <w:t>).</w:t>
      </w:r>
    </w:p>
    <w:p>
      <w:pPr>
        <w:pStyle w:val="Corpsdetexte"/>
        <w:jc w:val="left"/>
        <w:rPr/>
      </w:pPr>
      <w:r>
        <w:rPr/>
        <w:t>Ami a témákat illeti, néhány esemény a konferencia folyamatával vagy tágabb értelemben Európa jövőjével foglalkozott, mint például egy németországi esemény, amely általános bevezetőt nyújt a konferenciához (</w:t>
      </w:r>
      <w:hyperlink r:id="rId51">
        <w:r>
          <w:rPr>
            <w:rStyle w:val="LienInternet"/>
          </w:rPr>
          <w:t>esemény)</w:t>
        </w:r>
      </w:hyperlink>
      <w:r>
        <w:rPr/>
        <w:t xml:space="preserve"> vagy a franciaországi Marmande-ban folytatott vitához az Európai Unió Tanácsának francia elnöksége előtt álló kulcsfontosságú kérdésekről, az élelmezéstől és a mezőgazdaságtól az európai védelemig és az alapvető jogokig (lásd az </w:t>
      </w:r>
      <w:hyperlink r:id="rId52">
        <w:r>
          <w:rPr>
            <w:rStyle w:val="LienInternet"/>
          </w:rPr>
          <w:t>eseményt</w:t>
        </w:r>
      </w:hyperlink>
      <w:r>
        <w:rPr/>
        <w:t xml:space="preserve">). Mások konkrét témákra összpontosítottak, például a demokráciát előmozdító városokra (lásd az eseményt), vagy a Pécsi Tudományegyetem által szervezett, a mesterséges intelligencia használatáról szóló rendezvényre (lásd az </w:t>
      </w:r>
      <w:hyperlink r:id="rId53">
        <w:r>
          <w:rPr>
            <w:rStyle w:val="LienInternet"/>
          </w:rPr>
          <w:t>eseményt</w:t>
        </w:r>
      </w:hyperlink>
      <w:r>
        <w:rPr/>
        <w:t>).</w:t>
      </w:r>
    </w:p>
    <w:p>
      <w:pPr>
        <w:pStyle w:val="Corpsdetexte"/>
        <w:jc w:val="left"/>
        <w:rPr/>
      </w:pPr>
      <w:r>
        <w:rPr/>
      </w:r>
    </w:p>
    <w:p>
      <w:pPr>
        <w:pStyle w:val="Corpsdetexte"/>
        <w:jc w:val="left"/>
        <w:rPr/>
      </w:pPr>
      <w:r>
        <w:rPr/>
        <w:t>A rendezvényeket különböző szervezők szervezték: az uniós polgárok, a tudományos élet, a civil társadalmi szervezetek, a nemzeti, regionális és helyi hatóságok és az uniós intézmények mellett rendezvények szervezésével járultak hozzá az Európa jövőjéről szóló konferenciához. Egyes tagállamok nemzeti polgári vitafórumokat szerveztek, mások pedig különböző típusú konzultációkat folytattak vagy támogattak. Rendezvényeket szerveztek az Európai Bizottság tagállami képviseletei, az Európai Parlament kapcsolattartó irodái, a Régiók Bizottsága és az Európai Gazdasági és Szociális Bizottság is.</w:t>
      </w:r>
    </w:p>
    <w:p>
      <w:pPr>
        <w:pStyle w:val="Normal"/>
        <w:jc w:val="left"/>
        <w:rPr/>
      </w:pPr>
      <w:r>
        <w:rPr/>
      </w:r>
      <w:r>
        <w:br w:type="page"/>
      </w:r>
    </w:p>
    <w:p>
      <w:pPr>
        <w:pStyle w:val="Normal"/>
        <w:jc w:val="left"/>
        <w:rPr/>
      </w:pPr>
      <w:r>
        <w:rPr/>
      </w:r>
    </w:p>
    <w:p>
      <w:pPr>
        <w:pStyle w:val="Titre2"/>
        <w:numPr>
          <w:ilvl w:val="1"/>
          <w:numId w:val="1"/>
        </w:numPr>
        <w:jc w:val="left"/>
        <w:rPr/>
      </w:pPr>
      <w:bookmarkStart w:id="13" w:name="__RefHeading___Toc86353_2514204080"/>
      <w:bookmarkEnd w:id="13"/>
      <w:r>
        <w:rPr/>
        <w:t>Ki vett részt a vitában?</w:t>
      </w:r>
    </w:p>
    <w:p>
      <w:pPr>
        <w:pStyle w:val="Corpsdetexte"/>
        <w:jc w:val="left"/>
        <w:rPr/>
      </w:pPr>
      <w:r>
        <w:rPr/>
        <w:t>A lakóhelyük szerinti országról (70,5%) – beleértve a harmadik országokból származókat is – információkat szolgáltató adatszolgáltatók profiljának értékelésekor a következő észrevételek tehetők:</w:t>
      </w:r>
    </w:p>
    <w:p>
      <w:pPr>
        <w:pStyle w:val="Corpsdetexte"/>
        <w:jc w:val="left"/>
        <w:rPr/>
      </w:pPr>
      <w:r>
        <w:rPr/>
        <w:t>A válaszadók közel fele férfiként (47,3%), 15,9%-uk pedig nőként azonosította magát. Azonban több mint egynegyede (35,6%) nem adott információt a neméről, 1,2%-a pedig nem bináris, így ezek a számok csak korlátozott képet adnak.</w:t>
      </w:r>
    </w:p>
    <w:p>
      <w:pPr>
        <w:pStyle w:val="Corpsdetexte"/>
        <w:jc w:val="left"/>
        <w:rPr/>
      </w:pPr>
      <w:r>
        <w:rPr/>
        <w:t>A korcsoportok reprezentációja meglehetősen változatos volt: az 55–69 éves korosztály a legaktívabb korosztály (17,7%), majd a 25–39 évesek (16,3%) és a 40–54 évesek (14,9%).</w:t>
      </w:r>
    </w:p>
    <w:p>
      <w:pPr>
        <w:pStyle w:val="Corpsdetexte"/>
        <w:jc w:val="left"/>
        <w:rPr/>
      </w:pPr>
      <w:r>
        <w:rPr/>
        <w:t xml:space="preserve">Ami a foglalkozást illeti, a szakmai dolgozók (14,9%) és a nyugdíjasok (10,9%) aktívak a platformon. A vezetők (10,3%) és a diákok (8,1%) szintén meglehetősen aktívak voltak. Az önfoglalkoztatók (7,6%), a fizikai dolgozók (4,5%) és a munkanélküliek (2,6%) viszonylag kevésbé aktívak a platformon. A válaszadók 40,8%-a nem jelentette be foglalkozását. </w:t>
      </w:r>
    </w:p>
    <w:p>
      <w:pPr>
        <w:pStyle w:val="Corpsdetexte"/>
        <w:jc w:val="left"/>
        <w:rPr/>
      </w:pPr>
      <w:r>
        <w:rPr/>
      </w:r>
    </w:p>
    <w:p>
      <w:pPr>
        <w:pStyle w:val="Corpsdetexte"/>
        <w:jc w:val="left"/>
        <w:rPr/>
      </w:pPr>
      <w:r>
        <w:rPr/>
        <w:t>Ami az oktatást illeti, a magasabb iskolai végzettséggel rendelkezők voltak a legaktívabbak (41,6%). Az oktatás szociodemográfiai adatai a legkevesebbek (41,6%)</w:t>
      </w:r>
    </w:p>
    <w:p>
      <w:pPr>
        <w:pStyle w:val="Corpsdetexte"/>
        <w:spacing w:lineRule="auto" w:line="240" w:before="28" w:after="57"/>
        <w:jc w:val="left"/>
        <w:rPr/>
      </w:pPr>
      <w:r>
        <w:rPr/>
        <w:t xml:space="preserve">Meg kell jegyezni, hogy az itt bemutatott szociodemográfiai adatok csak korlátozott képet adnak, mivel a szervezetek a platformon akár ötletek, akár események formájában is létrehozhatnak egy profilt. Továbbá az események résztvevői nem feltétlenül regisztráltak a platformon, és előfordulhat, hogy nem tartoznak a statisztikák hatálya alá. </w:t>
      </w:r>
    </w:p>
    <w:p>
      <w:pPr>
        <w:pStyle w:val="Normal"/>
        <w:jc w:val="left"/>
        <w:rPr/>
      </w:pPr>
      <w:r>
        <w:rPr/>
      </w:r>
    </w:p>
    <w:p>
      <w:pPr>
        <w:pStyle w:val="Normal"/>
        <w:jc w:val="left"/>
        <w:rPr/>
      </w:pPr>
      <w:r>
        <w:rPr/>
      </w:r>
    </w:p>
    <w:p>
      <w:pPr>
        <w:pStyle w:val="Normal"/>
        <w:jc w:val="left"/>
        <w:rPr/>
      </w:pPr>
      <w:r>
        <w:br w:type="column"/>
      </w:r>
      <w:r>
        <w:rPr/>
      </w:r>
    </w:p>
    <w:p>
      <w:pPr>
        <w:pStyle w:val="Normal"/>
        <w:jc w:val="left"/>
        <w:rPr/>
      </w:pPr>
      <w:r>
        <w:rPr/>
        <mc:AlternateContent>
          <mc:Choice Requires="wps">
            <w:drawing>
              <wp:anchor behindDoc="0" distT="0" distB="0" distL="0" distR="0" simplePos="0" locked="0" layoutInCell="0" allowOverlap="1" relativeHeight="153">
                <wp:simplePos x="0" y="0"/>
                <wp:positionH relativeFrom="column">
                  <wp:posOffset>36195</wp:posOffset>
                </wp:positionH>
                <wp:positionV relativeFrom="paragraph">
                  <wp:posOffset>635</wp:posOffset>
                </wp:positionV>
                <wp:extent cx="3244850" cy="7366000"/>
                <wp:effectExtent l="0" t="0" r="0" b="0"/>
                <wp:wrapNone/>
                <wp:docPr id="34" name="Cadre7 – Videó letöltés mp3-ban"/>
                <a:graphic xmlns:a="http://schemas.openxmlformats.org/drawingml/2006/main">
                  <a:graphicData uri="http://schemas.microsoft.com/office/word/2010/wordprocessingShape">
                    <wps:wsp>
                      <wps:cNvSpPr/>
                      <wps:spPr>
                        <a:xfrm>
                          <a:off x="0" y="0"/>
                          <a:ext cx="3244680" cy="736596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Ábra. A résztvevők kora, neme, oktatása és foglalkozása (19/04/2021–09/05/2022) </w:t>
                            </w:r>
                          </w:p>
                          <w:p>
                            <w:pPr>
                              <w:pStyle w:val="Lgende"/>
                              <w:suppressLineNumbers/>
                              <w:spacing w:before="120" w:after="120"/>
                              <w:jc w:val="left"/>
                              <w:rPr>
                                <w:color w:val="000000"/>
                              </w:rPr>
                            </w:pPr>
                            <w:r>
                              <w:rPr>
                                <w:color w:val="000000"/>
                              </w:rPr>
                            </w:r>
                          </w:p>
                        </w:txbxContent>
                      </wps:txbx>
                      <wps:bodyPr lIns="0" rIns="0" tIns="0" bIns="0" anchor="t">
                        <a:noAutofit/>
                      </wps:bodyPr>
                    </wps:wsp>
                  </a:graphicData>
                </a:graphic>
              </wp:anchor>
            </w:drawing>
          </mc:Choice>
          <mc:Fallback>
            <w:pict>
              <v:rect id="shape_0" ID="Cadre7 – Videó letöltés mp3-ban" path="m0,0l-2147483645,0l-2147483645,-2147483646l0,-2147483646xe" fillcolor="white" stroked="f" o:allowincell="f" style="position:absolute;margin-left:2.85pt;margin-top:0.05pt;width:255.45pt;height:579.9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Ábra. A résztvevők kora, neme, oktatása és foglalkozása (19/04/2021–09/05/2022) </w:t>
                      </w:r>
                    </w:p>
                    <w:p>
                      <w:pPr>
                        <w:pStyle w:val="Lgende"/>
                        <w:suppressLineNumbers/>
                        <w:spacing w:before="120" w:after="120"/>
                        <w:jc w:val="left"/>
                        <w:rPr>
                          <w:color w:val="000000"/>
                        </w:rPr>
                      </w:pPr>
                      <w:r>
                        <w:rPr>
                          <w:color w:val="000000"/>
                        </w:rPr>
                      </w:r>
                    </w:p>
                  </w:txbxContent>
                </v:textbox>
                <w10:wrap type="none"/>
              </v:rect>
            </w:pict>
          </mc:Fallback>
        </mc:AlternateContent>
        <mc:AlternateContent>
          <mc:Choice Requires="wpg">
            <w:drawing>
              <wp:anchor behindDoc="0" distT="0" distB="0" distL="0" distR="0" simplePos="0" locked="0" layoutInCell="0" allowOverlap="1" relativeHeight="156">
                <wp:simplePos x="0" y="0"/>
                <wp:positionH relativeFrom="column">
                  <wp:align>center</wp:align>
                </wp:positionH>
                <wp:positionV relativeFrom="paragraph">
                  <wp:posOffset>867410</wp:posOffset>
                </wp:positionV>
                <wp:extent cx="3244215" cy="6839585"/>
                <wp:effectExtent l="0" t="0" r="0" b="0"/>
                <wp:wrapTopAndBottom/>
                <wp:docPr id="36" name="Forrás: Forme2"/>
                <a:graphic xmlns:a="http://schemas.openxmlformats.org/drawingml/2006/main">
                  <a:graphicData uri="http://schemas.microsoft.com/office/word/2010/wordprocessingGroup">
                    <wpg:wgp>
                      <wpg:cNvGrpSpPr/>
                      <wpg:grpSpPr>
                        <a:xfrm>
                          <a:off x="0" y="0"/>
                          <a:ext cx="3244320" cy="6839640"/>
                          <a:chOff x="0" y="0"/>
                          <a:chExt cx="3244320" cy="6839640"/>
                        </a:xfrm>
                      </wpg:grpSpPr>
                      <pic:pic xmlns:pic="http://schemas.openxmlformats.org/drawingml/2006/picture">
                        <pic:nvPicPr>
                          <pic:cNvPr id="1" name="" descr=""/>
                          <pic:cNvPicPr/>
                        </pic:nvPicPr>
                        <pic:blipFill>
                          <a:blip r:embed="rId54"/>
                          <a:stretch/>
                        </pic:blipFill>
                        <pic:spPr>
                          <a:xfrm>
                            <a:off x="0" y="0"/>
                            <a:ext cx="3244320" cy="6839640"/>
                          </a:xfrm>
                          <a:prstGeom prst="rect">
                            <a:avLst/>
                          </a:prstGeom>
                          <a:ln w="0">
                            <a:noFill/>
                          </a:ln>
                        </pic:spPr>
                      </pic:pic>
                      <wps:wsp>
                        <wps:cNvSpPr/>
                        <wps:spPr>
                          <a:xfrm>
                            <a:off x="202680" y="28440"/>
                            <a:ext cx="1533600" cy="38160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résztvevők neme</w:t>
                              </w:r>
                            </w:p>
                          </w:txbxContent>
                        </wps:txbx>
                        <wps:bodyPr lIns="90000" rIns="90000" tIns="45000" bIns="45000" anchor="t">
                          <a:noAutofit/>
                        </wps:bodyPr>
                      </wps:wsp>
                      <wps:wsp>
                        <wps:cNvSpPr/>
                        <wps:spPr>
                          <a:xfrm>
                            <a:off x="170280" y="5247720"/>
                            <a:ext cx="1851840" cy="25848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résztvevők oktatása</w:t>
                              </w:r>
                            </w:p>
                          </w:txbxContent>
                        </wps:txbx>
                        <wps:bodyPr lIns="90000" rIns="90000" tIns="45000" bIns="45000" anchor="t">
                          <a:noAutofit/>
                        </wps:bodyPr>
                      </wps:wsp>
                      <wps:wsp>
                        <wps:cNvSpPr/>
                        <wps:spPr>
                          <a:xfrm>
                            <a:off x="97920" y="3619440"/>
                            <a:ext cx="1886040" cy="37260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résztvevők foglalkozása</w:t>
                              </w:r>
                            </w:p>
                          </w:txbxContent>
                        </wps:txbx>
                        <wps:bodyPr lIns="90000" rIns="90000" tIns="45000" bIns="45000" anchor="t">
                          <a:noAutofit/>
                        </wps:bodyPr>
                      </wps:wsp>
                      <wps:wsp>
                        <wps:cNvSpPr/>
                        <wps:spPr>
                          <a:xfrm>
                            <a:off x="303480" y="2037240"/>
                            <a:ext cx="1532160" cy="2354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résztvevők életkora</w:t>
                              </w:r>
                            </w:p>
                          </w:txbxContent>
                        </wps:txbx>
                        <wps:bodyPr lIns="90000" rIns="90000" tIns="45000" bIns="45000" anchor="t">
                          <a:noAutofit/>
                        </wps:bodyPr>
                      </wps:wsp>
                      <wps:wsp>
                        <wps:cNvSpPr/>
                        <wps:spPr>
                          <a:xfrm>
                            <a:off x="270000" y="41976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nincs válasz</w:t>
                              </w:r>
                            </w:p>
                          </w:txbxContent>
                        </wps:txbx>
                        <wps:bodyPr lIns="90000" rIns="90000" tIns="45000" bIns="45000" anchor="t">
                          <a:noAutofit/>
                        </wps:bodyPr>
                      </wps:wsp>
                      <wps:wsp>
                        <wps:cNvSpPr/>
                        <wps:spPr>
                          <a:xfrm>
                            <a:off x="279360" y="94356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nem bináris</w:t>
                              </w:r>
                            </w:p>
                          </w:txbxContent>
                        </wps:txbx>
                        <wps:bodyPr lIns="90000" rIns="90000" tIns="45000" bIns="45000" anchor="t">
                          <a:noAutofit/>
                        </wps:bodyPr>
                      </wps:wsp>
                      <wps:wsp>
                        <wps:cNvSpPr/>
                        <wps:spPr>
                          <a:xfrm>
                            <a:off x="280080" y="75384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nő</w:t>
                              </w:r>
                            </w:p>
                          </w:txbxContent>
                        </wps:txbx>
                        <wps:bodyPr lIns="90000" rIns="90000" tIns="45000" bIns="45000" anchor="t">
                          <a:noAutofit/>
                        </wps:bodyPr>
                      </wps:wsp>
                      <wps:wsp>
                        <wps:cNvSpPr/>
                        <wps:spPr>
                          <a:xfrm>
                            <a:off x="279360" y="60120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férfi</w:t>
                              </w:r>
                            </w:p>
                          </w:txbxContent>
                        </wps:txbx>
                        <wps:bodyPr lIns="90000" rIns="90000" tIns="45000" bIns="45000" anchor="t">
                          <a:noAutofit/>
                        </wps:bodyPr>
                      </wps:wsp>
                      <wps:wsp>
                        <wps:cNvSpPr/>
                        <wps:spPr>
                          <a:xfrm>
                            <a:off x="336600" y="223020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nincs válasz</w:t>
                              </w:r>
                            </w:p>
                          </w:txbxContent>
                        </wps:txbx>
                        <wps:bodyPr lIns="90000" rIns="90000" tIns="45000" bIns="45000" anchor="t">
                          <a:noAutofit/>
                        </wps:bodyPr>
                      </wps:wsp>
                      <wps:wsp>
                        <wps:cNvSpPr/>
                        <wps:spPr>
                          <a:xfrm>
                            <a:off x="345960" y="240156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15–24</w:t>
                              </w:r>
                            </w:p>
                          </w:txbxContent>
                        </wps:txbx>
                        <wps:bodyPr lIns="90000" rIns="90000" tIns="45000" bIns="45000" anchor="t">
                          <a:noAutofit/>
                        </wps:bodyPr>
                      </wps:wsp>
                      <wps:wsp>
                        <wps:cNvSpPr/>
                        <wps:spPr>
                          <a:xfrm>
                            <a:off x="356400" y="254520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25–39</w:t>
                              </w:r>
                            </w:p>
                          </w:txbxContent>
                        </wps:txbx>
                        <wps:bodyPr lIns="90000" rIns="90000" tIns="45000" bIns="45000" anchor="t">
                          <a:noAutofit/>
                        </wps:bodyPr>
                      </wps:wsp>
                      <wps:wsp>
                        <wps:cNvSpPr/>
                        <wps:spPr>
                          <a:xfrm>
                            <a:off x="355680" y="270648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40–54</w:t>
                              </w:r>
                            </w:p>
                          </w:txbxContent>
                        </wps:txbx>
                        <wps:bodyPr lIns="90000" rIns="90000" tIns="45000" bIns="45000" anchor="t">
                          <a:noAutofit/>
                        </wps:bodyPr>
                      </wps:wsp>
                      <wps:wsp>
                        <wps:cNvSpPr/>
                        <wps:spPr>
                          <a:xfrm>
                            <a:off x="355680" y="286776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55–69</w:t>
                              </w:r>
                            </w:p>
                          </w:txbxContent>
                        </wps:txbx>
                        <wps:bodyPr lIns="90000" rIns="90000" tIns="45000" bIns="45000" anchor="t">
                          <a:noAutofit/>
                        </wps:bodyPr>
                      </wps:wsp>
                      <wps:wsp>
                        <wps:cNvSpPr/>
                        <wps:spPr>
                          <a:xfrm>
                            <a:off x="374760" y="303012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70+</w:t>
                              </w:r>
                            </w:p>
                          </w:txbxContent>
                        </wps:txbx>
                        <wps:bodyPr lIns="90000" rIns="90000" tIns="45000" bIns="45000" anchor="t">
                          <a:noAutofit/>
                        </wps:bodyPr>
                      </wps:wsp>
                      <wps:wsp>
                        <wps:cNvSpPr/>
                        <wps:spPr>
                          <a:xfrm>
                            <a:off x="307800" y="492696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menedzser</w:t>
                              </w:r>
                            </w:p>
                          </w:txbxContent>
                        </wps:txbx>
                        <wps:bodyPr lIns="90000" rIns="90000" tIns="45000" bIns="45000" anchor="t">
                          <a:noAutofit/>
                        </wps:bodyPr>
                      </wps:wsp>
                      <wps:wsp>
                        <wps:cNvSpPr/>
                        <wps:spPr>
                          <a:xfrm>
                            <a:off x="299160" y="479412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kézi munkás</w:t>
                              </w:r>
                            </w:p>
                          </w:txbxContent>
                        </wps:txbx>
                        <wps:bodyPr lIns="90000" rIns="90000" tIns="45000" bIns="45000" anchor="t">
                          <a:noAutofit/>
                        </wps:bodyPr>
                      </wps:wsp>
                      <wps:wsp>
                        <wps:cNvSpPr/>
                        <wps:spPr>
                          <a:xfrm>
                            <a:off x="346680" y="463176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nyugdíjas</w:t>
                              </w:r>
                            </w:p>
                          </w:txbxContent>
                        </wps:txbx>
                        <wps:bodyPr lIns="90000" rIns="90000" tIns="45000" bIns="45000" anchor="t">
                          <a:noAutofit/>
                        </wps:bodyPr>
                      </wps:wsp>
                      <wps:wsp>
                        <wps:cNvSpPr/>
                        <wps:spPr>
                          <a:xfrm>
                            <a:off x="356400" y="433692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önfoglalkoztató</w:t>
                              </w:r>
                            </w:p>
                          </w:txbxContent>
                        </wps:txbx>
                        <wps:bodyPr lIns="90000" rIns="90000" tIns="45000" bIns="45000" anchor="t">
                          <a:noAutofit/>
                        </wps:bodyPr>
                      </wps:wsp>
                      <wps:wsp>
                        <wps:cNvSpPr/>
                        <wps:spPr>
                          <a:xfrm>
                            <a:off x="327600" y="4497840"/>
                            <a:ext cx="1391400" cy="23760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szakmai munkás</w:t>
                              </w:r>
                            </w:p>
                          </w:txbxContent>
                        </wps:txbx>
                        <wps:bodyPr lIns="90000" rIns="90000" tIns="45000" bIns="45000" anchor="t">
                          <a:noAutofit/>
                        </wps:bodyPr>
                      </wps:wsp>
                      <wps:wsp>
                        <wps:cNvSpPr/>
                        <wps:spPr>
                          <a:xfrm>
                            <a:off x="280080" y="418464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munkanélküli</w:t>
                              </w:r>
                            </w:p>
                          </w:txbxContent>
                        </wps:txbx>
                        <wps:bodyPr lIns="90000" rIns="90000" tIns="45000" bIns="45000" anchor="t">
                          <a:noAutofit/>
                        </wps:bodyPr>
                      </wps:wsp>
                      <wps:wsp>
                        <wps:cNvSpPr/>
                        <wps:spPr>
                          <a:xfrm>
                            <a:off x="280080" y="404172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diák</w:t>
                              </w:r>
                            </w:p>
                          </w:txbxContent>
                        </wps:txbx>
                        <wps:bodyPr lIns="90000" rIns="90000" tIns="45000" bIns="45000" anchor="t">
                          <a:noAutofit/>
                        </wps:bodyPr>
                      </wps:wsp>
                      <wps:wsp>
                        <wps:cNvSpPr/>
                        <wps:spPr>
                          <a:xfrm>
                            <a:off x="299160" y="388944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nincs válasz</w:t>
                              </w:r>
                            </w:p>
                          </w:txbxContent>
                        </wps:txbx>
                        <wps:bodyPr lIns="90000" rIns="90000" tIns="45000" bIns="45000" anchor="t">
                          <a:noAutofit/>
                        </wps:bodyPr>
                      </wps:wsp>
                      <wps:wsp>
                        <wps:cNvSpPr/>
                        <wps:spPr>
                          <a:xfrm>
                            <a:off x="337680" y="546084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nincs válasz</w:t>
                              </w:r>
                            </w:p>
                          </w:txbxContent>
                        </wps:txbx>
                        <wps:bodyPr lIns="90000" rIns="90000" tIns="45000" bIns="45000" anchor="t">
                          <a:noAutofit/>
                        </wps:bodyPr>
                      </wps:wsp>
                      <wps:wsp>
                        <wps:cNvSpPr/>
                        <wps:spPr>
                          <a:xfrm>
                            <a:off x="337680" y="546084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nincs válasz</w:t>
                              </w:r>
                            </w:p>
                          </w:txbxContent>
                        </wps:txbx>
                        <wps:bodyPr lIns="90000" rIns="90000" tIns="45000" bIns="45000" anchor="t">
                          <a:noAutofit/>
                        </wps:bodyPr>
                      </wps:wsp>
                      <wps:wsp>
                        <wps:cNvSpPr/>
                        <wps:spPr>
                          <a:xfrm>
                            <a:off x="337680" y="546084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nincs válasz</w:t>
                              </w:r>
                            </w:p>
                          </w:txbxContent>
                        </wps:txbx>
                        <wps:bodyPr lIns="90000" rIns="90000" tIns="45000" bIns="45000" anchor="t">
                          <a:noAutofit/>
                        </wps:bodyPr>
                      </wps:wsp>
                      <wps:wsp>
                        <wps:cNvSpPr/>
                        <wps:spPr>
                          <a:xfrm>
                            <a:off x="367200" y="602280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még mindig tanulsz</w:t>
                              </w:r>
                            </w:p>
                          </w:txbxContent>
                        </wps:txbx>
                        <wps:bodyPr lIns="90000" rIns="90000" tIns="45000" bIns="45000" anchor="t">
                          <a:noAutofit/>
                        </wps:bodyPr>
                      </wps:wsp>
                      <wps:wsp>
                        <wps:cNvSpPr/>
                        <wps:spPr>
                          <a:xfrm>
                            <a:off x="394920" y="5708520"/>
                            <a:ext cx="1391400" cy="3524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20 plusz – felsőfokú oktatás</w:t>
                              </w:r>
                            </w:p>
                          </w:txbxContent>
                        </wps:txbx>
                        <wps:bodyPr lIns="90000" rIns="90000" tIns="45000" bIns="45000" anchor="t">
                          <a:noAutofit/>
                        </wps:bodyPr>
                      </wps:wsp>
                      <wps:wsp>
                        <wps:cNvSpPr/>
                        <wps:spPr>
                          <a:xfrm>
                            <a:off x="290160" y="6242760"/>
                            <a:ext cx="1541160" cy="3524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20 év alatti alapfokú vagy felső középfokú oktatás</w:t>
                              </w:r>
                            </w:p>
                          </w:txbxContent>
                        </wps:txbx>
                        <wps:bodyPr lIns="90000" rIns="90000" tIns="45000" bIns="45000" anchor="t">
                          <a:noAutofit/>
                        </wps:bodyPr>
                      </wps:wsp>
                      <wps:wsp>
                        <wps:cNvSpPr/>
                        <wps:spPr>
                          <a:xfrm>
                            <a:off x="348120" y="656640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nincs teljes munkaidős oktatás</w:t>
                              </w:r>
                            </w:p>
                          </w:txbxContent>
                        </wps:txbx>
                        <wps:bodyPr lIns="90000" rIns="90000" tIns="45000" bIns="45000" anchor="t">
                          <a:noAutofit/>
                        </wps:bodyPr>
                      </wps:wsp>
                    </wpg:wgp>
                  </a:graphicData>
                </a:graphic>
              </wp:anchor>
            </w:drawing>
          </mc:Choice>
          <mc:Fallback>
            <w:pict>
              <v:group id="shape_0" alt="Forrás: Forme2" style="position:absolute;margin-left:-10.8pt;margin-top:68.3pt;width:255.45pt;height:538.55pt" coordorigin="-216,1366" coordsize="5109,10771">
                <v:shape id="shape_0" stroked="f" o:allowincell="f" style="position:absolute;left:-216;top:1366;width:5108;height:10770;mso-wrap-style:none;v-text-anchor:middle;mso-position-horizontal:center" type="_x0000_t75">
                  <v:imagedata r:id="rId54" o:detectmouseclick="t"/>
                  <v:stroke color="#3465a4" joinstyle="round" endcap="flat"/>
                  <w10:wrap type="topAndBottom"/>
                </v:shape>
                <v:rect id="shape_0" path="m0,0l-2147483645,0l-2147483645,-2147483646l0,-2147483646xe" stroked="f" o:allowincell="f" style="position:absolute;left:103;top:1411;width:2414;height:600;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résztvevők neme</w:t>
                        </w:r>
                      </w:p>
                    </w:txbxContent>
                  </v:textbox>
                  <v:fill o:detectmouseclick="t" on="false"/>
                  <v:stroke color="#3465a4" joinstyle="round" endcap="flat"/>
                  <w10:wrap type="topAndBottom"/>
                </v:rect>
                <v:rect id="shape_0" path="m0,0l-2147483645,0l-2147483645,-2147483646l0,-2147483646xe" stroked="f" o:allowincell="f" style="position:absolute;left:52;top:9630;width:2915;height:40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résztvevők oktatása</w:t>
                        </w:r>
                      </w:p>
                    </w:txbxContent>
                  </v:textbox>
                  <v:fill o:detectmouseclick="t" on="false"/>
                  <v:stroke color="#3465a4" joinstyle="round" endcap="flat"/>
                  <w10:wrap type="topAndBottom"/>
                </v:rect>
                <v:rect id="shape_0" path="m0,0l-2147483645,0l-2147483645,-2147483646l0,-2147483646xe" stroked="f" o:allowincell="f" style="position:absolute;left:-62;top:7066;width:2969;height:58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résztvevők foglalkozása</w:t>
                        </w:r>
                      </w:p>
                    </w:txbxContent>
                  </v:textbox>
                  <v:fill o:detectmouseclick="t" on="false"/>
                  <v:stroke color="#3465a4" joinstyle="round" endcap="flat"/>
                  <w10:wrap type="topAndBottom"/>
                </v:rect>
                <v:rect id="shape_0" path="m0,0l-2147483645,0l-2147483645,-2147483646l0,-2147483646xe" stroked="f" o:allowincell="f" style="position:absolute;left:262;top:4574;width:2412;height:370;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résztvevők életkora</w:t>
                        </w:r>
                      </w:p>
                    </w:txbxContent>
                  </v:textbox>
                  <v:fill o:detectmouseclick="t" on="false"/>
                  <v:stroke color="#3465a4" joinstyle="round" endcap="flat"/>
                  <w10:wrap type="topAndBottom"/>
                </v:rect>
                <v:rect id="shape_0" path="m0,0l-2147483645,0l-2147483645,-2147483646l0,-2147483646xe" stroked="f" o:allowincell="f" style="position:absolute;left:209;top:2027;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nincs válasz</w:t>
                        </w:r>
                      </w:p>
                    </w:txbxContent>
                  </v:textbox>
                  <v:fill o:detectmouseclick="t" on="false"/>
                  <v:stroke color="#3465a4" joinstyle="round" endcap="flat"/>
                  <w10:wrap type="topAndBottom"/>
                </v:rect>
                <v:rect id="shape_0" path="m0,0l-2147483645,0l-2147483645,-2147483646l0,-2147483646xe" stroked="f" o:allowincell="f" style="position:absolute;left:224;top:2852;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nem bináris</w:t>
                        </w:r>
                      </w:p>
                    </w:txbxContent>
                  </v:textbox>
                  <v:fill o:detectmouseclick="t" on="false"/>
                  <v:stroke color="#3465a4" joinstyle="round" endcap="flat"/>
                  <w10:wrap type="topAndBottom"/>
                </v:rect>
                <v:rect id="shape_0" path="m0,0l-2147483645,0l-2147483645,-2147483646l0,-2147483646xe" stroked="f" o:allowincell="f" style="position:absolute;left:225;top:2553;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nő</w:t>
                        </w:r>
                      </w:p>
                    </w:txbxContent>
                  </v:textbox>
                  <v:fill o:detectmouseclick="t" on="false"/>
                  <v:stroke color="#3465a4" joinstyle="round" endcap="flat"/>
                  <w10:wrap type="topAndBottom"/>
                </v:rect>
                <v:rect id="shape_0" path="m0,0l-2147483645,0l-2147483645,-2147483646l0,-2147483646xe" stroked="f" o:allowincell="f" style="position:absolute;left:224;top:2313;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férfi</w:t>
                        </w:r>
                      </w:p>
                    </w:txbxContent>
                  </v:textbox>
                  <v:fill o:detectmouseclick="t" on="false"/>
                  <v:stroke color="#3465a4" joinstyle="round" endcap="flat"/>
                  <w10:wrap type="topAndBottom"/>
                </v:rect>
                <v:rect id="shape_0" path="m0,0l-2147483645,0l-2147483645,-2147483646l0,-2147483646xe" stroked="f" o:allowincell="f" style="position:absolute;left:314;top:4878;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nincs válasz</w:t>
                        </w:r>
                      </w:p>
                    </w:txbxContent>
                  </v:textbox>
                  <v:fill o:detectmouseclick="t" on="false"/>
                  <v:stroke color="#3465a4" joinstyle="round" endcap="flat"/>
                  <w10:wrap type="topAndBottom"/>
                </v:rect>
                <v:rect id="shape_0" path="m0,0l-2147483645,0l-2147483645,-2147483646l0,-2147483646xe" stroked="f" o:allowincell="f" style="position:absolute;left:329;top:5148;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15–24</w:t>
                        </w:r>
                      </w:p>
                    </w:txbxContent>
                  </v:textbox>
                  <v:fill o:detectmouseclick="t" on="false"/>
                  <v:stroke color="#3465a4" joinstyle="round" endcap="flat"/>
                  <w10:wrap type="topAndBottom"/>
                </v:rect>
                <v:rect id="shape_0" path="m0,0l-2147483645,0l-2147483645,-2147483646l0,-2147483646xe" stroked="f" o:allowincell="f" style="position:absolute;left:345;top:5374;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25–39</w:t>
                        </w:r>
                      </w:p>
                    </w:txbxContent>
                  </v:textbox>
                  <v:fill o:detectmouseclick="t" on="false"/>
                  <v:stroke color="#3465a4" joinstyle="round" endcap="flat"/>
                  <w10:wrap type="topAndBottom"/>
                </v:rect>
                <v:rect id="shape_0" path="m0,0l-2147483645,0l-2147483645,-2147483646l0,-2147483646xe" stroked="f" o:allowincell="f" style="position:absolute;left:344;top:5628;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40–54</w:t>
                        </w:r>
                      </w:p>
                    </w:txbxContent>
                  </v:textbox>
                  <v:fill o:detectmouseclick="t" on="false"/>
                  <v:stroke color="#3465a4" joinstyle="round" endcap="flat"/>
                  <w10:wrap type="topAndBottom"/>
                </v:rect>
                <v:rect id="shape_0" path="m0,0l-2147483645,0l-2147483645,-2147483646l0,-2147483646xe" stroked="f" o:allowincell="f" style="position:absolute;left:344;top:5882;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55–69</w:t>
                        </w:r>
                      </w:p>
                    </w:txbxContent>
                  </v:textbox>
                  <v:fill o:detectmouseclick="t" on="false"/>
                  <v:stroke color="#3465a4" joinstyle="round" endcap="flat"/>
                  <w10:wrap type="topAndBottom"/>
                </v:rect>
                <v:rect id="shape_0" path="m0,0l-2147483645,0l-2147483645,-2147483646l0,-2147483646xe" stroked="f" o:allowincell="f" style="position:absolute;left:374;top:6138;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70+</w:t>
                        </w:r>
                      </w:p>
                    </w:txbxContent>
                  </v:textbox>
                  <v:fill o:detectmouseclick="t" on="false"/>
                  <v:stroke color="#3465a4" joinstyle="round" endcap="flat"/>
                  <w10:wrap type="topAndBottom"/>
                </v:rect>
                <v:rect id="shape_0" path="m0,0l-2147483645,0l-2147483645,-2147483646l0,-2147483646xe" stroked="f" o:allowincell="f" style="position:absolute;left:269;top:9125;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menedzser</w:t>
                        </w:r>
                      </w:p>
                    </w:txbxContent>
                  </v:textbox>
                  <v:fill o:detectmouseclick="t" on="false"/>
                  <v:stroke color="#3465a4" joinstyle="round" endcap="flat"/>
                  <w10:wrap type="topAndBottom"/>
                </v:rect>
                <v:rect id="shape_0" path="m0,0l-2147483645,0l-2147483645,-2147483646l0,-2147483646xe" stroked="f" o:allowincell="f" style="position:absolute;left:255;top:8916;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kézi munkás</w:t>
                        </w:r>
                      </w:p>
                    </w:txbxContent>
                  </v:textbox>
                  <v:fill o:detectmouseclick="t" on="false"/>
                  <v:stroke color="#3465a4" joinstyle="round" endcap="flat"/>
                  <w10:wrap type="topAndBottom"/>
                </v:rect>
                <v:rect id="shape_0" path="m0,0l-2147483645,0l-2147483645,-2147483646l0,-2147483646xe" stroked="f" o:allowincell="f" style="position:absolute;left:330;top:8660;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nyugdíjas</w:t>
                        </w:r>
                      </w:p>
                    </w:txbxContent>
                  </v:textbox>
                  <v:fill o:detectmouseclick="t" on="false"/>
                  <v:stroke color="#3465a4" joinstyle="round" endcap="flat"/>
                  <w10:wrap type="topAndBottom"/>
                </v:rect>
                <v:rect id="shape_0" path="m0,0l-2147483645,0l-2147483645,-2147483646l0,-2147483646xe" stroked="f" o:allowincell="f" style="position:absolute;left:345;top:8196;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önfoglalkoztató</w:t>
                        </w:r>
                      </w:p>
                    </w:txbxContent>
                  </v:textbox>
                  <v:fill o:detectmouseclick="t" on="false"/>
                  <v:stroke color="#3465a4" joinstyle="round" endcap="flat"/>
                  <w10:wrap type="topAndBottom"/>
                </v:rect>
                <v:rect id="shape_0" path="m0,0l-2147483645,0l-2147483645,-2147483646l0,-2147483646xe" stroked="f" o:allowincell="f" style="position:absolute;left:300;top:8449;width:2190;height:373;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szakmai munkás</w:t>
                        </w:r>
                      </w:p>
                    </w:txbxContent>
                  </v:textbox>
                  <v:fill o:detectmouseclick="t" on="false"/>
                  <v:stroke color="#3465a4" joinstyle="round" endcap="flat"/>
                  <w10:wrap type="topAndBottom"/>
                </v:rect>
                <v:rect id="shape_0" path="m0,0l-2147483645,0l-2147483645,-2147483646l0,-2147483646xe" stroked="f" o:allowincell="f" style="position:absolute;left:225;top:7956;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munkanélküli</w:t>
                        </w:r>
                      </w:p>
                    </w:txbxContent>
                  </v:textbox>
                  <v:fill o:detectmouseclick="t" on="false"/>
                  <v:stroke color="#3465a4" joinstyle="round" endcap="flat"/>
                  <w10:wrap type="topAndBottom"/>
                </v:rect>
                <v:rect id="shape_0" path="m0,0l-2147483645,0l-2147483645,-2147483646l0,-2147483646xe" stroked="f" o:allowincell="f" style="position:absolute;left:225;top:7731;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diák</w:t>
                        </w:r>
                      </w:p>
                    </w:txbxContent>
                  </v:textbox>
                  <v:fill o:detectmouseclick="t" on="false"/>
                  <v:stroke color="#3465a4" joinstyle="round" endcap="flat"/>
                  <w10:wrap type="topAndBottom"/>
                </v:rect>
                <v:rect id="shape_0" path="m0,0l-2147483645,0l-2147483645,-2147483646l0,-2147483646xe" stroked="f" o:allowincell="f" style="position:absolute;left:255;top:7491;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nincs válasz</w:t>
                        </w:r>
                      </w:p>
                    </w:txbxContent>
                  </v:textbox>
                  <v:fill o:detectmouseclick="t" on="false"/>
                  <v:stroke color="#3465a4" joinstyle="round" endcap="flat"/>
                  <w10:wrap type="topAndBottom"/>
                </v:rect>
                <v:rect id="shape_0" path="m0,0l-2147483645,0l-2147483645,-2147483646l0,-2147483646xe" stroked="f" o:allowincell="f" style="position:absolute;left:316;top:9965;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nincs válasz</w:t>
                        </w:r>
                      </w:p>
                    </w:txbxContent>
                  </v:textbox>
                  <v:fill o:detectmouseclick="t" on="false"/>
                  <v:stroke color="#3465a4" joinstyle="round" endcap="flat"/>
                  <w10:wrap type="topAndBottom"/>
                </v:rect>
                <v:rect id="shape_0" path="m0,0l-2147483645,0l-2147483645,-2147483646l0,-2147483646xe" stroked="f" o:allowincell="f" style="position:absolute;left:316;top:9965;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nincs válasz</w:t>
                        </w:r>
                      </w:p>
                    </w:txbxContent>
                  </v:textbox>
                  <v:fill o:detectmouseclick="t" on="false"/>
                  <v:stroke color="#3465a4" joinstyle="round" endcap="flat"/>
                  <w10:wrap type="topAndBottom"/>
                </v:rect>
                <v:rect id="shape_0" path="m0,0l-2147483645,0l-2147483645,-2147483646l0,-2147483646xe" stroked="f" o:allowincell="f" style="position:absolute;left:316;top:9965;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nincs válasz</w:t>
                        </w:r>
                      </w:p>
                    </w:txbxContent>
                  </v:textbox>
                  <v:fill o:detectmouseclick="t" on="false"/>
                  <v:stroke color="#3465a4" joinstyle="round" endcap="flat"/>
                  <w10:wrap type="topAndBottom"/>
                </v:rect>
                <v:rect id="shape_0" path="m0,0l-2147483645,0l-2147483645,-2147483646l0,-2147483646xe" stroked="f" o:allowincell="f" style="position:absolute;left:362;top:10850;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még mindig tanulsz</w:t>
                        </w:r>
                      </w:p>
                    </w:txbxContent>
                  </v:textbox>
                  <v:fill o:detectmouseclick="t" on="false"/>
                  <v:stroke color="#3465a4" joinstyle="round" endcap="flat"/>
                  <w10:wrap type="topAndBottom"/>
                </v:rect>
                <v:rect id="shape_0" path="m0,0l-2147483645,0l-2147483645,-2147483646l0,-2147483646xe" stroked="f" o:allowincell="f" style="position:absolute;left:406;top:10356;width:2190;height:55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20 plusz – felsőfokú oktatás</w:t>
                        </w:r>
                      </w:p>
                    </w:txbxContent>
                  </v:textbox>
                  <v:fill o:detectmouseclick="t" on="false"/>
                  <v:stroke color="#3465a4" joinstyle="round" endcap="flat"/>
                  <w10:wrap type="topAndBottom"/>
                </v:rect>
                <v:rect id="shape_0" path="m0,0l-2147483645,0l-2147483645,-2147483646l0,-2147483646xe" stroked="f" o:allowincell="f" style="position:absolute;left:241;top:11197;width:2426;height:55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20 év alatti alapfokú vagy felső középfokú oktatás</w:t>
                        </w:r>
                      </w:p>
                    </w:txbxContent>
                  </v:textbox>
                  <v:fill o:detectmouseclick="t" on="false"/>
                  <v:stroke color="#3465a4" joinstyle="round" endcap="flat"/>
                  <w10:wrap type="topAndBottom"/>
                </v:rect>
                <v:rect id="shape_0" path="m0,0l-2147483645,0l-2147483645,-2147483646l0,-2147483646xe" stroked="f" o:allowincell="f" style="position:absolute;left:332;top:11707;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nincs teljes munkaidős oktatás</w:t>
                        </w:r>
                      </w:p>
                    </w:txbxContent>
                  </v:textbox>
                  <v:fill o:detectmouseclick="t" on="false"/>
                  <v:stroke color="#3465a4" joinstyle="round" endcap="flat"/>
                  <w10:wrap type="topAndBottom"/>
                </v:rect>
              </v:group>
            </w:pict>
          </mc:Fallback>
        </mc:AlternateContent>
      </w:r>
      <w:r>
        <w:br w:type="page"/>
      </w:r>
    </w:p>
    <w:p>
      <w:pPr>
        <w:pStyle w:val="Normal"/>
        <w:rPr/>
      </w:pPr>
      <w:r>
        <w:rPr/>
      </w:r>
    </w:p>
    <w:p>
      <w:pPr>
        <w:pStyle w:val="Normal"/>
        <w:jc w:val="left"/>
        <w:rPr/>
      </w:pPr>
      <w:r>
        <w:rPr/>
        <w:drawing>
          <wp:anchor behindDoc="0" distT="0" distB="0" distL="0" distR="0" simplePos="0" locked="0" layoutInCell="0" allowOverlap="1" relativeHeight="81">
            <wp:simplePos x="0" y="0"/>
            <wp:positionH relativeFrom="column">
              <wp:posOffset>26670</wp:posOffset>
            </wp:positionH>
            <wp:positionV relativeFrom="paragraph">
              <wp:posOffset>9525</wp:posOffset>
            </wp:positionV>
            <wp:extent cx="708025" cy="708025"/>
            <wp:effectExtent l="0" t="0" r="0" b="0"/>
            <wp:wrapSquare wrapText="largest"/>
            <wp:docPr id="37" name="Kép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Kép21" descr=""/>
                    <pic:cNvPicPr>
                      <a:picLocks noChangeAspect="1" noChangeArrowheads="1"/>
                    </pic:cNvPicPr>
                  </pic:nvPicPr>
                  <pic:blipFill>
                    <a:blip r:embed="rId55"/>
                    <a:stretch>
                      <a:fillRect/>
                    </a:stretch>
                  </pic:blipFill>
                  <pic:spPr bwMode="auto">
                    <a:xfrm>
                      <a:off x="0" y="0"/>
                      <a:ext cx="708025" cy="708025"/>
                    </a:xfrm>
                    <a:prstGeom prst="rect">
                      <a:avLst/>
                    </a:prstGeom>
                  </pic:spPr>
                </pic:pic>
              </a:graphicData>
            </a:graphic>
          </wp:anchor>
        </w:drawing>
      </w:r>
    </w:p>
    <w:p>
      <w:pPr>
        <w:pStyle w:val="Titre2"/>
        <w:numPr>
          <w:ilvl w:val="1"/>
          <w:numId w:val="1"/>
        </w:numPr>
        <w:rPr/>
      </w:pPr>
      <w:bookmarkStart w:id="14" w:name="__RefHeading___Toc86355_2514204080"/>
      <w:bookmarkEnd w:id="14"/>
      <w:r>
        <w:rPr/>
        <w:t>Trendi témák a hozzájárulások tekintetében</w:t>
      </w:r>
    </w:p>
    <w:p>
      <w:pPr>
        <w:pStyle w:val="Corpsdetexte"/>
        <w:jc w:val="left"/>
        <w:rPr/>
      </w:pPr>
      <w:r>
        <w:rPr/>
        <w:t>A platform elindításától 2022. május 9-ig az európai demokrácia témájában volt a legmagasabb szintű hozzájárulás (ötletek, észrevételek és rendezvények) (8,205). Az éghajlatváltozás és a környezet a második helyen áll, 8123 hozzájárulással. A harmadik helyen szerepel az értékek és jogok, a jogállamiság, a biztonság, az egyéb ötletek (4.), valamint az oktatás, a kultúra, az ifjúság és a sport (5.) (lásd: 5. ábra) alá tartozó hozzájárulások.</w:t>
      </w:r>
    </w:p>
    <w:p>
      <w:pPr>
        <w:pStyle w:val="Corpsdetexte"/>
        <w:jc w:val="left"/>
        <w:rPr/>
      </w:pPr>
      <w:r>
        <w:rPr/>
        <w:t>Egyes témák több hozzászólást, ötletet vagy eseményt generáltak, mint mások, például az európai demokráciában van a legtöbb hozzászólás (4 606). Az éghajlatváltozás és a környezet a legtöbb ötletet (3,748) és az eseményeket (1 215) rögzítette. Az 1156 rendezvényen az oktatás, kultúra, ifjúság és sport témaköre a második legmagasabb.</w:t>
      </w:r>
    </w:p>
    <w:p>
      <w:pPr>
        <w:pStyle w:val="Normal"/>
        <w:rPr/>
      </w:pPr>
      <w:r>
        <w:rPr/>
        <mc:AlternateContent>
          <mc:Choice Requires="wps">
            <w:drawing>
              <wp:anchor behindDoc="0" distT="0" distB="0" distL="0" distR="0" simplePos="0" locked="0" layoutInCell="0" allowOverlap="1" relativeHeight="76">
                <wp:simplePos x="0" y="0"/>
                <wp:positionH relativeFrom="column">
                  <wp:posOffset>635</wp:posOffset>
                </wp:positionH>
                <wp:positionV relativeFrom="paragraph">
                  <wp:posOffset>635</wp:posOffset>
                </wp:positionV>
                <wp:extent cx="6526530" cy="4182745"/>
                <wp:effectExtent l="0" t="0" r="0" b="0"/>
                <wp:wrapNone/>
                <wp:docPr id="38" name="Cadre9 – Videó letöltés mp3-ban"/>
                <a:graphic xmlns:a="http://schemas.openxmlformats.org/drawingml/2006/main">
                  <a:graphicData uri="http://schemas.microsoft.com/office/word/2010/wordprocessingShape">
                    <wps:wsp>
                      <wps:cNvSpPr/>
                      <wps:spPr>
                        <a:xfrm>
                          <a:off x="0" y="0"/>
                          <a:ext cx="6526440" cy="418284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Ábra. A platform témánkénti hozzájárulásai (19/04/2021–09/05/2022) </w:t>
                            </w:r>
                          </w:p>
                        </w:txbxContent>
                      </wps:txbx>
                      <wps:bodyPr lIns="0" rIns="0" tIns="0" bIns="0" anchor="t">
                        <a:noAutofit/>
                      </wps:bodyPr>
                    </wps:wsp>
                  </a:graphicData>
                </a:graphic>
              </wp:anchor>
            </w:drawing>
          </mc:Choice>
          <mc:Fallback>
            <w:pict>
              <v:rect id="shape_0" ID="Cadre9 – Videó letöltés mp3-ban" path="m0,0l-2147483645,0l-2147483645,-2147483646l0,-2147483646xe" fillcolor="white" stroked="f" o:allowincell="f" style="position:absolute;margin-left:0.05pt;margin-top:0.05pt;width:513.85pt;height:329.3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Ábra. A platform témánkénti hozzájárulásai (19/04/2021–09/05/2022) </w:t>
                      </w:r>
                    </w:p>
                  </w:txbxContent>
                </v:textbox>
                <w10:wrap type="none"/>
              </v:rect>
            </w:pict>
          </mc:Fallback>
        </mc:AlternateContent>
      </w:r>
    </w:p>
    <w:p>
      <w:pPr>
        <w:pStyle w:val="Normal"/>
        <w:rPr/>
      </w:pPr>
      <w:r>
        <w:rPr/>
        <mc:AlternateContent>
          <mc:Choice Requires="wpg">
            <w:drawing>
              <wp:anchor behindDoc="0" distT="0" distB="0" distL="0" distR="1270" simplePos="0" locked="0" layoutInCell="0" allowOverlap="1" relativeHeight="78">
                <wp:simplePos x="0" y="0"/>
                <wp:positionH relativeFrom="column">
                  <wp:posOffset>635</wp:posOffset>
                </wp:positionH>
                <wp:positionV relativeFrom="paragraph">
                  <wp:posOffset>127635</wp:posOffset>
                </wp:positionV>
                <wp:extent cx="6524625" cy="3739515"/>
                <wp:effectExtent l="0" t="0" r="0" b="0"/>
                <wp:wrapTopAndBottom/>
                <wp:docPr id="40" name="Forme3"/>
                <a:graphic xmlns:a="http://schemas.openxmlformats.org/drawingml/2006/main">
                  <a:graphicData uri="http://schemas.microsoft.com/office/word/2010/wordprocessingGroup">
                    <wpg:wgp>
                      <wpg:cNvGrpSpPr/>
                      <wpg:grpSpPr>
                        <a:xfrm>
                          <a:off x="0" y="0"/>
                          <a:ext cx="6524640" cy="3739680"/>
                          <a:chOff x="0" y="0"/>
                          <a:chExt cx="6524640" cy="3739680"/>
                        </a:xfrm>
                      </wpg:grpSpPr>
                      <pic:pic xmlns:pic="http://schemas.openxmlformats.org/drawingml/2006/picture">
                        <pic:nvPicPr>
                          <pic:cNvPr id="2" name="" descr=""/>
                          <pic:cNvPicPr/>
                        </pic:nvPicPr>
                        <pic:blipFill>
                          <a:blip r:embed="rId56"/>
                          <a:stretch/>
                        </pic:blipFill>
                        <pic:spPr>
                          <a:xfrm>
                            <a:off x="99720" y="30600"/>
                            <a:ext cx="6378480" cy="2755440"/>
                          </a:xfrm>
                          <a:prstGeom prst="rect">
                            <a:avLst/>
                          </a:prstGeom>
                          <a:ln w="0">
                            <a:noFill/>
                          </a:ln>
                        </pic:spPr>
                      </pic:pic>
                      <pic:pic xmlns:pic="http://schemas.openxmlformats.org/drawingml/2006/picture">
                        <pic:nvPicPr>
                          <pic:cNvPr id="3" name="" descr=""/>
                          <pic:cNvPicPr/>
                        </pic:nvPicPr>
                        <pic:blipFill>
                          <a:blip r:embed="rId57"/>
                          <a:stretch/>
                        </pic:blipFill>
                        <pic:spPr>
                          <a:xfrm>
                            <a:off x="3338280" y="53280"/>
                            <a:ext cx="246240" cy="173520"/>
                          </a:xfrm>
                          <a:prstGeom prst="rect">
                            <a:avLst/>
                          </a:prstGeom>
                          <a:ln w="0">
                            <a:noFill/>
                          </a:ln>
                        </pic:spPr>
                      </pic:pic>
                      <pic:pic xmlns:pic="http://schemas.openxmlformats.org/drawingml/2006/picture">
                        <pic:nvPicPr>
                          <pic:cNvPr id="4" name="" descr=""/>
                          <pic:cNvPicPr/>
                        </pic:nvPicPr>
                        <pic:blipFill>
                          <a:blip r:embed="rId58"/>
                          <a:stretch/>
                        </pic:blipFill>
                        <pic:spPr>
                          <a:xfrm>
                            <a:off x="3340800" y="245880"/>
                            <a:ext cx="217080" cy="266040"/>
                          </a:xfrm>
                          <a:prstGeom prst="rect">
                            <a:avLst/>
                          </a:prstGeom>
                          <a:ln w="0">
                            <a:noFill/>
                          </a:ln>
                        </pic:spPr>
                      </pic:pic>
                      <pic:pic xmlns:pic="http://schemas.openxmlformats.org/drawingml/2006/picture">
                        <pic:nvPicPr>
                          <pic:cNvPr id="5" name="" descr=""/>
                          <pic:cNvPicPr/>
                        </pic:nvPicPr>
                        <pic:blipFill>
                          <a:blip r:embed="rId59"/>
                          <a:stretch/>
                        </pic:blipFill>
                        <pic:spPr>
                          <a:xfrm>
                            <a:off x="3363480" y="598320"/>
                            <a:ext cx="217800" cy="162720"/>
                          </a:xfrm>
                          <a:prstGeom prst="rect">
                            <a:avLst/>
                          </a:prstGeom>
                          <a:ln w="0">
                            <a:noFill/>
                          </a:ln>
                        </pic:spPr>
                      </pic:pic>
                      <wps:wsp>
                        <wps:cNvSpPr/>
                        <wps:spPr>
                          <a:xfrm>
                            <a:off x="3672360" y="0"/>
                            <a:ext cx="553680" cy="28116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Ötletek</w:t>
                              </w:r>
                            </w:p>
                          </w:txbxContent>
                        </wps:txbx>
                        <wps:bodyPr lIns="90000" rIns="90000" tIns="45000" bIns="45000" anchor="t">
                          <a:noAutofit/>
                        </wps:bodyPr>
                      </wps:wsp>
                      <wps:wsp>
                        <wps:cNvSpPr/>
                        <wps:spPr>
                          <a:xfrm>
                            <a:off x="3675960" y="289440"/>
                            <a:ext cx="1098000" cy="28080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Hozzászólások</w:t>
                              </w:r>
                            </w:p>
                          </w:txbxContent>
                        </wps:txbx>
                        <wps:bodyPr lIns="90000" rIns="90000" tIns="45000" bIns="45000" anchor="t">
                          <a:noAutofit/>
                        </wps:bodyPr>
                      </wps:wsp>
                      <wps:wsp>
                        <wps:cNvSpPr/>
                        <wps:spPr>
                          <a:xfrm>
                            <a:off x="3731760" y="576720"/>
                            <a:ext cx="690120" cy="28116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Események</w:t>
                              </w:r>
                            </w:p>
                          </w:txbxContent>
                        </wps:txbx>
                        <wps:bodyPr lIns="90000" rIns="90000" tIns="45000" bIns="45000" anchor="t">
                          <a:noAutofit/>
                        </wps:bodyPr>
                      </wps:wsp>
                      <wps:wsp>
                        <wps:cNvSpPr/>
                        <wps:spPr>
                          <a:xfrm>
                            <a:off x="0" y="2842920"/>
                            <a:ext cx="925920" cy="4654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Európai demokrácia</w:t>
                              </w:r>
                            </w:p>
                          </w:txbxContent>
                        </wps:txbx>
                        <wps:bodyPr lIns="90000" rIns="90000" tIns="45000" bIns="45000" anchor="t">
                          <a:noAutofit/>
                        </wps:bodyPr>
                      </wps:wsp>
                      <wps:wsp>
                        <wps:cNvSpPr/>
                        <wps:spPr>
                          <a:xfrm>
                            <a:off x="458640" y="3290040"/>
                            <a:ext cx="1242000" cy="44964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éghajlatváltozás és a környezet</w:t>
                              </w:r>
                            </w:p>
                          </w:txbxContent>
                        </wps:txbx>
                        <wps:bodyPr lIns="90000" rIns="90000" tIns="45000" bIns="45000" anchor="t">
                          <a:noAutofit/>
                        </wps:bodyPr>
                      </wps:wsp>
                      <wps:wsp>
                        <wps:cNvSpPr/>
                        <wps:spPr>
                          <a:xfrm>
                            <a:off x="1148760" y="2788200"/>
                            <a:ext cx="1068840" cy="47484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Értékek és jogok jogállamiság, biztonság</w:t>
                              </w:r>
                            </w:p>
                          </w:txbxContent>
                        </wps:txbx>
                        <wps:bodyPr lIns="90000" rIns="90000" tIns="45000" bIns="45000" anchor="t">
                          <a:noAutofit/>
                        </wps:bodyPr>
                      </wps:wsp>
                      <wps:wsp>
                        <wps:cNvSpPr/>
                        <wps:spPr>
                          <a:xfrm>
                            <a:off x="1895400" y="3336120"/>
                            <a:ext cx="970920" cy="28116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Egyéb ötletek</w:t>
                              </w:r>
                            </w:p>
                          </w:txbxContent>
                        </wps:txbx>
                        <wps:bodyPr lIns="90000" rIns="90000" tIns="45000" bIns="45000" anchor="t">
                          <a:noAutofit/>
                        </wps:bodyPr>
                      </wps:wsp>
                      <wps:wsp>
                        <wps:cNvSpPr/>
                        <wps:spPr>
                          <a:xfrm>
                            <a:off x="2323440" y="2888640"/>
                            <a:ext cx="1416600" cy="4240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Oktatás, kultúra, ifjúság és sport</w:t>
                              </w:r>
                            </w:p>
                          </w:txbxContent>
                        </wps:txbx>
                        <wps:bodyPr lIns="90000" rIns="90000" tIns="45000" bIns="45000" anchor="t">
                          <a:noAutofit/>
                        </wps:bodyPr>
                      </wps:wsp>
                      <wps:wsp>
                        <wps:cNvSpPr/>
                        <wps:spPr>
                          <a:xfrm>
                            <a:off x="3009240" y="3290040"/>
                            <a:ext cx="1461240" cy="4240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Erősebb gazdaság, társadalmi igazságosság és munkahelyek</w:t>
                              </w:r>
                            </w:p>
                          </w:txbxContent>
                        </wps:txbx>
                        <wps:bodyPr lIns="90000" rIns="90000" tIns="45000" bIns="45000" anchor="t">
                          <a:noAutofit/>
                        </wps:bodyPr>
                      </wps:wsp>
                      <wps:wsp>
                        <wps:cNvSpPr/>
                        <wps:spPr>
                          <a:xfrm>
                            <a:off x="3703320" y="2872080"/>
                            <a:ext cx="1258560" cy="28116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 a világban </w:t>
                              </w:r>
                            </w:p>
                          </w:txbxContent>
                        </wps:txbx>
                        <wps:bodyPr lIns="90000" rIns="90000" tIns="45000" bIns="45000" anchor="t">
                          <a:noAutofit/>
                        </wps:bodyPr>
                      </wps:wsp>
                      <wps:wsp>
                        <wps:cNvSpPr/>
                        <wps:spPr>
                          <a:xfrm>
                            <a:off x="4546080" y="3110760"/>
                            <a:ext cx="850320" cy="28116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Migráció</w:t>
                              </w:r>
                            </w:p>
                          </w:txbxContent>
                        </wps:txbx>
                        <wps:bodyPr lIns="90000" rIns="90000" tIns="45000" bIns="45000" anchor="t">
                          <a:noAutofit/>
                        </wps:bodyPr>
                      </wps:wsp>
                      <wps:wsp>
                        <wps:cNvSpPr/>
                        <wps:spPr>
                          <a:xfrm>
                            <a:off x="4985280" y="2830320"/>
                            <a:ext cx="1156320" cy="4654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Digitális transzformáció</w:t>
                              </w:r>
                            </w:p>
                          </w:txbxContent>
                        </wps:txbx>
                        <wps:bodyPr lIns="90000" rIns="90000" tIns="45000" bIns="45000" anchor="t">
                          <a:noAutofit/>
                        </wps:bodyPr>
                      </wps:wsp>
                      <wps:wsp>
                        <wps:cNvSpPr/>
                        <wps:spPr>
                          <a:xfrm>
                            <a:off x="5903640" y="2847240"/>
                            <a:ext cx="621000" cy="28116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Egészség</w:t>
                              </w:r>
                            </w:p>
                          </w:txbxContent>
                        </wps:txbx>
                        <wps:bodyPr lIns="90000" rIns="90000" tIns="45000" bIns="45000" anchor="t">
                          <a:noAutofit/>
                        </wps:bodyPr>
                      </wps:wsp>
                      <wps:wsp>
                        <wps:cNvSpPr/>
                        <wps:spPr>
                          <a:xfrm flipV="1">
                            <a:off x="1022400" y="2763000"/>
                            <a:ext cx="720" cy="539280"/>
                          </a:xfrm>
                          <a:prstGeom prst="line">
                            <a:avLst/>
                          </a:prstGeom>
                          <a:ln w="0">
                            <a:solidFill>
                              <a:srgbClr val="000000"/>
                            </a:solidFill>
                            <a:tailEnd len="med" type="triangle" w="med"/>
                          </a:ln>
                        </wps:spPr>
                        <wps:style>
                          <a:lnRef idx="0"/>
                          <a:fillRef idx="0"/>
                          <a:effectRef idx="0"/>
                          <a:fontRef idx="minor"/>
                        </wps:style>
                        <wps:bodyPr/>
                      </wps:wsp>
                      <wps:wsp>
                        <wps:cNvSpPr/>
                        <wps:spPr>
                          <a:xfrm flipV="1">
                            <a:off x="2300040" y="2774880"/>
                            <a:ext cx="720" cy="563760"/>
                          </a:xfrm>
                          <a:prstGeom prst="line">
                            <a:avLst/>
                          </a:prstGeom>
                          <a:ln w="0">
                            <a:solidFill>
                              <a:srgbClr val="000000"/>
                            </a:solidFill>
                            <a:tailEnd len="med" type="triangle" w="med"/>
                          </a:ln>
                        </wps:spPr>
                        <wps:style>
                          <a:lnRef idx="0"/>
                          <a:fillRef idx="0"/>
                          <a:effectRef idx="0"/>
                          <a:fontRef idx="minor"/>
                        </wps:style>
                        <wps:bodyPr/>
                      </wps:wsp>
                      <wps:wsp>
                        <wps:cNvSpPr/>
                        <wps:spPr>
                          <a:xfrm flipH="1" flipV="1">
                            <a:off x="3693960" y="2787120"/>
                            <a:ext cx="12240" cy="515160"/>
                          </a:xfrm>
                          <a:prstGeom prst="line">
                            <a:avLst/>
                          </a:prstGeom>
                          <a:ln w="0">
                            <a:solidFill>
                              <a:srgbClr val="000000"/>
                            </a:solidFill>
                            <a:tailEnd len="med" type="triangle" w="med"/>
                          </a:ln>
                        </wps:spPr>
                        <wps:style>
                          <a:lnRef idx="0"/>
                          <a:fillRef idx="0"/>
                          <a:effectRef idx="0"/>
                          <a:fontRef idx="minor"/>
                        </wps:style>
                        <wps:bodyPr/>
                      </wps:wsp>
                      <wps:wsp>
                        <wps:cNvSpPr/>
                        <wps:spPr>
                          <a:xfrm flipV="1">
                            <a:off x="4936320" y="2787120"/>
                            <a:ext cx="0" cy="351000"/>
                          </a:xfrm>
                          <a:prstGeom prst="line">
                            <a:avLst/>
                          </a:prstGeom>
                          <a:ln w="0">
                            <a:solidFill>
                              <a:srgbClr val="000000"/>
                            </a:solidFill>
                            <a:tailEnd len="med" type="triangle" w="med"/>
                          </a:ln>
                        </wps:spPr>
                        <wps:style>
                          <a:lnRef idx="0"/>
                          <a:fillRef idx="0"/>
                          <a:effectRef idx="0"/>
                          <a:fontRef idx="minor"/>
                        </wps:style>
                        <wps:bodyPr/>
                      </wps:wsp>
                    </wpg:wgp>
                  </a:graphicData>
                </a:graphic>
              </wp:anchor>
            </w:drawing>
          </mc:Choice>
          <mc:Fallback>
            <w:pict>
              <v:group id="shape_0" alt="Forme3" style="position:absolute;margin-left:0.05pt;margin-top:10.05pt;width:513.75pt;height:294.45pt" coordorigin="1,201" coordsize="10275,5889">
                <v:shape id="shape_0" stroked="f" o:allowincell="f" style="position:absolute;left:158;top:249;width:10044;height:4338;mso-wrap-style:none;v-text-anchor:middle" type="_x0000_t75">
                  <v:imagedata r:id="rId56" o:detectmouseclick="t"/>
                  <v:stroke color="#3465a4" joinstyle="round" endcap="flat"/>
                  <w10:wrap type="topAndBottom"/>
                </v:shape>
                <v:shape id="shape_0" stroked="f" o:allowincell="f" style="position:absolute;left:5258;top:285;width:387;height:272;mso-wrap-style:none;v-text-anchor:middle" type="_x0000_t75">
                  <v:imagedata r:id="rId57" o:detectmouseclick="t"/>
                  <v:stroke color="#3465a4" joinstyle="round" endcap="flat"/>
                  <w10:wrap type="topAndBottom"/>
                </v:shape>
                <v:shape id="shape_0" stroked="f" o:allowincell="f" style="position:absolute;left:5262;top:588;width:341;height:418;mso-wrap-style:none;v-text-anchor:middle" type="_x0000_t75">
                  <v:imagedata r:id="rId58" o:detectmouseclick="t"/>
                  <v:stroke color="#3465a4" joinstyle="round" endcap="flat"/>
                  <w10:wrap type="topAndBottom"/>
                </v:shape>
                <v:shape id="shape_0" stroked="f" o:allowincell="f" style="position:absolute;left:5298;top:1143;width:342;height:255;mso-wrap-style:none;v-text-anchor:middle" type="_x0000_t75">
                  <v:imagedata r:id="rId59" o:detectmouseclick="t"/>
                  <v:stroke color="#3465a4" joinstyle="round" endcap="flat"/>
                  <w10:wrap type="topAndBottom"/>
                </v:shape>
                <v:rect id="shape_0" path="m0,0l-2147483645,0l-2147483645,-2147483646l0,-2147483646xe" stroked="f" o:allowincell="f" style="position:absolute;left:5784;top:201;width:871;height:44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Ötletek</w:t>
                        </w:r>
                      </w:p>
                    </w:txbxContent>
                  </v:textbox>
                  <v:fill o:detectmouseclick="t" on="false"/>
                  <v:stroke color="#3465a4" joinstyle="round" endcap="flat"/>
                  <w10:wrap type="topAndBottom"/>
                </v:rect>
                <v:rect id="shape_0" path="m0,0l-2147483645,0l-2147483645,-2147483646l0,-2147483646xe" stroked="f" o:allowincell="f" style="position:absolute;left:5790;top:657;width:1728;height:441;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Hozzászólások</w:t>
                        </w:r>
                      </w:p>
                    </w:txbxContent>
                  </v:textbox>
                  <v:fill o:detectmouseclick="t" on="false"/>
                  <v:stroke color="#3465a4" joinstyle="round" endcap="flat"/>
                  <w10:wrap type="topAndBottom"/>
                </v:rect>
                <v:rect id="shape_0" path="m0,0l-2147483645,0l-2147483645,-2147483646l0,-2147483646xe" stroked="f" o:allowincell="f" style="position:absolute;left:5878;top:1109;width:1086;height:44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Események</w:t>
                        </w:r>
                      </w:p>
                    </w:txbxContent>
                  </v:textbox>
                  <v:fill o:detectmouseclick="t" on="false"/>
                  <v:stroke color="#3465a4" joinstyle="round" endcap="flat"/>
                  <w10:wrap type="topAndBottom"/>
                </v:rect>
                <v:rect id="shape_0" path="m0,0l-2147483645,0l-2147483645,-2147483646l0,-2147483646xe" stroked="f" o:allowincell="f" style="position:absolute;left:1;top:4678;width:1457;height:73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Európai demokrácia</w:t>
                        </w:r>
                      </w:p>
                    </w:txbxContent>
                  </v:textbox>
                  <v:fill o:detectmouseclick="t" on="false"/>
                  <v:stroke color="#3465a4" joinstyle="round" endcap="flat"/>
                  <w10:wrap type="topAndBottom"/>
                </v:rect>
                <v:rect id="shape_0" path="m0,0l-2147483645,0l-2147483645,-2147483646l0,-2147483646xe" stroked="f" o:allowincell="f" style="position:absolute;left:723;top:5382;width:1955;height:707;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éghajlatváltozás és a környezet</w:t>
                        </w:r>
                      </w:p>
                    </w:txbxContent>
                  </v:textbox>
                  <v:fill o:detectmouseclick="t" on="false"/>
                  <v:stroke color="#3465a4" joinstyle="round" endcap="flat"/>
                  <w10:wrap type="topAndBottom"/>
                </v:rect>
                <v:rect id="shape_0" path="m0,0l-2147483645,0l-2147483645,-2147483646l0,-2147483646xe" stroked="f" o:allowincell="f" style="position:absolute;left:1810;top:4592;width:1682;height:747;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Értékek és jogok jogállamiság, biztonság</w:t>
                        </w:r>
                      </w:p>
                    </w:txbxContent>
                  </v:textbox>
                  <v:fill o:detectmouseclick="t" on="false"/>
                  <v:stroke color="#3465a4" joinstyle="round" endcap="flat"/>
                  <w10:wrap type="topAndBottom"/>
                </v:rect>
                <v:rect id="shape_0" path="m0,0l-2147483645,0l-2147483645,-2147483646l0,-2147483646xe" stroked="f" o:allowincell="f" style="position:absolute;left:2986;top:5455;width:1528;height:44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Egyéb ötletek</w:t>
                        </w:r>
                      </w:p>
                    </w:txbxContent>
                  </v:textbox>
                  <v:fill o:detectmouseclick="t" on="false"/>
                  <v:stroke color="#3465a4" joinstyle="round" endcap="flat"/>
                  <w10:wrap type="topAndBottom"/>
                </v:rect>
                <v:rect id="shape_0" path="m0,0l-2147483645,0l-2147483645,-2147483646l0,-2147483646xe" stroked="f" o:allowincell="f" style="position:absolute;left:3660;top:4750;width:2230;height:667;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Oktatás, kultúra, ifjúság és sport</w:t>
                        </w:r>
                      </w:p>
                    </w:txbxContent>
                  </v:textbox>
                  <v:fill o:detectmouseclick="t" on="false"/>
                  <v:stroke color="#3465a4" joinstyle="round" endcap="flat"/>
                  <w10:wrap type="topAndBottom"/>
                </v:rect>
                <v:rect id="shape_0" path="m0,0l-2147483645,0l-2147483645,-2147483646l0,-2147483646xe" stroked="f" o:allowincell="f" style="position:absolute;left:4740;top:5382;width:2300;height:667;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Erősebb gazdaság, társadalmi igazságosság és munkahelyek</w:t>
                        </w:r>
                      </w:p>
                    </w:txbxContent>
                  </v:textbox>
                  <v:fill o:detectmouseclick="t" on="false"/>
                  <v:stroke color="#3465a4" joinstyle="round" endcap="flat"/>
                  <w10:wrap type="topAndBottom"/>
                </v:rect>
                <v:rect id="shape_0" path="m0,0l-2147483645,0l-2147483645,-2147483646l0,-2147483646xe" stroked="f" o:allowincell="f" style="position:absolute;left:5833;top:4724;width:1981;height:44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 a világban </w:t>
                        </w:r>
                      </w:p>
                    </w:txbxContent>
                  </v:textbox>
                  <v:fill o:detectmouseclick="t" on="false"/>
                  <v:stroke color="#3465a4" joinstyle="round" endcap="flat"/>
                  <w10:wrap type="topAndBottom"/>
                </v:rect>
                <v:rect id="shape_0" path="m0,0l-2147483645,0l-2147483645,-2147483646l0,-2147483646xe" stroked="f" o:allowincell="f" style="position:absolute;left:7160;top:5100;width:1338;height:44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Migráció</w:t>
                        </w:r>
                      </w:p>
                    </w:txbxContent>
                  </v:textbox>
                  <v:fill o:detectmouseclick="t" on="false"/>
                  <v:stroke color="#3465a4" joinstyle="round" endcap="flat"/>
                  <w10:wrap type="topAndBottom"/>
                </v:rect>
                <v:rect id="shape_0" path="m0,0l-2147483645,0l-2147483645,-2147483646l0,-2147483646xe" stroked="f" o:allowincell="f" style="position:absolute;left:7852;top:4658;width:1820;height:73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Digitális transzformáció</w:t>
                        </w:r>
                      </w:p>
                    </w:txbxContent>
                  </v:textbox>
                  <v:fill o:detectmouseclick="t" on="false"/>
                  <v:stroke color="#3465a4" joinstyle="round" endcap="flat"/>
                  <w10:wrap type="topAndBottom"/>
                </v:rect>
                <v:rect id="shape_0" path="m0,0l-2147483645,0l-2147483645,-2147483646l0,-2147483646xe" stroked="f" o:allowincell="f" style="position:absolute;left:9298;top:4685;width:977;height:44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Egészség</w:t>
                        </w:r>
                      </w:p>
                    </w:txbxContent>
                  </v:textbox>
                  <v:fill o:detectmouseclick="t" on="false"/>
                  <v:stroke color="#3465a4" joinstyle="round" endcap="flat"/>
                  <w10:wrap type="topAndBottom"/>
                </v:rect>
                <v:line id="shape_0" from="1611,4552" to="1611,5400" stroked="t" o:allowincell="f" style="position:absolute;flip:y">
                  <v:stroke color="black" endarrow="block" endarrowwidth="medium" endarrowlength="medium" joinstyle="round" endcap="flat"/>
                  <v:fill o:detectmouseclick="t" on="false"/>
                  <w10:wrap type="topAndBottom"/>
                </v:line>
                <v:line id="shape_0" from="3623,4571" to="3623,5458" stroked="t" o:allowincell="f" style="position:absolute;flip:y">
                  <v:stroke color="black" endarrow="block" endarrowwidth="medium" endarrowlength="medium" joinstyle="round" endcap="flat"/>
                  <v:fill o:detectmouseclick="t" on="false"/>
                  <w10:wrap type="topAndBottom"/>
                </v:line>
                <v:line id="shape_0" from="5818,4590" to="5836,5400" stroked="t" o:allowincell="f" style="position:absolute;flip:xy">
                  <v:stroke color="black" endarrow="block" endarrowwidth="medium" endarrowlength="medium" joinstyle="round" endcap="flat"/>
                  <v:fill o:detectmouseclick="t" on="false"/>
                  <w10:wrap type="topAndBottom"/>
                </v:line>
                <v:line id="shape_0" from="7775,4590" to="7775,5142" stroked="t" o:allowincell="f" style="position:absolute;flip:y">
                  <v:stroke color="black" endarrow="block" endarrowwidth="medium" endarrowlength="medium" joinstyle="round" endcap="flat"/>
                  <v:fill o:detectmouseclick="t" on="false"/>
                  <w10:wrap type="topAndBottom"/>
                </v:line>
              </v:group>
            </w:pict>
          </mc:Fallback>
        </mc:AlternateContent>
      </w:r>
    </w:p>
    <w:p>
      <w:pPr>
        <w:pStyle w:val="Normal"/>
        <w:rPr/>
      </w:pPr>
      <w:r>
        <w:rPr/>
      </w:r>
      <w:r>
        <w:br w:type="page"/>
      </w:r>
    </w:p>
    <w:p>
      <w:pPr>
        <w:pStyle w:val="Titre2"/>
        <w:numPr>
          <w:ilvl w:val="1"/>
          <w:numId w:val="1"/>
        </w:numPr>
        <w:rPr/>
      </w:pPr>
      <w:bookmarkStart w:id="15" w:name="__RefHeading___Toc86357_2514204080"/>
      <w:bookmarkEnd w:id="15"/>
      <w:r>
        <w:drawing>
          <wp:anchor behindDoc="0" distT="0" distB="0" distL="0" distR="0" simplePos="0" locked="0" layoutInCell="0" allowOverlap="1" relativeHeight="83">
            <wp:simplePos x="0" y="0"/>
            <wp:positionH relativeFrom="column">
              <wp:align>left</wp:align>
            </wp:positionH>
            <wp:positionV relativeFrom="line">
              <wp:posOffset>635</wp:posOffset>
            </wp:positionV>
            <wp:extent cx="666750" cy="666750"/>
            <wp:effectExtent l="0" t="0" r="0" b="0"/>
            <wp:wrapSquare wrapText="right"/>
            <wp:docPr id="41" name="Image24 – Videó letöltés mp3-ban"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24 – Videó letöltés mp3-ban" descr=""/>
                    <pic:cNvPicPr>
                      <a:picLocks noChangeAspect="1" noChangeArrowheads="1"/>
                    </pic:cNvPicPr>
                  </pic:nvPicPr>
                  <pic:blipFill>
                    <a:blip r:embed="rId60"/>
                    <a:stretch>
                      <a:fillRect/>
                    </a:stretch>
                  </pic:blipFill>
                  <pic:spPr bwMode="auto">
                    <a:xfrm>
                      <a:off x="0" y="0"/>
                      <a:ext cx="666750" cy="666750"/>
                    </a:xfrm>
                    <a:prstGeom prst="rect">
                      <a:avLst/>
                    </a:prstGeom>
                  </pic:spPr>
                </pic:pic>
              </a:graphicData>
            </a:graphic>
          </wp:anchor>
        </w:drawing>
      </w:r>
      <w:r>
        <w:rPr/>
        <w:t xml:space="preserve">A legújabb fejlemények </w:t>
      </w:r>
    </w:p>
    <w:p>
      <w:pPr>
        <w:pStyle w:val="Corpsdetexte"/>
        <w:spacing w:lineRule="auto" w:line="240" w:before="57" w:after="57"/>
        <w:jc w:val="left"/>
        <w:rPr/>
      </w:pPr>
      <w:r>
        <w:rPr/>
      </w:r>
    </w:p>
    <w:p>
      <w:pPr>
        <w:pStyle w:val="Corpsdetexte"/>
        <w:spacing w:lineRule="auto" w:line="240" w:before="57" w:after="57"/>
        <w:jc w:val="left"/>
        <w:rPr/>
      </w:pPr>
      <w:r>
        <w:rPr/>
        <w:t xml:space="preserve">2022. február 21. és május 9. között a platformon végzett tevékenységek összesen 4693 hozzászólást tettek ki, amelyek a következőkből álltak: </w:t>
      </w:r>
    </w:p>
    <w:p>
      <w:pPr>
        <w:pStyle w:val="Corpsdetexte"/>
        <w:spacing w:lineRule="auto" w:line="240" w:before="57" w:after="57"/>
        <w:jc w:val="left"/>
        <w:rPr/>
      </w:pPr>
      <w:r>
        <w:rPr/>
        <w:t xml:space="preserve">• </w:t>
      </w:r>
      <w:r>
        <w:rPr/>
        <w:t xml:space="preserve">2 633 ötlet </w:t>
      </w:r>
    </w:p>
    <w:p>
      <w:pPr>
        <w:pStyle w:val="Corpsdetexte"/>
        <w:spacing w:lineRule="auto" w:line="240" w:before="57" w:after="57"/>
        <w:jc w:val="left"/>
        <w:rPr/>
      </w:pPr>
      <w:r>
        <w:rPr/>
        <w:t xml:space="preserve">• </w:t>
      </w:r>
      <w:r>
        <w:rPr/>
        <w:t xml:space="preserve">1,246 hozzászólás </w:t>
      </w:r>
    </w:p>
    <w:p>
      <w:pPr>
        <w:pStyle w:val="Corpsdetexte"/>
        <w:spacing w:lineRule="auto" w:line="240" w:before="57" w:after="57"/>
        <w:jc w:val="left"/>
        <w:rPr/>
      </w:pPr>
      <w:r>
        <w:rPr/>
        <w:t xml:space="preserve">• </w:t>
      </w:r>
      <w:r>
        <w:rPr/>
        <w:t xml:space="preserve">814 esemény </w:t>
      </w:r>
    </w:p>
    <w:p>
      <w:pPr>
        <w:pStyle w:val="Corpsdetexte"/>
        <w:spacing w:lineRule="auto" w:line="240" w:before="57" w:after="57"/>
        <w:jc w:val="left"/>
        <w:rPr/>
      </w:pPr>
      <w:r>
        <w:rPr/>
        <w:t>A hozzájárulások országos szintű elemzése azt mutatja, hogy a hozzájárulások volumene (445) tekintetében Olaszország az első helyen állt ebben az időszakban, míg Magyarország (361) maradt a második helyen. Spanyolország (285) a harmadik helyen áll.</w:t>
      </w:r>
    </w:p>
    <w:p>
      <w:pPr>
        <w:pStyle w:val="Corpsdetexte"/>
        <w:spacing w:lineRule="auto" w:line="240" w:before="57" w:after="57"/>
        <w:jc w:val="left"/>
        <w:rPr/>
      </w:pPr>
      <w:r>
        <w:rPr/>
        <w:t>Németország (4.) és Franciaország (5.) továbbra is jelentős mértékben járult hozzá, 232, illetve 230 hozzájárulással.</w:t>
      </w:r>
    </w:p>
    <w:p>
      <w:pPr>
        <w:pStyle w:val="Corpsdetexte"/>
        <w:spacing w:lineRule="auto" w:line="240" w:before="57" w:after="57"/>
        <w:jc w:val="left"/>
        <w:rPr/>
      </w:pPr>
      <w:r>
        <w:rPr/>
        <w:t>A népességhez viszonyított hozzájárulási szintet tekintve Magyarország volt a legmagasabb aktivitási szint az elmúlt időszakban, magas aktivitása egymillió lakosra 36,9 főre rúgott, majd Szlovénia követte az egymillió lakosra jutó 18,8 hozzájárulást. Emellett Horvátország, Szlovákia és Belgium esetében is magas volt az egymillió lakosra jutó hozzájárulások aránya.</w:t>
      </w:r>
    </w:p>
    <w:p>
      <w:pPr>
        <w:pStyle w:val="Normal"/>
        <w:rPr/>
      </w:pPr>
      <w:r>
        <w:rPr/>
      </w:r>
    </w:p>
    <w:p>
      <w:pPr>
        <w:pStyle w:val="Normal"/>
        <w:rPr/>
      </w:pPr>
      <w:r>
        <w:rPr/>
      </w:r>
    </w:p>
    <w:p>
      <w:pPr>
        <w:pStyle w:val="Normal"/>
        <w:rPr/>
      </w:pPr>
      <w:r>
        <w:br w:type="column"/>
      </w:r>
      <w:r>
        <w:rPr/>
      </w:r>
    </w:p>
    <w:p>
      <w:pPr>
        <w:pStyle w:val="Normal"/>
        <w:rPr/>
      </w:pPr>
      <w:r>
        <w:rPr/>
        <mc:AlternateContent>
          <mc:Choice Requires="wps">
            <w:drawing>
              <wp:anchor behindDoc="0" distT="0" distB="0" distL="0" distR="0" simplePos="0" locked="0" layoutInCell="0" allowOverlap="1" relativeHeight="49">
                <wp:simplePos x="0" y="0"/>
                <wp:positionH relativeFrom="column">
                  <wp:posOffset>9525</wp:posOffset>
                </wp:positionH>
                <wp:positionV relativeFrom="paragraph">
                  <wp:posOffset>635</wp:posOffset>
                </wp:positionV>
                <wp:extent cx="2970530" cy="3382645"/>
                <wp:effectExtent l="0" t="0" r="0" b="0"/>
                <wp:wrapSquare wrapText="largest"/>
                <wp:docPr id="42" name="Cadre10"/>
                <a:graphic xmlns:a="http://schemas.openxmlformats.org/drawingml/2006/main">
                  <a:graphicData uri="http://schemas.microsoft.com/office/word/2010/wordprocessingShape">
                    <wps:wsp>
                      <wps:cNvSpPr/>
                      <wps:spPr>
                        <a:xfrm>
                          <a:off x="0" y="0"/>
                          <a:ext cx="2970360" cy="338256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drawing>
                                <wp:inline distT="0" distB="0" distL="0" distR="0">
                                  <wp:extent cx="2970530" cy="2923540"/>
                                  <wp:effectExtent l="0" t="0" r="0" b="0"/>
                                  <wp:docPr id="44" name="Kép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Kép25" descr=""/>
                                          <pic:cNvPicPr>
                                            <a:picLocks noChangeAspect="1" noChangeArrowheads="1"/>
                                          </pic:cNvPicPr>
                                        </pic:nvPicPr>
                                        <pic:blipFill>
                                          <a:blip r:embed="rId61"/>
                                          <a:stretch>
                                            <a:fillRect/>
                                          </a:stretch>
                                        </pic:blipFill>
                                        <pic:spPr bwMode="auto">
                                          <a:xfrm>
                                            <a:off x="0" y="0"/>
                                            <a:ext cx="2970530" cy="2923540"/>
                                          </a:xfrm>
                                          <a:prstGeom prst="rect">
                                            <a:avLst/>
                                          </a:prstGeom>
                                        </pic:spPr>
                                      </pic:pic>
                                    </a:graphicData>
                                  </a:graphic>
                                </wp:inline>
                              </w:drawing>
                            </w:r>
                            <w:r>
                              <w:rPr>
                                <w:vanish/>
                                <w:color w:val="000000"/>
                              </w:rPr>
                              <w:br/>
                            </w:r>
                            <w:r>
                              <w:rPr>
                                <w:color w:val="000000"/>
                              </w:rPr>
                              <w:t xml:space="preserve">Ábra. A hozzájárulások mennyisége országonként (21/02/2022–09/05/2022) </w:t>
                            </w:r>
                          </w:p>
                        </w:txbxContent>
                      </wps:txbx>
                      <wps:bodyPr lIns="0" rIns="0" tIns="0" bIns="0" anchor="t">
                        <a:noAutofit/>
                      </wps:bodyPr>
                    </wps:wsp>
                  </a:graphicData>
                </a:graphic>
              </wp:anchor>
            </w:drawing>
          </mc:Choice>
          <mc:Fallback>
            <w:pict>
              <v:rect id="shape_0" ID="Cadre10" path="m0,0l-2147483645,0l-2147483645,-2147483646l0,-2147483646xe" fillcolor="white" stroked="f" o:allowincell="f" style="position:absolute;margin-left:0.75pt;margin-top:0.05pt;width:233.85pt;height:266.3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drawing>
                          <wp:inline distT="0" distB="0" distL="0" distR="0">
                            <wp:extent cx="2970530" cy="2923540"/>
                            <wp:effectExtent l="0" t="0" r="0" b="0"/>
                            <wp:docPr id="45" name="Kép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Kép25" descr=""/>
                                    <pic:cNvPicPr>
                                      <a:picLocks noChangeAspect="1" noChangeArrowheads="1"/>
                                    </pic:cNvPicPr>
                                  </pic:nvPicPr>
                                  <pic:blipFill>
                                    <a:blip r:embed="rId62"/>
                                    <a:stretch>
                                      <a:fillRect/>
                                    </a:stretch>
                                  </pic:blipFill>
                                  <pic:spPr bwMode="auto">
                                    <a:xfrm>
                                      <a:off x="0" y="0"/>
                                      <a:ext cx="2970530" cy="2923540"/>
                                    </a:xfrm>
                                    <a:prstGeom prst="rect">
                                      <a:avLst/>
                                    </a:prstGeom>
                                  </pic:spPr>
                                </pic:pic>
                              </a:graphicData>
                            </a:graphic>
                          </wp:inline>
                        </w:drawing>
                      </w:r>
                      <w:r>
                        <w:rPr>
                          <w:vanish/>
                          <w:color w:val="000000"/>
                        </w:rPr>
                        <w:br/>
                      </w:r>
                      <w:r>
                        <w:rPr>
                          <w:color w:val="000000"/>
                        </w:rPr>
                        <w:t xml:space="preserve">Ábra. A hozzájárulások mennyisége országonként (21/02/2022–09/05/2022) </w:t>
                      </w:r>
                    </w:p>
                  </w:txbxContent>
                </v:textbox>
                <w10:wrap type="square" side="largest"/>
              </v:rect>
            </w:pict>
          </mc:Fallback>
        </mc:AlternateContent>
      </w:r>
    </w:p>
    <w:p>
      <w:pPr>
        <w:pStyle w:val="Normal"/>
        <w:rPr/>
      </w:pPr>
      <w:r>
        <w:rPr/>
        <mc:AlternateContent>
          <mc:Choice Requires="wps">
            <w:drawing>
              <wp:anchor behindDoc="0" distT="0" distB="0" distL="0" distR="0" simplePos="0" locked="0" layoutInCell="0" allowOverlap="1" relativeHeight="47">
                <wp:simplePos x="0" y="0"/>
                <wp:positionH relativeFrom="column">
                  <wp:align>center</wp:align>
                </wp:positionH>
                <wp:positionV relativeFrom="paragraph">
                  <wp:posOffset>635</wp:posOffset>
                </wp:positionV>
                <wp:extent cx="2970530" cy="3982720"/>
                <wp:effectExtent l="0" t="0" r="0" b="0"/>
                <wp:wrapSquare wrapText="largest"/>
                <wp:docPr id="46" name="Cadre11 – Videó letöltés mp3-ban"/>
                <a:graphic xmlns:a="http://schemas.openxmlformats.org/drawingml/2006/main">
                  <a:graphicData uri="http://schemas.microsoft.com/office/word/2010/wordprocessingShape">
                    <wps:wsp>
                      <wps:cNvSpPr/>
                      <wps:spPr>
                        <a:xfrm>
                          <a:off x="0" y="0"/>
                          <a:ext cx="2970360" cy="398268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drawing>
                                <wp:inline distT="0" distB="0" distL="0" distR="0">
                                  <wp:extent cx="2970530" cy="3348355"/>
                                  <wp:effectExtent l="0" t="0" r="0" b="0"/>
                                  <wp:docPr id="48" name="Kép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Kép26" descr=""/>
                                          <pic:cNvPicPr>
                                            <a:picLocks noChangeAspect="1" noChangeArrowheads="1"/>
                                          </pic:cNvPicPr>
                                        </pic:nvPicPr>
                                        <pic:blipFill>
                                          <a:blip r:embed="rId63"/>
                                          <a:stretch>
                                            <a:fillRect/>
                                          </a:stretch>
                                        </pic:blipFill>
                                        <pic:spPr bwMode="auto">
                                          <a:xfrm>
                                            <a:off x="0" y="0"/>
                                            <a:ext cx="2970530" cy="3348355"/>
                                          </a:xfrm>
                                          <a:prstGeom prst="rect">
                                            <a:avLst/>
                                          </a:prstGeom>
                                        </pic:spPr>
                                      </pic:pic>
                                    </a:graphicData>
                                  </a:graphic>
                                </wp:inline>
                              </w:drawing>
                            </w:r>
                            <w:r>
                              <w:rPr>
                                <w:vanish/>
                                <w:color w:val="000000"/>
                              </w:rPr>
                              <w:br/>
                            </w:r>
                            <w:r>
                              <w:rPr>
                                <w:color w:val="000000"/>
                              </w:rPr>
                              <w:t xml:space="preserve">Ábra. A hozzájárulások mennyisége országonként 1 millió lakosra vetítve (21/02/2022–09/05/2022) </w:t>
                            </w:r>
                          </w:p>
                        </w:txbxContent>
                      </wps:txbx>
                      <wps:bodyPr lIns="0" rIns="0" tIns="0" bIns="0" anchor="t">
                        <a:noAutofit/>
                      </wps:bodyPr>
                    </wps:wsp>
                  </a:graphicData>
                </a:graphic>
              </wp:anchor>
            </w:drawing>
          </mc:Choice>
          <mc:Fallback>
            <w:pict>
              <v:rect id="shape_0" ID="Cadre11 – Videó letöltés mp3-ban" path="m0,0l-2147483645,0l-2147483645,-2147483646l0,-2147483646xe" fillcolor="white" stroked="f" o:allowincell="f" style="position:absolute;margin-left:0pt;margin-top:0.05pt;width:233.85pt;height:313.55pt;mso-wrap-style:square;v-text-anchor:top;mso-position-horizontal:center">
                <v:fill o:detectmouseclick="t" type="solid" color2="black"/>
                <v:stroke color="#3465a4" joinstyle="round" endcap="flat"/>
                <v:textbox>
                  <w:txbxContent>
                    <w:p>
                      <w:pPr>
                        <w:pStyle w:val="Lgende"/>
                        <w:suppressLineNumbers/>
                        <w:spacing w:before="120" w:after="120"/>
                        <w:jc w:val="left"/>
                        <w:rPr>
                          <w:color w:val="000000"/>
                        </w:rPr>
                      </w:pPr>
                      <w:r>
                        <w:rPr>
                          <w:color w:val="000000"/>
                        </w:rPr>
                        <w:drawing>
                          <wp:inline distT="0" distB="0" distL="0" distR="0">
                            <wp:extent cx="2970530" cy="3348355"/>
                            <wp:effectExtent l="0" t="0" r="0" b="0"/>
                            <wp:docPr id="49" name="Kép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Kép26" descr=""/>
                                    <pic:cNvPicPr>
                                      <a:picLocks noChangeAspect="1" noChangeArrowheads="1"/>
                                    </pic:cNvPicPr>
                                  </pic:nvPicPr>
                                  <pic:blipFill>
                                    <a:blip r:embed="rId64"/>
                                    <a:stretch>
                                      <a:fillRect/>
                                    </a:stretch>
                                  </pic:blipFill>
                                  <pic:spPr bwMode="auto">
                                    <a:xfrm>
                                      <a:off x="0" y="0"/>
                                      <a:ext cx="2970530" cy="3348355"/>
                                    </a:xfrm>
                                    <a:prstGeom prst="rect">
                                      <a:avLst/>
                                    </a:prstGeom>
                                  </pic:spPr>
                                </pic:pic>
                              </a:graphicData>
                            </a:graphic>
                          </wp:inline>
                        </w:drawing>
                      </w:r>
                      <w:r>
                        <w:rPr>
                          <w:vanish/>
                          <w:color w:val="000000"/>
                        </w:rPr>
                        <w:br/>
                      </w:r>
                      <w:r>
                        <w:rPr>
                          <w:color w:val="000000"/>
                        </w:rPr>
                        <w:t xml:space="preserve">Ábra. A hozzájárulások mennyisége országonként 1 millió lakosra vetítve (21/02/2022–09/05/2022) </w:t>
                      </w:r>
                    </w:p>
                  </w:txbxContent>
                </v:textbox>
                <w10:wrap type="square" side="largest"/>
              </v:rect>
            </w:pict>
          </mc:Fallback>
        </mc:AlternateContent>
      </w:r>
    </w:p>
    <w:p>
      <w:pPr>
        <w:pStyle w:val="Normal"/>
        <w:rPr/>
      </w:pPr>
      <w:r>
        <w:rPr/>
      </w:r>
    </w:p>
    <w:p>
      <w:pPr>
        <w:pStyle w:val="Normal"/>
        <w:rPr/>
      </w:pPr>
      <w:r>
        <w:rPr/>
      </w:r>
    </w:p>
    <w:p>
      <w:pPr>
        <w:pStyle w:val="Normal"/>
        <w:rPr/>
      </w:pPr>
      <w:r>
        <w:rPr/>
      </w:r>
      <w:r>
        <w:br w:type="page"/>
      </w:r>
    </w:p>
    <w:p>
      <w:pPr>
        <w:pStyle w:val="Titre2"/>
        <w:numPr>
          <w:ilvl w:val="1"/>
          <w:numId w:val="1"/>
        </w:numPr>
        <w:rPr/>
      </w:pPr>
      <w:bookmarkStart w:id="16" w:name="__RefHeading___Toc86359_2514204080"/>
      <w:bookmarkEnd w:id="16"/>
      <w:r>
        <w:drawing>
          <wp:anchor behindDoc="0" distT="0" distB="0" distL="0" distR="0" simplePos="0" locked="0" layoutInCell="0" allowOverlap="1" relativeHeight="85">
            <wp:simplePos x="0" y="0"/>
            <wp:positionH relativeFrom="column">
              <wp:align>left</wp:align>
            </wp:positionH>
            <wp:positionV relativeFrom="line">
              <wp:posOffset>635</wp:posOffset>
            </wp:positionV>
            <wp:extent cx="771525" cy="771525"/>
            <wp:effectExtent l="0" t="0" r="0" b="0"/>
            <wp:wrapSquare wrapText="right"/>
            <wp:docPr id="50" name="Kép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Kép28" descr=""/>
                    <pic:cNvPicPr>
                      <a:picLocks noChangeAspect="1" noChangeArrowheads="1"/>
                    </pic:cNvPicPr>
                  </pic:nvPicPr>
                  <pic:blipFill>
                    <a:blip r:embed="rId65"/>
                    <a:stretch>
                      <a:fillRect/>
                    </a:stretch>
                  </pic:blipFill>
                  <pic:spPr bwMode="auto">
                    <a:xfrm>
                      <a:off x="0" y="0"/>
                      <a:ext cx="771525" cy="771525"/>
                    </a:xfrm>
                    <a:prstGeom prst="rect">
                      <a:avLst/>
                    </a:prstGeom>
                  </pic:spPr>
                </pic:pic>
              </a:graphicData>
            </a:graphic>
          </wp:anchor>
        </w:drawing>
      </w:r>
      <w:r>
        <w:rPr/>
        <w:t xml:space="preserve">Trendi témák 2022. február 21-től május 9-ig </w:t>
      </w:r>
    </w:p>
    <w:p>
      <w:pPr>
        <w:pStyle w:val="Corpsdetexte"/>
        <w:jc w:val="left"/>
        <w:rPr/>
      </w:pPr>
      <w:r>
        <w:rPr/>
        <w:t>Az európai demokrácia, az éghajlatváltozás és a környezetvédelem témakörei továbbra is a legnépszerűbb témák voltak, amelyek közül a legtöbbet – 686, illetve 818-at – tették ki. Az oktatás, a kultúra, az ifjúság és a sport témaköre az elmúlt időszakban a harmadik legnépszerűbb volt, összesen 636 hozzájárulással.</w:t>
      </w:r>
    </w:p>
    <w:p>
      <w:pPr>
        <w:pStyle w:val="Corpsdetexte"/>
        <w:jc w:val="left"/>
        <w:rPr/>
      </w:pPr>
      <w:r>
        <w:rPr/>
        <w:t>A teljes számhoz képest az értékek és jogok, a jogállamiság és a biztonság témaköre a legutóbbi hozzájárulások között a negyedik helyen állt, 532 hozzászólással, míg az egyéb ötletek ebben az áttekintésben csak a hatodik helyen álltak, mindössze 385 hozzászólással.</w:t>
      </w:r>
    </w:p>
    <w:p>
      <w:pPr>
        <w:pStyle w:val="Corpsdetexte"/>
        <w:spacing w:lineRule="auto" w:line="240" w:before="57" w:after="57"/>
        <w:jc w:val="left"/>
        <w:rPr/>
      </w:pPr>
      <w:r>
        <w:rPr/>
      </w:r>
    </w:p>
    <w:p>
      <w:pPr>
        <w:pStyle w:val="Normal"/>
        <w:rPr/>
      </w:pPr>
      <w:r>
        <w:rPr/>
        <mc:AlternateContent>
          <mc:Choice Requires="wps">
            <w:drawing>
              <wp:anchor behindDoc="0" distT="0" distB="0" distL="0" distR="0" simplePos="0" locked="0" layoutInCell="0" allowOverlap="1" relativeHeight="79">
                <wp:simplePos x="0" y="0"/>
                <wp:positionH relativeFrom="column">
                  <wp:posOffset>-320040</wp:posOffset>
                </wp:positionH>
                <wp:positionV relativeFrom="paragraph">
                  <wp:posOffset>57785</wp:posOffset>
                </wp:positionV>
                <wp:extent cx="6623685" cy="3598545"/>
                <wp:effectExtent l="0" t="0" r="0" b="0"/>
                <wp:wrapTopAndBottom/>
                <wp:docPr id="51" name="Cadre12"/>
                <a:graphic xmlns:a="http://schemas.openxmlformats.org/drawingml/2006/main">
                  <a:graphicData uri="http://schemas.microsoft.com/office/word/2010/wordprocessingShape">
                    <wps:wsp>
                      <wps:cNvSpPr/>
                      <wps:spPr>
                        <a:xfrm>
                          <a:off x="0" y="0"/>
                          <a:ext cx="6623640" cy="359856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Ábra. Összehasonlítás az elmúlt időszak és az összes hozzászólás témánkénti áttekintéséről </w:t>
                            </w:r>
                          </w:p>
                        </w:txbxContent>
                      </wps:txbx>
                      <wps:bodyPr lIns="0" rIns="0" tIns="0" bIns="0" anchor="t">
                        <a:noAutofit/>
                      </wps:bodyPr>
                    </wps:wsp>
                  </a:graphicData>
                </a:graphic>
              </wp:anchor>
            </w:drawing>
          </mc:Choice>
          <mc:Fallback>
            <w:pict>
              <v:rect id="shape_0" ID="Cadre12" path="m0,0l-2147483645,0l-2147483645,-2147483646l0,-2147483646xe" fillcolor="white" stroked="f" o:allowincell="f" style="position:absolute;margin-left:-25.2pt;margin-top:4.55pt;width:521.5pt;height:283.3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Ábra. Összehasonlítás az elmúlt időszak és az összes hozzászólás témánkénti áttekintéséről </w:t>
                      </w:r>
                    </w:p>
                  </w:txbxContent>
                </v:textbox>
                <w10:wrap type="topAndBottom"/>
              </v:rect>
            </w:pict>
          </mc:Fallback>
        </mc:AlternateContent>
        <mc:AlternateContent>
          <mc:Choice Requires="wpg">
            <w:drawing>
              <wp:anchor behindDoc="0" distT="0" distB="0" distL="0" distR="1270" simplePos="0" locked="0" layoutInCell="0" allowOverlap="1" relativeHeight="82">
                <wp:simplePos x="0" y="0"/>
                <wp:positionH relativeFrom="column">
                  <wp:posOffset>-320040</wp:posOffset>
                </wp:positionH>
                <wp:positionV relativeFrom="paragraph">
                  <wp:posOffset>603250</wp:posOffset>
                </wp:positionV>
                <wp:extent cx="6621780" cy="2874645"/>
                <wp:effectExtent l="0" t="0" r="0" b="0"/>
                <wp:wrapTopAndBottom/>
                <wp:docPr id="53" name="Forme4"/>
                <a:graphic xmlns:a="http://schemas.openxmlformats.org/drawingml/2006/main">
                  <a:graphicData uri="http://schemas.microsoft.com/office/word/2010/wordprocessingGroup">
                    <wpg:wgp>
                      <wpg:cNvGrpSpPr/>
                      <wpg:grpSpPr>
                        <a:xfrm>
                          <a:off x="0" y="0"/>
                          <a:ext cx="6621840" cy="2874600"/>
                          <a:chOff x="0" y="0"/>
                          <a:chExt cx="6621840" cy="2874600"/>
                        </a:xfrm>
                      </wpg:grpSpPr>
                      <pic:pic xmlns:pic="http://schemas.openxmlformats.org/drawingml/2006/picture">
                        <pic:nvPicPr>
                          <pic:cNvPr id="6" name="" descr=""/>
                          <pic:cNvPicPr/>
                        </pic:nvPicPr>
                        <pic:blipFill>
                          <a:blip r:embed="rId66"/>
                          <a:stretch/>
                        </pic:blipFill>
                        <pic:spPr>
                          <a:xfrm>
                            <a:off x="280080" y="0"/>
                            <a:ext cx="6206400" cy="2055600"/>
                          </a:xfrm>
                          <a:prstGeom prst="rect">
                            <a:avLst/>
                          </a:prstGeom>
                          <a:ln w="0">
                            <a:noFill/>
                          </a:ln>
                        </pic:spPr>
                      </pic:pic>
                      <pic:pic xmlns:pic="http://schemas.openxmlformats.org/drawingml/2006/picture">
                        <pic:nvPicPr>
                          <pic:cNvPr id="7" name="" descr=""/>
                          <pic:cNvPicPr/>
                        </pic:nvPicPr>
                        <pic:blipFill>
                          <a:blip r:embed="rId67"/>
                          <a:stretch/>
                        </pic:blipFill>
                        <pic:spPr>
                          <a:xfrm>
                            <a:off x="3588480" y="166320"/>
                            <a:ext cx="198720" cy="236160"/>
                          </a:xfrm>
                          <a:prstGeom prst="rect">
                            <a:avLst/>
                          </a:prstGeom>
                          <a:ln w="0">
                            <a:noFill/>
                          </a:ln>
                        </pic:spPr>
                      </pic:pic>
                      <pic:pic xmlns:pic="http://schemas.openxmlformats.org/drawingml/2006/picture">
                        <pic:nvPicPr>
                          <pic:cNvPr id="8" name="" descr=""/>
                          <pic:cNvPicPr/>
                        </pic:nvPicPr>
                        <pic:blipFill>
                          <a:blip r:embed="rId68"/>
                          <a:stretch/>
                        </pic:blipFill>
                        <pic:spPr>
                          <a:xfrm>
                            <a:off x="3570120" y="433800"/>
                            <a:ext cx="189360" cy="188640"/>
                          </a:xfrm>
                          <a:prstGeom prst="rect">
                            <a:avLst/>
                          </a:prstGeom>
                          <a:ln w="0">
                            <a:noFill/>
                          </a:ln>
                        </pic:spPr>
                      </pic:pic>
                      <wps:wsp>
                        <wps:cNvSpPr/>
                        <wps:spPr>
                          <a:xfrm>
                            <a:off x="772920" y="2468160"/>
                            <a:ext cx="926640" cy="3484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Európai demokrácia</w:t>
                              </w:r>
                            </w:p>
                          </w:txbxContent>
                        </wps:txbx>
                        <wps:bodyPr lIns="90000" rIns="90000" tIns="45000" bIns="45000" anchor="t">
                          <a:noAutofit/>
                        </wps:bodyPr>
                      </wps:wsp>
                      <wps:wsp>
                        <wps:cNvSpPr/>
                        <wps:spPr>
                          <a:xfrm>
                            <a:off x="0" y="2120760"/>
                            <a:ext cx="1242000" cy="41652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éghajlatváltozás és a környezet</w:t>
                              </w:r>
                            </w:p>
                          </w:txbxContent>
                        </wps:txbx>
                        <wps:bodyPr lIns="90000" rIns="90000" tIns="45000" bIns="45000" anchor="t">
                          <a:noAutofit/>
                        </wps:bodyPr>
                      </wps:wsp>
                      <wps:wsp>
                        <wps:cNvSpPr/>
                        <wps:spPr>
                          <a:xfrm>
                            <a:off x="2048400" y="2433960"/>
                            <a:ext cx="1069200" cy="44064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Értékek és jogok jogállamiság, biztonság</w:t>
                              </w:r>
                            </w:p>
                          </w:txbxContent>
                        </wps:txbx>
                        <wps:bodyPr lIns="90000" rIns="90000" tIns="45000" bIns="45000" anchor="t">
                          <a:noAutofit/>
                        </wps:bodyPr>
                      </wps:wsp>
                      <wps:wsp>
                        <wps:cNvSpPr/>
                        <wps:spPr>
                          <a:xfrm>
                            <a:off x="3319200" y="2515320"/>
                            <a:ext cx="970200" cy="28116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Egyéb ötletek</w:t>
                              </w:r>
                            </w:p>
                          </w:txbxContent>
                        </wps:txbx>
                        <wps:bodyPr lIns="90000" rIns="90000" tIns="45000" bIns="45000" anchor="t">
                          <a:noAutofit/>
                        </wps:bodyPr>
                      </wps:wsp>
                      <wps:wsp>
                        <wps:cNvSpPr/>
                        <wps:spPr>
                          <a:xfrm>
                            <a:off x="1226160" y="2179440"/>
                            <a:ext cx="1195200" cy="39312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Oktatás, kultúra, ifjúság és sport</w:t>
                              </w:r>
                            </w:p>
                          </w:txbxContent>
                        </wps:txbx>
                        <wps:bodyPr lIns="90000" rIns="90000" tIns="45000" bIns="45000" anchor="t">
                          <a:noAutofit/>
                        </wps:bodyPr>
                      </wps:wsp>
                      <wps:wsp>
                        <wps:cNvSpPr/>
                        <wps:spPr>
                          <a:xfrm>
                            <a:off x="2597040" y="2109960"/>
                            <a:ext cx="1148040" cy="43992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Erősebb gazdaság, társadalmi igazságosság és munkahelyek</w:t>
                              </w:r>
                            </w:p>
                          </w:txbxContent>
                        </wps:txbx>
                        <wps:bodyPr lIns="90000" rIns="90000" tIns="45000" bIns="45000" anchor="t">
                          <a:noAutofit/>
                        </wps:bodyPr>
                      </wps:wsp>
                      <wps:wsp>
                        <wps:cNvSpPr/>
                        <wps:spPr>
                          <a:xfrm>
                            <a:off x="3814560" y="2152800"/>
                            <a:ext cx="1257840" cy="2602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 a világban </w:t>
                              </w:r>
                            </w:p>
                          </w:txbxContent>
                        </wps:txbx>
                        <wps:bodyPr lIns="90000" rIns="90000" tIns="45000" bIns="45000" anchor="t">
                          <a:noAutofit/>
                        </wps:bodyPr>
                      </wps:wsp>
                      <wps:wsp>
                        <wps:cNvSpPr/>
                        <wps:spPr>
                          <a:xfrm>
                            <a:off x="5772240" y="2442960"/>
                            <a:ext cx="849600" cy="2602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Migráció</w:t>
                              </w:r>
                            </w:p>
                          </w:txbxContent>
                        </wps:txbx>
                        <wps:bodyPr lIns="90000" rIns="90000" tIns="45000" bIns="45000" anchor="t">
                          <a:noAutofit/>
                        </wps:bodyPr>
                      </wps:wsp>
                      <wps:wsp>
                        <wps:cNvSpPr/>
                        <wps:spPr>
                          <a:xfrm>
                            <a:off x="5221440" y="2148120"/>
                            <a:ext cx="937800" cy="3232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Digitális transzformáció</w:t>
                              </w:r>
                            </w:p>
                          </w:txbxContent>
                        </wps:txbx>
                        <wps:bodyPr lIns="90000" rIns="90000" tIns="45000" bIns="45000" anchor="t">
                          <a:noAutofit/>
                        </wps:bodyPr>
                      </wps:wsp>
                      <wps:wsp>
                        <wps:cNvSpPr/>
                        <wps:spPr>
                          <a:xfrm>
                            <a:off x="4724280" y="2396520"/>
                            <a:ext cx="621720" cy="2602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Egészség</w:t>
                              </w:r>
                            </w:p>
                          </w:txbxContent>
                        </wps:txbx>
                        <wps:bodyPr lIns="90000" rIns="90000" tIns="45000" bIns="45000" anchor="t">
                          <a:noAutofit/>
                        </wps:bodyPr>
                      </wps:wsp>
                      <wps:wsp>
                        <wps:cNvSpPr/>
                        <wps:spPr>
                          <a:xfrm flipV="1">
                            <a:off x="1225440" y="2050560"/>
                            <a:ext cx="0" cy="383400"/>
                          </a:xfrm>
                          <a:prstGeom prst="line">
                            <a:avLst/>
                          </a:prstGeom>
                          <a:ln w="0">
                            <a:solidFill>
                              <a:srgbClr val="000000"/>
                            </a:solidFill>
                            <a:tailEnd len="med" type="triangle" w="med"/>
                          </a:ln>
                        </wps:spPr>
                        <wps:style>
                          <a:lnRef idx="0"/>
                          <a:fillRef idx="0"/>
                          <a:effectRef idx="0"/>
                          <a:fontRef idx="minor"/>
                        </wps:style>
                        <wps:bodyPr/>
                      </wps:wsp>
                      <wps:wsp>
                        <wps:cNvSpPr/>
                        <wps:spPr>
                          <a:xfrm flipV="1">
                            <a:off x="2480400" y="2062440"/>
                            <a:ext cx="720" cy="383040"/>
                          </a:xfrm>
                          <a:prstGeom prst="line">
                            <a:avLst/>
                          </a:prstGeom>
                          <a:ln w="0">
                            <a:solidFill>
                              <a:srgbClr val="000000"/>
                            </a:solidFill>
                            <a:tailEnd len="med" type="triangle" w="med"/>
                          </a:ln>
                        </wps:spPr>
                        <wps:style>
                          <a:lnRef idx="0"/>
                          <a:fillRef idx="0"/>
                          <a:effectRef idx="0"/>
                          <a:fontRef idx="minor"/>
                        </wps:style>
                        <wps:bodyPr/>
                      </wps:wsp>
                      <wps:wsp>
                        <wps:cNvSpPr/>
                        <wps:spPr>
                          <a:xfrm flipV="1">
                            <a:off x="3758040" y="2097360"/>
                            <a:ext cx="720" cy="405720"/>
                          </a:xfrm>
                          <a:prstGeom prst="line">
                            <a:avLst/>
                          </a:prstGeom>
                          <a:ln w="0">
                            <a:solidFill>
                              <a:srgbClr val="000000"/>
                            </a:solidFill>
                            <a:tailEnd len="med" type="triangle" w="med"/>
                          </a:ln>
                        </wps:spPr>
                        <wps:style>
                          <a:lnRef idx="0"/>
                          <a:fillRef idx="0"/>
                          <a:effectRef idx="0"/>
                          <a:fontRef idx="minor"/>
                        </wps:style>
                        <wps:bodyPr/>
                      </wps:wsp>
                      <wps:wsp>
                        <wps:cNvSpPr/>
                        <wps:spPr>
                          <a:xfrm flipV="1">
                            <a:off x="4977720" y="2108880"/>
                            <a:ext cx="11520" cy="278280"/>
                          </a:xfrm>
                          <a:prstGeom prst="line">
                            <a:avLst/>
                          </a:prstGeom>
                          <a:ln w="0">
                            <a:solidFill>
                              <a:srgbClr val="000000"/>
                            </a:solidFill>
                            <a:tailEnd len="med" type="triangle" w="med"/>
                          </a:ln>
                        </wps:spPr>
                        <wps:style>
                          <a:lnRef idx="0"/>
                          <a:fillRef idx="0"/>
                          <a:effectRef idx="0"/>
                          <a:fontRef idx="minor"/>
                        </wps:style>
                        <wps:bodyPr/>
                      </wps:wsp>
                      <wps:wsp>
                        <wps:cNvSpPr/>
                        <wps:spPr>
                          <a:xfrm flipV="1">
                            <a:off x="6243480" y="2120760"/>
                            <a:ext cx="11520" cy="278280"/>
                          </a:xfrm>
                          <a:prstGeom prst="line">
                            <a:avLst/>
                          </a:prstGeom>
                          <a:ln w="0">
                            <a:solidFill>
                              <a:srgbClr val="000000"/>
                            </a:solidFill>
                            <a:tailEnd len="med" type="triangle" w="med"/>
                          </a:ln>
                        </wps:spPr>
                        <wps:style>
                          <a:lnRef idx="0"/>
                          <a:fillRef idx="0"/>
                          <a:effectRef idx="0"/>
                          <a:fontRef idx="minor"/>
                        </wps:style>
                        <wps:bodyPr/>
                      </wps:wsp>
                      <wps:wsp>
                        <wps:cNvSpPr/>
                        <wps:spPr>
                          <a:xfrm>
                            <a:off x="3922920" y="444960"/>
                            <a:ext cx="774720" cy="257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összesen</w:t>
                              </w:r>
                            </w:p>
                          </w:txbxContent>
                        </wps:txbx>
                        <wps:bodyPr lIns="90000" rIns="90000" tIns="45000" bIns="45000" anchor="t">
                          <a:noAutofit/>
                        </wps:bodyPr>
                      </wps:wsp>
                      <wps:wsp>
                        <wps:cNvSpPr/>
                        <wps:spPr>
                          <a:xfrm>
                            <a:off x="3911760" y="201240"/>
                            <a:ext cx="1262520" cy="20628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jelenlegi fázis</w:t>
                              </w:r>
                            </w:p>
                          </w:txbxContent>
                        </wps:txbx>
                        <wps:bodyPr lIns="90000" rIns="90000" tIns="45000" bIns="45000" anchor="t">
                          <a:noAutofit/>
                        </wps:bodyPr>
                      </wps:wsp>
                      <wps:wsp>
                        <wps:cNvSpPr/>
                        <wps:spPr>
                          <a:xfrm>
                            <a:off x="1577520" y="14760"/>
                            <a:ext cx="2524680" cy="26028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hozzászólások áttekintése témánként</w:t>
                              </w:r>
                            </w:p>
                          </w:txbxContent>
                        </wps:txbx>
                        <wps:bodyPr lIns="90000" rIns="90000" tIns="45000" bIns="45000" anchor="t">
                          <a:noAutofit/>
                        </wps:bodyPr>
                      </wps:wsp>
                    </wpg:wgp>
                  </a:graphicData>
                </a:graphic>
              </wp:anchor>
            </w:drawing>
          </mc:Choice>
          <mc:Fallback>
            <w:pict>
              <v:group id="shape_0" alt="Forme4" style="position:absolute;margin-left:-25.2pt;margin-top:47.5pt;width:521.4pt;height:226.35pt" coordorigin="-504,950" coordsize="10428,4527">
                <v:shape id="shape_0" stroked="f" o:allowincell="f" style="position:absolute;left:-63;top:950;width:9773;height:3236;mso-wrap-style:none;v-text-anchor:middle" type="_x0000_t75">
                  <v:imagedata r:id="rId66" o:detectmouseclick="t"/>
                  <v:stroke color="#3465a4" joinstyle="round" endcap="flat"/>
                  <w10:wrap type="topAndBottom"/>
                </v:shape>
                <v:shape id="shape_0" stroked="f" o:allowincell="f" style="position:absolute;left:5147;top:1212;width:312;height:371;mso-wrap-style:none;v-text-anchor:middle" type="_x0000_t75">
                  <v:imagedata r:id="rId67" o:detectmouseclick="t"/>
                  <v:stroke color="#3465a4" joinstyle="round" endcap="flat"/>
                  <w10:wrap type="topAndBottom"/>
                </v:shape>
                <v:shape id="shape_0" stroked="f" o:allowincell="f" style="position:absolute;left:5118;top:1633;width:297;height:296;mso-wrap-style:none;v-text-anchor:middle" type="_x0000_t75">
                  <v:imagedata r:id="rId68" o:detectmouseclick="t"/>
                  <v:stroke color="#3465a4" joinstyle="round" endcap="flat"/>
                  <w10:wrap type="topAndBottom"/>
                </v:shape>
                <v:rect id="shape_0" path="m0,0l-2147483645,0l-2147483645,-2147483646l0,-2147483646xe" stroked="f" o:allowincell="f" style="position:absolute;left:713;top:4837;width:1458;height:548;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Európai demokrácia</w:t>
                        </w:r>
                      </w:p>
                    </w:txbxContent>
                  </v:textbox>
                  <v:fill o:detectmouseclick="t" on="false"/>
                  <v:stroke color="#3465a4" joinstyle="round" endcap="flat"/>
                  <w10:wrap type="topAndBottom"/>
                </v:rect>
                <v:rect id="shape_0" path="m0,0l-2147483645,0l-2147483645,-2147483646l0,-2147483646xe" stroked="f" o:allowincell="f" style="position:absolute;left:-504;top:4290;width:1955;height:655;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éghajlatváltozás és a környezet</w:t>
                        </w:r>
                      </w:p>
                    </w:txbxContent>
                  </v:textbox>
                  <v:fill o:detectmouseclick="t" on="false"/>
                  <v:stroke color="#3465a4" joinstyle="round" endcap="flat"/>
                  <w10:wrap type="topAndBottom"/>
                </v:rect>
                <v:rect id="shape_0" path="m0,0l-2147483645,0l-2147483645,-2147483646l0,-2147483646xe" stroked="f" o:allowincell="f" style="position:absolute;left:2722;top:4783;width:1683;height:693;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Értékek és jogok jogállamiság, biztonság</w:t>
                        </w:r>
                      </w:p>
                    </w:txbxContent>
                  </v:textbox>
                  <v:fill o:detectmouseclick="t" on="false"/>
                  <v:stroke color="#3465a4" joinstyle="round" endcap="flat"/>
                  <w10:wrap type="topAndBottom"/>
                </v:rect>
                <v:rect id="shape_0" path="m0,0l-2147483645,0l-2147483645,-2147483646l0,-2147483646xe" stroked="f" o:allowincell="f" style="position:absolute;left:4723;top:4911;width:1527;height:44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Egyéb ötletek</w:t>
                        </w:r>
                      </w:p>
                    </w:txbxContent>
                  </v:textbox>
                  <v:fill o:detectmouseclick="t" on="false"/>
                  <v:stroke color="#3465a4" joinstyle="round" endcap="flat"/>
                  <w10:wrap type="topAndBottom"/>
                </v:rect>
                <v:rect id="shape_0" path="m0,0l-2147483645,0l-2147483645,-2147483646l0,-2147483646xe" stroked="f" o:allowincell="f" style="position:absolute;left:1427;top:4382;width:1881;height:618;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Oktatás, kultúra, ifjúság és sport</w:t>
                        </w:r>
                      </w:p>
                    </w:txbxContent>
                  </v:textbox>
                  <v:fill o:detectmouseclick="t" on="false"/>
                  <v:stroke color="#3465a4" joinstyle="round" endcap="flat"/>
                  <w10:wrap type="topAndBottom"/>
                </v:rect>
                <v:rect id="shape_0" path="m0,0l-2147483645,0l-2147483645,-2147483646l0,-2147483646xe" stroked="f" o:allowincell="f" style="position:absolute;left:3586;top:4273;width:1807;height:69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Erősebb gazdaság, társadalmi igazságosság és munkahelyek</w:t>
                        </w:r>
                      </w:p>
                    </w:txbxContent>
                  </v:textbox>
                  <v:fill o:detectmouseclick="t" on="false"/>
                  <v:stroke color="#3465a4" joinstyle="round" endcap="flat"/>
                  <w10:wrap type="topAndBottom"/>
                </v:rect>
                <v:rect id="shape_0" path="m0,0l-2147483645,0l-2147483645,-2147483646l0,-2147483646xe" stroked="f" o:allowincell="f" style="position:absolute;left:5503;top:4340;width:1980;height:409;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 a világban </w:t>
                        </w:r>
                      </w:p>
                    </w:txbxContent>
                  </v:textbox>
                  <v:fill o:detectmouseclick="t" on="false"/>
                  <v:stroke color="#3465a4" joinstyle="round" endcap="flat"/>
                  <w10:wrap type="topAndBottom"/>
                </v:rect>
                <v:rect id="shape_0" path="m0,0l-2147483645,0l-2147483645,-2147483646l0,-2147483646xe" stroked="f" o:allowincell="f" style="position:absolute;left:8586;top:4797;width:1337;height:409;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Migráció</w:t>
                        </w:r>
                      </w:p>
                    </w:txbxContent>
                  </v:textbox>
                  <v:fill o:detectmouseclick="t" on="false"/>
                  <v:stroke color="#3465a4" joinstyle="round" endcap="flat"/>
                  <w10:wrap type="topAndBottom"/>
                </v:rect>
                <v:rect id="shape_0" path="m0,0l-2147483645,0l-2147483645,-2147483646l0,-2147483646xe" stroked="f" o:allowincell="f" style="position:absolute;left:7719;top:4333;width:1476;height:508;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Digitális transzformáció</w:t>
                        </w:r>
                      </w:p>
                    </w:txbxContent>
                  </v:textbox>
                  <v:fill o:detectmouseclick="t" on="false"/>
                  <v:stroke color="#3465a4" joinstyle="round" endcap="flat"/>
                  <w10:wrap type="topAndBottom"/>
                </v:rect>
                <v:rect id="shape_0" path="m0,0l-2147483645,0l-2147483645,-2147483646l0,-2147483646xe" stroked="f" o:allowincell="f" style="position:absolute;left:6936;top:4724;width:978;height:409;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Egészség</w:t>
                        </w:r>
                      </w:p>
                    </w:txbxContent>
                  </v:textbox>
                  <v:fill o:detectmouseclick="t" on="false"/>
                  <v:stroke color="#3465a4" joinstyle="round" endcap="flat"/>
                  <w10:wrap type="topAndBottom"/>
                </v:rect>
                <v:line id="shape_0" from="1426,4179" to="1426,4782" stroked="t" o:allowincell="f" style="position:absolute;flip:y">
                  <v:stroke color="black" endarrow="block" endarrowwidth="medium" endarrowlength="medium" joinstyle="round" endcap="flat"/>
                  <v:fill o:detectmouseclick="t" on="false"/>
                  <w10:wrap type="topAndBottom"/>
                </v:line>
                <v:line id="shape_0" from="3402,4198" to="3402,4800" stroked="t" o:allowincell="f" style="position:absolute;flip:y">
                  <v:stroke color="black" endarrow="block" endarrowwidth="medium" endarrowlength="medium" joinstyle="round" endcap="flat"/>
                  <v:fill o:detectmouseclick="t" on="false"/>
                  <w10:wrap type="topAndBottom"/>
                </v:line>
                <v:line id="shape_0" from="5414,4253" to="5414,4891" stroked="t" o:allowincell="f" style="position:absolute;flip:y">
                  <v:stroke color="black" endarrow="block" endarrowwidth="medium" endarrowlength="medium" joinstyle="round" endcap="flat"/>
                  <v:fill o:detectmouseclick="t" on="false"/>
                  <w10:wrap type="topAndBottom"/>
                </v:line>
                <v:line id="shape_0" from="7335,4271" to="7352,4708" stroked="t" o:allowincell="f" style="position:absolute;flip:y">
                  <v:stroke color="black" endarrow="block" endarrowwidth="medium" endarrowlength="medium" joinstyle="round" endcap="flat"/>
                  <v:fill o:detectmouseclick="t" on="false"/>
                  <w10:wrap type="topAndBottom"/>
                </v:line>
                <v:line id="shape_0" from="9328,4290" to="9345,4727" stroked="t" o:allowincell="f" style="position:absolute;flip:y">
                  <v:stroke color="black" endarrow="block" endarrowwidth="medium" endarrowlength="medium" joinstyle="round" endcap="flat"/>
                  <v:fill o:detectmouseclick="t" on="false"/>
                  <w10:wrap type="topAndBottom"/>
                </v:line>
                <v:rect id="shape_0" path="m0,0l-2147483645,0l-2147483645,-2147483646l0,-2147483646xe" stroked="f" o:allowincell="f" style="position:absolute;left:5674;top:1651;width:1219;height:40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összesen</w:t>
                        </w:r>
                      </w:p>
                    </w:txbxContent>
                  </v:textbox>
                  <v:fill o:detectmouseclick="t" on="false"/>
                  <v:stroke color="#3465a4" joinstyle="round" endcap="flat"/>
                  <w10:wrap type="topAndBottom"/>
                </v:rect>
                <v:rect id="shape_0" path="m0,0l-2147483645,0l-2147483645,-2147483646l0,-2147483646xe" stroked="f" o:allowincell="f" style="position:absolute;left:5656;top:1267;width:1987;height:32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jelenlegi fázis</w:t>
                        </w:r>
                      </w:p>
                    </w:txbxContent>
                  </v:textbox>
                  <v:fill o:detectmouseclick="t" on="false"/>
                  <v:stroke color="#3465a4" joinstyle="round" endcap="flat"/>
                  <w10:wrap type="topAndBottom"/>
                </v:rect>
                <v:rect id="shape_0" path="m0,0l-2147483645,0l-2147483645,-2147483646l0,-2147483646xe" stroked="f" o:allowincell="f" style="position:absolute;left:1980;top:973;width:3975;height:40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hozzászólások áttekintése témánként</w:t>
                        </w:r>
                      </w:p>
                    </w:txbxContent>
                  </v:textbox>
                  <v:fill o:detectmouseclick="t" on="false"/>
                  <v:stroke color="#3465a4" joinstyle="round" endcap="flat"/>
                  <w10:wrap type="topAndBottom"/>
                </v:rect>
              </v:group>
            </w:pict>
          </mc:Fallback>
        </mc:AlternateContent>
      </w:r>
    </w:p>
    <w:p>
      <w:pPr>
        <w:pStyle w:val="Normal"/>
        <w:rPr/>
      </w:pPr>
      <w:r>
        <w:rPr/>
      </w:r>
      <w:r>
        <w:br w:type="page"/>
      </w:r>
    </w:p>
    <w:p>
      <w:pPr>
        <w:pStyle w:val="Normal"/>
        <w:rPr/>
      </w:pPr>
      <w:r>
        <w:rPr/>
        <w:drawing>
          <wp:anchor behindDoc="0" distT="0" distB="0" distL="0" distR="0" simplePos="0" locked="0" layoutInCell="0" allowOverlap="1" relativeHeight="84">
            <wp:simplePos x="0" y="0"/>
            <wp:positionH relativeFrom="column">
              <wp:align>center</wp:align>
            </wp:positionH>
            <wp:positionV relativeFrom="paragraph">
              <wp:posOffset>635</wp:posOffset>
            </wp:positionV>
            <wp:extent cx="2970530" cy="1675130"/>
            <wp:effectExtent l="0" t="0" r="0" b="0"/>
            <wp:wrapSquare wrapText="largest"/>
            <wp:docPr id="54" name="Kép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Kép29" descr=""/>
                    <pic:cNvPicPr>
                      <a:picLocks noChangeAspect="1" noChangeArrowheads="1"/>
                    </pic:cNvPicPr>
                  </pic:nvPicPr>
                  <pic:blipFill>
                    <a:blip r:embed="rId69"/>
                    <a:stretch>
                      <a:fillRect/>
                    </a:stretch>
                  </pic:blipFill>
                  <pic:spPr bwMode="auto">
                    <a:xfrm>
                      <a:off x="0" y="0"/>
                      <a:ext cx="2970530" cy="1675130"/>
                    </a:xfrm>
                    <a:prstGeom prst="rect">
                      <a:avLst/>
                    </a:prstGeom>
                  </pic:spPr>
                </pic:pic>
              </a:graphicData>
            </a:graphic>
          </wp:anchor>
        </w:drawing>
      </w:r>
    </w:p>
    <w:p>
      <w:pPr>
        <w:pStyle w:val="Titre1"/>
        <w:numPr>
          <w:ilvl w:val="0"/>
          <w:numId w:val="1"/>
        </w:numPr>
        <w:rPr/>
      </w:pPr>
      <w:bookmarkStart w:id="17" w:name="__RefHeading___Toc86361_2514204080"/>
      <w:bookmarkEnd w:id="17"/>
      <w:r>
        <w:rPr/>
        <w:t xml:space="preserve">2. Az éghajlatváltozás és a környezet </w:t>
      </w:r>
    </w:p>
    <w:p>
      <w:pPr>
        <w:pStyle w:val="Normal"/>
        <w:rPr/>
      </w:pPr>
      <w:r>
        <w:rPr/>
      </w:r>
    </w:p>
    <w:p>
      <w:pPr>
        <w:pStyle w:val="Corpsdetexte"/>
        <w:rPr/>
      </w:pPr>
      <w:r>
        <w:rPr/>
        <w:t>Az éghajlatváltozás és a környezet témaköre összesen 8 123 hozzászólást, ötletet és eseményt eredményezett a platformon (3 748 ötlet, 3160 hozzászólás és 1215 esemény). A résztvevők különböző hozzájárulásaikban általában aggodalmukat fejezték ki a globális felmelegedéssel és annak következményeivel kapcsolatban, sürgetve a kormányokat, hogy haladéktalanul tegyenek konkrét lépéseket az éghajlatváltozás kezelése érdekében. A javaslatok között gyakran a kibocsátáscsökkentést jelölték meg a fő mozgatórugóként, a zöld átállás elősegítése, a klímasemlegesség elérése és a megújuló energia, különösen a napelemek előmozdítása mellett. A fenntartható közlekedési megoldások elsősorban a vasúti rendszerekre összpontosítottak, és a fogyasztással kapcsolatos, az éghajlatváltozás elleni küzdelemre irányuló javaslatok, mint például az újrahasznosítás, a csomagolás és a műanyagok, szintén kiemelkedően szerepeltek. Az energiaárak közelmúltbeli emelkedésének fényében számos felhívás érkezett a tudatosabb energiafogyasztás, valamint az EU energia-önrendelkezésének előmozdítására. A polgárok a társadalom valamennyi szegmensében elkötelezték magukat: az egyes javaslatok konkrét tartalmától függően a felelősség az egyénekre, a kereskedelmi szektorra, illetve a kormányokra és a politikai döntéshozókra hárul.</w:t>
      </w:r>
    </w:p>
    <w:p>
      <w:pPr>
        <w:pStyle w:val="Corpsdetexte"/>
        <w:jc w:val="left"/>
        <w:rPr/>
      </w:pPr>
      <w:r>
        <w:rPr/>
        <w:t>A különböző ötletek a következő témák szerint csoportosíthatók:</w:t>
      </w:r>
    </w:p>
    <w:p>
      <w:pPr>
        <w:pStyle w:val="Corpsdetexte"/>
        <w:jc w:val="left"/>
        <w:rPr/>
      </w:pPr>
      <w:r>
        <w:rPr/>
        <w:t xml:space="preserve">• </w:t>
      </w:r>
      <w:r>
        <w:rPr>
          <w:b/>
        </w:rPr>
        <w:t xml:space="preserve">Az éghajlatváltozás és a zöld megállapodás kezelése </w:t>
      </w:r>
    </w:p>
    <w:p>
      <w:pPr>
        <w:pStyle w:val="Corpsdetexte"/>
        <w:jc w:val="left"/>
        <w:rPr/>
      </w:pPr>
      <w:r>
        <w:rPr/>
        <w:t xml:space="preserve">• </w:t>
      </w:r>
      <w:r>
        <w:rPr>
          <w:b/>
        </w:rPr>
        <w:t>Energia</w:t>
      </w:r>
    </w:p>
    <w:p>
      <w:pPr>
        <w:pStyle w:val="Corpsdetexte"/>
        <w:jc w:val="left"/>
        <w:rPr/>
      </w:pPr>
      <w:r>
        <w:rPr/>
        <w:t xml:space="preserve">• </w:t>
      </w:r>
      <w:r>
        <w:rPr>
          <w:b/>
        </w:rPr>
        <w:t>Szállítás</w:t>
      </w:r>
    </w:p>
    <w:p>
      <w:pPr>
        <w:pStyle w:val="Corpsdetexte"/>
        <w:jc w:val="left"/>
        <w:rPr/>
      </w:pPr>
      <w:r>
        <w:rPr/>
        <w:t xml:space="preserve">• </w:t>
      </w:r>
      <w:r>
        <w:rPr>
          <w:b/>
        </w:rPr>
        <w:t>Fogyasztás</w:t>
      </w:r>
    </w:p>
    <w:p>
      <w:pPr>
        <w:pStyle w:val="Corpsdetexte"/>
        <w:jc w:val="left"/>
        <w:rPr/>
      </w:pPr>
      <w:r>
        <w:rPr/>
        <w:t xml:space="preserve">• </w:t>
      </w:r>
      <w:r>
        <w:rPr>
          <w:b/>
        </w:rPr>
        <w:t xml:space="preserve">Biológiai sokféleség és állatjólét </w:t>
      </w:r>
    </w:p>
    <w:p>
      <w:pPr>
        <w:pStyle w:val="Corpsdetexte"/>
        <w:jc w:val="left"/>
        <w:rPr/>
      </w:pPr>
      <w:r>
        <w:rPr/>
        <w:t xml:space="preserve">• </w:t>
      </w:r>
      <w:r>
        <w:rPr>
          <w:b/>
        </w:rPr>
        <w:t>Mezőgazdaság</w:t>
      </w:r>
    </w:p>
    <w:p>
      <w:pPr>
        <w:pStyle w:val="Corpsdetexte"/>
        <w:jc w:val="left"/>
        <w:rPr/>
      </w:pPr>
      <w:r>
        <w:rPr/>
        <w:t xml:space="preserve">• </w:t>
      </w:r>
      <w:r>
        <w:rPr>
          <w:b/>
        </w:rPr>
        <w:t>Szennyezés</w:t>
      </w:r>
    </w:p>
    <w:p>
      <w:pPr>
        <w:pStyle w:val="Corpsdetexte"/>
        <w:jc w:val="left"/>
        <w:rPr/>
      </w:pPr>
      <w:r>
        <w:rPr/>
        <w:t xml:space="preserve">• </w:t>
      </w:r>
      <w:r>
        <w:rPr>
          <w:b/>
        </w:rPr>
        <w:t xml:space="preserve">Támogatás, adózás </w:t>
      </w:r>
    </w:p>
    <w:p>
      <w:pPr>
        <w:pStyle w:val="Corpsdetexte"/>
        <w:jc w:val="left"/>
        <w:rPr/>
      </w:pPr>
      <w:r>
        <w:rPr/>
        <w:t xml:space="preserve">• </w:t>
      </w:r>
      <w:r>
        <w:rPr>
          <w:b/>
        </w:rPr>
        <w:t xml:space="preserve">Az attitűdök és a viselkedés megváltozása </w:t>
      </w:r>
    </w:p>
    <w:p>
      <w:pPr>
        <w:pStyle w:val="Corpsdetexte"/>
        <w:jc w:val="left"/>
        <w:rPr/>
      </w:pPr>
      <w:r>
        <w:rPr/>
        <w:t xml:space="preserve">• </w:t>
      </w:r>
      <w:r>
        <w:rPr>
          <w:b/>
        </w:rPr>
        <w:t>Ház és építés</w:t>
      </w:r>
    </w:p>
    <w:p>
      <w:pPr>
        <w:pStyle w:val="Corpsdetexte"/>
        <w:spacing w:lineRule="auto" w:line="240" w:before="57" w:after="57"/>
        <w:jc w:val="left"/>
        <w:rPr/>
      </w:pPr>
      <w:r>
        <w:rPr/>
      </w:r>
    </w:p>
    <w:p>
      <w:pPr>
        <w:pStyle w:val="Titre2"/>
        <w:numPr>
          <w:ilvl w:val="1"/>
          <w:numId w:val="1"/>
        </w:numPr>
        <w:jc w:val="left"/>
        <w:rPr/>
      </w:pPr>
      <w:bookmarkStart w:id="18" w:name="__RefHeading___Toc175917_1436627219"/>
      <w:bookmarkEnd w:id="18"/>
      <w:r>
        <w:rPr/>
        <w:t>Események</w:t>
      </w:r>
    </w:p>
    <w:p>
      <w:pPr>
        <w:pStyle w:val="Corpsdetexte"/>
        <w:jc w:val="left"/>
        <w:rPr/>
      </w:pPr>
      <w:r>
        <w:rPr/>
        <w:t xml:space="preserve">A február 20. előtti időszakhoz képest a 2022. február 20. utáni időszakban az éghajlatváltozás és a környezet témájához kapcsolódó események száma nagyobb volt a közép- és kelet-európai országokban, például Magyarországon, Lengyelországban, és kisebb mértékben Szlovákiában és Bulgáriában. Ezeket az eseményeket általában kollektív megbeszélések keretében szervezték meg az éghajlatváltozás okozta kihívásokról (lásd például az </w:t>
      </w:r>
      <w:hyperlink r:id="rId70">
        <w:r>
          <w:rPr>
            <w:rStyle w:val="LienInternet"/>
          </w:rPr>
          <w:t>eseményt</w:t>
        </w:r>
      </w:hyperlink>
      <w:r>
        <w:rPr/>
        <w:t xml:space="preserve">). Számos esemény a fiatalok szemszögéből megvitatott konkrét környezetvédelmi témákra összpontosított (lásd az </w:t>
      </w:r>
      <w:hyperlink r:id="rId71">
        <w:r>
          <w:rPr>
            <w:rStyle w:val="LienInternet"/>
          </w:rPr>
          <w:t>esemény példáját</w:t>
        </w:r>
      </w:hyperlink>
      <w:hyperlink r:id="rId72">
        <w:r>
          <w:rPr>
            <w:rStyle w:val="LienInternet"/>
          </w:rPr>
          <w:t>)</w:t>
        </w:r>
      </w:hyperlink>
      <w:r>
        <w:rPr/>
        <w:t xml:space="preserve">. Ezeken az eseményeken számos témát vitattak meg. A fenntartható mezőgazdaság és a méhek védelme (lásd az </w:t>
      </w:r>
      <w:hyperlink r:id="rId73">
        <w:r>
          <w:rPr>
            <w:rStyle w:val="LienInternet"/>
          </w:rPr>
          <w:t>eseményt</w:t>
        </w:r>
      </w:hyperlink>
      <w:r>
        <w:rPr/>
        <w:t xml:space="preserve">) Budapesten több mint 100 méhész részvételével megrendezett méhészeti konferencia tárgyát képezte. A klímasemleges városok közé tartozott egy nyilvános rendezvény Békéscsaba városában (lásd az </w:t>
      </w:r>
      <w:hyperlink r:id="rId74">
        <w:r>
          <w:rPr>
            <w:rStyle w:val="LienInternet"/>
          </w:rPr>
          <w:t>eseményt</w:t>
        </w:r>
      </w:hyperlink>
      <w:hyperlink r:id="rId75">
        <w:r>
          <w:rPr>
            <w:rStyle w:val="LienInternet"/>
          </w:rPr>
          <w:t>)</w:t>
        </w:r>
      </w:hyperlink>
      <w:r>
        <w:rPr/>
        <w:t>. A rendezvény célja az volt, hogy ötleteket és ajánlásokat gyűjtsön, hogy Békéscsaba 2030-ra klímasemlegessé váljon. Lengyelországban találkozósorozatot szerveztek fiatal aktivistákkal, valamint a helyi önkormányzatok és nem kormányzati szervezetek képviselőivel azzal a céllal, hogy megvizsgálják a fiatalok környezettudatosságát és a környezetvédelmi ügy iránti érdeklődését (lásd az</w:t>
      </w:r>
      <w:hyperlink r:id="rId76">
        <w:r>
          <w:rPr>
            <w:rStyle w:val="LienInternet"/>
          </w:rPr>
          <w:t xml:space="preserve"> </w:t>
        </w:r>
      </w:hyperlink>
      <w:hyperlink r:id="rId77">
        <w:r>
          <w:rPr>
            <w:rStyle w:val="LienInternet"/>
          </w:rPr>
          <w:t>eseményt</w:t>
        </w:r>
      </w:hyperlink>
      <w:hyperlink r:id="rId78">
        <w:r>
          <w:rPr>
            <w:rStyle w:val="LienInternet"/>
          </w:rPr>
          <w:t>)</w:t>
        </w:r>
      </w:hyperlink>
      <w:r>
        <w:rPr/>
        <w:t xml:space="preserve">. </w:t>
      </w:r>
    </w:p>
    <w:p>
      <w:pPr>
        <w:pStyle w:val="Corpsdetexte"/>
        <w:jc w:val="left"/>
        <w:rPr/>
      </w:pPr>
      <w:r>
        <w:rPr/>
        <w:t xml:space="preserve">A spanyolországi fiatalok számos, a zöld megállapodással kapcsolatos témával foglalkoztak, és ötleteket javasoltak a kerékpárok és korcsolyák használatának ösztönzésétől a fenntartható energiafogyasztás előmozdításáig és a természeti erőforrások komplexumok építésénél történő felhasználásáig (lásd az </w:t>
      </w:r>
      <w:hyperlink r:id="rId79">
        <w:r>
          <w:rPr>
            <w:rStyle w:val="LienInternet"/>
          </w:rPr>
          <w:t>eseményt</w:t>
        </w:r>
      </w:hyperlink>
      <w:r>
        <w:rPr/>
        <w:t xml:space="preserve">). </w:t>
      </w:r>
    </w:p>
    <w:p>
      <w:pPr>
        <w:pStyle w:val="Corpsdetexte"/>
        <w:jc w:val="left"/>
        <w:rPr/>
      </w:pPr>
      <w:r>
        <w:rPr/>
        <w:t>Dán online műhelytalálkozók sorozata, amelyek célja, hogy ötleteket cseréljenek arról, hogy a vállalatok hogyan mozdíthatják elő az innovációt és a zöld átalakulást. Az ezt követő panelbeszélgetés egyik fő témája az volt, hogy fel kell gyorsítani az uniós hidrogén- és hidrogénalapú üzemanyagok tervezési és gyártási kapacitásait (lásd az</w:t>
      </w:r>
      <w:hyperlink r:id="rId80">
        <w:r>
          <w:rPr>
            <w:rStyle w:val="LienInternet"/>
          </w:rPr>
          <w:t xml:space="preserve"> </w:t>
        </w:r>
      </w:hyperlink>
      <w:hyperlink r:id="rId81">
        <w:r>
          <w:rPr>
            <w:rStyle w:val="LienInternet"/>
          </w:rPr>
          <w:t>eseményt</w:t>
        </w:r>
      </w:hyperlink>
      <w:hyperlink r:id="rId82">
        <w:r>
          <w:rPr>
            <w:rStyle w:val="LienInternet"/>
          </w:rPr>
          <w:t>)</w:t>
        </w:r>
      </w:hyperlink>
      <w:r>
        <w:rPr/>
        <w:t xml:space="preserve">. </w:t>
      </w:r>
    </w:p>
    <w:p>
      <w:pPr>
        <w:pStyle w:val="Normal"/>
        <w:rPr/>
      </w:pPr>
      <w:r>
        <w:rPr/>
      </w:r>
    </w:p>
    <w:p>
      <w:pPr>
        <w:pStyle w:val="Normal"/>
        <w:rPr/>
      </w:pPr>
      <w:r>
        <w:rPr/>
      </w:r>
    </w:p>
    <w:p>
      <w:pPr>
        <w:pStyle w:val="Normal"/>
        <w:rPr/>
      </w:pPr>
      <w:r>
        <w:rPr/>
      </w:r>
    </w:p>
    <w:p>
      <w:pPr>
        <w:pStyle w:val="Normal"/>
        <w:rPr/>
      </w:pPr>
      <w:r>
        <w:rPr/>
      </w:r>
    </w:p>
    <w:p>
      <w:pPr>
        <w:pStyle w:val="Titre2"/>
        <w:numPr>
          <w:ilvl w:val="1"/>
          <w:numId w:val="1"/>
        </w:numPr>
        <w:rPr/>
      </w:pPr>
      <w:bookmarkStart w:id="19" w:name="__RefHeading___Toc86363_2514204080"/>
      <w:bookmarkEnd w:id="19"/>
      <w:r>
        <w:rPr/>
        <w:t>Az éghajlatváltozás és a „zöld megállapodás” kezelése</w:t>
      </w:r>
    </w:p>
    <w:p>
      <w:pPr>
        <w:pStyle w:val="Corpsdetexte"/>
        <w:jc w:val="left"/>
        <w:rPr/>
      </w:pPr>
      <w:r>
        <w:rPr/>
        <w:t xml:space="preserve">A résztvevők gyakran hangot adnak aggodalmuknak az éghajlatváltozás és annak következményei miatt, sürgetve a kormányokat és az EU-t, hogy haladéktalanul lépjenek fel, és vezessenek be egy erősebb európai környezetvédelmi politikát az éghajlatváltozás elleni küzdelem érdekében (lásd például az ötletet, az esemény példáját). A javaslatok a kibocsátások csökkentésére, a klímasemlegesség elérésére, a szennyezés elleni küzdelemre és a zöld átállásra vonatkoznak, amelyekre az alábbi különböző témák is kiterjednek. </w:t>
      </w:r>
    </w:p>
    <w:p>
      <w:pPr>
        <w:pStyle w:val="Corpsdetexte"/>
        <w:jc w:val="left"/>
        <w:rPr/>
      </w:pPr>
      <w:r>
        <w:rPr/>
        <w:t>Ami a kibocsátásokat illeti, az egyik leggyakrabban megvitatott kérdés a kibocsátások megadóztatásával kapcsolatos, konkrétabban annak érdekében, hogy a vállalkozásokat arra ösztönözze, hogy csökkentsék az üvegházhatást okozó gázok kibocsátását azáltal, hogy olcsóbb megújuló energiaforrásokat választanak, ami viszont ahhoz vezet, hogy a fogyasztók fenntarthatóbb döntéseket hoznak (lásd például egy sokat támogatott</w:t>
      </w:r>
      <w:hyperlink r:id="rId83">
        <w:r>
          <w:rPr>
            <w:rStyle w:val="LienInternet"/>
          </w:rPr>
          <w:t xml:space="preserve"> </w:t>
        </w:r>
      </w:hyperlink>
      <w:hyperlink r:id="rId84">
        <w:r>
          <w:rPr>
            <w:rStyle w:val="LienInternet"/>
          </w:rPr>
          <w:t>ötlet példáját)</w:t>
        </w:r>
      </w:hyperlink>
      <w:r>
        <w:rPr/>
        <w:t xml:space="preserve">. Egy másik javaslat az üvegházhatásúgáz-kibocsátás maximális megengedett mértékének csökkentésére irányul. Ez jelenleg lehetővé teszi, hogy a nagy hatékonyságú szén- és gázerőművek a küszöbérték alá csökkenjenek; ezek azonban továbbra is hozzájárulnak a szennyezéshez (lásd </w:t>
      </w:r>
      <w:hyperlink r:id="rId85">
        <w:r>
          <w:rPr>
            <w:rStyle w:val="LienInternet"/>
          </w:rPr>
          <w:t>az ötletet</w:t>
        </w:r>
      </w:hyperlink>
      <w:r>
        <w:rPr/>
        <w:t>). Felmerült a szén-dioxid-adó és a kapcsolódó intézkedések szükségessége is (lásd például egy</w:t>
      </w:r>
      <w:hyperlink r:id="rId86">
        <w:r>
          <w:rPr>
            <w:rStyle w:val="LienInternet"/>
          </w:rPr>
          <w:t xml:space="preserve"> </w:t>
        </w:r>
      </w:hyperlink>
      <w:hyperlink r:id="rId87">
        <w:r>
          <w:rPr>
            <w:rStyle w:val="LienInternet"/>
          </w:rPr>
          <w:t>eseményt</w:t>
        </w:r>
      </w:hyperlink>
      <w:hyperlink r:id="rId88">
        <w:r>
          <w:rPr>
            <w:rStyle w:val="LienInternet"/>
          </w:rPr>
          <w:t>)</w:t>
        </w:r>
      </w:hyperlink>
      <w:r>
        <w:rPr/>
        <w:t xml:space="preserve">. </w:t>
      </w:r>
    </w:p>
    <w:p>
      <w:pPr>
        <w:pStyle w:val="Corpsdetexte"/>
        <w:jc w:val="left"/>
        <w:rPr/>
      </w:pPr>
      <w:r>
        <w:rPr/>
        <w:t>A hozzászólók megemlítették a fosszilis tüzelőanyagok elterjedésének megakadályozásáról szóló szerződést, amely egy civil társadalmi kezdeményezés, amelynek célja a fosszilis tüzelőanyagok felhasználásának csökkentése. Azt javasolják, hogy az EU a Párizsi Megállapodással párhuzamosan csatlakozzon a szerződéshez (lásd az</w:t>
      </w:r>
      <w:hyperlink r:id="rId89">
        <w:r>
          <w:rPr>
            <w:rStyle w:val="LienInternet"/>
          </w:rPr>
          <w:t xml:space="preserve"> </w:t>
        </w:r>
      </w:hyperlink>
      <w:hyperlink r:id="rId90">
        <w:r>
          <w:rPr>
            <w:rStyle w:val="LienInternet"/>
          </w:rPr>
          <w:t>ötletet</w:t>
        </w:r>
      </w:hyperlink>
      <w:hyperlink r:id="rId91">
        <w:r>
          <w:rPr>
            <w:rStyle w:val="LienInternet"/>
          </w:rPr>
          <w:t>)</w:t>
        </w:r>
      </w:hyperlink>
      <w:r>
        <w:rPr/>
        <w:t xml:space="preserve">. </w:t>
      </w:r>
    </w:p>
    <w:p>
      <w:pPr>
        <w:pStyle w:val="Corpsdetexte"/>
        <w:jc w:val="left"/>
        <w:rPr/>
      </w:pPr>
      <w:r>
        <w:rPr/>
        <w:t xml:space="preserve">Az egyik résztvevő több beruházást sürget a szén-dioxid leválasztására és tárolására szolgáló technológiák (CCS-technológia) fejlesztésére (lásd az </w:t>
      </w:r>
      <w:hyperlink r:id="rId92">
        <w:r>
          <w:rPr>
            <w:rStyle w:val="LienInternet"/>
          </w:rPr>
          <w:t>ötletet</w:t>
        </w:r>
      </w:hyperlink>
      <w:r>
        <w:rPr/>
        <w:t xml:space="preserve">). </w:t>
      </w:r>
    </w:p>
    <w:p>
      <w:pPr>
        <w:pStyle w:val="Corpsdetexte"/>
        <w:spacing w:lineRule="auto" w:line="240" w:before="57" w:after="57"/>
        <w:jc w:val="left"/>
        <w:rPr/>
      </w:pPr>
      <w:r>
        <w:rPr/>
        <w:t>A zöld megállapodásról és általában a zöld átállásról szóló vitákat Európa-szerte szervezték azzal a céllal, hogy megvitassák a kulcsfontosságú prioritásokat, a bevált gyakorlatokat, a helyi és regionális szintű végrehajtást, valamint az alternatív üzleti modelleket (lásd az eseményre és</w:t>
      </w:r>
      <w:hyperlink r:id="rId93">
        <w:r>
          <w:rPr>
            <w:rStyle w:val="LienInternet"/>
          </w:rPr>
          <w:t xml:space="preserve"> </w:t>
        </w:r>
      </w:hyperlink>
      <w:hyperlink r:id="rId94">
        <w:r>
          <w:rPr>
            <w:rStyle w:val="LienInternet"/>
          </w:rPr>
          <w:t>rendezvényre</w:t>
        </w:r>
      </w:hyperlink>
      <w:r>
        <w:rPr/>
        <w:t>vonatkozó példákat</w:t>
      </w:r>
      <w:hyperlink r:id="rId95">
        <w:r>
          <w:rPr>
            <w:rStyle w:val="LienInternet"/>
          </w:rPr>
          <w:t>)</w:t>
        </w:r>
      </w:hyperlink>
      <w:r>
        <w:rPr/>
        <w:t xml:space="preserve">. </w:t>
      </w:r>
    </w:p>
    <w:p>
      <w:pPr>
        <w:pStyle w:val="Corpsdetexte"/>
        <w:jc w:val="left"/>
        <w:rPr/>
      </w:pPr>
      <w:r>
        <w:rPr/>
        <w:t>A zöld megállapodás mint olyan uniós stratégia végrehajtásának társadalmi és gazdasági hatásaira összpontosítanak, amelyek célja, hogy Európát a klímasemleges, méltányos és virágzó társadalom felé vezető úton állítsák. Vannak például egy társadalmilag befogadóbb megközelítésre és egy kiegyensúlyozottabb stratégiára való felhívás, amelynek gazdasági, társadalmi és környezeti dimenzióit közösen és stratégiailag kell értékelni és végrehajtani, utalva az Európa-szerte emelkedő energiaárakra (lásd az ötletet). A platformmal kapcsolatos, erősen támogatott elképzelés azt szeretné, ha az EU erős és inkluzív kormányzási megközelítést alkalmazna, amelyben a munkavállalók és a szakszervezetek egyaránt részt vesznek az alkalmazkodási politikák kidolgozásában és végrehajtásában minden szinten. Hangsúlyozni kell, hogy az éghajlatváltozás kezelésére irányuló uniós stratégiának olyan konkrét szakpolitikai intézkedéseket kell tartalmaznia, amelyek fenntartják a munkahelyeket és védik a munkavállalók egészségét és biztonságát, valamint aktív munkaerő-piaci politikákat, valamint a munkahelyek megszűnésének megelőzésére irányuló átképzést és képzést (lásd az</w:t>
      </w:r>
      <w:hyperlink r:id="rId96">
        <w:r>
          <w:rPr>
            <w:rStyle w:val="LienInternet"/>
          </w:rPr>
          <w:t xml:space="preserve"> </w:t>
        </w:r>
      </w:hyperlink>
      <w:hyperlink r:id="rId97">
        <w:r>
          <w:rPr>
            <w:rStyle w:val="LienInternet"/>
          </w:rPr>
          <w:t>ötletet</w:t>
        </w:r>
      </w:hyperlink>
      <w:hyperlink r:id="rId98">
        <w:r>
          <w:rPr>
            <w:rStyle w:val="LienInternet"/>
          </w:rPr>
          <w:t>)</w:t>
        </w:r>
      </w:hyperlink>
      <w:r>
        <w:rPr/>
        <w:t xml:space="preserve">. </w:t>
      </w:r>
    </w:p>
    <w:p>
      <w:pPr>
        <w:pStyle w:val="Corpsdetexte"/>
        <w:jc w:val="left"/>
        <w:rPr/>
      </w:pPr>
      <w:r>
        <w:rPr/>
        <w:t>Általánosabb szinten azt javasoljuk, hogy hozzanak létre egy eredménytáblát, amely nyomon követi az intézkedések hatását, és bizonyítékot szolgáltat a zöld megállapodás regionális szintű végrehajtása terén elért eredményekről (lásd az</w:t>
      </w:r>
      <w:hyperlink r:id="rId99">
        <w:r>
          <w:rPr>
            <w:rStyle w:val="LienInternet"/>
          </w:rPr>
          <w:t xml:space="preserve"> </w:t>
        </w:r>
      </w:hyperlink>
      <w:hyperlink r:id="rId100">
        <w:r>
          <w:rPr>
            <w:rStyle w:val="LienInternet"/>
          </w:rPr>
          <w:t>ötletet</w:t>
        </w:r>
      </w:hyperlink>
      <w:r>
        <w:rPr/>
        <w:t>).</w:t>
      </w:r>
    </w:p>
    <w:p>
      <w:pPr>
        <w:pStyle w:val="Normal"/>
        <w:rPr/>
      </w:pPr>
      <w:r>
        <w:rPr/>
      </w:r>
    </w:p>
    <w:p>
      <w:pPr>
        <w:pStyle w:val="Titre2"/>
        <w:numPr>
          <w:ilvl w:val="1"/>
          <w:numId w:val="1"/>
        </w:numPr>
        <w:rPr/>
      </w:pPr>
      <w:bookmarkStart w:id="20" w:name="__RefHeading___Toc86365_2514204080"/>
      <w:bookmarkEnd w:id="20"/>
      <w:r>
        <w:rPr/>
        <w:t xml:space="preserve">Energia </w:t>
      </w:r>
    </w:p>
    <w:p>
      <w:pPr>
        <w:pStyle w:val="Corpsdetexte"/>
        <w:jc w:val="left"/>
        <w:rPr/>
      </w:pPr>
      <w:r>
        <w:rPr/>
        <w:t xml:space="preserve">Egy másik téma, amely nagyobb elkötelezettséget vonz, az energia, amelyet gyakran az éghajlatváltozás témájával kapcsolatban vetnek fel. A platform hozzászólói azt javasolják, hogy – például az európai energiaügyi együttműködés révén – ösztönözzék a megújuló energia kisléptékű és nagy léptékű felhasználását (lásd az </w:t>
      </w:r>
      <w:hyperlink r:id="rId101">
        <w:r>
          <w:rPr>
            <w:rStyle w:val="LienInternet"/>
          </w:rPr>
          <w:t>eseményt</w:t>
        </w:r>
      </w:hyperlink>
      <w:r>
        <w:rPr/>
        <w:t xml:space="preserve">). A megújuló energia mellett az atomenergia vita tárgyát képezi, és olyan ötleteket tartalmaz, amelyek az atomenergia használatának korlátozását, vagy alternatív megoldásként a biztonságos nukleáris energia fejlesztését és felhasználását szorgalmazzák azokban az országokban és helyeken, ahol nem lehetséges a megújuló energiaforrások használata (lásd például az </w:t>
      </w:r>
      <w:hyperlink r:id="rId102">
        <w:r>
          <w:rPr>
            <w:rStyle w:val="LienInternet"/>
          </w:rPr>
          <w:t>ötletet</w:t>
        </w:r>
      </w:hyperlink>
      <w:hyperlink r:id="rId103">
        <w:r>
          <w:rPr>
            <w:rStyle w:val="LienInternet"/>
          </w:rPr>
          <w:t>)</w:t>
        </w:r>
      </w:hyperlink>
      <w:r>
        <w:rPr/>
        <w:t xml:space="preserve">. Ezenkívül az Európai Bizottságnak az atomenergiát és a földgázt zöld beruházásoknak minősítő közelmúltbeli tervei kritikát váltottak ki a konferencia platformján (lásd például egy </w:t>
      </w:r>
      <w:hyperlink r:id="rId104">
        <w:r>
          <w:rPr>
            <w:rStyle w:val="LienInternet"/>
          </w:rPr>
          <w:t>ötletet</w:t>
        </w:r>
      </w:hyperlink>
      <w:hyperlink r:id="rId105">
        <w:r>
          <w:rPr>
            <w:rStyle w:val="LienInternet"/>
          </w:rPr>
          <w:t>)</w:t>
        </w:r>
      </w:hyperlink>
      <w:r>
        <w:rPr/>
        <w:t>. Másrészt a kérdéssel kapcsolatos legtöbb hozzájárulás ellentétes álláspontot képvisel, mondván, hogy az atomenergia a legjobb módja a szén-dioxid-mentesítés elérésének (lásd egy</w:t>
      </w:r>
      <w:hyperlink r:id="rId106">
        <w:r>
          <w:rPr>
            <w:rStyle w:val="LienInternet"/>
          </w:rPr>
          <w:t xml:space="preserve"> </w:t>
        </w:r>
      </w:hyperlink>
      <w:hyperlink r:id="rId107">
        <w:r>
          <w:rPr>
            <w:rStyle w:val="LienInternet"/>
          </w:rPr>
          <w:t>ötlet példáját</w:t>
        </w:r>
      </w:hyperlink>
      <w:hyperlink r:id="rId108">
        <w:r>
          <w:rPr>
            <w:rStyle w:val="LienInternet"/>
          </w:rPr>
          <w:t>)</w:t>
        </w:r>
      </w:hyperlink>
      <w:r>
        <w:rPr/>
        <w:t xml:space="preserve">. </w:t>
      </w:r>
    </w:p>
    <w:p>
      <w:pPr>
        <w:pStyle w:val="Corpsdetexte"/>
        <w:jc w:val="left"/>
        <w:rPr/>
      </w:pPr>
      <w:r>
        <w:rPr/>
        <w:t>Ezzel egyidejűleg felhívást fogalmaznak meg az alternatív energiaforrások (lásd például az</w:t>
      </w:r>
      <w:hyperlink r:id="rId109">
        <w:r>
          <w:rPr>
            <w:rStyle w:val="LienInternet"/>
          </w:rPr>
          <w:t xml:space="preserve"> </w:t>
        </w:r>
      </w:hyperlink>
      <w:hyperlink r:id="rId110">
        <w:r>
          <w:rPr>
            <w:rStyle w:val="LienInternet"/>
          </w:rPr>
          <w:t>eseményt</w:t>
        </w:r>
      </w:hyperlink>
      <w:hyperlink r:id="rId111">
        <w:r>
          <w:rPr>
            <w:rStyle w:val="LienInternet"/>
          </w:rPr>
          <w:t>)</w:t>
        </w:r>
      </w:hyperlink>
      <w:r>
        <w:rPr/>
        <w:t xml:space="preserve"> vizsgálatára, mint például a termonukleáris fúzió, a geotermikus energia vagy a hidrogén, amely jelentősen hozzájárulna az energia sokféleségéhez (lásd az</w:t>
      </w:r>
      <w:hyperlink r:id="rId112">
        <w:r>
          <w:rPr>
            <w:rStyle w:val="LienInternet"/>
          </w:rPr>
          <w:t xml:space="preserve"> </w:t>
        </w:r>
      </w:hyperlink>
      <w:hyperlink r:id="rId113">
        <w:r>
          <w:rPr>
            <w:rStyle w:val="LienInternet"/>
          </w:rPr>
          <w:t>elképzelés példáját</w:t>
        </w:r>
      </w:hyperlink>
      <w:hyperlink r:id="rId114">
        <w:r>
          <w:rPr>
            <w:rStyle w:val="LienInternet"/>
          </w:rPr>
          <w:t>)</w:t>
        </w:r>
      </w:hyperlink>
      <w:r>
        <w:rPr/>
        <w:t>. A hozzászólók azonban hangsúlyozzák, hogy a helyi lakosságnak még az alternatív forrásokat, például a szélenergiát is el kell fogadnia, és biztosítani kell, hogy ezek pozitív hatással legyenek a biológiai sokféleségre, az emberekre és a tájakra (lásd például az</w:t>
      </w:r>
      <w:hyperlink r:id="rId115">
        <w:r>
          <w:rPr>
            <w:rStyle w:val="LienInternet"/>
          </w:rPr>
          <w:t xml:space="preserve"> </w:t>
        </w:r>
      </w:hyperlink>
      <w:hyperlink r:id="rId116">
        <w:r>
          <w:rPr>
            <w:rStyle w:val="LienInternet"/>
          </w:rPr>
          <w:t>ötletet</w:t>
        </w:r>
      </w:hyperlink>
      <w:r>
        <w:rPr/>
        <w:t xml:space="preserve">). </w:t>
      </w:r>
    </w:p>
    <w:p>
      <w:pPr>
        <w:pStyle w:val="Corpsdetexte"/>
        <w:jc w:val="left"/>
        <w:rPr/>
      </w:pPr>
      <w:r>
        <w:rPr/>
        <w:t xml:space="preserve">Az energiahatékony és környezetbarát fűtés altémájára példaként említhető a több tüzelőanyaggal működő kályhák (lásd az ötletet) vagy a fel nem használt hőforrásokat, például a mély geotermikus energiát hasznosító távfűtési hálózat (lásd az </w:t>
      </w:r>
      <w:hyperlink r:id="rId117">
        <w:r>
          <w:rPr>
            <w:rStyle w:val="LienInternet"/>
          </w:rPr>
          <w:t>ötletet</w:t>
        </w:r>
      </w:hyperlink>
      <w:r>
        <w:rPr/>
        <w:t xml:space="preserve">). </w:t>
      </w:r>
    </w:p>
    <w:p>
      <w:pPr>
        <w:pStyle w:val="Corpsdetexte"/>
        <w:jc w:val="left"/>
        <w:rPr/>
      </w:pPr>
      <w:r>
        <w:rPr/>
        <w:t>Az emberek általában nagyobb elszámoltathatóságot és elkötelezettséget sürgetnek a vállalatoktól és a kereskedelmi vállalkozásoktól, például a mesterséges világítás csökkentését, ha erre nincs szükség, például a bevásárlóközpontokban a zárás utáni kirakatokat (lásd az</w:t>
      </w:r>
      <w:hyperlink r:id="rId118">
        <w:r>
          <w:rPr>
            <w:rStyle w:val="LienInternet"/>
          </w:rPr>
          <w:t xml:space="preserve"> </w:t>
        </w:r>
      </w:hyperlink>
      <w:hyperlink r:id="rId119">
        <w:r>
          <w:rPr>
            <w:rStyle w:val="LienInternet"/>
          </w:rPr>
          <w:t>ötletet</w:t>
        </w:r>
      </w:hyperlink>
      <w:hyperlink r:id="rId120">
        <w:r>
          <w:rPr>
            <w:rStyle w:val="LienInternet"/>
          </w:rPr>
          <w:t>)</w:t>
        </w:r>
      </w:hyperlink>
      <w:r>
        <w:rPr/>
        <w:t xml:space="preserve">. </w:t>
      </w:r>
    </w:p>
    <w:p>
      <w:pPr>
        <w:pStyle w:val="Corpsdetexte"/>
        <w:jc w:val="left"/>
        <w:rPr/>
      </w:pPr>
      <w:r>
        <w:rPr/>
        <w:t>A lakossági szintű energiahatékonysági célok tekintetében a hozzájárulók a társasházak egyéni energiafogyasztására való áttérést szorgalmazzák (lásd az ötletet). Egy másik ötlet a házon belüli mikro kapcsolt energiatermelés (lásd az</w:t>
      </w:r>
      <w:hyperlink r:id="rId121">
        <w:r>
          <w:rPr>
            <w:rStyle w:val="LienInternet"/>
          </w:rPr>
          <w:t xml:space="preserve"> </w:t>
        </w:r>
      </w:hyperlink>
      <w:hyperlink r:id="rId122">
        <w:r>
          <w:rPr>
            <w:rStyle w:val="LienInternet"/>
          </w:rPr>
          <w:t>ötletet</w:t>
        </w:r>
      </w:hyperlink>
      <w:hyperlink r:id="rId123">
        <w:r>
          <w:rPr>
            <w:rStyle w:val="LienInternet"/>
          </w:rPr>
          <w:t>)</w:t>
        </w:r>
      </w:hyperlink>
      <w:r>
        <w:rPr/>
        <w:t xml:space="preserve">. </w:t>
      </w:r>
    </w:p>
    <w:p>
      <w:pPr>
        <w:pStyle w:val="Corpsdetexte"/>
        <w:spacing w:lineRule="auto" w:line="240" w:before="57" w:after="57"/>
        <w:jc w:val="left"/>
        <w:rPr/>
      </w:pPr>
      <w:r>
        <w:rPr/>
      </w:r>
    </w:p>
    <w:p>
      <w:pPr>
        <w:pStyle w:val="Titre2"/>
        <w:numPr>
          <w:ilvl w:val="1"/>
          <w:numId w:val="1"/>
        </w:numPr>
        <w:rPr/>
      </w:pPr>
      <w:bookmarkStart w:id="21" w:name="__RefHeading___Toc86367_2514204080"/>
      <w:bookmarkEnd w:id="21"/>
      <w:r>
        <w:rPr/>
        <w:t xml:space="preserve">Szállítás </w:t>
      </w:r>
    </w:p>
    <w:p>
      <w:pPr>
        <w:pStyle w:val="Corpsdetexte"/>
        <w:jc w:val="left"/>
        <w:rPr/>
      </w:pPr>
      <w:r>
        <w:rPr/>
        <w:t xml:space="preserve">Egy másik gyakran előforduló ötletcsoport a közlekedéshez kapcsolódik, amelyet gyakran a szennyezéssel kapcsolatban vitatnak meg. Az alábbiakban felsorolt javaslatok némelyike a közlekedési rendszereknek a szennyezés csökkentése érdekében történő megváltoztatására vonatkozik. </w:t>
      </w:r>
    </w:p>
    <w:p>
      <w:pPr>
        <w:pStyle w:val="Corpsdetexte"/>
        <w:jc w:val="left"/>
        <w:rPr/>
      </w:pPr>
      <w:r>
        <w:rPr/>
        <w:t xml:space="preserve">A közlekedési rendszerek megváltoztatására szolgáló platformon benyújtott ötletek elsősorban a rövid távú repülések betiltását teszik szükségessé az EU-ban a szennyezés csökkentése érdekében (lásd például az </w:t>
      </w:r>
      <w:hyperlink r:id="rId124">
        <w:r>
          <w:rPr>
            <w:rStyle w:val="LienInternet"/>
          </w:rPr>
          <w:t>ötletet</w:t>
        </w:r>
      </w:hyperlink>
      <w:r>
        <w:rPr/>
        <w:t xml:space="preserve">). A hozzászólók hangsúlyozzák, hogy a világjárvány már a légi közlekedési ágazat zsugorodásához vezetett. </w:t>
      </w:r>
    </w:p>
    <w:p>
      <w:pPr>
        <w:pStyle w:val="Corpsdetexte"/>
        <w:jc w:val="left"/>
        <w:rPr/>
      </w:pPr>
      <w:r>
        <w:rPr/>
        <w:t xml:space="preserve">Általában véve erőteljesen támogatják az európai tömegközlekedési rendszerek fejlesztését (lásd az </w:t>
      </w:r>
      <w:hyperlink r:id="rId125">
        <w:r>
          <w:rPr>
            <w:rStyle w:val="LienInternet"/>
          </w:rPr>
          <w:t>ötlet</w:t>
        </w:r>
      </w:hyperlink>
      <w:r>
        <w:rPr/>
        <w:t>példáját), mint a rövid távú járatok környezetbarátabb alternatíváit. Konkrétan széles körben megvitatják a közös európai vasúti hálózatot (lásd például az</w:t>
      </w:r>
      <w:hyperlink r:id="rId126">
        <w:r>
          <w:rPr>
            <w:rStyle w:val="LienInternet"/>
          </w:rPr>
          <w:t xml:space="preserve"> </w:t>
        </w:r>
      </w:hyperlink>
      <w:hyperlink r:id="rId127">
        <w:r>
          <w:rPr>
            <w:rStyle w:val="LienInternet"/>
          </w:rPr>
          <w:t>ötletet</w:t>
        </w:r>
      </w:hyperlink>
      <w:hyperlink r:id="rId128">
        <w:r>
          <w:rPr>
            <w:rStyle w:val="LienInternet"/>
          </w:rPr>
          <w:t xml:space="preserve"> </w:t>
        </w:r>
      </w:hyperlink>
      <w:r>
        <w:rPr/>
        <w:t>és az</w:t>
      </w:r>
      <w:hyperlink r:id="rId129">
        <w:r>
          <w:rPr>
            <w:rStyle w:val="LienInternet"/>
          </w:rPr>
          <w:t xml:space="preserve"> </w:t>
        </w:r>
      </w:hyperlink>
      <w:hyperlink r:id="rId130">
        <w:r>
          <w:rPr>
            <w:rStyle w:val="LienInternet"/>
          </w:rPr>
          <w:t>eseményt</w:t>
        </w:r>
      </w:hyperlink>
      <w:r>
        <w:rPr/>
        <w:t>). Az egyik hozzászóló azt javasolja, hogy az Euro Trainscanner keresőmotorja vonzóbbá tegye a vasúti közlekedést (lásd az</w:t>
      </w:r>
      <w:hyperlink r:id="rId131">
        <w:r>
          <w:rPr>
            <w:rStyle w:val="LienInternet"/>
          </w:rPr>
          <w:t xml:space="preserve"> </w:t>
        </w:r>
      </w:hyperlink>
      <w:hyperlink r:id="rId132">
        <w:r>
          <w:rPr>
            <w:rStyle w:val="LienInternet"/>
          </w:rPr>
          <w:t>ötletet</w:t>
        </w:r>
      </w:hyperlink>
      <w:r>
        <w:rPr/>
        <w:t>), egy másik pedig egy integrált uniós jegy bevezetését és ingyenessé tételét javasolja a városokban (lásd az</w:t>
      </w:r>
      <w:hyperlink r:id="rId133">
        <w:r>
          <w:rPr>
            <w:rStyle w:val="LienInternet"/>
          </w:rPr>
          <w:t xml:space="preserve"> </w:t>
        </w:r>
      </w:hyperlink>
      <w:hyperlink r:id="rId134">
        <w:r>
          <w:rPr>
            <w:rStyle w:val="LienInternet"/>
          </w:rPr>
          <w:t>ötletet</w:t>
        </w:r>
      </w:hyperlink>
      <w:hyperlink r:id="rId135">
        <w:r>
          <w:rPr>
            <w:rStyle w:val="LienInternet"/>
          </w:rPr>
          <w:t>)</w:t>
        </w:r>
      </w:hyperlink>
      <w:r>
        <w:rPr/>
        <w:t>. A gyorsvasúti hálózatok bővítésére és a határokon átnyúló vasúti összeköttetések létrehozására irányuló javaslatok a vasút európai éve alkalmából szervezett számos rendezvény egyikében születtek (lásd az</w:t>
      </w:r>
      <w:hyperlink r:id="rId136">
        <w:r>
          <w:rPr>
            <w:rStyle w:val="LienInternet"/>
          </w:rPr>
          <w:t xml:space="preserve"> </w:t>
        </w:r>
      </w:hyperlink>
      <w:hyperlink r:id="rId137">
        <w:r>
          <w:rPr>
            <w:rStyle w:val="LienInternet"/>
          </w:rPr>
          <w:t>eseményt</w:t>
        </w:r>
      </w:hyperlink>
      <w:r>
        <w:rPr/>
        <w:t xml:space="preserve">). </w:t>
      </w:r>
    </w:p>
    <w:p>
      <w:pPr>
        <w:pStyle w:val="Corpsdetexte"/>
        <w:jc w:val="left"/>
        <w:rPr/>
      </w:pPr>
      <w:r>
        <w:rPr/>
        <w:t xml:space="preserve">Más ötletek egy közös kerékpáros hálózatot érintenek, például a kerékpárútvonalak bővítését vagy egy egész Európára kiterjedő kerékpáros csomóponti hálózat létrehozását (lásd például az </w:t>
      </w:r>
      <w:hyperlink r:id="rId138">
        <w:r>
          <w:rPr>
            <w:rStyle w:val="LienInternet"/>
          </w:rPr>
          <w:t>ötletet</w:t>
        </w:r>
      </w:hyperlink>
      <w:hyperlink r:id="rId139">
        <w:r>
          <w:rPr>
            <w:rStyle w:val="LienInternet"/>
          </w:rPr>
          <w:t>)</w:t>
        </w:r>
      </w:hyperlink>
      <w:r>
        <w:rPr/>
        <w:t xml:space="preserve">. Ezenkívül azt javasolták, hogy az önkormányzatok számára kötelezővé tegyék a kerékpárutak létrehozását az út szerves részeként, ahogyan ez már a gyalogosok járdák esetében is így van (lásd az </w:t>
      </w:r>
      <w:hyperlink r:id="rId140">
        <w:r>
          <w:rPr>
            <w:rStyle w:val="LienInternet"/>
          </w:rPr>
          <w:t>ötletet</w:t>
        </w:r>
      </w:hyperlink>
      <w:r>
        <w:rPr/>
        <w:t xml:space="preserve">). </w:t>
      </w:r>
    </w:p>
    <w:p>
      <w:pPr>
        <w:pStyle w:val="Corpsdetexte"/>
        <w:jc w:val="left"/>
        <w:rPr/>
      </w:pPr>
      <w:r>
        <w:rPr/>
        <w:t>Egy másik ötletcsoport az innovációra és az elektromos járművek, például az autók és kerékpárok fejlesztésére, valamint azok jelenlegi környezetbe való integrálására összpontosít, például a töltőállomások hálózatának biztosításával (lásd az</w:t>
      </w:r>
      <w:hyperlink r:id="rId141">
        <w:r>
          <w:rPr>
            <w:rStyle w:val="LienInternet"/>
          </w:rPr>
          <w:t xml:space="preserve"> </w:t>
        </w:r>
      </w:hyperlink>
      <w:hyperlink r:id="rId142">
        <w:r>
          <w:rPr>
            <w:rStyle w:val="LienInternet"/>
          </w:rPr>
          <w:t>ötletet</w:t>
        </w:r>
      </w:hyperlink>
      <w:hyperlink r:id="rId143">
        <w:r>
          <w:rPr>
            <w:rStyle w:val="LienInternet"/>
          </w:rPr>
          <w:t xml:space="preserve"> </w:t>
        </w:r>
      </w:hyperlink>
      <w:r>
        <w:rPr/>
        <w:t>és az</w:t>
      </w:r>
      <w:hyperlink r:id="rId144">
        <w:r>
          <w:rPr>
            <w:rStyle w:val="LienInternet"/>
          </w:rPr>
          <w:t xml:space="preserve"> </w:t>
        </w:r>
      </w:hyperlink>
      <w:hyperlink r:id="rId145">
        <w:r>
          <w:rPr>
            <w:rStyle w:val="LienInternet"/>
          </w:rPr>
          <w:t>ötletet</w:t>
        </w:r>
      </w:hyperlink>
      <w:hyperlink r:id="rId146">
        <w:r>
          <w:rPr>
            <w:rStyle w:val="LienInternet"/>
          </w:rPr>
          <w:t>)</w:t>
        </w:r>
      </w:hyperlink>
      <w:r>
        <w:rPr/>
        <w:t>. Az egyik résztvevő azonban azzal érvel, hogy az elektromos autók káros környezetvédelmi és humanitárius költségekkel járnak, és ehelyett azt javasolja, hogy a járművek tömegét és sebességét korlátozzák a szén-dioxid-kibocsátás csökkentése érdekében (lásd az</w:t>
      </w:r>
      <w:hyperlink r:id="rId147">
        <w:r>
          <w:rPr>
            <w:rStyle w:val="LienInternet"/>
          </w:rPr>
          <w:t xml:space="preserve"> </w:t>
        </w:r>
      </w:hyperlink>
      <w:hyperlink r:id="rId148">
        <w:r>
          <w:rPr>
            <w:rStyle w:val="LienInternet"/>
          </w:rPr>
          <w:t>ötletet</w:t>
        </w:r>
      </w:hyperlink>
      <w:r>
        <w:rPr/>
        <w:t xml:space="preserve">). </w:t>
      </w:r>
    </w:p>
    <w:p>
      <w:pPr>
        <w:pStyle w:val="Corpsdetexte"/>
        <w:jc w:val="left"/>
        <w:rPr/>
      </w:pPr>
      <w:r>
        <w:rPr/>
        <w:t>Ami a közlekedés dekarbonizációját és a környezetbarátabb közlekedést illeti, a résztvevők hangsúlyozzák a határokon átnyúló projektek fontosságát a hajózás és a vasúti közlekedés előmozdításában (lásd például az</w:t>
      </w:r>
      <w:hyperlink r:id="rId149">
        <w:r>
          <w:rPr>
            <w:rStyle w:val="LienInternet"/>
          </w:rPr>
          <w:t xml:space="preserve"> </w:t>
        </w:r>
      </w:hyperlink>
      <w:hyperlink r:id="rId150">
        <w:r>
          <w:rPr>
            <w:rStyle w:val="LienInternet"/>
          </w:rPr>
          <w:t>ötletet</w:t>
        </w:r>
      </w:hyperlink>
      <w:hyperlink r:id="rId151">
        <w:r>
          <w:rPr>
            <w:rStyle w:val="LienInternet"/>
          </w:rPr>
          <w:t>)</w:t>
        </w:r>
      </w:hyperlink>
      <w:r>
        <w:rPr/>
        <w:t>. Felszólítunk továbbá olyan programok kidolgozására, amelyek ösztönzik a K+F-et és az innovációt annak érdekében, hogy olyan – köz- és magán-, egyéni és kollektív – közlekedési eszközöket állítsanak elő, amelyek nem szennyezők és 100%-ban önellátóak (lásd például az</w:t>
      </w:r>
      <w:hyperlink r:id="rId152">
        <w:r>
          <w:rPr>
            <w:rStyle w:val="LienInternet"/>
          </w:rPr>
          <w:t xml:space="preserve"> </w:t>
        </w:r>
      </w:hyperlink>
      <w:hyperlink r:id="rId153">
        <w:r>
          <w:rPr>
            <w:rStyle w:val="LienInternet"/>
          </w:rPr>
          <w:t>ötletet</w:t>
        </w:r>
      </w:hyperlink>
      <w:hyperlink r:id="rId154">
        <w:r>
          <w:rPr>
            <w:rStyle w:val="LienInternet"/>
          </w:rPr>
          <w:t>)</w:t>
        </w:r>
      </w:hyperlink>
      <w:r>
        <w:rPr/>
        <w:t>.</w:t>
      </w:r>
    </w:p>
    <w:p>
      <w:pPr>
        <w:pStyle w:val="Normal"/>
        <w:rPr/>
      </w:pPr>
      <w:r>
        <w:rPr/>
      </w:r>
    </w:p>
    <w:p>
      <w:pPr>
        <w:pStyle w:val="Titre2"/>
        <w:numPr>
          <w:ilvl w:val="1"/>
          <w:numId w:val="1"/>
        </w:numPr>
        <w:rPr/>
      </w:pPr>
      <w:bookmarkStart w:id="22" w:name="__RefHeading___Toc86369_2514204080"/>
      <w:bookmarkEnd w:id="22"/>
      <w:r>
        <w:rPr/>
        <w:t xml:space="preserve">Fogyasztás </w:t>
      </w:r>
    </w:p>
    <w:p>
      <w:pPr>
        <w:pStyle w:val="Corpsdetexte"/>
        <w:spacing w:lineRule="auto" w:line="240" w:before="57" w:after="57"/>
        <w:jc w:val="left"/>
        <w:rPr/>
      </w:pPr>
      <w:r>
        <w:rPr/>
        <w:t>A „fogyasztás” az altémák széles körét fedi le, a legkülönbözőbb anyaghulladék-típusokra összpontosítva, meghatározva az ilyen hulladék kezelésére és csökkentésére irányuló fenntartható gyakorlatokat. A hozzászólók erőteljesen kérik az áruk és szolgáltatások tömeges fogyasztásának jelenlegi rendszerének megváltoztatását. Egy erősen támogatott, visszatérő hangulatot mutató elképzelés e tekintetben a körforgásos gazdaság előmozdítására szólít fel (lásd az</w:t>
      </w:r>
      <w:hyperlink r:id="rId155">
        <w:r>
          <w:rPr>
            <w:rStyle w:val="LienInternet"/>
          </w:rPr>
          <w:t xml:space="preserve"> </w:t>
        </w:r>
      </w:hyperlink>
      <w:hyperlink r:id="rId156">
        <w:r>
          <w:rPr>
            <w:rStyle w:val="LienInternet"/>
          </w:rPr>
          <w:t>ötletet)</w:t>
        </w:r>
      </w:hyperlink>
      <w:r>
        <w:rPr/>
        <w:t xml:space="preserve"> A javításhoz való jogot a fogyasztási minták megváltoztatásának és a körforgásos gazdaság előmozdításának kulcsfontosságú elemének tekintik. A résztvevők javításbarát terméktervezést, valamint javítási index és uniós szintű javítási címke bevezetését kérik (lásd az </w:t>
      </w:r>
      <w:hyperlink r:id="rId157">
        <w:r>
          <w:rPr>
            <w:rStyle w:val="LienInternet"/>
          </w:rPr>
          <w:t>ötletet</w:t>
        </w:r>
      </w:hyperlink>
      <w:hyperlink r:id="rId158">
        <w:r>
          <w:rPr>
            <w:rStyle w:val="LienInternet"/>
          </w:rPr>
          <w:t>)</w:t>
        </w:r>
      </w:hyperlink>
      <w:r>
        <w:rPr/>
        <w:t xml:space="preserve">. A világjárvány hatása arra is késztette az embereket, hogy újragondolják a globális ellátási láncokat, és támogassák azok lerövidítését (lásd az </w:t>
      </w:r>
      <w:hyperlink r:id="rId159">
        <w:r>
          <w:rPr>
            <w:rStyle w:val="LienInternet"/>
          </w:rPr>
          <w:t>ötletet</w:t>
        </w:r>
      </w:hyperlink>
      <w:hyperlink r:id="rId160">
        <w:r>
          <w:rPr>
            <w:rStyle w:val="LienInternet"/>
          </w:rPr>
          <w:t>)</w:t>
        </w:r>
      </w:hyperlink>
      <w:r>
        <w:rPr/>
        <w:t>. Egyes hozzájárulók még ennél is továbblépnek azáltal, hogy a maximális fogyasztásra és termelésre vonatkozó kvótákat javasolnak (lásd például az</w:t>
      </w:r>
      <w:hyperlink r:id="rId161">
        <w:r>
          <w:rPr>
            <w:rStyle w:val="LienInternet"/>
          </w:rPr>
          <w:t xml:space="preserve"> </w:t>
        </w:r>
      </w:hyperlink>
      <w:hyperlink r:id="rId162">
        <w:r>
          <w:rPr>
            <w:rStyle w:val="LienInternet"/>
          </w:rPr>
          <w:t>ötletet</w:t>
        </w:r>
      </w:hyperlink>
      <w:hyperlink r:id="rId163">
        <w:r>
          <w:rPr>
            <w:rStyle w:val="LienInternet"/>
          </w:rPr>
          <w:t>)</w:t>
        </w:r>
      </w:hyperlink>
      <w:r>
        <w:rPr/>
        <w:t xml:space="preserve">. </w:t>
      </w:r>
    </w:p>
    <w:p>
      <w:pPr>
        <w:pStyle w:val="Corpsdetexte"/>
        <w:jc w:val="left"/>
        <w:rPr/>
      </w:pPr>
      <w:r>
        <w:rPr/>
        <w:t>Konkrétan az élelmiszer-pazarlással kapcsolatban az egyik résztvevő kiemeli, hogy a világszerte előállított élelmiszerek 40%-a soha nem éri el táblázatainkat, és hogy ez a globális üvegházhatásúgáz-kibocsátás 10%-át okozza, és olyan intézkedéseket javasol az élelmiszer-pazarlás megállítására, mint például az élelmiszer-adományozás támogatása (lásd az</w:t>
      </w:r>
      <w:hyperlink r:id="rId164">
        <w:r>
          <w:rPr>
            <w:rStyle w:val="LienInternet"/>
          </w:rPr>
          <w:t xml:space="preserve"> </w:t>
        </w:r>
      </w:hyperlink>
      <w:hyperlink r:id="rId165">
        <w:r>
          <w:rPr>
            <w:rStyle w:val="LienInternet"/>
          </w:rPr>
          <w:t>ötletet</w:t>
        </w:r>
      </w:hyperlink>
      <w:hyperlink r:id="rId166">
        <w:r>
          <w:rPr>
            <w:rStyle w:val="LienInternet"/>
          </w:rPr>
          <w:t>)</w:t>
        </w:r>
      </w:hyperlink>
      <w:r>
        <w:rPr/>
        <w:t xml:space="preserve">. </w:t>
      </w:r>
    </w:p>
    <w:p>
      <w:pPr>
        <w:pStyle w:val="Corpsdetexte"/>
        <w:jc w:val="left"/>
        <w:rPr/>
      </w:pPr>
      <w:r>
        <w:rPr/>
        <w:t xml:space="preserve">A platform számos közreműködője rámutat a keletkező hulladék jelentős mennyiségére, és számos intézkedést javasol az ilyen hulladékok elkerülésére és leküzdésére, például az újrafeldolgozásra (lásd például az </w:t>
      </w:r>
      <w:hyperlink r:id="rId167">
        <w:r>
          <w:rPr>
            <w:rStyle w:val="LienInternet"/>
          </w:rPr>
          <w:t>ötletet</w:t>
        </w:r>
      </w:hyperlink>
      <w:r>
        <w:rPr/>
        <w:t>), a nulla vagy alacsony hulladéktartalmú termékek csomagolásának választására a környezetre gyakorolt negatív hatás csökkentése érdekében (lásd például az</w:t>
      </w:r>
      <w:hyperlink r:id="rId168">
        <w:r>
          <w:rPr>
            <w:rStyle w:val="LienInternet"/>
          </w:rPr>
          <w:t xml:space="preserve"> </w:t>
        </w:r>
      </w:hyperlink>
      <w:hyperlink r:id="rId169">
        <w:r>
          <w:rPr>
            <w:rStyle w:val="LienInternet"/>
          </w:rPr>
          <w:t>ötletet</w:t>
        </w:r>
      </w:hyperlink>
      <w:hyperlink r:id="rId170">
        <w:r>
          <w:rPr>
            <w:rStyle w:val="LienInternet"/>
          </w:rPr>
          <w:t>)</w:t>
        </w:r>
      </w:hyperlink>
      <w:r>
        <w:rPr/>
        <w:t>. Egy erősen támogatott ötlet támogatja az újrafeldolgozható anyagokból készült visszaforgatható élelmiszer-csomagolások uniós vezetésű programjának ötletét (lásd az</w:t>
      </w:r>
      <w:hyperlink r:id="rId171">
        <w:r>
          <w:rPr>
            <w:rStyle w:val="LienInternet"/>
          </w:rPr>
          <w:t xml:space="preserve"> </w:t>
        </w:r>
      </w:hyperlink>
      <w:hyperlink r:id="rId172">
        <w:r>
          <w:rPr>
            <w:rStyle w:val="LienInternet"/>
          </w:rPr>
          <w:t>ötletet</w:t>
        </w:r>
      </w:hyperlink>
      <w:hyperlink r:id="rId173">
        <w:r>
          <w:rPr>
            <w:rStyle w:val="LienInternet"/>
          </w:rPr>
          <w:t>)</w:t>
        </w:r>
      </w:hyperlink>
      <w:r>
        <w:rPr/>
        <w:t>. Az egyik résztvevő rámutat arra, hogy több információra van szükség az újrahasznosításról annak érdekében, hogy ezt a gyakorlatot már korai életkorban ösztönözzék (lásd</w:t>
      </w:r>
      <w:hyperlink r:id="rId174">
        <w:r>
          <w:rPr>
            <w:rStyle w:val="LienInternet"/>
          </w:rPr>
          <w:t xml:space="preserve"> </w:t>
        </w:r>
      </w:hyperlink>
      <w:hyperlink r:id="rId175">
        <w:r>
          <w:rPr>
            <w:rStyle w:val="LienInternet"/>
          </w:rPr>
          <w:t>az ötletet</w:t>
        </w:r>
      </w:hyperlink>
      <w:r>
        <w:rPr/>
        <w:t xml:space="preserve">). Egy másik a palackok visszajuttatására szolgáló integrált európai rendszer bevezetését javasolja, amely a német modellen alapul (lásd az </w:t>
      </w:r>
      <w:hyperlink r:id="rId176">
        <w:r>
          <w:rPr>
            <w:rStyle w:val="LienInternet"/>
          </w:rPr>
          <w:t>ötletet</w:t>
        </w:r>
      </w:hyperlink>
      <w:hyperlink r:id="rId177">
        <w:r>
          <w:rPr>
            <w:rStyle w:val="LienInternet"/>
          </w:rPr>
          <w:t>)</w:t>
        </w:r>
      </w:hyperlink>
      <w:r>
        <w:rPr/>
        <w:t>. A hulladék EU-ból történő kiszervezésére vonatkozó tilalom a hulladék altémájában is szerepel (lásd az</w:t>
      </w:r>
      <w:hyperlink r:id="rId178">
        <w:r>
          <w:rPr>
            <w:rStyle w:val="LienInternet"/>
          </w:rPr>
          <w:t xml:space="preserve"> </w:t>
        </w:r>
      </w:hyperlink>
      <w:hyperlink r:id="rId179">
        <w:r>
          <w:rPr>
            <w:rStyle w:val="LienInternet"/>
          </w:rPr>
          <w:t>ötletet</w:t>
        </w:r>
      </w:hyperlink>
      <w:hyperlink r:id="rId180">
        <w:r>
          <w:rPr>
            <w:rStyle w:val="LienInternet"/>
          </w:rPr>
          <w:t>)</w:t>
        </w:r>
      </w:hyperlink>
      <w:r>
        <w:rPr/>
        <w:t xml:space="preserve">. </w:t>
      </w:r>
    </w:p>
    <w:p>
      <w:pPr>
        <w:pStyle w:val="Corpsdetexte"/>
        <w:jc w:val="left"/>
        <w:rPr/>
      </w:pPr>
      <w:r>
        <w:rPr/>
        <w:t>A fogyasztás környezeti hatásának altémáján belül felmerült a kérdés, hogy az importált áruk megfelelnek-e az uniós szabványoknak. Az egyik hozzászóló például azt javasolja, hogy tiltsák be a Brazíliából származó marhahús behozatalát, amely nem ugyanolyan szintű nyomon követhető, mint az uniós marhahús (lásd az</w:t>
      </w:r>
      <w:hyperlink r:id="rId181">
        <w:r>
          <w:rPr>
            <w:rStyle w:val="LienInternet"/>
          </w:rPr>
          <w:t xml:space="preserve"> </w:t>
        </w:r>
      </w:hyperlink>
      <w:hyperlink r:id="rId182">
        <w:r>
          <w:rPr>
            <w:rStyle w:val="LienInternet"/>
          </w:rPr>
          <w:t>ötletet</w:t>
        </w:r>
      </w:hyperlink>
      <w:r>
        <w:rPr/>
        <w:t xml:space="preserve">). </w:t>
      </w:r>
    </w:p>
    <w:p>
      <w:pPr>
        <w:pStyle w:val="Corpsdetexte"/>
        <w:jc w:val="left"/>
        <w:rPr/>
      </w:pPr>
      <w:r>
        <w:rPr/>
        <w:t xml:space="preserve">Egy másik visszatérő ötlet egy fejlettebb termékcímkézési rendszert támogat (lásd az </w:t>
      </w:r>
      <w:hyperlink r:id="rId183">
        <w:r>
          <w:rPr>
            <w:rStyle w:val="LienInternet"/>
          </w:rPr>
          <w:t>ötletet</w:t>
        </w:r>
      </w:hyperlink>
      <w:r>
        <w:rPr/>
        <w:t xml:space="preserve">), amely részletezné a termelés környezeti hatását, vagy jelezné, hogy a termékek tartalmaznak-e mikroműanyagokat, és így hosszú távon negatív hatást gyakorolnak-e a fogyasztók egészségére (lásd például az </w:t>
      </w:r>
      <w:hyperlink r:id="rId184">
        <w:r>
          <w:rPr>
            <w:rStyle w:val="LienInternet"/>
          </w:rPr>
          <w:t>ötletet</w:t>
        </w:r>
      </w:hyperlink>
      <w:r>
        <w:rPr/>
        <w:t>). Egy erősen támogatott ötlet a termékek „éghajlati pontszámát” javasolja, amely kiszámítja a termék éghajlatra gyakorolt hatását a termelés, a szállítás, a vállalati profil stb. tekintetében (lásd az</w:t>
      </w:r>
      <w:hyperlink r:id="rId185">
        <w:r>
          <w:rPr>
            <w:rStyle w:val="LienInternet"/>
          </w:rPr>
          <w:t xml:space="preserve"> </w:t>
        </w:r>
      </w:hyperlink>
      <w:hyperlink r:id="rId186">
        <w:r>
          <w:rPr>
            <w:rStyle w:val="LienInternet"/>
          </w:rPr>
          <w:t>ötletet</w:t>
        </w:r>
      </w:hyperlink>
      <w:r>
        <w:rPr/>
        <w:t xml:space="preserve">). </w:t>
      </w:r>
    </w:p>
    <w:p>
      <w:pPr>
        <w:pStyle w:val="Corpsdetexte"/>
        <w:jc w:val="left"/>
        <w:rPr/>
      </w:pPr>
      <w:r>
        <w:rPr/>
        <w:t>Az utolsó szál a gyors divat- és textilipar körül forog, azzal a céllal, hogy környezetbarátabbá váljon; a hozzászólók kiemelik a ruházati cikkek gyártásához felhasznált erőforrások hatalmas mennyiségét és azt a tényt, hogy a ruhák gyakran alkalmatlanok az újrahasznosításra (lásd például az</w:t>
      </w:r>
      <w:hyperlink r:id="rId187">
        <w:r>
          <w:rPr>
            <w:rStyle w:val="LienInternet"/>
          </w:rPr>
          <w:t xml:space="preserve"> </w:t>
        </w:r>
      </w:hyperlink>
      <w:hyperlink r:id="rId188">
        <w:r>
          <w:rPr>
            <w:rStyle w:val="LienInternet"/>
          </w:rPr>
          <w:t>ötletet</w:t>
        </w:r>
      </w:hyperlink>
      <w:hyperlink r:id="rId189">
        <w:r>
          <w:rPr>
            <w:rStyle w:val="LienInternet"/>
          </w:rPr>
          <w:t>)</w:t>
        </w:r>
      </w:hyperlink>
      <w:r>
        <w:rPr/>
        <w:t xml:space="preserve">. </w:t>
      </w:r>
    </w:p>
    <w:p>
      <w:pPr>
        <w:pStyle w:val="Corpsdetexte"/>
        <w:jc w:val="left"/>
        <w:rPr/>
      </w:pPr>
      <w:r>
        <w:rPr/>
        <w:t>Egy spanyolországi polgári munkaértekezleten számos elképzelés született a vízfogyasztással kapcsolatban. A hozzászólók hangsúlyozzák, hogy a vízpazarlás elkerülése érdekében javítani kell az elosztási és vízgyűjtő rendszereket (lásd az</w:t>
      </w:r>
      <w:hyperlink r:id="rId190">
        <w:r>
          <w:rPr>
            <w:rStyle w:val="LienInternet"/>
          </w:rPr>
          <w:t xml:space="preserve"> </w:t>
        </w:r>
      </w:hyperlink>
      <w:hyperlink r:id="rId191">
        <w:r>
          <w:rPr>
            <w:rStyle w:val="LienInternet"/>
          </w:rPr>
          <w:t>eseményt</w:t>
        </w:r>
      </w:hyperlink>
      <w:hyperlink r:id="rId192">
        <w:r>
          <w:rPr>
            <w:rStyle w:val="LienInternet"/>
          </w:rPr>
          <w:t>)</w:t>
        </w:r>
      </w:hyperlink>
      <w:r>
        <w:rPr/>
        <w:t xml:space="preserve">. </w:t>
      </w:r>
    </w:p>
    <w:p>
      <w:pPr>
        <w:pStyle w:val="Corpsdetexte"/>
        <w:jc w:val="left"/>
        <w:rPr/>
      </w:pPr>
      <w:r>
        <w:rPr/>
        <w:t>Emellett a résztvevők hangsúlyozzák, hogy a tömegturizmus helyett a zöld és fenntartható turizmust kell előmozdítani, mivel ez utóbbi jelentős hatást gyakorol a természeti és kulturális erőforrásokra (lásd például az</w:t>
      </w:r>
      <w:hyperlink r:id="rId193">
        <w:r>
          <w:rPr>
            <w:rStyle w:val="LienInternet"/>
          </w:rPr>
          <w:t xml:space="preserve"> </w:t>
        </w:r>
      </w:hyperlink>
      <w:hyperlink r:id="rId194">
        <w:r>
          <w:rPr>
            <w:rStyle w:val="LienInternet"/>
          </w:rPr>
          <w:t>eseményt</w:t>
        </w:r>
      </w:hyperlink>
      <w:r>
        <w:rPr/>
        <w:t xml:space="preserve">). </w:t>
      </w:r>
    </w:p>
    <w:p>
      <w:pPr>
        <w:pStyle w:val="Corpsdetexte"/>
        <w:jc w:val="left"/>
        <w:rPr/>
      </w:pPr>
      <w:r>
        <w:rPr/>
        <w:t>Az e témával kapcsolatos észrevételek és ötletek utolsó csoportja az új elektronikus készülékek által termelt hulladékkal kapcsolatos aggodalmakat tükrözi, és kéri az ilyen készülékekre vonatkozó kötelező jótállás növelését, a javíthatóság biztosításának szükségességét (lásd például az ötletet), valamint az e-hulladék újrahasznosítását biztosító együttműködési hálózati platform létrehozását (lásd az ötletet). Egy másik javaslat magában foglalja egy olyan kísérleti program kidolgozását, amelynek célja 35 millió uniós család elektromos készülékeinek A+++ termékekkel való helyettesítése, összhangban az EU zöld átállásra irányuló célkitűzésével (lásd az</w:t>
      </w:r>
      <w:hyperlink r:id="rId195">
        <w:r>
          <w:rPr>
            <w:rStyle w:val="LienInternet"/>
          </w:rPr>
          <w:t xml:space="preserve"> </w:t>
        </w:r>
      </w:hyperlink>
      <w:hyperlink r:id="rId196">
        <w:r>
          <w:rPr>
            <w:rStyle w:val="LienInternet"/>
          </w:rPr>
          <w:t>ötletet</w:t>
        </w:r>
      </w:hyperlink>
      <w:r>
        <w:rPr/>
        <w:t xml:space="preserve">). </w:t>
      </w:r>
    </w:p>
    <w:p>
      <w:pPr>
        <w:pStyle w:val="Corpsdetexte"/>
        <w:jc w:val="left"/>
        <w:rPr/>
      </w:pPr>
      <w:r>
        <w:rPr/>
        <w:t>Néhány résztvevő azt is szeretné, ha az energiafogyasztás korlátozott lenne – különösen azért, mert a villamos energiát nagyrészt fosszilis tüzelőanyagokkal állítják elő – azáltal, hogy havi villamosenergia-kvótát ír elő a fogyasztásra, és a többletet megadóztatják (lásd például az</w:t>
      </w:r>
      <w:hyperlink r:id="rId197">
        <w:r>
          <w:rPr>
            <w:rStyle w:val="LienInternet"/>
          </w:rPr>
          <w:t xml:space="preserve"> </w:t>
        </w:r>
      </w:hyperlink>
      <w:hyperlink r:id="rId198">
        <w:r>
          <w:rPr>
            <w:rStyle w:val="LienInternet"/>
          </w:rPr>
          <w:t>ötletet</w:t>
        </w:r>
      </w:hyperlink>
      <w:r>
        <w:rPr/>
        <w:t>). Néhány résztvevő aggodalmát fejezte ki a kriptovaluták fejlődésével kapcsolatban, ahol a berendezés hatalmas villamosenergia-fogyasztáshoz vezet. Véleményük szerint minél több kriptobányászat válik globális kérdéssé, annál több korlátozásra és szabályozásra lesz szükség (lásd egy</w:t>
      </w:r>
      <w:hyperlink r:id="rId199">
        <w:r>
          <w:rPr>
            <w:rStyle w:val="LienInternet"/>
          </w:rPr>
          <w:t xml:space="preserve"> </w:t>
        </w:r>
      </w:hyperlink>
      <w:hyperlink r:id="rId200">
        <w:r>
          <w:rPr>
            <w:rStyle w:val="LienInternet"/>
          </w:rPr>
          <w:t>ötlet</w:t>
        </w:r>
      </w:hyperlink>
      <w:r>
        <w:rPr/>
        <w:t>példáját</w:t>
      </w:r>
      <w:hyperlink r:id="rId201">
        <w:r>
          <w:rPr>
            <w:rStyle w:val="LienInternet"/>
          </w:rPr>
          <w:t>)</w:t>
        </w:r>
      </w:hyperlink>
      <w:r>
        <w:rPr/>
        <w:t xml:space="preserve">. </w:t>
      </w:r>
    </w:p>
    <w:p>
      <w:pPr>
        <w:pStyle w:val="Corpsdetexte"/>
        <w:jc w:val="left"/>
        <w:rPr/>
      </w:pPr>
      <w:r>
        <w:rPr/>
      </w:r>
    </w:p>
    <w:p>
      <w:pPr>
        <w:pStyle w:val="Titre2"/>
        <w:numPr>
          <w:ilvl w:val="1"/>
          <w:numId w:val="1"/>
        </w:numPr>
        <w:rPr/>
      </w:pPr>
      <w:bookmarkStart w:id="23" w:name="__RefHeading___Toc86371_2514204080"/>
      <w:bookmarkEnd w:id="23"/>
      <w:r>
        <w:rPr/>
        <w:t xml:space="preserve">Biológiai sokféleség és állatjólét </w:t>
      </w:r>
    </w:p>
    <w:p>
      <w:pPr>
        <w:pStyle w:val="Corpsdetexte"/>
        <w:spacing w:lineRule="auto" w:line="240" w:before="57" w:after="57"/>
        <w:jc w:val="left"/>
        <w:rPr/>
      </w:pPr>
      <w:r>
        <w:rPr/>
        <w:t xml:space="preserve">A konferencia során a biológiai sokféleség megőrzése és az állatok védelme egyre visszatérőbb témákká váltak, számos hozzájárulással. </w:t>
      </w:r>
    </w:p>
    <w:p>
      <w:pPr>
        <w:pStyle w:val="Corpsdetexte"/>
        <w:spacing w:lineRule="auto" w:line="240" w:before="57" w:after="57"/>
        <w:jc w:val="left"/>
        <w:rPr/>
      </w:pPr>
      <w:r>
        <w:rPr/>
        <w:t>Az ötletek fő témája az erdőirtással kapcsolatos. Az egyik jobban támogatott ötlet arra szólít fel, hogy fektessenek be Európa újraerdősítésébe, hogy elkerüljék az elsivatagosodást (lásd az ötletet), vagy globálisan megmentsék a bolygó tüdejét, nevezetesen az amazóniai esőerdőket és más világ esőerdőket, nemcsak a globális szénszennyezés lelassítása és a fajok megmentése érdekében, hanem az Európára nehezedő migrációs nyomás csökkentése érdekében is (lásd például az ötletet). A szakpolitikai javaslatok közé tartozik az erdőirtásból származó termékek behozatalának tilalma (lásd az</w:t>
      </w:r>
      <w:hyperlink r:id="rId202">
        <w:r>
          <w:rPr>
            <w:rStyle w:val="LienInternet"/>
          </w:rPr>
          <w:t xml:space="preserve"> </w:t>
        </w:r>
      </w:hyperlink>
      <w:hyperlink r:id="rId203">
        <w:r>
          <w:rPr>
            <w:rStyle w:val="LienInternet"/>
          </w:rPr>
          <w:t>ötletet</w:t>
        </w:r>
      </w:hyperlink>
      <w:hyperlink r:id="rId204">
        <w:r>
          <w:rPr>
            <w:rStyle w:val="LienInternet"/>
          </w:rPr>
          <w:t>)</w:t>
        </w:r>
      </w:hyperlink>
      <w:r>
        <w:rPr/>
        <w:t xml:space="preserve">. </w:t>
      </w:r>
    </w:p>
    <w:p>
      <w:pPr>
        <w:pStyle w:val="Corpsdetexte"/>
        <w:spacing w:lineRule="auto" w:line="240" w:before="57" w:after="57"/>
        <w:jc w:val="left"/>
        <w:rPr/>
      </w:pPr>
      <w:r>
        <w:rPr/>
        <w:t xml:space="preserve">Az állatvilág védelme szintén fontos eleme ennek a témának. Az egyik résztvevő a veszélyeztetett európai fajok védelmére irányuló közös politika elfogadását javasolta (lásd az </w:t>
      </w:r>
      <w:hyperlink r:id="rId205">
        <w:r>
          <w:rPr>
            <w:rStyle w:val="LienInternet"/>
          </w:rPr>
          <w:t>ötletet</w:t>
        </w:r>
      </w:hyperlink>
      <w:hyperlink r:id="rId206">
        <w:r>
          <w:rPr>
            <w:rStyle w:val="LienInternet"/>
          </w:rPr>
          <w:t>)</w:t>
        </w:r>
      </w:hyperlink>
      <w:r>
        <w:rPr/>
        <w:t xml:space="preserve">. Számos résztvevő támogatta az egzotikus állatok kedvtelésből tartott állatokként való kereskedelmének megállítására vonatkozó elképzeléseket (lásd az </w:t>
      </w:r>
      <w:hyperlink r:id="rId207">
        <w:r>
          <w:rPr>
            <w:rStyle w:val="LienInternet"/>
          </w:rPr>
          <w:t>ötletet</w:t>
        </w:r>
      </w:hyperlink>
      <w:r>
        <w:rPr/>
        <w:t>), valamint a víziállatok védelmével kapcsolatos elképzeléseket, beleértve a víziállatok jólétére vonatkozó jogszabályok végrehajtását is (lásd például egy</w:t>
      </w:r>
      <w:hyperlink r:id="rId208">
        <w:r>
          <w:rPr>
            <w:rStyle w:val="LienInternet"/>
          </w:rPr>
          <w:t xml:space="preserve"> </w:t>
        </w:r>
      </w:hyperlink>
      <w:hyperlink r:id="rId209">
        <w:r>
          <w:rPr>
            <w:rStyle w:val="LienInternet"/>
          </w:rPr>
          <w:t>ötletet</w:t>
        </w:r>
      </w:hyperlink>
      <w:r>
        <w:rPr/>
        <w:t xml:space="preserve">). </w:t>
      </w:r>
    </w:p>
    <w:p>
      <w:pPr>
        <w:pStyle w:val="Corpsdetexte"/>
        <w:spacing w:lineRule="auto" w:line="240" w:before="57" w:after="57"/>
        <w:jc w:val="left"/>
        <w:rPr/>
      </w:pPr>
      <w:r>
        <w:rPr/>
        <w:t xml:space="preserve">Kiemelkedik a biológiai sokféleség témájához kapcsolódó egyéb hozzájárulások mellett az a javaslat, hogy az „elfelejtett” helyeken – például autópályákon, közúti csomópontokon stb. – fákat kell ültetni a szén-dioxid-leválasztás, az evapotranszpiráció fokozása, a biológiai sokféleség javítása és a vízáramlás szabályozása érdekében (lásd az </w:t>
      </w:r>
      <w:hyperlink r:id="rId210">
        <w:r>
          <w:rPr>
            <w:rStyle w:val="LienInternet"/>
          </w:rPr>
          <w:t>ötletet</w:t>
        </w:r>
      </w:hyperlink>
      <w:hyperlink r:id="rId211">
        <w:r>
          <w:rPr>
            <w:rStyle w:val="LienInternet"/>
          </w:rPr>
          <w:t>)</w:t>
        </w:r>
      </w:hyperlink>
      <w:r>
        <w:rPr/>
        <w:t xml:space="preserve">. Néhány eseményen megvitatták azt a felhívást is, hogy több teret hagyjanak a természetnek (lásd az </w:t>
      </w:r>
      <w:hyperlink r:id="rId212">
        <w:r>
          <w:rPr>
            <w:rStyle w:val="LienInternet"/>
          </w:rPr>
          <w:t>eseményt</w:t>
        </w:r>
      </w:hyperlink>
      <w:r>
        <w:rPr/>
        <w:t>). Egy további javaslat magában foglalja egy európai mobil tengeri kutatóállomás létrehozását a tengeri biológiai sokféleséggel kapcsolatos alapvető ismeretek megszerzése érdekében (lásd az</w:t>
      </w:r>
      <w:hyperlink r:id="rId213">
        <w:r>
          <w:rPr>
            <w:rStyle w:val="LienInternet"/>
          </w:rPr>
          <w:t xml:space="preserve"> </w:t>
        </w:r>
      </w:hyperlink>
      <w:hyperlink r:id="rId214">
        <w:r>
          <w:rPr>
            <w:rStyle w:val="LienInternet"/>
          </w:rPr>
          <w:t>ötletet</w:t>
        </w:r>
      </w:hyperlink>
      <w:hyperlink r:id="rId215">
        <w:r>
          <w:rPr>
            <w:rStyle w:val="LienInternet"/>
          </w:rPr>
          <w:t>)</w:t>
        </w:r>
      </w:hyperlink>
      <w:r>
        <w:rPr/>
        <w:t xml:space="preserve">. </w:t>
      </w:r>
    </w:p>
    <w:p>
      <w:pPr>
        <w:pStyle w:val="Corpsdetexte"/>
        <w:spacing w:lineRule="auto" w:line="240" w:before="57" w:after="57"/>
        <w:jc w:val="left"/>
        <w:rPr/>
      </w:pPr>
      <w:r>
        <w:rPr/>
      </w:r>
    </w:p>
    <w:p>
      <w:pPr>
        <w:pStyle w:val="Titre2"/>
        <w:numPr>
          <w:ilvl w:val="1"/>
          <w:numId w:val="1"/>
        </w:numPr>
        <w:rPr/>
      </w:pPr>
      <w:bookmarkStart w:id="24" w:name="__RefHeading___Toc86373_2514204080"/>
      <w:bookmarkEnd w:id="24"/>
      <w:r>
        <w:rPr/>
        <w:t xml:space="preserve">Mezőgazdaság </w:t>
      </w:r>
    </w:p>
    <w:p>
      <w:pPr>
        <w:pStyle w:val="Corpsdetexte"/>
        <w:spacing w:lineRule="auto" w:line="240" w:before="57" w:after="57"/>
        <w:jc w:val="left"/>
        <w:rPr/>
      </w:pPr>
      <w:r>
        <w:rPr/>
        <w:t>Egy másik téma, amely jelentős számú hozzájárulást vonzott, valamint a kapcsolódó ötleteket illetően méltányos mértékű jóváhagyást kapott, a mezőgazdaság. E téma keretében az ökológiai gazdálkodás és a kisüzemek (lásd például az</w:t>
      </w:r>
      <w:hyperlink r:id="rId216">
        <w:r>
          <w:rPr>
            <w:rStyle w:val="LienInternet"/>
          </w:rPr>
          <w:t xml:space="preserve"> </w:t>
        </w:r>
      </w:hyperlink>
      <w:hyperlink r:id="rId217">
        <w:r>
          <w:rPr>
            <w:rStyle w:val="LienInternet"/>
          </w:rPr>
          <w:t>ötletet</w:t>
        </w:r>
      </w:hyperlink>
      <w:r>
        <w:rPr/>
        <w:t>) fogalmát a közreműködők meglehetősen gyakran támogatják, a peszticidek és az intenzív gazdálkodás használatának betiltását szorgalmazva (lásd például az</w:t>
      </w:r>
      <w:hyperlink r:id="rId218">
        <w:r>
          <w:rPr>
            <w:rStyle w:val="LienInternet"/>
          </w:rPr>
          <w:t xml:space="preserve"> </w:t>
        </w:r>
      </w:hyperlink>
      <w:hyperlink r:id="rId219">
        <w:r>
          <w:rPr>
            <w:rStyle w:val="LienInternet"/>
          </w:rPr>
          <w:t>ötletet</w:t>
        </w:r>
      </w:hyperlink>
      <w:hyperlink r:id="rId220">
        <w:r>
          <w:rPr>
            <w:rStyle w:val="LienInternet"/>
          </w:rPr>
          <w:t>)</w:t>
        </w:r>
      </w:hyperlink>
      <w:r>
        <w:rPr/>
        <w:t xml:space="preserve">. Egyes közreműködők még ennél is tovább mennek, és azt javasolják, hogy a növényvédő szerek tilalmát ki kellene terjeszteni a magáncélú felhasználásra (lásd például az </w:t>
      </w:r>
      <w:hyperlink r:id="rId221">
        <w:r>
          <w:rPr>
            <w:rStyle w:val="LienInternet"/>
          </w:rPr>
          <w:t>ötletet</w:t>
        </w:r>
      </w:hyperlink>
      <w:hyperlink r:id="rId222">
        <w:r>
          <w:rPr>
            <w:rStyle w:val="LienInternet"/>
          </w:rPr>
          <w:t>)</w:t>
        </w:r>
      </w:hyperlink>
      <w:r>
        <w:rPr/>
        <w:t>. A kis- és biogazdálkodás, valamint általában az uniós agrárpolitika jövőjének támogatását az is bizonyítja, hogy részt vettek az e konkrét témák megvitatására szervezett kerekasztalokon (lásd például egy</w:t>
      </w:r>
      <w:hyperlink r:id="rId223">
        <w:r>
          <w:rPr>
            <w:rStyle w:val="LienInternet"/>
          </w:rPr>
          <w:t xml:space="preserve"> </w:t>
        </w:r>
      </w:hyperlink>
      <w:hyperlink r:id="rId224">
        <w:r>
          <w:rPr>
            <w:rStyle w:val="LienInternet"/>
          </w:rPr>
          <w:t>rendezvényt</w:t>
        </w:r>
      </w:hyperlink>
      <w:r>
        <w:rPr/>
        <w:t xml:space="preserve">). </w:t>
      </w:r>
    </w:p>
    <w:p>
      <w:pPr>
        <w:pStyle w:val="Corpsdetexte"/>
        <w:spacing w:lineRule="auto" w:line="240" w:before="57" w:after="57"/>
        <w:jc w:val="left"/>
        <w:rPr/>
      </w:pPr>
      <w:r>
        <w:rPr/>
        <w:t>Az ötletek egy része több példát is felvet annak érdekében, hogy a mezőgazdaság kevésbé szennyező és fenntarthatóbb legyen, és megbeszéléseket folytatnak olyan szempontokkal kapcsolatban, mint a műanyagok mezőgazdasági filmekben való felhasználása (lásd az</w:t>
      </w:r>
      <w:hyperlink r:id="rId225">
        <w:r>
          <w:rPr>
            <w:rStyle w:val="LienInternet"/>
          </w:rPr>
          <w:t xml:space="preserve"> </w:t>
        </w:r>
      </w:hyperlink>
      <w:hyperlink r:id="rId226">
        <w:r>
          <w:rPr>
            <w:rStyle w:val="LienInternet"/>
          </w:rPr>
          <w:t>ötletet</w:t>
        </w:r>
      </w:hyperlink>
      <w:r>
        <w:rPr/>
        <w:t>) és a mezőgazdasági vízfogyasztás csökkentésének módjai (lásd az</w:t>
      </w:r>
      <w:hyperlink r:id="rId227">
        <w:r>
          <w:rPr>
            <w:rStyle w:val="LienInternet"/>
          </w:rPr>
          <w:t xml:space="preserve"> </w:t>
        </w:r>
      </w:hyperlink>
      <w:hyperlink r:id="rId228">
        <w:r>
          <w:rPr>
            <w:rStyle w:val="LienInternet"/>
          </w:rPr>
          <w:t>ötletet</w:t>
        </w:r>
      </w:hyperlink>
      <w:r>
        <w:rPr/>
        <w:t xml:space="preserve">). </w:t>
      </w:r>
    </w:p>
    <w:p>
      <w:pPr>
        <w:pStyle w:val="Corpsdetexte"/>
        <w:spacing w:lineRule="auto" w:line="240" w:before="57" w:after="57"/>
        <w:jc w:val="left"/>
        <w:rPr/>
      </w:pPr>
      <w:r>
        <w:rPr/>
        <w:t xml:space="preserve">Más elképzelések azt sugallják, hogy az EU-nak többet kellene tennie a növényalapú étrend előmozdítása érdekében az éghajlatvédelem és a környezet megőrzése érdekében. Néhány hozzászóló etikai aggályokat vet fel az ilyen fellépés indokaként (lásd például az </w:t>
      </w:r>
      <w:hyperlink r:id="rId229">
        <w:r>
          <w:rPr>
            <w:rStyle w:val="LienInternet"/>
          </w:rPr>
          <w:t>ötletet</w:t>
        </w:r>
      </w:hyperlink>
      <w:r>
        <w:rPr/>
        <w:t xml:space="preserve">). Ezzel az egészségügy témakörében is foglalkozunk. </w:t>
      </w:r>
    </w:p>
    <w:p>
      <w:pPr>
        <w:pStyle w:val="Corpsdetexte"/>
        <w:spacing w:lineRule="auto" w:line="240" w:before="57" w:after="57"/>
        <w:jc w:val="left"/>
        <w:rPr/>
      </w:pPr>
      <w:r>
        <w:rPr/>
        <w:t xml:space="preserve">Az élelmiszer-önrendelkezés és -biztonság biztosításának szükségességét a helyi gazdálkodás előmozdítása révén a közreműködők is nyomatékosan hangsúlyozzák. A megbeszélések kitértek a városok körüli élelmiszer-övezetekre, gyümölcsfák ültetésére a városi területeken, a termelők és a mezőgazdasági termelők földszerzésének támogatására az ilyen földterületek árának korlátozásával és egyéb intézkedésekkel (lásd az </w:t>
      </w:r>
      <w:hyperlink r:id="rId230">
        <w:r>
          <w:rPr>
            <w:rStyle w:val="LienInternet"/>
          </w:rPr>
          <w:t>ötletet</w:t>
        </w:r>
      </w:hyperlink>
      <w:hyperlink r:id="rId231">
        <w:r>
          <w:rPr>
            <w:rStyle w:val="LienInternet"/>
          </w:rPr>
          <w:t>)</w:t>
        </w:r>
      </w:hyperlink>
      <w:r>
        <w:rPr/>
        <w:t>. A javaslatok között szerepel továbbá a nagy nemzetközi szupermarketek helyi termékeire vonatkozó beszerzési kvóták megállapítása (lásd</w:t>
      </w:r>
      <w:hyperlink r:id="rId232">
        <w:r>
          <w:rPr>
            <w:rStyle w:val="LienInternet"/>
          </w:rPr>
          <w:t xml:space="preserve"> </w:t>
        </w:r>
      </w:hyperlink>
      <w:hyperlink r:id="rId233">
        <w:r>
          <w:rPr>
            <w:rStyle w:val="LienInternet"/>
          </w:rPr>
          <w:t>az ötletet</w:t>
        </w:r>
      </w:hyperlink>
      <w:r>
        <w:rPr/>
        <w:t xml:space="preserve">). </w:t>
      </w:r>
    </w:p>
    <w:p>
      <w:pPr>
        <w:pStyle w:val="Corpsdetexte"/>
        <w:spacing w:lineRule="auto" w:line="240" w:before="57" w:after="57"/>
        <w:jc w:val="left"/>
        <w:rPr/>
      </w:pPr>
      <w:r>
        <w:rPr/>
        <w:t xml:space="preserve">A mezőgazdaság témájában felmerül az a kérdés, hogy a mezőgazdaságnak hogyan kell megbirkóznia az éghajlat-ingadozásokkal, és hogyan kell felkészülnie azokra. E tekintetben a többfunkciós, többszínű agrárerdészeti rendszerek javíthatják a humuszképződést, a víztartó kapacitást és a szén-dioxid-kötést, ezáltal jelentősen növelve a mezőgazdaság stabilitását és termelékenységét (lásd az </w:t>
      </w:r>
      <w:hyperlink r:id="rId234">
        <w:r>
          <w:rPr>
            <w:rStyle w:val="LienInternet"/>
          </w:rPr>
          <w:t>ötletet</w:t>
        </w:r>
      </w:hyperlink>
      <w:r>
        <w:rPr/>
        <w:t>). Emellett az egyik</w:t>
      </w:r>
      <w:r>
        <w:rPr>
          <w:color w:val="000000"/>
        </w:rPr>
        <w:t xml:space="preserve"> </w:t>
      </w:r>
      <w:r>
        <w:rPr/>
        <w:t>résztvevő támogatja az intenzív mezőgazdaságról az agroökológiára való áttérést (lásd az</w:t>
      </w:r>
      <w:hyperlink r:id="rId235">
        <w:r>
          <w:rPr>
            <w:rStyle w:val="LienInternet"/>
          </w:rPr>
          <w:t xml:space="preserve"> </w:t>
        </w:r>
      </w:hyperlink>
      <w:hyperlink r:id="rId236">
        <w:r>
          <w:rPr>
            <w:rStyle w:val="LienInternet"/>
          </w:rPr>
          <w:t>ötletet</w:t>
        </w:r>
      </w:hyperlink>
      <w:r>
        <w:rPr/>
        <w:t xml:space="preserve">). </w:t>
      </w:r>
    </w:p>
    <w:p>
      <w:pPr>
        <w:pStyle w:val="Corpsdetexte"/>
        <w:spacing w:lineRule="auto" w:line="240" w:before="57" w:after="57"/>
        <w:jc w:val="left"/>
        <w:rPr/>
      </w:pPr>
      <w:r>
        <w:rPr/>
        <w:t>Végül a mezőgazdasági termelők jövedelmét vitatják meg, néhány közreműködő pedig azt kéri, hogy a mezőgazdasági termelők a támogatások helyett tisztességes áron garantált jövedelmet kapjanak (lásd például az</w:t>
      </w:r>
      <w:hyperlink r:id="rId237">
        <w:r>
          <w:rPr>
            <w:rStyle w:val="LienInternet"/>
          </w:rPr>
          <w:t xml:space="preserve"> </w:t>
        </w:r>
      </w:hyperlink>
      <w:hyperlink r:id="rId238">
        <w:r>
          <w:rPr>
            <w:rStyle w:val="LienInternet"/>
          </w:rPr>
          <w:t>ötletet</w:t>
        </w:r>
      </w:hyperlink>
      <w:hyperlink r:id="rId239">
        <w:r>
          <w:rPr>
            <w:rStyle w:val="LienInternet"/>
          </w:rPr>
          <w:t>)</w:t>
        </w:r>
      </w:hyperlink>
      <w:r>
        <w:rPr/>
        <w:t xml:space="preserve">. </w:t>
      </w:r>
    </w:p>
    <w:p>
      <w:pPr>
        <w:pStyle w:val="Corpsdetexte"/>
        <w:spacing w:lineRule="auto" w:line="240" w:before="57" w:after="57"/>
        <w:jc w:val="left"/>
        <w:rPr/>
      </w:pPr>
      <w:r>
        <w:rPr/>
      </w:r>
    </w:p>
    <w:p>
      <w:pPr>
        <w:pStyle w:val="Titre2"/>
        <w:numPr>
          <w:ilvl w:val="1"/>
          <w:numId w:val="1"/>
        </w:numPr>
        <w:jc w:val="left"/>
        <w:rPr/>
      </w:pPr>
      <w:bookmarkStart w:id="25" w:name="__RefHeading___Toc86375_2514204080"/>
      <w:bookmarkEnd w:id="25"/>
      <w:r>
        <w:rPr/>
        <w:t xml:space="preserve">Szennyezés </w:t>
      </w:r>
    </w:p>
    <w:p>
      <w:pPr>
        <w:pStyle w:val="Normal"/>
        <w:jc w:val="left"/>
        <w:rPr/>
      </w:pPr>
      <w:r>
        <w:rPr/>
        <w:t xml:space="preserve">A szennyezést a globális környezetre gyakorolt nyomás forrásaként azonosítják. Számos szennyezési területet vitatnak meg, a következő altémákkal: vízszennyezés, műanyag- és fényszennyezés. </w:t>
      </w:r>
    </w:p>
    <w:p>
      <w:pPr>
        <w:pStyle w:val="Normal"/>
        <w:jc w:val="left"/>
        <w:rPr/>
      </w:pPr>
      <w:r>
        <w:rPr/>
        <w:t xml:space="preserve">A vízszennyezés altémáját illetően nagy hangsúlyt fektetnek az ivóvízkészletek és a tiszta ökoszisztémák jövőbeli biztonságának biztosítására. Emellett konkrét javaslatok vannak az óceánok és folyók szennyezése elleni küzdelemre (lásd például az </w:t>
      </w:r>
      <w:hyperlink r:id="rId240">
        <w:r>
          <w:rPr>
            <w:rStyle w:val="LienInternet"/>
          </w:rPr>
          <w:t>eseményt</w:t>
        </w:r>
      </w:hyperlink>
      <w:hyperlink r:id="rId241">
        <w:r>
          <w:rPr>
            <w:rStyle w:val="LienInternet"/>
          </w:rPr>
          <w:t>)</w:t>
        </w:r>
      </w:hyperlink>
      <w:r>
        <w:rPr/>
        <w:t>, például az óceánok savasodását egy adott baktériummal semlegesíteni (lásd az</w:t>
      </w:r>
      <w:hyperlink r:id="rId242">
        <w:r>
          <w:rPr>
            <w:rStyle w:val="LienInternet"/>
          </w:rPr>
          <w:t xml:space="preserve"> </w:t>
        </w:r>
      </w:hyperlink>
      <w:hyperlink r:id="rId243">
        <w:r>
          <w:rPr>
            <w:rStyle w:val="LienInternet"/>
          </w:rPr>
          <w:t>ötletet</w:t>
        </w:r>
      </w:hyperlink>
      <w:hyperlink r:id="rId244">
        <w:r>
          <w:rPr>
            <w:rStyle w:val="LienInternet"/>
          </w:rPr>
          <w:t>)</w:t>
        </w:r>
      </w:hyperlink>
      <w:r>
        <w:rPr/>
        <w:t xml:space="preserve">. </w:t>
      </w:r>
    </w:p>
    <w:p>
      <w:pPr>
        <w:pStyle w:val="Normal"/>
        <w:jc w:val="left"/>
        <w:rPr/>
      </w:pPr>
      <w:r>
        <w:rPr/>
        <w:t>A műanyagok által okozott szennyezés kérdésével foglalkozó hozzájárulások a teljes hozzájárulás jelentős részét teszik ki, ami a túlzott műanyaghulladékkal kapcsolatos növekvő lakossági aggodalmakat tükrözi. Az egyszer használatos műanyagokra vonatkozó tilalom érvényesítésére és kiterjesztésére irányuló felhívás (lásd például az</w:t>
      </w:r>
      <w:hyperlink r:id="rId245">
        <w:r>
          <w:rPr>
            <w:rStyle w:val="LienInternet"/>
          </w:rPr>
          <w:t xml:space="preserve"> </w:t>
        </w:r>
      </w:hyperlink>
      <w:hyperlink r:id="rId246">
        <w:r>
          <w:rPr>
            <w:rStyle w:val="LienInternet"/>
          </w:rPr>
          <w:t>eseményt</w:t>
        </w:r>
      </w:hyperlink>
      <w:hyperlink r:id="rId247">
        <w:r>
          <w:rPr>
            <w:rStyle w:val="LienInternet"/>
          </w:rPr>
          <w:t>)</w:t>
        </w:r>
      </w:hyperlink>
      <w:r>
        <w:rPr/>
        <w:t xml:space="preserve"> mellett a résztvevők azt javasolják, hogy a csomagoláshoz használt műanyagok típusait azokra korlátozzák, amelyek együtt újrahasznosíthatók anélkül, hogy külön alkatrészeket kellene választaniuk (lásd egy </w:t>
      </w:r>
      <w:hyperlink r:id="rId248">
        <w:r>
          <w:rPr>
            <w:rStyle w:val="LienInternet"/>
          </w:rPr>
          <w:t>ötlet példáját</w:t>
        </w:r>
      </w:hyperlink>
      <w:hyperlink r:id="rId249">
        <w:r>
          <w:rPr>
            <w:rStyle w:val="LienInternet"/>
          </w:rPr>
          <w:t>)</w:t>
        </w:r>
      </w:hyperlink>
      <w:r>
        <w:rPr/>
        <w:t>. Emellett az egyik javasolt ötlet a folyókból és óceánokból eltávolított műanyagok újrahasznosítására szolgáló létesítmények létrehozása (lásd az</w:t>
      </w:r>
      <w:hyperlink r:id="rId250">
        <w:r>
          <w:rPr>
            <w:rStyle w:val="LienInternet"/>
          </w:rPr>
          <w:t xml:space="preserve"> </w:t>
        </w:r>
      </w:hyperlink>
      <w:hyperlink r:id="rId251">
        <w:r>
          <w:rPr>
            <w:rStyle w:val="LienInternet"/>
          </w:rPr>
          <w:t>ötletet</w:t>
        </w:r>
      </w:hyperlink>
      <w:hyperlink r:id="rId252">
        <w:r>
          <w:rPr>
            <w:rStyle w:val="LienInternet"/>
          </w:rPr>
          <w:t>)</w:t>
        </w:r>
      </w:hyperlink>
      <w:r>
        <w:rPr/>
        <w:t xml:space="preserve">. </w:t>
      </w:r>
    </w:p>
    <w:p>
      <w:pPr>
        <w:pStyle w:val="Normal"/>
        <w:jc w:val="left"/>
        <w:rPr/>
      </w:pPr>
      <w:r>
        <w:rPr/>
        <w:t>Végül, néhány ötlet a platformon a fényszennyezés korlátozását javasolja (lásd az</w:t>
      </w:r>
      <w:hyperlink r:id="rId253">
        <w:r>
          <w:rPr>
            <w:rStyle w:val="LienInternet"/>
          </w:rPr>
          <w:t xml:space="preserve"> </w:t>
        </w:r>
      </w:hyperlink>
      <w:hyperlink r:id="rId254">
        <w:r>
          <w:rPr>
            <w:rStyle w:val="LienInternet"/>
          </w:rPr>
          <w:t>ötlet példáját</w:t>
        </w:r>
      </w:hyperlink>
      <w:hyperlink r:id="rId255">
        <w:r>
          <w:rPr>
            <w:rStyle w:val="LienInternet"/>
          </w:rPr>
          <w:t>)</w:t>
        </w:r>
      </w:hyperlink>
      <w:r>
        <w:rPr/>
        <w:t xml:space="preserve">. </w:t>
      </w:r>
    </w:p>
    <w:p>
      <w:pPr>
        <w:pStyle w:val="Normal"/>
        <w:rPr/>
      </w:pPr>
      <w:r>
        <w:rPr/>
      </w:r>
    </w:p>
    <w:p>
      <w:pPr>
        <w:pStyle w:val="Titre2"/>
        <w:numPr>
          <w:ilvl w:val="1"/>
          <w:numId w:val="1"/>
        </w:numPr>
        <w:jc w:val="left"/>
        <w:rPr/>
      </w:pPr>
      <w:bookmarkStart w:id="26" w:name="__RefHeading___Toc86377_2514204080"/>
      <w:bookmarkEnd w:id="26"/>
      <w:r>
        <w:rPr/>
        <w:t>Támogatás, adózás</w:t>
      </w:r>
    </w:p>
    <w:p>
      <w:pPr>
        <w:pStyle w:val="Normal"/>
        <w:jc w:val="left"/>
        <w:rPr/>
      </w:pPr>
      <w:r>
        <w:rPr/>
        <w:t xml:space="preserve">A kibocsátások megadóztatásával kapcsolatos különböző elképzelések mellett, amelyeket az éghajlatváltozás elleni küzdelem témájában vitatnak meg, e témán belül számos javaslatot tesznek a környezetbarát támogatások megállítására, például a fosszilis tüzelőanyagok támogatásának megszüntetésére irányuló, erősen támogatott elképzelésre (lásd az </w:t>
      </w:r>
      <w:hyperlink r:id="rId256">
        <w:r>
          <w:rPr>
            <w:rStyle w:val="LienInternet"/>
          </w:rPr>
          <w:t>ötletet</w:t>
        </w:r>
      </w:hyperlink>
      <w:hyperlink r:id="rId257">
        <w:r>
          <w:rPr>
            <w:rStyle w:val="LienInternet"/>
          </w:rPr>
          <w:t>)</w:t>
        </w:r>
      </w:hyperlink>
      <w:r>
        <w:rPr/>
        <w:t xml:space="preserve">. Hasonló szellemben egy másik ötlet a káros halászati támogatások leállítására szólít fel (lásd az </w:t>
      </w:r>
      <w:hyperlink r:id="rId258">
        <w:r>
          <w:rPr>
            <w:rStyle w:val="LienInternet"/>
          </w:rPr>
          <w:t>ötletet</w:t>
        </w:r>
      </w:hyperlink>
      <w:hyperlink r:id="rId259">
        <w:r>
          <w:rPr>
            <w:rStyle w:val="LienInternet"/>
          </w:rPr>
          <w:t>)</w:t>
        </w:r>
      </w:hyperlink>
      <w:r>
        <w:rPr/>
        <w:t>. Másrészt a javaslatok a biológiai sokféleséggel és az éghajlatváltozással kapcsolatos projektek támogatásának növelését javasolják, vagy az EU forrásokat biztosított a házszigetelés felújítására (lásd például egy</w:t>
      </w:r>
      <w:hyperlink r:id="rId260">
        <w:r>
          <w:rPr>
            <w:rStyle w:val="LienInternet"/>
          </w:rPr>
          <w:t xml:space="preserve"> </w:t>
        </w:r>
      </w:hyperlink>
      <w:hyperlink r:id="rId261">
        <w:r>
          <w:rPr>
            <w:rStyle w:val="LienInternet"/>
          </w:rPr>
          <w:t>ötletet</w:t>
        </w:r>
      </w:hyperlink>
      <w:hyperlink r:id="rId262">
        <w:r>
          <w:rPr>
            <w:rStyle w:val="LienInternet"/>
          </w:rPr>
          <w:t>)</w:t>
        </w:r>
      </w:hyperlink>
      <w:r>
        <w:rPr/>
        <w:t xml:space="preserve">. </w:t>
      </w:r>
    </w:p>
    <w:p>
      <w:pPr>
        <w:pStyle w:val="Normal"/>
        <w:jc w:val="left"/>
        <w:rPr/>
      </w:pPr>
      <w:r>
        <w:rPr/>
        <w:t xml:space="preserve">A hozzászólók azt is javasolják, hogy vezessenek be fenntarthatósági adót (lásd például az </w:t>
      </w:r>
      <w:hyperlink r:id="rId263">
        <w:r>
          <w:rPr>
            <w:rStyle w:val="LienInternet"/>
          </w:rPr>
          <w:t>ötletet</w:t>
        </w:r>
      </w:hyperlink>
      <w:r>
        <w:rPr/>
        <w:t>), amely megdrágítaná a fenntarthatatlan termékeket, ezáltal kevésbé vonzóvá téve ezeket a termékeket mind a fogyasztók, mind a termelők számára. Ezenkívül ez további bevételt vagy „éghajlati jövedelmet” biztosítana az EU számára a fenntarthatósági intézkedésekbe, például az elektromos autók vásárlásába és a napelemek magánlakásokba való beépítésébe való beruházáshoz (lásd az</w:t>
      </w:r>
      <w:hyperlink r:id="rId264">
        <w:r>
          <w:rPr>
            <w:rStyle w:val="LienInternet"/>
          </w:rPr>
          <w:t xml:space="preserve"> </w:t>
        </w:r>
      </w:hyperlink>
      <w:hyperlink r:id="rId265">
        <w:r>
          <w:rPr>
            <w:rStyle w:val="LienInternet"/>
          </w:rPr>
          <w:t>ötletet</w:t>
        </w:r>
      </w:hyperlink>
      <w:hyperlink r:id="rId266">
        <w:r>
          <w:rPr>
            <w:rStyle w:val="LienInternet"/>
          </w:rPr>
          <w:t>)</w:t>
        </w:r>
      </w:hyperlink>
      <w:r>
        <w:rPr/>
        <w:t xml:space="preserve">. </w:t>
      </w:r>
    </w:p>
    <w:p>
      <w:pPr>
        <w:pStyle w:val="Normal"/>
        <w:rPr/>
      </w:pPr>
      <w:r>
        <w:rPr/>
      </w:r>
    </w:p>
    <w:p>
      <w:pPr>
        <w:pStyle w:val="Titre2"/>
        <w:numPr>
          <w:ilvl w:val="1"/>
          <w:numId w:val="1"/>
        </w:numPr>
        <w:rPr/>
      </w:pPr>
      <w:bookmarkStart w:id="27" w:name="__RefHeading___Toc86379_2514204080"/>
      <w:bookmarkEnd w:id="27"/>
      <w:r>
        <w:rPr/>
        <w:t xml:space="preserve">Változás az attitűdökben és </w:t>
        <w:br/>
        <w:t xml:space="preserve">viselkedés </w:t>
      </w:r>
    </w:p>
    <w:p>
      <w:pPr>
        <w:pStyle w:val="Corpsdetexte"/>
        <w:jc w:val="left"/>
        <w:rPr/>
      </w:pPr>
      <w:r>
        <w:rPr/>
        <w:t xml:space="preserve">Egy másik hangsúly az oktatás és a tudatosság növelése az európaiak körében minden generáció számára (lásd az </w:t>
      </w:r>
      <w:hyperlink r:id="rId267">
        <w:r>
          <w:rPr>
            <w:rStyle w:val="LienInternet"/>
          </w:rPr>
          <w:t>eseményt</w:t>
        </w:r>
      </w:hyperlink>
      <w:r>
        <w:rPr/>
        <w:t>). Bár a legtöbb ötlet a fiatalok oktatására irányul (lásd például az</w:t>
      </w:r>
      <w:hyperlink r:id="rId268">
        <w:r>
          <w:rPr>
            <w:rStyle w:val="LienInternet"/>
          </w:rPr>
          <w:t xml:space="preserve"> </w:t>
        </w:r>
      </w:hyperlink>
      <w:hyperlink r:id="rId269">
        <w:r>
          <w:rPr>
            <w:rStyle w:val="LienInternet"/>
          </w:rPr>
          <w:t>ötletet</w:t>
        </w:r>
      </w:hyperlink>
      <w:hyperlink r:id="rId270">
        <w:r>
          <w:rPr>
            <w:rStyle w:val="LienInternet"/>
          </w:rPr>
          <w:t>)</w:t>
        </w:r>
      </w:hyperlink>
      <w:r>
        <w:rPr/>
        <w:t xml:space="preserve">, még nagyon korai életkortól kezdve is, oktatási kerteken keresztül (lásd az </w:t>
      </w:r>
      <w:hyperlink r:id="rId271">
        <w:r>
          <w:rPr>
            <w:rStyle w:val="LienInternet"/>
          </w:rPr>
          <w:t>ötletet</w:t>
        </w:r>
      </w:hyperlink>
      <w:r>
        <w:rPr/>
        <w:t xml:space="preserve">), az idősebb európaiakat is be kell vonni az éghajlatváltozással kapcsolatos kezdeményezésekbe, különösen az európai népesség egyre növekvő elöregedése miatt (lásd például az </w:t>
      </w:r>
      <w:hyperlink r:id="rId272">
        <w:r>
          <w:rPr>
            <w:rStyle w:val="LienInternet"/>
          </w:rPr>
          <w:t>ötletet</w:t>
        </w:r>
      </w:hyperlink>
      <w:r>
        <w:rPr/>
        <w:t xml:space="preserve">). Emellett néhány hozzászóló hangsúlyozza, hogy elő kell mozdítani az európai intézmények öko-felelős kommunikációját. Például azt javasolják, hogy dolgozzanak ki kommunikációs csomagokat „hogyan legyünk öko-felelősségteljes európaiak” és erősítsék meg a környezetvédelmi oktatást a környezetért felelős városrészek létrehozása érdekében (lásd az </w:t>
      </w:r>
      <w:hyperlink r:id="rId273">
        <w:r>
          <w:rPr>
            <w:rStyle w:val="LienInternet"/>
          </w:rPr>
          <w:t>ötletet</w:t>
        </w:r>
      </w:hyperlink>
      <w:r>
        <w:rPr/>
        <w:t xml:space="preserve">). </w:t>
      </w:r>
    </w:p>
    <w:p>
      <w:pPr>
        <w:pStyle w:val="Corpsdetexte"/>
        <w:jc w:val="left"/>
        <w:rPr/>
      </w:pPr>
      <w:r>
        <w:rPr/>
        <w:t>Miközben tudatában vannak annak, hogy az egyének milyen szerepet játszanak az éghajlatváltozás csökkentésében, egyes résztvevők ragaszkodnak a vállalatok felelősségéhez, és sürgetik az embereket, hogy vonják felelősségre azokat a vállalkozásokat, amelyek azt állítják, hogy szén-dioxid-semlegesek, de továbbra is fenntarthatatlan üzleti modellekre támaszkodnak (lásd az</w:t>
      </w:r>
      <w:hyperlink r:id="rId274">
        <w:r>
          <w:rPr>
            <w:rStyle w:val="LienInternet"/>
          </w:rPr>
          <w:t xml:space="preserve"> </w:t>
        </w:r>
      </w:hyperlink>
      <w:hyperlink r:id="rId275">
        <w:r>
          <w:rPr>
            <w:rStyle w:val="LienInternet"/>
          </w:rPr>
          <w:t>ötletet</w:t>
        </w:r>
      </w:hyperlink>
      <w:r>
        <w:rPr/>
        <w:t>).</w:t>
      </w:r>
    </w:p>
    <w:p>
      <w:pPr>
        <w:pStyle w:val="Corpsdetexte"/>
        <w:jc w:val="left"/>
        <w:rPr/>
      </w:pPr>
      <w:r>
        <w:rPr/>
      </w:r>
    </w:p>
    <w:p>
      <w:pPr>
        <w:pStyle w:val="Titre2"/>
        <w:numPr>
          <w:ilvl w:val="1"/>
          <w:numId w:val="1"/>
        </w:numPr>
        <w:rPr/>
      </w:pPr>
      <w:bookmarkStart w:id="28" w:name="__RefHeading___Toc86381_2514204080"/>
      <w:bookmarkEnd w:id="28"/>
      <w:r>
        <w:rPr/>
        <w:t xml:space="preserve">Lakás és építés </w:t>
      </w:r>
    </w:p>
    <w:p>
      <w:pPr>
        <w:pStyle w:val="Corpsdetexte"/>
        <w:spacing w:lineRule="auto" w:line="240" w:before="57" w:after="57"/>
        <w:jc w:val="left"/>
        <w:rPr/>
      </w:pPr>
      <w:r>
        <w:rPr/>
        <w:t>Egy további téma a lakhatásra és az építőiparra vonatkozik, amelynek altémája az új európai Bauhausról (lásd az eseményt</w:t>
      </w:r>
      <w:hyperlink r:id="rId276">
        <w:r>
          <w:rPr>
            <w:rStyle w:val="LienInternet"/>
          </w:rPr>
          <w:t>)</w:t>
        </w:r>
      </w:hyperlink>
      <w:r>
        <w:rPr/>
        <w:t xml:space="preserve"> szóló számos ötletet és </w:t>
      </w:r>
      <w:hyperlink r:id="rId277">
        <w:r>
          <w:rPr>
            <w:rStyle w:val="LienInternet"/>
          </w:rPr>
          <w:t>eseményt</w:t>
        </w:r>
      </w:hyperlink>
      <w:r>
        <w:rPr/>
        <w:t>tömörít azzal a céllal, hogy az innovatív, esztétikus tervezést az éghajlatváltozás elleni konkrét intézkedésekkel kombinálja, és jövőbeli lakótereinket fenntarthatóbbá, megfizethetőbbé és hozzáférhetőbbé tegye. Egy másik ötlet az alacsony szén-dioxid-kibocsátású építőanyagok felhasználásával a zöld, fenntartható építéssel kapcsolatos figyelemfelkeltő kampányokat szorgalmaz (lásd az</w:t>
      </w:r>
      <w:hyperlink r:id="rId278">
        <w:r>
          <w:rPr>
            <w:rStyle w:val="LienInternet"/>
          </w:rPr>
          <w:t xml:space="preserve"> </w:t>
        </w:r>
      </w:hyperlink>
      <w:hyperlink r:id="rId279">
        <w:r>
          <w:rPr>
            <w:rStyle w:val="LienInternet"/>
          </w:rPr>
          <w:t>ötletet</w:t>
        </w:r>
      </w:hyperlink>
      <w:hyperlink r:id="rId280">
        <w:r>
          <w:rPr>
            <w:rStyle w:val="LienInternet"/>
          </w:rPr>
          <w:t>)</w:t>
        </w:r>
      </w:hyperlink>
      <w:r>
        <w:rPr/>
        <w:t xml:space="preserve">. </w:t>
      </w:r>
    </w:p>
    <w:p>
      <w:pPr>
        <w:pStyle w:val="Corpsdetexte"/>
        <w:spacing w:lineRule="auto" w:line="240" w:before="57" w:after="57"/>
        <w:jc w:val="left"/>
        <w:rPr/>
      </w:pPr>
      <w:r>
        <w:rPr/>
        <w:t>Hasonlóképpen a Svédországban szervezett párbeszéd a</w:t>
      </w:r>
      <w:r>
        <w:rPr>
          <w:color w:val="000000"/>
        </w:rPr>
        <w:t xml:space="preserve"> </w:t>
      </w:r>
      <w:r>
        <w:rPr/>
        <w:t>vidéki térségekben a fenntartható lakhatás fejlesztésének és előmozdításának módjaira összpontosít annak érdekében, hogy a vidéki élet vonzóbbá váljon (lásd az</w:t>
      </w:r>
      <w:hyperlink r:id="rId281">
        <w:r>
          <w:rPr>
            <w:rStyle w:val="LienInternet"/>
          </w:rPr>
          <w:t xml:space="preserve"> </w:t>
        </w:r>
      </w:hyperlink>
      <w:hyperlink r:id="rId282">
        <w:r>
          <w:rPr>
            <w:rStyle w:val="LienInternet"/>
          </w:rPr>
          <w:t>eseményt</w:t>
        </w:r>
      </w:hyperlink>
      <w:hyperlink r:id="rId283">
        <w:r>
          <w:rPr>
            <w:rStyle w:val="LienInternet"/>
          </w:rPr>
          <w:t>)</w:t>
        </w:r>
      </w:hyperlink>
      <w:r>
        <w:rPr/>
        <w:t xml:space="preserve">. </w:t>
      </w:r>
    </w:p>
    <w:p>
      <w:pPr>
        <w:pStyle w:val="Corpsdetexte"/>
        <w:spacing w:lineRule="auto" w:line="240" w:before="57" w:after="57"/>
        <w:jc w:val="left"/>
        <w:rPr/>
      </w:pPr>
      <w:r>
        <w:rPr/>
        <w:t>Az egyik javaslat magában foglalja a földterületek helyreállítására vonatkozó európai bizalom bevezetését annak érdekében, hogy az elhagyott földterületek és épületek természetesebb állapotba kerüljenek a biológiai sokféleség és a városlakók javára (lásd az</w:t>
      </w:r>
      <w:hyperlink r:id="rId284">
        <w:r>
          <w:rPr>
            <w:rStyle w:val="LienInternet"/>
          </w:rPr>
          <w:t xml:space="preserve"> </w:t>
        </w:r>
      </w:hyperlink>
      <w:hyperlink r:id="rId285">
        <w:r>
          <w:rPr>
            <w:rStyle w:val="LienInternet"/>
          </w:rPr>
          <w:t>ötletet</w:t>
        </w:r>
      </w:hyperlink>
      <w:hyperlink r:id="rId286">
        <w:r>
          <w:rPr>
            <w:rStyle w:val="LienInternet"/>
          </w:rPr>
          <w:t>)</w:t>
        </w:r>
      </w:hyperlink>
      <w:r>
        <w:rPr/>
        <w:t xml:space="preserve">. </w:t>
      </w:r>
    </w:p>
    <w:p>
      <w:pPr>
        <w:pStyle w:val="Corpsdetexte"/>
        <w:spacing w:lineRule="auto" w:line="240" w:before="57" w:after="57"/>
        <w:jc w:val="left"/>
        <w:rPr/>
      </w:pPr>
      <w:r>
        <w:rPr/>
        <w:t>Végül megvizsgálták a használt elemek és anyagok újraforgatásának gondolatát az építőiparban (lásd az</w:t>
      </w:r>
      <w:hyperlink r:id="rId287">
        <w:r>
          <w:rPr>
            <w:rStyle w:val="LienInternet"/>
          </w:rPr>
          <w:t xml:space="preserve"> </w:t>
        </w:r>
      </w:hyperlink>
      <w:hyperlink r:id="rId288">
        <w:r>
          <w:rPr>
            <w:rStyle w:val="LienInternet"/>
          </w:rPr>
          <w:t>ötletet</w:t>
        </w:r>
      </w:hyperlink>
      <w:r>
        <w:rPr/>
        <w:t xml:space="preserve">). </w:t>
      </w:r>
    </w:p>
    <w:p>
      <w:pPr>
        <w:pStyle w:val="Corpsdetexte"/>
        <w:spacing w:lineRule="auto" w:line="240" w:before="57" w:after="57"/>
        <w:jc w:val="left"/>
        <w:rPr/>
      </w:pPr>
      <w:r>
        <w:rPr/>
      </w:r>
    </w:p>
    <w:p>
      <w:pPr>
        <w:pStyle w:val="Titre2"/>
        <w:numPr>
          <w:ilvl w:val="1"/>
          <w:numId w:val="1"/>
        </w:numPr>
        <w:rPr/>
      </w:pPr>
      <w:bookmarkStart w:id="29" w:name="__RefHeading___Toc86383_2514204080"/>
      <w:bookmarkEnd w:id="29"/>
      <w:r>
        <w:rPr/>
        <w:t xml:space="preserve">Új ötletek az elmúlt időszakban (21/02/2022–09/05/2022) </w:t>
      </w:r>
    </w:p>
    <w:p>
      <w:pPr>
        <w:pStyle w:val="Corpsdetexte"/>
        <w:jc w:val="left"/>
        <w:rPr/>
      </w:pPr>
      <w:r>
        <w:rPr/>
        <w:t xml:space="preserve">A legutóbbi hozzájárulásokban az volt a hangsúly, hogy az EU egyre problémásabbá válik az orosz gáz- és olajellátástól való függősége miatt. Számos javaslat született az energia józanságának az EU-ban való ösztönzésétől (lásd az </w:t>
      </w:r>
      <w:hyperlink r:id="rId289">
        <w:r>
          <w:rPr>
            <w:rStyle w:val="LienInternet"/>
          </w:rPr>
          <w:t>ötletet</w:t>
        </w:r>
      </w:hyperlink>
      <w:r>
        <w:rPr/>
        <w:t xml:space="preserve">) az energiafüggetlenségtől, vagy a fenntartható közlekedés előmozdításától. Az új hozzájárulások jelentős része támogatta a vasúti hálózatok fejlesztését, az olcsó és hozzáférhető tömegközlekedést, valamint a kerékpárok használatát (lásd például az </w:t>
      </w:r>
      <w:hyperlink r:id="rId290">
        <w:r>
          <w:rPr>
            <w:rStyle w:val="LienInternet"/>
          </w:rPr>
          <w:t>ötletet</w:t>
        </w:r>
      </w:hyperlink>
      <w:r>
        <w:rPr/>
        <w:t>). A vita nagyrészt a tiszta energiaforrásokra összpontosított, amely népszerű téma, amint azt a korábbi jelentésekben is láttuk (lásd például az</w:t>
      </w:r>
      <w:hyperlink r:id="rId291">
        <w:r>
          <w:rPr>
            <w:rStyle w:val="LienInternet"/>
          </w:rPr>
          <w:t xml:space="preserve"> </w:t>
        </w:r>
      </w:hyperlink>
      <w:hyperlink r:id="rId292">
        <w:r>
          <w:rPr>
            <w:rStyle w:val="LienInternet"/>
          </w:rPr>
          <w:t>ötletet</w:t>
        </w:r>
      </w:hyperlink>
      <w:r>
        <w:rPr/>
        <w:t>). A hidrogént gyakran a zöld energiahordozó példájaként említik, míg egyes „zöld” energiaforrások, például az atomenergia és a metán határait gyakran kiemelték (lásd például az</w:t>
      </w:r>
      <w:hyperlink r:id="rId293">
        <w:r>
          <w:rPr>
            <w:rStyle w:val="LienInternet"/>
          </w:rPr>
          <w:t xml:space="preserve"> </w:t>
        </w:r>
      </w:hyperlink>
      <w:hyperlink r:id="rId294">
        <w:r>
          <w:rPr>
            <w:rStyle w:val="LienInternet"/>
          </w:rPr>
          <w:t>ötletet</w:t>
        </w:r>
      </w:hyperlink>
      <w:hyperlink r:id="rId295">
        <w:r>
          <w:rPr>
            <w:rStyle w:val="LienInternet"/>
          </w:rPr>
          <w:t>)</w:t>
        </w:r>
      </w:hyperlink>
      <w:r>
        <w:rPr/>
        <w:t xml:space="preserve">. </w:t>
      </w:r>
    </w:p>
    <w:p>
      <w:pPr>
        <w:pStyle w:val="Corpsdetexte"/>
        <w:jc w:val="left"/>
        <w:rPr/>
      </w:pPr>
      <w:r>
        <w:rPr/>
        <w:t>A fenntartható fogyasztás ösztönzésének altémájával kapcsolatban korábban olyan altémákról számoltak be, mint például a műanyag használatának betiltása (lásd például az</w:t>
      </w:r>
      <w:hyperlink r:id="rId296">
        <w:r>
          <w:rPr>
            <w:rStyle w:val="LienInternet"/>
          </w:rPr>
          <w:t xml:space="preserve"> </w:t>
        </w:r>
      </w:hyperlink>
      <w:hyperlink r:id="rId297">
        <w:r>
          <w:rPr>
            <w:rStyle w:val="LienInternet"/>
          </w:rPr>
          <w:t>ötletet</w:t>
        </w:r>
      </w:hyperlink>
      <w:r>
        <w:rPr/>
        <w:t xml:space="preserve">), az újrafeldolgozás, a hulladék csökkentése és a fenntartható fogyasztást ösztönző adórendszer. Az új ötletek olyan konkrét javaslatokat hoztak, mint például az EU által támogatott gépjárműcsere-program létrehozását javasoló hozzájárulás, amely lehetővé teszi a polgárok számára, hogy autóikat kevésbé szennyező modellekre, például hibrid autókra cseréljék (lásd az </w:t>
      </w:r>
      <w:hyperlink r:id="rId298">
        <w:r>
          <w:rPr>
            <w:rStyle w:val="LienInternet"/>
          </w:rPr>
          <w:t>ötletet</w:t>
        </w:r>
      </w:hyperlink>
      <w:r>
        <w:rPr/>
        <w:t>). Más hozzájárulások az energiamegtakarítás módjait javasolták, különösen az éghajlatváltozás fényében az irodákban (lásd például az</w:t>
      </w:r>
      <w:hyperlink r:id="rId299">
        <w:r>
          <w:rPr>
            <w:rStyle w:val="LienInternet"/>
          </w:rPr>
          <w:t xml:space="preserve"> </w:t>
        </w:r>
      </w:hyperlink>
      <w:hyperlink r:id="rId300">
        <w:r>
          <w:rPr>
            <w:rStyle w:val="LienInternet"/>
          </w:rPr>
          <w:t>ötletet</w:t>
        </w:r>
      </w:hyperlink>
      <w:r>
        <w:rPr/>
        <w:t xml:space="preserve">). </w:t>
      </w:r>
    </w:p>
    <w:p>
      <w:pPr>
        <w:pStyle w:val="Corpsdetexte"/>
        <w:jc w:val="left"/>
        <w:rPr/>
      </w:pPr>
      <w:r>
        <w:rPr/>
        <w:t>Az éghajlatváltozást és általában a kibocsátásokat ismét széles körben vitatták meg, míg az elmúlt időszakban gyakrabban terjesztettek elő a környezeti neveléssel kapcsolatos elképzeléseket (lásd például az</w:t>
      </w:r>
      <w:hyperlink r:id="rId301">
        <w:r>
          <w:rPr>
            <w:rStyle w:val="LienInternet"/>
          </w:rPr>
          <w:t xml:space="preserve"> </w:t>
        </w:r>
      </w:hyperlink>
      <w:hyperlink r:id="rId302">
        <w:r>
          <w:rPr>
            <w:rStyle w:val="LienInternet"/>
          </w:rPr>
          <w:t>ötletet</w:t>
        </w:r>
      </w:hyperlink>
      <w:hyperlink r:id="rId303">
        <w:r>
          <w:rPr>
            <w:rStyle w:val="LienInternet"/>
          </w:rPr>
          <w:t>)</w:t>
        </w:r>
      </w:hyperlink>
      <w:r>
        <w:rPr/>
        <w:t>. Az éghajlatváltozás elleni küzdelem témáján belül a közelmúltban tettek javaslatokat az éghajlatváltozásra vonatkozó közös megközelítés keretében egy európai környezetvédelmi nagykövet számára, vagy – a jelenlegi környezetet tükrözve – egy európai energiaügyi miniszter létrehozására, aki a nemzetközi színtéren képviseli Európát ezekben a kérdésekben (lásd az</w:t>
      </w:r>
      <w:hyperlink r:id="rId304">
        <w:r>
          <w:rPr>
            <w:rStyle w:val="LienInternet"/>
          </w:rPr>
          <w:t xml:space="preserve"> </w:t>
        </w:r>
      </w:hyperlink>
      <w:hyperlink r:id="rId305">
        <w:r>
          <w:rPr>
            <w:rStyle w:val="LienInternet"/>
          </w:rPr>
          <w:t>ötlet példáját</w:t>
        </w:r>
      </w:hyperlink>
      <w:hyperlink r:id="rId306">
        <w:r>
          <w:rPr>
            <w:rStyle w:val="LienInternet"/>
          </w:rPr>
          <w:t>)</w:t>
        </w:r>
      </w:hyperlink>
      <w:r>
        <w:rPr/>
        <w:t xml:space="preserve">. </w:t>
      </w:r>
    </w:p>
    <w:p>
      <w:pPr>
        <w:pStyle w:val="Corpsdetexte"/>
        <w:jc w:val="left"/>
        <w:rPr/>
      </w:pPr>
      <w:r>
        <w:rPr/>
        <w:t xml:space="preserve">A 2022. április elején Milánóban tartott európai ifjúsági vita több, a fenntartható űrkutatással kapcsolatos kérdést is megvitatott, azzal a felhívással, hogy új, környezetbarátabb űrtechnológiákat dolgozzanak ki a fenntartható műholdak létrehozása érdekében (lásd az </w:t>
      </w:r>
      <w:hyperlink r:id="rId307">
        <w:r>
          <w:rPr>
            <w:rStyle w:val="LienInternet"/>
          </w:rPr>
          <w:t>ötletet</w:t>
        </w:r>
      </w:hyperlink>
      <w:r>
        <w:rPr/>
        <w:t xml:space="preserve">). </w:t>
      </w:r>
    </w:p>
    <w:p>
      <w:pPr>
        <w:pStyle w:val="Corpsdetexte"/>
        <w:spacing w:lineRule="auto" w:line="240" w:before="57" w:after="57"/>
        <w:jc w:val="left"/>
        <w:rPr/>
      </w:pPr>
      <w:r>
        <w:rPr/>
      </w:r>
    </w:p>
    <w:p>
      <w:pPr>
        <w:sectPr>
          <w:headerReference w:type="default" r:id="rId308"/>
          <w:footerReference w:type="default" r:id="rId309"/>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Normal"/>
        <w:rPr/>
      </w:pPr>
      <w:r>
        <w:rPr/>
      </w:r>
    </w:p>
    <w:p>
      <w:pPr>
        <w:pStyle w:val="Normal"/>
        <w:rPr/>
      </w:pPr>
      <w:r>
        <w:rPr/>
        <mc:AlternateContent>
          <mc:Choice Requires="wps">
            <w:drawing>
              <wp:anchor behindDoc="0" distT="0" distB="0" distL="0" distR="0" simplePos="0" locked="0" layoutInCell="0" allowOverlap="1" relativeHeight="86">
                <wp:simplePos x="0" y="0"/>
                <wp:positionH relativeFrom="column">
                  <wp:posOffset>175895</wp:posOffset>
                </wp:positionH>
                <wp:positionV relativeFrom="paragraph">
                  <wp:posOffset>8255</wp:posOffset>
                </wp:positionV>
                <wp:extent cx="8318500" cy="4936490"/>
                <wp:effectExtent l="0" t="0" r="0" b="0"/>
                <wp:wrapTopAndBottom/>
                <wp:docPr id="55" name="Cadre32"/>
                <a:graphic xmlns:a="http://schemas.openxmlformats.org/drawingml/2006/main">
                  <a:graphicData uri="http://schemas.microsoft.com/office/word/2010/wordprocessingShape">
                    <wps:wsp>
                      <wps:cNvSpPr/>
                      <wps:spPr>
                        <a:xfrm>
                          <a:off x="0" y="0"/>
                          <a:ext cx="8318520" cy="493632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Ábra. Elmetérkép „Éghajlatváltozás és környezet” téma 1. rész </w:t>
                            </w:r>
                          </w:p>
                        </w:txbxContent>
                      </wps:txbx>
                      <wps:bodyPr lIns="0" rIns="0" tIns="0" bIns="0" anchor="t">
                        <a:noAutofit/>
                      </wps:bodyPr>
                    </wps:wsp>
                  </a:graphicData>
                </a:graphic>
              </wp:anchor>
            </w:drawing>
          </mc:Choice>
          <mc:Fallback>
            <w:pict>
              <v:rect id="shape_0" ID="Cadre32" path="m0,0l-2147483645,0l-2147483645,-2147483646l0,-2147483646xe" fillcolor="white" stroked="f" o:allowincell="f" style="position:absolute;margin-left:13.85pt;margin-top:0.65pt;width:654.95pt;height:388.6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Ábra. Elmetérkép „Éghajlatváltozás és környezet” téma 1. rész </w:t>
                      </w:r>
                    </w:p>
                  </w:txbxContent>
                </v:textbox>
                <w10:wrap type="topAndBottom"/>
              </v:rect>
            </w:pict>
          </mc:Fallback>
        </mc:AlternateContent>
        <mc:AlternateContent>
          <mc:Choice Requires="wpg">
            <w:drawing>
              <wp:anchor behindDoc="0" distT="0" distB="0" distL="0" distR="0" simplePos="0" locked="0" layoutInCell="0" allowOverlap="1" relativeHeight="88">
                <wp:simplePos x="0" y="0"/>
                <wp:positionH relativeFrom="column">
                  <wp:posOffset>133350</wp:posOffset>
                </wp:positionH>
                <wp:positionV relativeFrom="paragraph">
                  <wp:posOffset>635</wp:posOffset>
                </wp:positionV>
                <wp:extent cx="8372475" cy="4269740"/>
                <wp:effectExtent l="0" t="0" r="0" b="0"/>
                <wp:wrapTopAndBottom/>
                <wp:docPr id="57" name="Forme5"/>
                <a:graphic xmlns:a="http://schemas.openxmlformats.org/drawingml/2006/main">
                  <a:graphicData uri="http://schemas.microsoft.com/office/word/2010/wordprocessingGroup">
                    <wpg:wgp>
                      <wpg:cNvGrpSpPr/>
                      <wpg:grpSpPr>
                        <a:xfrm>
                          <a:off x="0" y="0"/>
                          <a:ext cx="8372520" cy="4269600"/>
                          <a:chOff x="0" y="0"/>
                          <a:chExt cx="8372520" cy="4269600"/>
                        </a:xfrm>
                      </wpg:grpSpPr>
                      <wpg:grpSp>
                        <wpg:cNvGrpSpPr/>
                        <wpg:grpSpPr>
                          <a:xfrm>
                            <a:off x="6848640" y="1592640"/>
                            <a:ext cx="1523880" cy="1428840"/>
                          </a:xfrm>
                        </wpg:grpSpPr>
                        <pic:pic xmlns:pic="http://schemas.openxmlformats.org/drawingml/2006/picture">
                          <pic:nvPicPr>
                            <pic:cNvPr id="9" name="" descr=""/>
                            <pic:cNvPicPr/>
                          </pic:nvPicPr>
                          <pic:blipFill>
                            <a:blip r:embed="rId310"/>
                            <a:stretch/>
                          </pic:blipFill>
                          <pic:spPr>
                            <a:xfrm>
                              <a:off x="498240" y="0"/>
                              <a:ext cx="777240" cy="545400"/>
                            </a:xfrm>
                            <a:prstGeom prst="rect">
                              <a:avLst/>
                            </a:prstGeom>
                            <a:ln w="0">
                              <a:noFill/>
                            </a:ln>
                          </pic:spPr>
                        </pic:pic>
                        <wps:wsp>
                          <wps:cNvSpPr/>
                          <wps:spPr>
                            <a:xfrm>
                              <a:off x="0" y="636120"/>
                              <a:ext cx="1523880" cy="79236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éghajlatváltozás és a környezet</w:t>
                                </w:r>
                              </w:p>
                            </w:txbxContent>
                          </wps:txbx>
                          <wps:bodyPr lIns="90000" rIns="90000" tIns="45000" bIns="45000" anchor="t">
                            <a:noAutofit/>
                          </wps:bodyPr>
                        </wps:wsp>
                      </wpg:grpSp>
                      <wpg:grpSp>
                        <wpg:cNvGrpSpPr/>
                        <wpg:grpSpPr>
                          <a:xfrm>
                            <a:off x="0" y="370080"/>
                            <a:ext cx="4543560" cy="1798920"/>
                          </a:xfrm>
                        </wpg:grpSpPr>
                        <wps:wsp>
                          <wps:cNvSpPr/>
                          <wps:spPr>
                            <a:xfrm>
                              <a:off x="0" y="0"/>
                              <a:ext cx="3025800" cy="179892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körforgásos gazdaság ösztönzése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ellátási láncok újragondolása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Kihallgatják a tömegfogyasztást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Csökkentse az összes hulladékot, beleértve az élelmiszer- és vízhulladékot 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Fokozott kötelező jótállás bevezetése az új készülékekre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hulladék EU-ból történő kiszervezésének betiltása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környezeti hatást részletező termékcímkék bevezetése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lassú divat és környezetbarát textilipar ösztönzése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vízpazarlás elleni küzdelem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zöld és környezetbarát turizmus előmozdítása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Energiatakarékos elektronikus készülékek támogatása</w:t>
                                </w:r>
                              </w:p>
                            </w:txbxContent>
                          </wps:txbx>
                          <wps:bodyPr lIns="90000" rIns="90000" tIns="45000" bIns="45000" anchor="t">
                            <a:noAutofit/>
                          </wps:bodyPr>
                        </wps:wsp>
                        <wps:wsp>
                          <wps:cNvSpPr/>
                          <wps:spPr>
                            <a:xfrm>
                              <a:off x="3010680" y="335520"/>
                              <a:ext cx="153288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Fogyasztás</w:t>
                                </w:r>
                              </w:p>
                            </w:txbxContent>
                          </wps:txbx>
                          <wps:bodyPr lIns="90000" rIns="90000" tIns="45000" bIns="45000" anchor="t">
                            <a:noAutofit/>
                          </wps:bodyPr>
                        </wps:wsp>
                      </wpg:grpSp>
                      <wpg:grpSp>
                        <wpg:cNvGrpSpPr/>
                        <wpg:grpSpPr>
                          <a:xfrm>
                            <a:off x="65520" y="2410920"/>
                            <a:ext cx="3511080" cy="1535400"/>
                          </a:xfrm>
                        </wpg:grpSpPr>
                        <wps:wsp>
                          <wps:cNvSpPr/>
                          <wps:spPr>
                            <a:xfrm>
                              <a:off x="0" y="0"/>
                              <a:ext cx="2408400" cy="15354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európai energiaszuverenitás elérésének fenntartható módjainak előmozdítása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nem megújuló energiaforrások elhagyása vagy korlátozása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alternatív energiaforrások népszerűsítése és vizsgálata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Vizsgálja meg az energiahatékony és környezetbarát fűtést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Felelősségre vonhatja a vállalatokat az energiafelhasználásukért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Szabályozza a kriptovaluták bányászatát  </w:t>
                                </w:r>
                              </w:p>
                            </w:txbxContent>
                          </wps:txbx>
                          <wps:bodyPr lIns="90000" rIns="90000" tIns="45000" bIns="45000" anchor="t">
                            <a:noAutofit/>
                          </wps:bodyPr>
                        </wps:wsp>
                        <wps:wsp>
                          <wps:cNvSpPr/>
                          <wps:spPr>
                            <a:xfrm>
                              <a:off x="2426400" y="399600"/>
                              <a:ext cx="1084680" cy="3027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Energia</w:t>
                                </w:r>
                              </w:p>
                            </w:txbxContent>
                          </wps:txbx>
                          <wps:bodyPr lIns="90000" rIns="90000" tIns="45000" bIns="45000" anchor="t">
                            <a:noAutofit/>
                          </wps:bodyPr>
                        </wps:wsp>
                      </wpg:grpSp>
                      <wpg:grpSp>
                        <wpg:cNvGrpSpPr/>
                        <wpg:grpSpPr>
                          <a:xfrm>
                            <a:off x="4641120" y="0"/>
                            <a:ext cx="3533760" cy="2317680"/>
                          </a:xfrm>
                        </wpg:grpSpPr>
                        <wps:wsp>
                          <wps:cNvSpPr/>
                          <wps:spPr>
                            <a:xfrm>
                              <a:off x="0" y="0"/>
                              <a:ext cx="2460600" cy="23176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zöld átállás megkönnyítése konkrét szakpolitikai intézkedésekkel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 kibocsátáskereskedelmi rendszerének bővítése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Adókibocsátás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Alacsonyabb megengedett üvegházhatásúgáz-kibocsátási arány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Csatlakozás a fosszilis tüzelőanyagok elterjedésének megakadályozásáról szóló szerződéshez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Befektetés a szén-dioxid-leválasztás és -tárolás technológiájába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Erősebb európai környezetvédelmi politika bevezetése az éghajlatváltozás elleni küzdelem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helyi és regionális szintű végrehajtás ösztönzése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zöld megállapodás kiterjesztése társadalmilag befogadó módon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intézkedések hatásának és a végrehajtásnak a nyomon követése</w:t>
                                </w:r>
                              </w:p>
                            </w:txbxContent>
                          </wps:txbx>
                          <wps:bodyPr lIns="90000" rIns="90000" tIns="45000" bIns="45000" anchor="t">
                            <a:noAutofit/>
                          </wps:bodyPr>
                        </wps:wsp>
                        <wps:wsp>
                          <wps:cNvSpPr/>
                          <wps:spPr>
                            <a:xfrm>
                              <a:off x="2462040" y="48960"/>
                              <a:ext cx="1071720" cy="6591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éghajlatváltozás kezelése</w:t>
                                </w:r>
                              </w:p>
                            </w:txbxContent>
                          </wps:txbx>
                          <wps:bodyPr lIns="90000" rIns="90000" tIns="45000" bIns="45000" anchor="t">
                            <a:noAutofit/>
                          </wps:bodyPr>
                        </wps:wsp>
                      </wpg:grpSp>
                      <wpg:grpSp>
                        <wpg:cNvGrpSpPr/>
                        <wpg:grpSpPr>
                          <a:xfrm>
                            <a:off x="4076640" y="2865600"/>
                            <a:ext cx="3666960" cy="1404000"/>
                          </a:xfrm>
                        </wpg:grpSpPr>
                        <wps:wsp>
                          <wps:cNvSpPr/>
                          <wps:spPr>
                            <a:xfrm>
                              <a:off x="0" y="0"/>
                              <a:ext cx="2602080" cy="14040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Rövid távú járatok betiltása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tömegközlekedés és infrastruktúrájának fejlesztése és bővítése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gyorsvonat-hálózatok bővítése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kerékpáros infrastruktúra megkönnyítése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elektromos autók környezeti előnyei és hátrányai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Beruházás a környezetbarát közlekedés kutatásába és fejlesztésébe  </w:t>
                                </w:r>
                              </w:p>
                            </w:txbxContent>
                          </wps:txbx>
                          <wps:bodyPr lIns="90000" rIns="90000" tIns="45000" bIns="45000" anchor="t">
                            <a:noAutofit/>
                          </wps:bodyPr>
                        </wps:wsp>
                        <wps:wsp>
                          <wps:cNvSpPr/>
                          <wps:spPr>
                            <a:xfrm>
                              <a:off x="2603520" y="214920"/>
                              <a:ext cx="106380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Szállítás</w:t>
                                </w:r>
                              </w:p>
                            </w:txbxContent>
                          </wps:txbx>
                          <wps:bodyPr lIns="90000" rIns="90000" tIns="45000" bIns="45000" anchor="t">
                            <a:noAutofit/>
                          </wps:bodyPr>
                        </wps:wsp>
                      </wpg:grpSp>
                    </wpg:wgp>
                  </a:graphicData>
                </a:graphic>
              </wp:anchor>
            </w:drawing>
          </mc:Choice>
          <mc:Fallback>
            <w:pict>
              <v:group id="shape_0" alt="Forme5" style="position:absolute;margin-left:10.5pt;margin-top:0.05pt;width:659.25pt;height:336.2pt" coordorigin="210,1" coordsize="13185,6724">
                <v:group id="shape_0" style="position:absolute;left:10995;top:2509;width:2400;height:2250">
                  <v:shape id="shape_0" stroked="f" o:allowincell="f" style="position:absolute;left:11780;top:2509;width:1223;height:858;mso-wrap-style:none;v-text-anchor:middle" type="_x0000_t75">
                    <v:imagedata r:id="rId310" o:detectmouseclick="t"/>
                    <v:stroke color="#3465a4" joinstyle="round" endcap="flat"/>
                    <w10:wrap type="topAndBottom"/>
                  </v:shape>
                  <v:rect id="shape_0" path="m0,0l-2147483645,0l-2147483645,-2147483646l0,-2147483646xe" stroked="f" o:allowincell="f" style="position:absolute;left:10995;top:3511;width:2399;height:1247;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éghajlatváltozás és a környezet</w:t>
                          </w:r>
                        </w:p>
                      </w:txbxContent>
                    </v:textbox>
                    <v:fill o:detectmouseclick="t" on="false"/>
                    <v:stroke color="#3465a4" joinstyle="round" endcap="flat"/>
                    <w10:wrap type="topAndBottom"/>
                  </v:rect>
                </v:group>
                <v:group id="shape_0" style="position:absolute;left:210;top:584;width:7155;height:2833">
                  <v:rect id="shape_0" path="m0,0l-2147483645,0l-2147483645,-2147483646l0,-2147483646xe" fillcolor="#eeeeee" stroked="f" o:allowincell="f" style="position:absolute;left:210;top:584;width:4764;height:283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körforgásos gazdaság ösztönzése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ellátási láncok újragondolása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Kihallgatják a tömegfogyasztást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Csökkentse az összes hulladékot, beleértve az élelmiszer- és vízhulladékot 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Fokozott kötelező jótállás bevezetése az új készülékekre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hulladék EU-ból történő kiszervezésének betiltása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környezeti hatást részletező termékcímkék bevezetése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lassú divat és környezetbarát textilipar ösztönzése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vízpazarlás elleni küzdelem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zöld és környezetbarát turizmus előmozdítása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Energiatakarékos elektronikus készülékek támogatása</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4951;top:1112;width:2413;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Fogyasztás</w:t>
                          </w:r>
                        </w:p>
                      </w:txbxContent>
                    </v:textbox>
                    <v:fill o:detectmouseclick="t" type="solid" color2="#5cdc71"/>
                    <v:stroke color="#3465a4" joinstyle="round" endcap="flat"/>
                    <w10:wrap type="topAndBottom"/>
                  </v:rect>
                </v:group>
                <v:group id="shape_0" style="position:absolute;left:313;top:3798;width:5529;height:2418">
                  <v:rect id="shape_0" path="m0,0l-2147483645,0l-2147483645,-2147483646l0,-2147483646xe" fillcolor="#eeeeee" stroked="f" o:allowincell="f" style="position:absolute;left:313;top:3798;width:3792;height:241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európai energiaszuverenitás elérésének fenntartható módjainak előmozdítása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nem megújuló energiaforrások elhagyása vagy korlátozása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alternatív energiaforrások népszerűsítése és vizsgálata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Vizsgálja meg az energiahatékony és környezetbarát fűtést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Felelősségre vonhatja a vállalatokat az energiafelhasználásukért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Szabályozza a kriptovaluták bányászatát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4134;top:4427;width:1707;height:47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Energia</w:t>
                          </w:r>
                        </w:p>
                      </w:txbxContent>
                    </v:textbox>
                    <v:fill o:detectmouseclick="t" type="solid" color2="#5cdc71"/>
                    <v:stroke color="#3465a4" joinstyle="round" endcap="flat"/>
                    <w10:wrap type="topAndBottom"/>
                  </v:rect>
                </v:group>
                <v:group id="shape_0" style="position:absolute;left:7519;top:1;width:5566;height:3650">
                  <v:rect id="shape_0" path="m0,0l-2147483645,0l-2147483645,-2147483646l0,-2147483646xe" fillcolor="#eeeeee" stroked="f" o:allowincell="f" style="position:absolute;left:7519;top:1;width:3874;height:364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zöld átállás megkönnyítése konkrét szakpolitikai intézkedésekkel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 kibocsátáskereskedelmi rendszerének bővítése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Adókibocsátás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Alacsonyabb megengedett üvegházhatásúgáz-kibocsátási arány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Csatlakozás a fosszilis tüzelőanyagok elterjedésének megakadályozásáról szóló szerződéshez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Befektetés a szén-dioxid-leválasztás és -tárolás technológiájába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Erősebb európai környezetvédelmi politika bevezetése az éghajlatváltozás elleni küzdelem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helyi és regionális szintű végrehajtás ösztönzése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zöld megállapodás kiterjesztése társadalmilag befogadó módon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intézkedések hatásának és a végrehajtásnak a nyomon követése</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11396;top:78;width:1687;height:103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éghajlatváltozás kezelése</w:t>
                          </w:r>
                        </w:p>
                      </w:txbxContent>
                    </v:textbox>
                    <v:fill o:detectmouseclick="t" type="solid" color2="#5cdc71"/>
                    <v:stroke color="#3465a4" joinstyle="round" endcap="flat"/>
                    <w10:wrap type="topAndBottom"/>
                  </v:rect>
                </v:group>
                <v:group id="shape_0" style="position:absolute;left:6630;top:4514;width:5775;height:2211">
                  <v:rect id="shape_0" path="m0,0l-2147483645,0l-2147483645,-2147483646l0,-2147483646xe" fillcolor="#eeeeee" stroked="f" o:allowincell="f" style="position:absolute;left:6630;top:4514;width:4097;height:221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Rövid távú járatok betiltása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tömegközlekedés és infrastruktúrájának fejlesztése és bővítése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gyorsvonat-hálózatok bővítése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kerékpáros infrastruktúra megkönnyítése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elektromos autók környezeti előnyei és hátrányai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Beruházás a környezetbarát közlekedés kutatásába és fejlesztésébe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10730;top:4852;width:1674;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Szállítás</w:t>
                          </w:r>
                        </w:p>
                      </w:txbxContent>
                    </v:textbox>
                    <v:fill o:detectmouseclick="t" type="solid" color2="#5cdc71"/>
                    <v:stroke color="#3465a4" joinstyle="round" endcap="flat"/>
                    <w10:wrap type="topAndBottom"/>
                  </v:rect>
                </v:group>
              </v:group>
            </w:pict>
          </mc:Fallback>
        </mc:AlternateContent>
      </w:r>
    </w:p>
    <w:p>
      <w:pPr>
        <w:pStyle w:val="Normal"/>
        <w:rPr/>
      </w:pPr>
      <w:r>
        <w:rPr/>
      </w:r>
      <w:r>
        <w:br w:type="page"/>
      </w:r>
    </w:p>
    <w:p>
      <w:pPr>
        <w:pStyle w:val="Normal"/>
        <w:rPr/>
      </w:pPr>
      <w:r>
        <w:rPr/>
        <mc:AlternateContent>
          <mc:Choice Requires="wps">
            <w:drawing>
              <wp:anchor behindDoc="0" distT="0" distB="0" distL="0" distR="0" simplePos="0" locked="0" layoutInCell="0" allowOverlap="1" relativeHeight="89">
                <wp:simplePos x="0" y="0"/>
                <wp:positionH relativeFrom="column">
                  <wp:posOffset>475615</wp:posOffset>
                </wp:positionH>
                <wp:positionV relativeFrom="paragraph">
                  <wp:posOffset>56515</wp:posOffset>
                </wp:positionV>
                <wp:extent cx="7969250" cy="5882640"/>
                <wp:effectExtent l="0" t="0" r="0" b="0"/>
                <wp:wrapTopAndBottom/>
                <wp:docPr id="58" name="Cadre33"/>
                <a:graphic xmlns:a="http://schemas.openxmlformats.org/drawingml/2006/main">
                  <a:graphicData uri="http://schemas.microsoft.com/office/word/2010/wordprocessingShape">
                    <wps:wsp>
                      <wps:cNvSpPr/>
                      <wps:spPr>
                        <a:xfrm>
                          <a:off x="0" y="0"/>
                          <a:ext cx="7969320" cy="588276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Ábra. Elmetérkép „Éghajlatváltozás és környezet” téma 2. rész </w:t>
                            </w:r>
                          </w:p>
                        </w:txbxContent>
                      </wps:txbx>
                      <wps:bodyPr lIns="0" rIns="0" tIns="0" bIns="0" anchor="t">
                        <a:noAutofit/>
                      </wps:bodyPr>
                    </wps:wsp>
                  </a:graphicData>
                </a:graphic>
              </wp:anchor>
            </w:drawing>
          </mc:Choice>
          <mc:Fallback>
            <w:pict>
              <v:rect id="shape_0" ID="Cadre33" path="m0,0l-2147483645,0l-2147483645,-2147483646l0,-2147483646xe" fillcolor="white" stroked="f" o:allowincell="f" style="position:absolute;margin-left:37.45pt;margin-top:4.45pt;width:627.45pt;height:463.1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Ábra. Elmetérkép „Éghajlatváltozás és környezet” téma 2. rész </w:t>
                      </w:r>
                    </w:p>
                  </w:txbxContent>
                </v:textbox>
                <w10:wrap type="topAndBottom"/>
              </v:rect>
            </w:pict>
          </mc:Fallback>
        </mc:AlternateContent>
        <mc:AlternateContent>
          <mc:Choice Requires="wpg">
            <w:drawing>
              <wp:anchor behindDoc="0" distT="0" distB="0" distL="0" distR="0" simplePos="0" locked="0" layoutInCell="0" allowOverlap="1" relativeHeight="91">
                <wp:simplePos x="0" y="0"/>
                <wp:positionH relativeFrom="column">
                  <wp:posOffset>475615</wp:posOffset>
                </wp:positionH>
                <wp:positionV relativeFrom="paragraph">
                  <wp:posOffset>347980</wp:posOffset>
                </wp:positionV>
                <wp:extent cx="8303895" cy="4998085"/>
                <wp:effectExtent l="0" t="0" r="0" b="0"/>
                <wp:wrapTopAndBottom/>
                <wp:docPr id="60" name="Forme6"/>
                <a:graphic xmlns:a="http://schemas.openxmlformats.org/drawingml/2006/main">
                  <a:graphicData uri="http://schemas.microsoft.com/office/word/2010/wordprocessingGroup">
                    <wpg:wgp>
                      <wpg:cNvGrpSpPr/>
                      <wpg:grpSpPr>
                        <a:xfrm>
                          <a:off x="0" y="0"/>
                          <a:ext cx="8303760" cy="4998240"/>
                          <a:chOff x="0" y="0"/>
                          <a:chExt cx="8303760" cy="4998240"/>
                        </a:xfrm>
                      </wpg:grpSpPr>
                      <wpg:grpSp>
                        <wpg:cNvGrpSpPr/>
                        <wpg:grpSpPr>
                          <a:xfrm>
                            <a:off x="357480" y="1711440"/>
                            <a:ext cx="1463040" cy="1516320"/>
                          </a:xfrm>
                        </wpg:grpSpPr>
                        <pic:pic xmlns:pic="http://schemas.openxmlformats.org/drawingml/2006/picture">
                          <pic:nvPicPr>
                            <pic:cNvPr id="10" name="" descr=""/>
                            <pic:cNvPicPr/>
                          </pic:nvPicPr>
                          <pic:blipFill>
                            <a:blip r:embed="rId311"/>
                            <a:stretch/>
                          </pic:blipFill>
                          <pic:spPr>
                            <a:xfrm>
                              <a:off x="477720" y="0"/>
                              <a:ext cx="748080" cy="619920"/>
                            </a:xfrm>
                            <a:prstGeom prst="rect">
                              <a:avLst/>
                            </a:prstGeom>
                            <a:ln w="0">
                              <a:noFill/>
                            </a:ln>
                          </pic:spPr>
                        </pic:pic>
                        <wps:wsp>
                          <wps:cNvSpPr/>
                          <wps:spPr>
                            <a:xfrm>
                              <a:off x="0" y="723240"/>
                              <a:ext cx="1463040" cy="79308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éghajlatváltozás és a környezet</w:t>
                                </w:r>
                              </w:p>
                            </w:txbxContent>
                          </wps:txbx>
                          <wps:bodyPr lIns="90000" rIns="90000" tIns="45000" bIns="45000" anchor="t">
                            <a:noAutofit/>
                          </wps:bodyPr>
                        </wps:wsp>
                      </wpg:grpSp>
                      <wpg:grpSp>
                        <wpg:cNvGrpSpPr/>
                        <wpg:grpSpPr>
                          <a:xfrm>
                            <a:off x="261000" y="537120"/>
                            <a:ext cx="3433320" cy="1009800"/>
                          </a:xfrm>
                        </wpg:grpSpPr>
                        <wps:wsp>
                          <wps:cNvSpPr/>
                          <wps:spPr>
                            <a:xfrm>
                              <a:off x="0" y="199440"/>
                              <a:ext cx="1430640" cy="6591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Támogatás, adózás</w:t>
                                </w:r>
                              </w:p>
                            </w:txbxContent>
                          </wps:txbx>
                          <wps:bodyPr lIns="90000" rIns="90000" tIns="45000" bIns="45000" anchor="t">
                            <a:noAutofit/>
                          </wps:bodyPr>
                        </wps:wsp>
                        <wps:wsp>
                          <wps:cNvSpPr/>
                          <wps:spPr>
                            <a:xfrm>
                              <a:off x="1410840" y="0"/>
                              <a:ext cx="2022480" cy="1009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környezetbarát támogatások megállítása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biológiai sokféleséggel és az éghajlatváltozással kapcsolatos projektek támogatása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Nem fenntartható termékek megadóztatása</w:t>
                                </w:r>
                              </w:p>
                            </w:txbxContent>
                          </wps:txbx>
                          <wps:bodyPr lIns="90000" rIns="90000" tIns="45000" bIns="45000" anchor="t">
                            <a:noAutofit/>
                          </wps:bodyPr>
                        </wps:wsp>
                      </wpg:grpSp>
                      <wpg:grpSp>
                        <wpg:cNvGrpSpPr/>
                        <wpg:grpSpPr>
                          <a:xfrm>
                            <a:off x="0" y="3279600"/>
                            <a:ext cx="4298400" cy="1718280"/>
                          </a:xfrm>
                        </wpg:grpSpPr>
                        <wps:wsp>
                          <wps:cNvSpPr/>
                          <wps:spPr>
                            <a:xfrm>
                              <a:off x="0" y="152640"/>
                              <a:ext cx="1859760" cy="3916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Fenntarthatóság a mezőgazdaságban</w:t>
                                </w:r>
                              </w:p>
                            </w:txbxContent>
                          </wps:txbx>
                          <wps:bodyPr lIns="90000" rIns="90000" tIns="45000" bIns="45000" anchor="t">
                            <a:noAutofit/>
                          </wps:bodyPr>
                        </wps:wsp>
                        <wps:wsp>
                          <wps:cNvSpPr/>
                          <wps:spPr>
                            <a:xfrm>
                              <a:off x="1880280" y="0"/>
                              <a:ext cx="2418120" cy="17182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növényvédő szerek betiltása és az ökológiai gazdálkodás előmozdítása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növényi alapú étrend népszerűsítése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helyi gazdálkodás előmozdítása az élelmezésbiztonság biztosítása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mezőgazdaság fenntarthatóbb formáinak vizsgálata: vertikális gazdálkodás, agroökológia, agrárerdészet,...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Vizsgálja meg, hogyan lehet átalakítani a mezőgazdaságot, hogy megbirkózzon az éghajlatváltozás hatásaival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Tisztességes árak és garantált jövedelem biztosítása a mezőgazdasági termelők számára </w:t>
                                </w:r>
                              </w:p>
                            </w:txbxContent>
                          </wps:txbx>
                          <wps:bodyPr lIns="90000" rIns="90000" tIns="45000" bIns="45000" anchor="t">
                            <a:noAutofit/>
                          </wps:bodyPr>
                        </wps:wsp>
                      </wpg:grpSp>
                      <wpg:grpSp>
                        <wpg:cNvGrpSpPr/>
                        <wpg:grpSpPr>
                          <a:xfrm>
                            <a:off x="2343240" y="1661040"/>
                            <a:ext cx="3216960" cy="1536840"/>
                          </a:xfrm>
                        </wpg:grpSpPr>
                        <wps:wsp>
                          <wps:cNvSpPr/>
                          <wps:spPr>
                            <a:xfrm>
                              <a:off x="0" y="209160"/>
                              <a:ext cx="1484640" cy="6609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Változás az attitűdökben és viselkedésekben</w:t>
                                </w:r>
                              </w:p>
                            </w:txbxContent>
                          </wps:txbx>
                          <wps:bodyPr lIns="90000" rIns="90000" tIns="45000" bIns="45000" anchor="t">
                            <a:noAutofit/>
                          </wps:bodyPr>
                        </wps:wsp>
                        <wps:wsp>
                          <wps:cNvSpPr/>
                          <wps:spPr>
                            <a:xfrm>
                              <a:off x="1494720" y="0"/>
                              <a:ext cx="1722240" cy="1536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Felelősségre vonhatja a vállalatokat a fenntarthatatlan üzleti modellekért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Figyelemfelkeltés minden generáció körében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Befektetés a környezetvédelembe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oktatás és kommunikáció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További információk az újrahasznosításról</w:t>
                                </w:r>
                              </w:p>
                            </w:txbxContent>
                          </wps:txbx>
                          <wps:bodyPr lIns="90000" rIns="90000" tIns="45000" bIns="45000" anchor="t">
                            <a:noAutofit/>
                          </wps:bodyPr>
                        </wps:wsp>
                      </wpg:grpSp>
                      <wpg:grpSp>
                        <wpg:cNvGrpSpPr/>
                        <wpg:grpSpPr>
                          <a:xfrm>
                            <a:off x="3239280" y="0"/>
                            <a:ext cx="3578400" cy="878040"/>
                          </a:xfrm>
                        </wpg:grpSpPr>
                        <wps:wsp>
                          <wps:cNvSpPr/>
                          <wps:spPr>
                            <a:xfrm>
                              <a:off x="0" y="163080"/>
                              <a:ext cx="128700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Szennyezés</w:t>
                                </w:r>
                              </w:p>
                            </w:txbxContent>
                          </wps:txbx>
                          <wps:bodyPr lIns="90000" rIns="90000" tIns="45000" bIns="45000" anchor="t">
                            <a:noAutofit/>
                          </wps:bodyPr>
                        </wps:wsp>
                        <wps:wsp>
                          <wps:cNvSpPr/>
                          <wps:spPr>
                            <a:xfrm>
                              <a:off x="1267200" y="0"/>
                              <a:ext cx="2310840" cy="8780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fényszennyezés korlátozása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vízkészletek jövőbeli biztonságának biztosítása, az óceánok savasodásának semlegesítése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műanyagszennyezés elleni küzdelem, az egyszer használatos műanyagokra vonatkozó tilalom kiterjesztése</w:t>
                                </w:r>
                              </w:p>
                            </w:txbxContent>
                          </wps:txbx>
                          <wps:bodyPr lIns="90000" rIns="90000" tIns="45000" bIns="45000" anchor="t">
                            <a:noAutofit/>
                          </wps:bodyPr>
                        </wps:wsp>
                      </wpg:grpSp>
                      <wpg:grpSp>
                        <wpg:cNvGrpSpPr/>
                        <wpg:grpSpPr>
                          <a:xfrm>
                            <a:off x="5631840" y="934560"/>
                            <a:ext cx="2671920" cy="1122120"/>
                          </a:xfrm>
                        </wpg:grpSpPr>
                        <wps:wsp>
                          <wps:cNvSpPr/>
                          <wps:spPr>
                            <a:xfrm>
                              <a:off x="199440" y="0"/>
                              <a:ext cx="236016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Lakás és építés</w:t>
                                </w:r>
                              </w:p>
                            </w:txbxContent>
                          </wps:txbx>
                          <wps:bodyPr lIns="90000" rIns="90000" tIns="45000" bIns="45000" anchor="t">
                            <a:noAutofit/>
                          </wps:bodyPr>
                        </wps:wsp>
                        <wps:wsp>
                          <wps:cNvSpPr/>
                          <wps:spPr>
                            <a:xfrm>
                              <a:off x="0" y="244080"/>
                              <a:ext cx="2671920" cy="8780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új európai Bauhaus népszerűsítése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alacsony szén-dioxid-kibocsátású építőanyagok használatának ösztönzése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elhagyott földterületek és épületek újraértékelésére irányuló európai rehabilitációs földmegbízás bevezetése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használt építőanyagok visszaforgatásának megkönnyítése</w:t>
                                </w:r>
                              </w:p>
                            </w:txbxContent>
                          </wps:txbx>
                          <wps:bodyPr lIns="90000" rIns="90000" tIns="45000" bIns="45000" anchor="t">
                            <a:noAutofit/>
                          </wps:bodyPr>
                        </wps:wsp>
                      </wpg:grpSp>
                      <wpg:grpSp>
                        <wpg:cNvGrpSpPr/>
                        <wpg:grpSpPr>
                          <a:xfrm>
                            <a:off x="4474800" y="3121200"/>
                            <a:ext cx="3624120" cy="1666800"/>
                          </a:xfrm>
                        </wpg:grpSpPr>
                        <wps:wsp>
                          <wps:cNvSpPr/>
                          <wps:spPr>
                            <a:xfrm>
                              <a:off x="0" y="285120"/>
                              <a:ext cx="150876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Biológiai sokféleség és állatjólét</w:t>
                                </w:r>
                              </w:p>
                            </w:txbxContent>
                          </wps:txbx>
                          <wps:bodyPr lIns="90000" rIns="90000" tIns="45000" bIns="45000" anchor="t">
                            <a:noAutofit/>
                          </wps:bodyPr>
                        </wps:wsp>
                        <wps:wsp>
                          <wps:cNvSpPr/>
                          <wps:spPr>
                            <a:xfrm>
                              <a:off x="1487160" y="0"/>
                              <a:ext cx="2136600" cy="1666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Csata erdőirtás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újraerdősítés fokozása, többek között a városi területeken 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erdőirtásból származó termékek behozatalának tilalma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veszélyeztetett európai állatfajok védelme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egzotikus állatok mint háziállatok kereskedelmének megállítása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víziállatok jólétének védelme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biológiai sokféleség előmozdítása olyan konkrét intézkedésekkel, mint a zöld tetők </w:t>
                                </w:r>
                              </w:p>
                            </w:txbxContent>
                          </wps:txbx>
                          <wps:bodyPr lIns="90000" rIns="90000" tIns="45000" bIns="45000" anchor="t">
                            <a:noAutofit/>
                          </wps:bodyPr>
                        </wps:wsp>
                      </wpg:grpSp>
                    </wpg:wgp>
                  </a:graphicData>
                </a:graphic>
              </wp:anchor>
            </w:drawing>
          </mc:Choice>
          <mc:Fallback>
            <w:pict>
              <v:group id="shape_0" alt="Forme6" style="position:absolute;margin-left:37.45pt;margin-top:27.4pt;width:653.85pt;height:393.55pt" coordorigin="749,548" coordsize="13077,7871">
                <v:group id="shape_0" style="position:absolute;left:1312;top:3243;width:2304;height:2388">
                  <v:shape id="shape_0" stroked="f" o:allowincell="f" style="position:absolute;left:2064;top:3243;width:1177;height:975;mso-wrap-style:none;v-text-anchor:middle" type="_x0000_t75">
                    <v:imagedata r:id="rId310" o:detectmouseclick="t"/>
                    <v:stroke color="#3465a4" joinstyle="round" endcap="flat"/>
                    <w10:wrap type="topAndBottom"/>
                  </v:shape>
                  <v:rect id="shape_0" path="m0,0l-2147483645,0l-2147483645,-2147483646l0,-2147483646xe" stroked="f" o:allowincell="f" style="position:absolute;left:1312;top:4382;width:2303;height:1248;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éghajlatváltozás és a környezet</w:t>
                          </w:r>
                        </w:p>
                      </w:txbxContent>
                    </v:textbox>
                    <v:fill o:detectmouseclick="t" on="false"/>
                    <v:stroke color="#3465a4" joinstyle="round" endcap="flat"/>
                    <w10:wrap type="topAndBottom"/>
                  </v:rect>
                </v:group>
                <v:group id="shape_0" style="position:absolute;left:1160;top:1394;width:5407;height:1590">
                  <v:rect id="shape_0" path="m0,0l-2147483645,0l-2147483645,-2147483646l0,-2147483646xe" fillcolor="#a3238e" stroked="t" o:allowincell="f" style="position:absolute;left:1160;top:1708;width:2252;height:103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Támogatás, adózás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382;top:1394;width:3184;height:158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környezetbarát támogatások megállítása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biológiai sokféleséggel és az éghajlatváltozással kapcsolatos projektek támogatása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Nem fenntartható termékek megadóztatása</w:t>
                          </w:r>
                        </w:p>
                      </w:txbxContent>
                    </v:textbox>
                    <v:fill o:detectmouseclick="t" type="solid" color2="#111111"/>
                    <v:stroke color="#3465a4" joinstyle="round" endcap="flat"/>
                    <w10:wrap type="topAndBottom"/>
                  </v:rect>
                </v:group>
                <v:group id="shape_0" style="position:absolute;left:749;top:5713;width:6769;height:2706">
                  <v:rect id="shape_0" path="m0,0l-2147483645,0l-2147483645,-2147483646l0,-2147483646xe" fillcolor="#a3238e" stroked="t" o:allowincell="f" style="position:absolute;left:749;top:5953;width:2928;height:61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Fenntarthatóság a mezőgazdaságban</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710;top:5713;width:3807;height:2705;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növényvédő szerek betiltása és az ökológiai gazdálkodás előmozdítása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növényi alapú étrend népszerűsítése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helyi gazdálkodás előmozdítása az élelmezésbiztonság biztosítása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mezőgazdaság fenntarthatóbb formáinak vizsgálata: vertikális gazdálkodás, agroökológia, agrárerdészet,...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Vizsgálja meg, hogyan lehet átalakítani a mezőgazdaságot, hogy megbirkózzon az éghajlatváltozás hatásaival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Tisztességes árak és garantált jövedelem biztosítása a mezőgazdasági termelők számára </w:t>
                          </w:r>
                        </w:p>
                      </w:txbxContent>
                    </v:textbox>
                    <v:fill o:detectmouseclick="t" type="solid" color2="#111111"/>
                    <v:stroke color="#3465a4" joinstyle="round" endcap="flat"/>
                    <w10:wrap type="topAndBottom"/>
                  </v:rect>
                </v:group>
                <v:group id="shape_0" style="position:absolute;left:4439;top:3164;width:5066;height:2420">
                  <v:rect id="shape_0" path="m0,0l-2147483645,0l-2147483645,-2147483646l0,-2147483646xe" fillcolor="#a3238e" stroked="t" o:allowincell="f" style="position:absolute;left:4439;top:3493;width:2337;height:104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Változás az attitűdökben és viselkedésekben</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6793;top:3164;width:2711;height:241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Felelősségre vonhatja a vállalatokat a fenntarthatatlan üzleti modellekért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Figyelemfelkeltés minden generáció körében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Befektetés a környezetvédelembe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oktatás és kommunikáció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További információk az újrahasznosításról</w:t>
                          </w:r>
                        </w:p>
                      </w:txbxContent>
                    </v:textbox>
                    <v:fill o:detectmouseclick="t" type="solid" color2="#111111"/>
                    <v:stroke color="#3465a4" joinstyle="round" endcap="flat"/>
                    <w10:wrap type="topAndBottom"/>
                  </v:rect>
                </v:group>
                <v:group id="shape_0" style="position:absolute;left:5850;top:548;width:5635;height:1383">
                  <v:rect id="shape_0" path="m0,0l-2147483645,0l-2147483645,-2147483646l0,-2147483646xe" fillcolor="#a3238e" stroked="t" o:allowincell="f" style="position:absolute;left:5850;top:805;width:2026;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Szennyezés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846;top:548;width:3638;height:138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fényszennyezés korlátozása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vízkészletek jövőbeli biztonságának biztosítása, az óceánok savasodásának semlegesítése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műanyagszennyezés elleni küzdelem, az egyszer használatos műanyagokra vonatkozó tilalom kiterjesztése</w:t>
                          </w:r>
                        </w:p>
                      </w:txbxContent>
                    </v:textbox>
                    <v:fill o:detectmouseclick="t" type="solid" color2="#111111"/>
                    <v:stroke color="#3465a4" joinstyle="round" endcap="flat"/>
                    <w10:wrap type="topAndBottom"/>
                  </v:rect>
                </v:group>
                <v:group id="shape_0" style="position:absolute;left:9618;top:2020;width:4208;height:1768">
                  <v:rect id="shape_0" path="m0,0l-2147483645,0l-2147483645,-2147483646l0,-2147483646xe" fillcolor="#a3238e" stroked="t" o:allowincell="f" style="position:absolute;left:9932;top:2020;width:3716;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Lakás és építés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618;top:2404;width:4207;height:138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új európai Bauhaus népszerűsítése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alacsony szén-dioxid-kibocsátású építőanyagok használatának ösztönzése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elhagyott földterületek és épületek újraértékelésére irányuló európai rehabilitációs földmegbízás bevezetése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használt építőanyagok visszaforgatásának megkönnyítése</w:t>
                          </w:r>
                        </w:p>
                      </w:txbxContent>
                    </v:textbox>
                    <v:fill o:detectmouseclick="t" type="solid" color2="#111111"/>
                    <v:stroke color="#3465a4" joinstyle="round" endcap="flat"/>
                    <w10:wrap type="topAndBottom"/>
                  </v:rect>
                </v:group>
                <v:group id="shape_0" style="position:absolute;left:7796;top:5463;width:5707;height:2625">
                  <v:rect id="shape_0" path="m0,0l-2147483645,0l-2147483645,-2147483646l0,-2147483646xe" fillcolor="#a3238e" stroked="t" o:allowincell="f" style="position:absolute;left:7796;top:5913;width:2375;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Biológiai sokféleség és állatjólét</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0138;top:5463;width:3364;height:262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Csata erdőirtás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újraerdősítés fokozása, többek között a városi területeken 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erdőirtásból származó termékek behozatalának tilalma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veszélyeztetett európai állatfajok védelme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egzotikus állatok mint háziállatok kereskedelmének megállítása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víziállatok jólétének védelme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biológiai sokféleség előmozdítása olyan konkrét intézkedésekkel, mint a zöld tetők </w:t>
                          </w:r>
                        </w:p>
                      </w:txbxContent>
                    </v:textbox>
                    <v:fill o:detectmouseclick="t" type="solid" color2="#111111"/>
                    <v:stroke color="#3465a4" joinstyle="round" endcap="flat"/>
                    <w10:wrap type="topAndBottom"/>
                  </v:rect>
                </v:group>
              </v:group>
            </w:pict>
          </mc:Fallback>
        </mc:AlternateContent>
      </w:r>
    </w:p>
    <w:p>
      <w:pPr>
        <w:sectPr>
          <w:headerReference w:type="default" r:id="rId312"/>
          <w:footerReference w:type="default" r:id="rId313"/>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Normal"/>
        <w:rPr/>
      </w:pPr>
      <w:r>
        <w:rPr/>
      </w:r>
    </w:p>
    <w:p>
      <w:pPr>
        <w:pStyle w:val="Normal"/>
        <w:rPr/>
      </w:pPr>
      <w:r>
        <w:rPr/>
        <w:drawing>
          <wp:anchor behindDoc="0" distT="0" distB="0" distL="0" distR="0" simplePos="0" locked="0" layoutInCell="0" allowOverlap="1" relativeHeight="92">
            <wp:simplePos x="0" y="0"/>
            <wp:positionH relativeFrom="column">
              <wp:align>center</wp:align>
            </wp:positionH>
            <wp:positionV relativeFrom="paragraph">
              <wp:posOffset>635</wp:posOffset>
            </wp:positionV>
            <wp:extent cx="2970530" cy="1981200"/>
            <wp:effectExtent l="0" t="0" r="0" b="0"/>
            <wp:wrapSquare wrapText="largest"/>
            <wp:docPr id="61" name="Kép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Kép32" descr=""/>
                    <pic:cNvPicPr>
                      <a:picLocks noChangeAspect="1" noChangeArrowheads="1"/>
                    </pic:cNvPicPr>
                  </pic:nvPicPr>
                  <pic:blipFill>
                    <a:blip r:embed="rId314"/>
                    <a:stretch>
                      <a:fillRect/>
                    </a:stretch>
                  </pic:blipFill>
                  <pic:spPr bwMode="auto">
                    <a:xfrm>
                      <a:off x="0" y="0"/>
                      <a:ext cx="2970530" cy="1981200"/>
                    </a:xfrm>
                    <a:prstGeom prst="rect">
                      <a:avLst/>
                    </a:prstGeom>
                  </pic:spPr>
                </pic:pic>
              </a:graphicData>
            </a:graphic>
          </wp:anchor>
        </w:drawing>
      </w:r>
    </w:p>
    <w:p>
      <w:pPr>
        <w:pStyle w:val="Titre1"/>
        <w:numPr>
          <w:ilvl w:val="0"/>
          <w:numId w:val="1"/>
        </w:numPr>
        <w:rPr/>
      </w:pPr>
      <w:bookmarkStart w:id="30" w:name="__RefHeading___Toc86385_2514204080"/>
      <w:bookmarkEnd w:id="30"/>
      <w:r>
        <w:rPr/>
        <w:t>3. Egészség</w:t>
      </w:r>
    </w:p>
    <w:p>
      <w:pPr>
        <w:pStyle w:val="Normal"/>
        <w:rPr/>
      </w:pPr>
      <w:r>
        <w:rPr/>
      </w:r>
    </w:p>
    <w:p>
      <w:pPr>
        <w:pStyle w:val="Corpsdetexte"/>
        <w:rPr/>
      </w:pPr>
      <w:r>
        <w:rPr/>
        <w:t xml:space="preserve">Az egészségügy témájában a közreműködők a témák széles skálájával foglalkoztak. A leggyakrabban visszatérő témák elősegítették a magas színvonalú egészségügyi ellátáshoz való egyenlő hozzáférés biztosításának szükségességét, és az egészségügyi ellátás nagyobb mértékű európai szintű harmonizációját és integrációját javasolták; ezt a Covid19-cel kapcsolatos tapasztalatok és annak hatása is befolyásolta. Az egyéb ötletek között szerepel a mentális egészségbe való nagyobb beruházásra irányuló felhívások, a jelenlegi egészségügyi kihívások leküzdésére irányuló egészségügyi kutatás, különös tekintettel az idősödő népességre és a rákra, valamint a megelőző intézkedésekbe való beruházásra irányuló felhívások, beleértve az egészséges életmód előmozdítását és az egészségügyi problémák – például a levegőszennyezés és a dohányfogyasztás – okaiként ismert elemek kezelését. Ez a téma 2 413 hozzászólást eredményezett: 1162 ötlet, 1,003 hozzászólás és 248 esemény. Az azonosított témák előfordulási szintjük szerint vannak felsorolva. A téma fő témái a következők: </w:t>
      </w:r>
    </w:p>
    <w:p>
      <w:pPr>
        <w:pStyle w:val="Corpsdetexte"/>
        <w:spacing w:lineRule="auto" w:line="240" w:before="57" w:after="57"/>
        <w:jc w:val="left"/>
        <w:rPr/>
      </w:pPr>
      <w:r>
        <w:rPr/>
        <w:t>•</w:t>
      </w:r>
      <w:r>
        <w:rPr>
          <w:b/>
        </w:rPr>
        <w:t xml:space="preserve"> </w:t>
      </w:r>
      <w:r>
        <w:rPr>
          <w:b/>
        </w:rPr>
        <w:t xml:space="preserve">Egészségügyi ellátás mindenki számára </w:t>
      </w:r>
    </w:p>
    <w:p>
      <w:pPr>
        <w:pStyle w:val="Corpsdetexte"/>
        <w:jc w:val="left"/>
        <w:rPr/>
      </w:pPr>
      <w:r>
        <w:rPr/>
        <w:t xml:space="preserve">• </w:t>
      </w:r>
      <w:r>
        <w:rPr>
          <w:b/>
        </w:rPr>
        <w:t xml:space="preserve">Az uniós egészségügyi rendszerek integrálása </w:t>
      </w:r>
    </w:p>
    <w:p>
      <w:pPr>
        <w:pStyle w:val="Corpsdetexte"/>
        <w:jc w:val="left"/>
        <w:rPr/>
      </w:pPr>
      <w:r>
        <w:rPr/>
        <w:t xml:space="preserve">• </w:t>
      </w:r>
      <w:r>
        <w:rPr>
          <w:b/>
        </w:rPr>
        <w:t xml:space="preserve">Egészséges életmód </w:t>
      </w:r>
    </w:p>
    <w:p>
      <w:pPr>
        <w:pStyle w:val="Corpsdetexte"/>
        <w:jc w:val="left"/>
        <w:rPr/>
      </w:pPr>
      <w:r>
        <w:rPr/>
        <w:t xml:space="preserve">• </w:t>
      </w:r>
      <w:r>
        <w:rPr>
          <w:b/>
        </w:rPr>
        <w:t xml:space="preserve">Egészségügyi kutatás </w:t>
      </w:r>
    </w:p>
    <w:p>
      <w:pPr>
        <w:pStyle w:val="Corpsdetexte"/>
        <w:jc w:val="left"/>
        <w:rPr/>
      </w:pPr>
      <w:r>
        <w:rPr/>
        <w:t xml:space="preserve">• </w:t>
      </w:r>
      <w:r>
        <w:rPr>
          <w:b/>
        </w:rPr>
        <w:t xml:space="preserve">Megelőzés, nem pedig beavatkozás </w:t>
      </w:r>
    </w:p>
    <w:p>
      <w:pPr>
        <w:pStyle w:val="P68B1DB1Corpsdetexte12"/>
        <w:jc w:val="left"/>
        <w:rPr>
          <w:b/>
          <w:b/>
        </w:rPr>
      </w:pPr>
      <w:r>
        <w:rPr/>
        <w:t xml:space="preserve">• </w:t>
      </w:r>
      <w:r>
        <w:rPr/>
        <w:t xml:space="preserve">Egészséges öregedés és öregedésgátló </w:t>
      </w:r>
    </w:p>
    <w:p>
      <w:pPr>
        <w:pStyle w:val="Corpsdetexte"/>
        <w:jc w:val="left"/>
        <w:rPr/>
      </w:pPr>
      <w:r>
        <w:rPr/>
        <w:t xml:space="preserve">• </w:t>
      </w:r>
      <w:r>
        <w:rPr>
          <w:b/>
        </w:rPr>
        <w:t xml:space="preserve">Gyógyszerek megközelítése </w:t>
      </w:r>
    </w:p>
    <w:p>
      <w:pPr>
        <w:pStyle w:val="Corpsdetexte"/>
        <w:jc w:val="left"/>
        <w:rPr/>
      </w:pPr>
      <w:r>
        <w:rPr/>
        <w:t xml:space="preserve">• </w:t>
      </w:r>
      <w:r>
        <w:rPr>
          <w:b/>
        </w:rPr>
        <w:t xml:space="preserve">A Covid19-járványra adott válaszok </w:t>
      </w:r>
    </w:p>
    <w:p>
      <w:pPr>
        <w:pStyle w:val="Corpsdetexte"/>
        <w:jc w:val="left"/>
        <w:rPr/>
      </w:pPr>
      <w:r>
        <w:rPr/>
        <w:t xml:space="preserve">• </w:t>
      </w:r>
      <w:r>
        <w:rPr>
          <w:b/>
        </w:rPr>
        <w:t xml:space="preserve">Egészség a digitalizált korban </w:t>
      </w:r>
    </w:p>
    <w:p>
      <w:pPr>
        <w:pStyle w:val="Corpsdetexte"/>
        <w:jc w:val="left"/>
        <w:rPr/>
      </w:pPr>
      <w:r>
        <w:rPr>
          <w:b/>
        </w:rPr>
        <w:t xml:space="preserve">• </w:t>
      </w:r>
      <w:r>
        <w:rPr>
          <w:b/>
        </w:rPr>
        <w:t xml:space="preserve">Rákkezelés </w:t>
      </w:r>
    </w:p>
    <w:p>
      <w:pPr>
        <w:pStyle w:val="Corpsdetexte"/>
        <w:jc w:val="left"/>
        <w:rPr/>
      </w:pPr>
      <w:r>
        <w:rPr/>
        <w:t xml:space="preserve">• </w:t>
      </w:r>
      <w:r>
        <w:rPr>
          <w:b/>
        </w:rPr>
        <w:t xml:space="preserve">Egészségügyi dolgozók </w:t>
      </w:r>
    </w:p>
    <w:p>
      <w:pPr>
        <w:pStyle w:val="Corpsdetexte"/>
        <w:spacing w:lineRule="auto" w:line="240" w:before="57" w:after="57"/>
        <w:jc w:val="left"/>
        <w:rPr/>
      </w:pPr>
      <w:r>
        <w:rPr/>
        <w:t xml:space="preserve">• </w:t>
      </w:r>
      <w:r>
        <w:rPr>
          <w:b/>
        </w:rPr>
        <w:t>Szexuális és reproduktív egészség</w:t>
      </w:r>
      <w:r>
        <w:rPr>
          <w:color w:val="000000"/>
        </w:rPr>
        <w:t xml:space="preserve"> </w:t>
      </w:r>
    </w:p>
    <w:p>
      <w:pPr>
        <w:pStyle w:val="Corpsdetexte"/>
        <w:spacing w:lineRule="auto" w:line="240" w:before="57" w:after="57"/>
        <w:jc w:val="left"/>
        <w:rPr/>
      </w:pPr>
      <w:r>
        <w:rPr/>
      </w:r>
    </w:p>
    <w:p>
      <w:pPr>
        <w:pStyle w:val="Titre2"/>
        <w:numPr>
          <w:ilvl w:val="1"/>
          <w:numId w:val="1"/>
        </w:numPr>
        <w:rPr/>
      </w:pPr>
      <w:bookmarkStart w:id="31" w:name="__RefHeading___Toc86387_2514204080"/>
      <w:bookmarkEnd w:id="31"/>
      <w:r>
        <w:rPr/>
        <w:t xml:space="preserve">Események </w:t>
      </w:r>
    </w:p>
    <w:p>
      <w:pPr>
        <w:pStyle w:val="Corpsdetexte"/>
        <w:rPr/>
      </w:pPr>
      <w:r>
        <w:rPr/>
        <w:t xml:space="preserve">A közelmúltban számos esemény foglalkozott olyan kérdésekkel, mint a mentális egészség és a jólét (lásd például az </w:t>
      </w:r>
      <w:hyperlink r:id="rId315">
        <w:r>
          <w:rPr>
            <w:rStyle w:val="LienInternet"/>
          </w:rPr>
          <w:t>eseményt</w:t>
        </w:r>
      </w:hyperlink>
      <w:r>
        <w:rPr/>
        <w:t xml:space="preserve">). A lengyelországi ifjúsági tanácsok európai kongresszusának keretében a résztvevők megvitatták, hogy a közösségi média milyen hatással van a mentális egészségre (lásd az </w:t>
      </w:r>
      <w:hyperlink r:id="rId316">
        <w:r>
          <w:rPr>
            <w:rStyle w:val="LienInternet"/>
          </w:rPr>
          <w:t>eseményt</w:t>
        </w:r>
      </w:hyperlink>
      <w:hyperlink r:id="rId317">
        <w:r>
          <w:rPr>
            <w:rStyle w:val="LienInternet"/>
          </w:rPr>
          <w:t>)</w:t>
        </w:r>
      </w:hyperlink>
      <w:r>
        <w:rPr/>
        <w:t>. A Covid19-világjárvány kapcsán megvizsgálták a világjárványnak a polgárok fizikai és mentális egészségére gyakorolt hatásait (lásd az</w:t>
      </w:r>
      <w:hyperlink r:id="rId318">
        <w:r>
          <w:rPr>
            <w:rStyle w:val="LienInternet"/>
          </w:rPr>
          <w:t xml:space="preserve"> </w:t>
        </w:r>
      </w:hyperlink>
      <w:hyperlink r:id="rId319">
        <w:r>
          <w:rPr>
            <w:rStyle w:val="LienInternet"/>
          </w:rPr>
          <w:t>eseményt</w:t>
        </w:r>
      </w:hyperlink>
      <w:hyperlink r:id="rId320">
        <w:r>
          <w:rPr>
            <w:rStyle w:val="LienInternet"/>
          </w:rPr>
          <w:t>)</w:t>
        </w:r>
      </w:hyperlink>
      <w:r>
        <w:rPr/>
        <w:t xml:space="preserve">. </w:t>
      </w:r>
    </w:p>
    <w:p>
      <w:pPr>
        <w:pStyle w:val="Corpsdetexte"/>
        <w:jc w:val="left"/>
        <w:rPr/>
      </w:pPr>
      <w:r>
        <w:rPr/>
        <w:t>A Ljubljanai Egyetemen szervezett online rendezvényen a résztvevők azt vizsgálták, hogy az EU milyen szerepet játszik az egészséges időskor megteremtésében (lásd az</w:t>
      </w:r>
      <w:hyperlink r:id="rId321">
        <w:r>
          <w:rPr>
            <w:rStyle w:val="LienInternet"/>
          </w:rPr>
          <w:t xml:space="preserve"> </w:t>
        </w:r>
      </w:hyperlink>
      <w:hyperlink r:id="rId322">
        <w:r>
          <w:rPr>
            <w:rStyle w:val="LienInternet"/>
          </w:rPr>
          <w:t>eseményt</w:t>
        </w:r>
      </w:hyperlink>
      <w:hyperlink r:id="rId323">
        <w:r>
          <w:rPr>
            <w:rStyle w:val="LienInternet"/>
          </w:rPr>
          <w:t>)</w:t>
        </w:r>
      </w:hyperlink>
      <w:r>
        <w:rPr/>
        <w:t>, míg Olaszországban az európai rákellenes tervnek szenteltek egy rendezvényt (lásd az</w:t>
      </w:r>
      <w:hyperlink r:id="rId324">
        <w:r>
          <w:rPr>
            <w:rStyle w:val="LienInternet"/>
          </w:rPr>
          <w:t xml:space="preserve"> </w:t>
        </w:r>
      </w:hyperlink>
      <w:hyperlink r:id="rId325">
        <w:r>
          <w:rPr>
            <w:rStyle w:val="LienInternet"/>
          </w:rPr>
          <w:t>eseményt</w:t>
        </w:r>
      </w:hyperlink>
      <w:hyperlink r:id="rId326">
        <w:r>
          <w:rPr>
            <w:rStyle w:val="LienInternet"/>
          </w:rPr>
          <w:t>)</w:t>
        </w:r>
      </w:hyperlink>
      <w:r>
        <w:rPr/>
        <w:t xml:space="preserve">. </w:t>
      </w:r>
    </w:p>
    <w:p>
      <w:pPr>
        <w:pStyle w:val="Corpsdetexte"/>
        <w:jc w:val="left"/>
        <w:rPr/>
      </w:pPr>
      <w:r>
        <w:rPr/>
        <w:t>Az egészségügyi ellátás uniós tagállamokba való integrálásával kapcsolatban az európai közegészségügyi rendszer létrehozásának kilátásait és kihívásait egy görögországi</w:t>
      </w:r>
      <w:hyperlink r:id="rId327">
        <w:r>
          <w:rPr>
            <w:rStyle w:val="LienInternet"/>
          </w:rPr>
          <w:t>részvételen alapuló</w:t>
        </w:r>
      </w:hyperlink>
      <w:r>
        <w:rPr/>
        <w:t xml:space="preserve">szemináriumon (lásd az eseményt) biztosították. A résztvevők ötleteket fogalmaztak meg az Európai Orvosi Hadtest létrehozására irányuló felhívásoktól kezdve az Észak és Dél közötti egyenlőtlenségek megszüntetésének szükségességéig annak érdekében, hogy egy ilyen közös európai közegészségügyi rendszer felé mozduljanak el. Egy online rendezvény a szennyező anyagokból, például a dohányfüstből, az üzemanyag-gázból, a vegyi anyagokból és más allergénekből és radonokból származó levegő minőségével kapcsolatos egészségügyi kockázatokat tárgyalt (lásd az eseményt). </w:t>
      </w:r>
    </w:p>
    <w:p>
      <w:pPr>
        <w:pStyle w:val="Corpsdetexte"/>
        <w:jc w:val="left"/>
        <w:rPr/>
      </w:pPr>
      <w:r>
        <w:rPr/>
      </w:r>
    </w:p>
    <w:p>
      <w:pPr>
        <w:pStyle w:val="Titre2"/>
        <w:numPr>
          <w:ilvl w:val="1"/>
          <w:numId w:val="1"/>
        </w:numPr>
        <w:jc w:val="left"/>
        <w:rPr/>
      </w:pPr>
      <w:bookmarkStart w:id="32" w:name="__RefHeading___Toc86389_2514204080"/>
      <w:bookmarkEnd w:id="32"/>
      <w:r>
        <w:rPr/>
        <w:t xml:space="preserve">Egészségügyi ellátás mindenki számára </w:t>
      </w:r>
    </w:p>
    <w:p>
      <w:pPr>
        <w:pStyle w:val="Corpsdetexte"/>
        <w:jc w:val="left"/>
        <w:rPr/>
      </w:pPr>
      <w:r>
        <w:rPr/>
        <w:t xml:space="preserve">A téma egyik leggyakrabban visszatérő témája a megfizethető és magas színvonalú egészségügyi ellátáshoz való egyenlő hozzáférésre irányuló felhívás (lásd például egy erősen támogatott ötlet példáját). </w:t>
      </w:r>
    </w:p>
    <w:p>
      <w:pPr>
        <w:pStyle w:val="Normal"/>
        <w:jc w:val="left"/>
        <w:rPr/>
      </w:pPr>
      <w:r>
        <w:rPr/>
      </w:r>
    </w:p>
    <w:p>
      <w:pPr>
        <w:pStyle w:val="Normal"/>
        <w:jc w:val="left"/>
        <w:rPr/>
      </w:pPr>
      <w:r>
        <w:rPr/>
        <w:t xml:space="preserve">Az előterjesztett ötletek egy európai egészségbiztosítási rendszer bevezetését is támogatják (lásd például az </w:t>
      </w:r>
      <w:hyperlink r:id="rId328">
        <w:r>
          <w:rPr>
            <w:rStyle w:val="LienInternet"/>
          </w:rPr>
          <w:t>ötletet</w:t>
        </w:r>
      </w:hyperlink>
      <w:r>
        <w:rPr/>
        <w:t>). E témában az egyik erősen támogatott ötlet arra kéri az EU-t, hogy biztosítsa, hogy az EU valamennyi lakosa egyenlő hozzáféréssel rendelkezzen a megfizethető és magas színvonalú egészségügyi és szociális ellátási szolgáltatásokhoz, amelyeket reziliens, jól képzett és jól felszerelt, egyetemes lefedettségű állami rendszerek nyújtanak (lásd az</w:t>
      </w:r>
      <w:hyperlink r:id="rId329">
        <w:r>
          <w:rPr>
            <w:rStyle w:val="LienInternet"/>
          </w:rPr>
          <w:t xml:space="preserve"> </w:t>
        </w:r>
      </w:hyperlink>
      <w:hyperlink r:id="rId330">
        <w:r>
          <w:rPr>
            <w:rStyle w:val="LienInternet"/>
          </w:rPr>
          <w:t>ötletet</w:t>
        </w:r>
      </w:hyperlink>
      <w:hyperlink r:id="rId331">
        <w:r>
          <w:rPr>
            <w:rStyle w:val="LienInternet"/>
          </w:rPr>
          <w:t>)</w:t>
        </w:r>
      </w:hyperlink>
      <w:r>
        <w:rPr/>
        <w:t>. Számos elképzelés alakul ki azzal kapcsolatban, hogy az EU-nak forrásokat kell elkülönítenie annak biztosítására, hogy a mentális egészségügyi ellátáshoz való hozzáférés mindenki számára biztosított legyen, függetlenül a jövedelemtől és az életkortól (lásd például az</w:t>
      </w:r>
      <w:hyperlink r:id="rId332">
        <w:r>
          <w:rPr>
            <w:rStyle w:val="LienInternet"/>
          </w:rPr>
          <w:t xml:space="preserve"> </w:t>
        </w:r>
      </w:hyperlink>
      <w:hyperlink r:id="rId333">
        <w:r>
          <w:rPr>
            <w:rStyle w:val="LienInternet"/>
          </w:rPr>
          <w:t>ötletet</w:t>
        </w:r>
      </w:hyperlink>
      <w:r>
        <w:rPr/>
        <w:t xml:space="preserve">). Az egészségügyi ágazat privatizációjának gondolata az egészségügyi ellátás mindenki számára megfizethetővé tételének egyik módja (lásd például az </w:t>
      </w:r>
      <w:hyperlink r:id="rId334">
        <w:r>
          <w:rPr>
            <w:rStyle w:val="LienInternet"/>
          </w:rPr>
          <w:t>ötletet</w:t>
        </w:r>
      </w:hyperlink>
      <w:hyperlink r:id="rId335">
        <w:r>
          <w:rPr>
            <w:rStyle w:val="LienInternet"/>
          </w:rPr>
          <w:t>)</w:t>
        </w:r>
      </w:hyperlink>
      <w:r>
        <w:rPr/>
        <w:t xml:space="preserve">, valamint az EU-n belüli köz- és magánegészségügyi hozzáférés kettős nyomon követésének eltörlése (lásd az </w:t>
      </w:r>
      <w:hyperlink r:id="rId336">
        <w:r>
          <w:rPr>
            <w:rStyle w:val="LienInternet"/>
          </w:rPr>
          <w:t>ötletet</w:t>
        </w:r>
      </w:hyperlink>
      <w:hyperlink r:id="rId337">
        <w:r>
          <w:rPr>
            <w:rStyle w:val="LienInternet"/>
          </w:rPr>
          <w:t>)</w:t>
        </w:r>
      </w:hyperlink>
      <w:r>
        <w:rPr/>
        <w:t>. Más ötletek vetik fel a gyógyszerek költségének kérdését, és javaslatokat tesznek arra, hogy azokat mindenki számára megfizethetőbbé tegyék azáltal, hogy jobban nyomon követik a gyógyszeripart (lásd például az</w:t>
      </w:r>
      <w:hyperlink r:id="rId338">
        <w:r>
          <w:rPr>
            <w:rStyle w:val="LienInternet"/>
          </w:rPr>
          <w:t xml:space="preserve"> </w:t>
        </w:r>
      </w:hyperlink>
      <w:hyperlink r:id="rId339">
        <w:r>
          <w:rPr>
            <w:rStyle w:val="LienInternet"/>
          </w:rPr>
          <w:t>ötletet</w:t>
        </w:r>
      </w:hyperlink>
      <w:hyperlink r:id="rId340">
        <w:r>
          <w:rPr>
            <w:rStyle w:val="LienInternet"/>
          </w:rPr>
          <w:t>)</w:t>
        </w:r>
      </w:hyperlink>
      <w:r>
        <w:rPr/>
        <w:t xml:space="preserve">. </w:t>
      </w:r>
    </w:p>
    <w:p>
      <w:pPr>
        <w:pStyle w:val="Normal"/>
        <w:jc w:val="left"/>
        <w:rPr/>
      </w:pPr>
      <w:r>
        <w:rPr/>
        <w:t xml:space="preserve">Ami a hozzáférhetőséget illeti, ötletek egy csoportja számos megoldást javasol annak érdekében, hogy az egészségügyi ellátás gyakorlatilag hozzáférhetőbbé váljon a csökkent mozgásképességű vagy távoli területeken tartózkodó betegek számára (lásd például az </w:t>
      </w:r>
      <w:hyperlink r:id="rId341">
        <w:r>
          <w:rPr>
            <w:rStyle w:val="LienInternet"/>
          </w:rPr>
          <w:t>ötletet</w:t>
        </w:r>
      </w:hyperlink>
      <w:r>
        <w:rPr/>
        <w:t>). A távoli egészségügyi ellátás fejlesztése az egészségügyi buszokkal ellátott orvosi rendszerekhez való nagy sebességű és alacsony akadálymentes hozzáférés formájában valósul meg (lásd az</w:t>
      </w:r>
      <w:hyperlink r:id="rId342">
        <w:r>
          <w:rPr>
            <w:rStyle w:val="LienInternet"/>
          </w:rPr>
          <w:t xml:space="preserve"> </w:t>
        </w:r>
      </w:hyperlink>
      <w:hyperlink r:id="rId343">
        <w:r>
          <w:rPr>
            <w:rStyle w:val="LienInternet"/>
          </w:rPr>
          <w:t>ötletet</w:t>
        </w:r>
      </w:hyperlink>
      <w:r>
        <w:rPr/>
        <w:t xml:space="preserve">). </w:t>
      </w:r>
    </w:p>
    <w:p>
      <w:pPr>
        <w:pStyle w:val="Normal"/>
        <w:jc w:val="left"/>
        <w:rPr/>
      </w:pPr>
      <w:r>
        <w:rPr/>
        <w:t xml:space="preserve">Az utolsó altéma az egészségügyi ellátáshoz való hozzáférés egyenlőségi aspektusával kapcsolatos. A hozzászólók rámutatnak arra, hogy bizonyos betegcsoportok gyakran sajátos társadalmi akadályokkal szembesülnek. Egyes résztvevők kiemelik, hogy a gyermekgyógyászati ellátásra kell összpontosítani, különösen a rákos betegek esetében (lásd például az </w:t>
      </w:r>
      <w:hyperlink r:id="rId344">
        <w:r>
          <w:rPr>
            <w:rStyle w:val="LienInternet"/>
          </w:rPr>
          <w:t>ötletet</w:t>
        </w:r>
      </w:hyperlink>
      <w:hyperlink r:id="rId345">
        <w:r>
          <w:rPr>
            <w:rStyle w:val="LienInternet"/>
          </w:rPr>
          <w:t>)</w:t>
        </w:r>
      </w:hyperlink>
      <w:r>
        <w:rPr/>
        <w:t>, egy másik ötlet a fogyatékkal élők számára nyújtott célzott előnyök növelése (lásd az</w:t>
      </w:r>
      <w:hyperlink r:id="rId346">
        <w:r>
          <w:rPr>
            <w:rStyle w:val="LienInternet"/>
          </w:rPr>
          <w:t xml:space="preserve"> </w:t>
        </w:r>
      </w:hyperlink>
      <w:hyperlink r:id="rId347">
        <w:r>
          <w:rPr>
            <w:rStyle w:val="LienInternet"/>
          </w:rPr>
          <w:t>ötletet</w:t>
        </w:r>
      </w:hyperlink>
      <w:hyperlink r:id="rId348">
        <w:r>
          <w:rPr>
            <w:rStyle w:val="LienInternet"/>
          </w:rPr>
          <w:t>)</w:t>
        </w:r>
      </w:hyperlink>
      <w:r>
        <w:rPr/>
        <w:t>. Az egyik résztvevő azt kéri, hogy a transzneműek nagyobb mértékben férhessenek hozzá a célzott egészségügyi szolgáltatásokhoz (lásd</w:t>
      </w:r>
      <w:hyperlink r:id="rId349">
        <w:r>
          <w:rPr>
            <w:rStyle w:val="LienInternet"/>
          </w:rPr>
          <w:t xml:space="preserve"> </w:t>
        </w:r>
      </w:hyperlink>
      <w:hyperlink r:id="rId350">
        <w:r>
          <w:rPr>
            <w:rStyle w:val="LienInternet"/>
          </w:rPr>
          <w:t>az ötletet</w:t>
        </w:r>
      </w:hyperlink>
      <w:hyperlink r:id="rId351">
        <w:r>
          <w:rPr>
            <w:rStyle w:val="LienInternet"/>
          </w:rPr>
          <w:t>)</w:t>
        </w:r>
      </w:hyperlink>
      <w:r>
        <w:rPr/>
        <w:t xml:space="preserve">. </w:t>
      </w:r>
    </w:p>
    <w:p>
      <w:pPr>
        <w:pStyle w:val="Normal"/>
        <w:jc w:val="left"/>
        <w:rPr/>
      </w:pPr>
      <w:r>
        <w:rPr/>
        <w:t>A jelenlegi Covid19-járvány és a mentális egészségügyi szolgáltatásokra vonatkozó egyre növekvő várólisták fényében számos elképzelés alakul ki azzal kapcsolatban, hogy az EU-nak forrásokat kell elkülönítenie a mentális egészségügyi ellátáshoz való hozzáférés biztosítása érdekében, jövedelemtől és életkortól függetlenül (lásd például az</w:t>
      </w:r>
      <w:hyperlink r:id="rId352">
        <w:r>
          <w:rPr>
            <w:rStyle w:val="LienInternet"/>
          </w:rPr>
          <w:t xml:space="preserve"> </w:t>
        </w:r>
      </w:hyperlink>
      <w:hyperlink r:id="rId353">
        <w:r>
          <w:rPr>
            <w:rStyle w:val="LienInternet"/>
          </w:rPr>
          <w:t>ötletet</w:t>
        </w:r>
      </w:hyperlink>
      <w:r>
        <w:rPr/>
        <w:t xml:space="preserve">). </w:t>
      </w:r>
    </w:p>
    <w:p>
      <w:pPr>
        <w:pStyle w:val="Normal"/>
        <w:jc w:val="left"/>
        <w:rPr/>
      </w:pPr>
      <w:r>
        <w:rPr/>
        <w:t>Az „Egészség határok nélkül az idősödő népességben” című német rendezvény az európai egészségügyi rendszerek előtt álló jelenlegi és jövőbeli kihívásokat tárgyalta a korunk egészségét jellemző két megatrendtel szemben: a népesség elöregedése és a technológiai forradalom. A rendezvény egy része annak megértése is volt, hogy miként lehet kihasználni a technológiát annak érdekében, hogy a népesség elöregedése ellenére átfogó egészségügyi ellátást biztosítsanak (lásd az</w:t>
      </w:r>
      <w:hyperlink r:id="rId354">
        <w:r>
          <w:rPr>
            <w:rStyle w:val="LienInternet"/>
          </w:rPr>
          <w:t xml:space="preserve"> </w:t>
        </w:r>
      </w:hyperlink>
      <w:hyperlink r:id="rId355">
        <w:r>
          <w:rPr>
            <w:rStyle w:val="LienInternet"/>
          </w:rPr>
          <w:t>eseményt</w:t>
        </w:r>
      </w:hyperlink>
      <w:hyperlink r:id="rId356">
        <w:r>
          <w:rPr>
            <w:rStyle w:val="LienInternet"/>
          </w:rPr>
          <w:t>)</w:t>
        </w:r>
      </w:hyperlink>
      <w:r>
        <w:rPr/>
        <w:t xml:space="preserve">. A résztvevők három cselekvési területet azonosítottak: nemzetközi képzési programok létrehozása, az egészségügyi kutatás és gondozás földrajzi határainak leküzdése, valamint a munkamodellek (munkaidő és tartalom) javítása, különös tekintettel a munkavállalók értékelési mechanizmusaira. </w:t>
      </w:r>
    </w:p>
    <w:p>
      <w:pPr>
        <w:pStyle w:val="Corpsdetexte"/>
        <w:jc w:val="left"/>
        <w:rPr/>
      </w:pPr>
      <w:r>
        <w:rPr/>
      </w:r>
    </w:p>
    <w:p>
      <w:pPr>
        <w:pStyle w:val="Corpsdetexte"/>
        <w:jc w:val="left"/>
        <w:rPr/>
      </w:pPr>
      <w:r>
        <w:rPr/>
      </w:r>
    </w:p>
    <w:p>
      <w:pPr>
        <w:pStyle w:val="Titre2"/>
        <w:numPr>
          <w:ilvl w:val="1"/>
          <w:numId w:val="1"/>
        </w:numPr>
        <w:jc w:val="left"/>
        <w:rPr/>
      </w:pPr>
      <w:bookmarkStart w:id="33" w:name="__RefHeading___Toc86391_2514204080"/>
      <w:bookmarkEnd w:id="33"/>
      <w:r>
        <w:rPr/>
        <w:t>Az uniós egészségügyi rendszerek integrálása</w:t>
      </w:r>
    </w:p>
    <w:p>
      <w:pPr>
        <w:pStyle w:val="Normal"/>
        <w:jc w:val="left"/>
        <w:rPr/>
      </w:pPr>
      <w:r>
        <w:rPr/>
        <w:t>Az egészségüggyel kapcsolatban javasolt ötletek közül az egyik leggyakrabban említett téma az uniós egészségügyi rendszereknek a tagállamok közötti fokozott együttműködéssel történő integrálása (lásd például az</w:t>
      </w:r>
      <w:hyperlink r:id="rId357">
        <w:r>
          <w:rPr>
            <w:rStyle w:val="LienInternet"/>
          </w:rPr>
          <w:t xml:space="preserve"> </w:t>
        </w:r>
      </w:hyperlink>
      <w:hyperlink r:id="rId358">
        <w:r>
          <w:rPr>
            <w:rStyle w:val="LienInternet"/>
          </w:rPr>
          <w:t>ötletet</w:t>
        </w:r>
      </w:hyperlink>
      <w:r>
        <w:rPr/>
        <w:t xml:space="preserve">). A platform résztvevői szorosabb együttműködést szorgalmaznak a tagállamok között az európai egészségügyi rendszerek megerősítése (lásd például az </w:t>
      </w:r>
      <w:hyperlink r:id="rId359">
        <w:r>
          <w:rPr>
            <w:rStyle w:val="LienInternet"/>
          </w:rPr>
          <w:t>eseményt</w:t>
        </w:r>
      </w:hyperlink>
      <w:r>
        <w:rPr/>
        <w:t>) és a minőségi egészségügyi ellátás biztosítása érdekében az EU-ban. Az ötletek közé tartozik az ellátás uniós szintű normáinak meghatározása (lásd az</w:t>
      </w:r>
      <w:hyperlink r:id="rId360">
        <w:r>
          <w:rPr>
            <w:rStyle w:val="LienInternet"/>
          </w:rPr>
          <w:t xml:space="preserve"> </w:t>
        </w:r>
      </w:hyperlink>
      <w:hyperlink r:id="rId361">
        <w:r>
          <w:rPr>
            <w:rStyle w:val="LienInternet"/>
          </w:rPr>
          <w:t>ötletet</w:t>
        </w:r>
      </w:hyperlink>
      <w:hyperlink r:id="rId362">
        <w:r>
          <w:rPr>
            <w:rStyle w:val="LienInternet"/>
          </w:rPr>
          <w:t xml:space="preserve"> </w:t>
        </w:r>
      </w:hyperlink>
      <w:r>
        <w:rPr/>
        <w:t>és az</w:t>
      </w:r>
      <w:hyperlink r:id="rId363">
        <w:r>
          <w:rPr>
            <w:rStyle w:val="LienInternet"/>
          </w:rPr>
          <w:t xml:space="preserve"> </w:t>
        </w:r>
      </w:hyperlink>
      <w:hyperlink r:id="rId364">
        <w:r>
          <w:rPr>
            <w:rStyle w:val="LienInternet"/>
          </w:rPr>
          <w:t>ötletet</w:t>
        </w:r>
      </w:hyperlink>
      <w:r>
        <w:rPr/>
        <w:t xml:space="preserve">), az orvosi ismeretek és kapacitások hálózaton belüli összevonása (lásd például az </w:t>
      </w:r>
      <w:hyperlink r:id="rId365">
        <w:r>
          <w:rPr>
            <w:rStyle w:val="LienInternet"/>
          </w:rPr>
          <w:t>ötletet</w:t>
        </w:r>
      </w:hyperlink>
      <w:r>
        <w:rPr/>
        <w:t xml:space="preserve">), vagy például annak lehetővé tétele, hogy az intenzivisták szabadon mozoghassanak, és gondoskodjanak a kritikusan beteg betegekről az EU-ban (lásd például az </w:t>
      </w:r>
      <w:hyperlink r:id="rId366">
        <w:r>
          <w:rPr>
            <w:rStyle w:val="LienInternet"/>
          </w:rPr>
          <w:t>ötletet</w:t>
        </w:r>
      </w:hyperlink>
      <w:r>
        <w:rPr/>
        <w:t xml:space="preserve">). Vannak javaslatok a gondozói képesítések EU-szerte történő elismerésére, a ritka betegségek európai kórházának létrehozására (lásd az </w:t>
      </w:r>
      <w:hyperlink r:id="rId367">
        <w:r>
          <w:rPr>
            <w:rStyle w:val="LienInternet"/>
          </w:rPr>
          <w:t>ötletet</w:t>
        </w:r>
      </w:hyperlink>
      <w:r>
        <w:rPr/>
        <w:t>), a transzplantációra vonatkozó jogi szabályozás javítására az egységes szervátültetési és szervadományozási rendszer létrehozása érdekében (lásd az</w:t>
      </w:r>
      <w:hyperlink r:id="rId368">
        <w:r>
          <w:rPr>
            <w:rStyle w:val="LienInternet"/>
          </w:rPr>
          <w:t xml:space="preserve"> </w:t>
        </w:r>
      </w:hyperlink>
      <w:hyperlink r:id="rId369">
        <w:r>
          <w:rPr>
            <w:rStyle w:val="LienInternet"/>
          </w:rPr>
          <w:t>ötletet</w:t>
        </w:r>
      </w:hyperlink>
      <w:r>
        <w:rPr/>
        <w:t>), valamint az egészségügyi intézmények akkreditációjával foglalkozó európai ügynökség létrehozásáról (lásd az</w:t>
      </w:r>
      <w:hyperlink r:id="rId370">
        <w:r>
          <w:rPr>
            <w:rStyle w:val="LienInternet"/>
          </w:rPr>
          <w:t xml:space="preserve"> </w:t>
        </w:r>
      </w:hyperlink>
      <w:hyperlink r:id="rId371">
        <w:r>
          <w:rPr>
            <w:rStyle w:val="LienInternet"/>
          </w:rPr>
          <w:t>ötletet</w:t>
        </w:r>
      </w:hyperlink>
      <w:hyperlink r:id="rId372">
        <w:r>
          <w:rPr>
            <w:rStyle w:val="LienInternet"/>
          </w:rPr>
          <w:t>)</w:t>
        </w:r>
      </w:hyperlink>
      <w:r>
        <w:rPr/>
        <w:t xml:space="preserve">. Ugyanakkor a hozzászólók azt javasolják, hogy az egész EU-ban elismerjék a betegségeket, hogy hozzanak létre egy adatbázist, amely kezelési módszereket és értékeléseket tartalmaz, hogy létrejöjjön az egész EU-ra kiterjedő betegségrendszer (lásd például az </w:t>
      </w:r>
      <w:hyperlink r:id="rId373">
        <w:r>
          <w:rPr>
            <w:rStyle w:val="LienInternet"/>
          </w:rPr>
          <w:t>ötletet</w:t>
        </w:r>
      </w:hyperlink>
      <w:r>
        <w:rPr/>
        <w:t xml:space="preserve">). Egy másik ötlet a határos országok közötti egészségügyi folyosók létrehozására vonatkozik (lásd az </w:t>
      </w:r>
      <w:hyperlink r:id="rId374">
        <w:r>
          <w:rPr>
            <w:rStyle w:val="LienInternet"/>
          </w:rPr>
          <w:t>ötlet példáját</w:t>
        </w:r>
      </w:hyperlink>
      <w:hyperlink r:id="rId375">
        <w:r>
          <w:rPr>
            <w:rStyle w:val="LienInternet"/>
          </w:rPr>
          <w:t>)</w:t>
        </w:r>
      </w:hyperlink>
      <w:r>
        <w:rPr/>
        <w:t xml:space="preserve">. Ez lehetővé tenné a munkavállalók, a betegek és más egészségügyi szakemberek számára, hogy a jövőbeli kijárási korlátozások során átlépjék az országhatárokat, ezáltal biztosítva az egészségügyi ellátáshoz való hozzáférést. </w:t>
      </w:r>
    </w:p>
    <w:p>
      <w:pPr>
        <w:pStyle w:val="Normal"/>
        <w:jc w:val="left"/>
        <w:rPr/>
      </w:pPr>
      <w:r>
        <w:rPr/>
        <w:t xml:space="preserve">Ennek megfelelően a megbeszélések hangsúlyozzák, hogy növelni kell az EU közegészségügyi hatásköreit (lásd például egy </w:t>
      </w:r>
      <w:hyperlink r:id="rId376">
        <w:r>
          <w:rPr>
            <w:rStyle w:val="LienInternet"/>
          </w:rPr>
          <w:t>ötlet</w:t>
        </w:r>
      </w:hyperlink>
      <w:hyperlink r:id="rId377">
        <w:r>
          <w:rPr>
            <w:rStyle w:val="LienInternet"/>
          </w:rPr>
          <w:t xml:space="preserve"> </w:t>
        </w:r>
      </w:hyperlink>
      <w:r>
        <w:rPr/>
        <w:t xml:space="preserve">és egy </w:t>
      </w:r>
      <w:hyperlink r:id="rId378">
        <w:r>
          <w:rPr>
            <w:rStyle w:val="LienInternet"/>
          </w:rPr>
          <w:t>esemény</w:t>
        </w:r>
      </w:hyperlink>
      <w:r>
        <w:rPr/>
        <w:t>példáját</w:t>
      </w:r>
      <w:hyperlink r:id="rId379">
        <w:r>
          <w:rPr>
            <w:rStyle w:val="LienInternet"/>
          </w:rPr>
          <w:t>)</w:t>
        </w:r>
      </w:hyperlink>
      <w:r>
        <w:rPr/>
        <w:t xml:space="preserve">, és sokan javasolják és támogatják a Lisszaboni Szerződés felülvizsgálatának gondolatát (lásd egy </w:t>
      </w:r>
      <w:hyperlink r:id="rId380">
        <w:r>
          <w:rPr>
            <w:rStyle w:val="LienInternet"/>
          </w:rPr>
          <w:t>ötlet példáját</w:t>
        </w:r>
      </w:hyperlink>
      <w:hyperlink r:id="rId381">
        <w:r>
          <w:rPr>
            <w:rStyle w:val="LienInternet"/>
          </w:rPr>
          <w:t>)</w:t>
        </w:r>
      </w:hyperlink>
      <w:r>
        <w:rPr/>
        <w:t xml:space="preserve">. Mások egy Európai Egészségügyi Hatóság létrehozását javasolják (lásd az </w:t>
      </w:r>
      <w:hyperlink r:id="rId382">
        <w:r>
          <w:rPr>
            <w:rStyle w:val="LienInternet"/>
          </w:rPr>
          <w:t>ötletet</w:t>
        </w:r>
      </w:hyperlink>
      <w:r>
        <w:rPr/>
        <w:t xml:space="preserve">), vagy az EMA, az Európai Gyógyszerügynökség (lásd az </w:t>
      </w:r>
      <w:hyperlink r:id="rId383">
        <w:r>
          <w:rPr>
            <w:rStyle w:val="LienInternet"/>
          </w:rPr>
          <w:t>ötletet</w:t>
        </w:r>
      </w:hyperlink>
      <w:hyperlink r:id="rId384">
        <w:r>
          <w:rPr>
            <w:rStyle w:val="LienInternet"/>
          </w:rPr>
          <w:t>)</w:t>
        </w:r>
      </w:hyperlink>
      <w:r>
        <w:rPr/>
        <w:t xml:space="preserve"> szerepének bővítését. Az egyik hozzászóló azt javasolja, hogy hozzanak létre egy európai egészségügyi minisztériumot (lásd az</w:t>
      </w:r>
      <w:hyperlink r:id="rId385">
        <w:r>
          <w:rPr>
            <w:rStyle w:val="LienInternet"/>
          </w:rPr>
          <w:t xml:space="preserve"> </w:t>
        </w:r>
      </w:hyperlink>
      <w:hyperlink r:id="rId386">
        <w:r>
          <w:rPr>
            <w:rStyle w:val="LienInternet"/>
          </w:rPr>
          <w:t>ötletet</w:t>
        </w:r>
      </w:hyperlink>
      <w:hyperlink r:id="rId387">
        <w:r>
          <w:rPr>
            <w:rStyle w:val="LienInternet"/>
          </w:rPr>
          <w:t>)</w:t>
        </w:r>
      </w:hyperlink>
      <w:r>
        <w:rPr/>
        <w:t xml:space="preserve">, vagy egy valódi hatóságot, amely koordinálja az összes uniós egészségügyi ügynökséget, hogy felügyelje a gyógyszerellátást, a fejlesztéstől a gyártásig (lásd az </w:t>
      </w:r>
      <w:hyperlink r:id="rId388">
        <w:r>
          <w:rPr>
            <w:rStyle w:val="LienInternet"/>
          </w:rPr>
          <w:t>ötletet</w:t>
        </w:r>
      </w:hyperlink>
      <w:r>
        <w:rPr/>
        <w:t xml:space="preserve">). Ezeket a javaslatokat leggyakrabban azzal kapcsolatban terjesztik elő, hogy a tagállamok hogyan kezelték a Covid19-világjárványt és az ahhoz kapcsolódó orvosi felszerelések hiányát, az oltóanyagok kifejlesztésével kapcsolatos kihívásokat és a közös oltóanyag-vásárlásokat. Ennek megfelelően a hozzászólók kiemelik, hogy növelni vagy áthelyezni kell a gyógyszerek és orvostechnikai eszközök gyártási kapacitását az EU-n belül (lásd például az </w:t>
      </w:r>
      <w:hyperlink r:id="rId389">
        <w:r>
          <w:rPr>
            <w:rStyle w:val="LienInternet"/>
          </w:rPr>
          <w:t>ötletet</w:t>
        </w:r>
      </w:hyperlink>
      <w:r>
        <w:rPr/>
        <w:t xml:space="preserve">). </w:t>
      </w:r>
    </w:p>
    <w:p>
      <w:pPr>
        <w:pStyle w:val="Normal"/>
        <w:jc w:val="left"/>
        <w:rPr/>
      </w:pPr>
      <w:r>
        <w:rPr/>
        <w:t xml:space="preserve">Egyes hozzászólók a közös uniós egészségügyi kihívásokra irányuló integrált stratégiát szorgalmaznak, például a mentális egészségre vonatkozó európai stratégiát (lásd például az </w:t>
      </w:r>
      <w:hyperlink r:id="rId390">
        <w:r>
          <w:rPr>
            <w:rStyle w:val="LienInternet"/>
          </w:rPr>
          <w:t>ötletet</w:t>
        </w:r>
      </w:hyperlink>
      <w:r>
        <w:rPr/>
        <w:t xml:space="preserve">) és az öngyilkosság megelőzését (lásd például az </w:t>
      </w:r>
      <w:hyperlink r:id="rId391">
        <w:r>
          <w:rPr>
            <w:rStyle w:val="LienInternet"/>
          </w:rPr>
          <w:t>ötletet</w:t>
        </w:r>
      </w:hyperlink>
      <w:r>
        <w:rPr/>
        <w:t xml:space="preserve">), vagy a ritka betegségekre vonatkozó közös megközelítést (lásd például az </w:t>
      </w:r>
      <w:hyperlink r:id="rId392">
        <w:r>
          <w:rPr>
            <w:rStyle w:val="LienInternet"/>
          </w:rPr>
          <w:t>ötletet</w:t>
        </w:r>
      </w:hyperlink>
      <w:hyperlink r:id="rId393">
        <w:r>
          <w:rPr>
            <w:rStyle w:val="LienInternet"/>
          </w:rPr>
          <w:t>)</w:t>
        </w:r>
      </w:hyperlink>
      <w:r>
        <w:rPr/>
        <w:t xml:space="preserve">. Ehhez kapcsolódóan egy Lengyelországban szervezett, az egészségügyről szóló nemzeti vitában a résztvevők azt javasolták, hogy módosítsák az Európai Unióról szóló szerződést annak érdekében, hogy a mentális egészséggel kapcsolatos kérdéseket uniós szinten szabályozzák (lásd az </w:t>
      </w:r>
      <w:hyperlink r:id="rId394">
        <w:r>
          <w:rPr>
            <w:rStyle w:val="LienInternet"/>
          </w:rPr>
          <w:t>eseményt</w:t>
        </w:r>
      </w:hyperlink>
      <w:hyperlink r:id="rId395">
        <w:r>
          <w:rPr>
            <w:rStyle w:val="LienInternet"/>
          </w:rPr>
          <w:t>)</w:t>
        </w:r>
      </w:hyperlink>
      <w:r>
        <w:rPr/>
        <w:t xml:space="preserve">. Mások a rák elleni küzdelem és -megelőzés összefüggésében nem tartják helyénvalónak az Unió egészségügyi hatáskörének kiterjesztését, mivel a tagállamok jobban összhangban vannak a helyi helyzetekkel (lásd az </w:t>
      </w:r>
      <w:hyperlink r:id="rId396">
        <w:r>
          <w:rPr>
            <w:rStyle w:val="LienInternet"/>
          </w:rPr>
          <w:t>ötletet</w:t>
        </w:r>
      </w:hyperlink>
      <w:r>
        <w:rPr/>
        <w:t xml:space="preserve">). Egy sor ötlet foglalkozik az életvégi ellátás témájával, támogatva az életvégi kezelések egységes európai stratégiáját (lásd az </w:t>
      </w:r>
      <w:hyperlink r:id="rId397">
        <w:r>
          <w:rPr>
            <w:rStyle w:val="LienInternet"/>
          </w:rPr>
          <w:t>ötletet</w:t>
        </w:r>
      </w:hyperlink>
      <w:r>
        <w:rPr/>
        <w:t>), míg mások a rákos betegek palliatív kezelésének javítására összpontosítanak (lásd az</w:t>
      </w:r>
      <w:hyperlink r:id="rId398">
        <w:r>
          <w:rPr>
            <w:rStyle w:val="LienInternet"/>
          </w:rPr>
          <w:t xml:space="preserve"> </w:t>
        </w:r>
      </w:hyperlink>
      <w:hyperlink r:id="rId399">
        <w:r>
          <w:rPr>
            <w:rStyle w:val="LienInternet"/>
          </w:rPr>
          <w:t>ötletet</w:t>
        </w:r>
      </w:hyperlink>
      <w:hyperlink r:id="rId400">
        <w:r>
          <w:rPr>
            <w:rStyle w:val="LienInternet"/>
          </w:rPr>
          <w:t>)</w:t>
        </w:r>
      </w:hyperlink>
      <w:r>
        <w:rPr/>
        <w:t>.</w:t>
      </w:r>
    </w:p>
    <w:p>
      <w:pPr>
        <w:pStyle w:val="Normal"/>
        <w:jc w:val="left"/>
        <w:rPr/>
      </w:pPr>
      <w:r>
        <w:rPr/>
      </w:r>
    </w:p>
    <w:p>
      <w:pPr>
        <w:pStyle w:val="Titre2"/>
        <w:numPr>
          <w:ilvl w:val="1"/>
          <w:numId w:val="1"/>
        </w:numPr>
        <w:jc w:val="left"/>
        <w:rPr/>
      </w:pPr>
      <w:bookmarkStart w:id="34" w:name="__RefHeading___Toc86393_2514204080"/>
      <w:bookmarkEnd w:id="34"/>
      <w:r>
        <w:rPr/>
        <w:t>Egészséges életmód</w:t>
      </w:r>
    </w:p>
    <w:p>
      <w:pPr>
        <w:pStyle w:val="Corpsdetexte"/>
        <w:spacing w:lineRule="auto" w:line="240" w:before="57" w:after="57"/>
        <w:jc w:val="left"/>
        <w:rPr/>
      </w:pPr>
      <w:r>
        <w:rPr/>
        <w:t xml:space="preserve">Egy másik gyakran előforduló téma az egészséges életmód előmozdítása. A platform számos résztvevője úgy látja, hogy az EU jól képzett szereplő az egészséges életmód népszerűsítésére az európaiak körében. Számos közreműködő fontosnak tartja a vegán vagy vegetáriánus étrend népszerűsítését egészségügyi és környezeti előnyei miatt (lásd például az </w:t>
      </w:r>
      <w:hyperlink r:id="rId401">
        <w:r>
          <w:rPr>
            <w:rStyle w:val="LienInternet"/>
          </w:rPr>
          <w:t>ötletet</w:t>
        </w:r>
      </w:hyperlink>
      <w:r>
        <w:rPr/>
        <w:t>). Ebben az összefüggésben egyesek azt javasolják, hogy növeljék a húsra kivetett adókat és csökkentsék az egészséges élelmiszerek hozzáadottérték-adóját (lásd az</w:t>
      </w:r>
      <w:hyperlink r:id="rId402">
        <w:r>
          <w:rPr>
            <w:rStyle w:val="LienInternet"/>
          </w:rPr>
          <w:t xml:space="preserve"> </w:t>
        </w:r>
      </w:hyperlink>
      <w:hyperlink r:id="rId403">
        <w:r>
          <w:rPr>
            <w:rStyle w:val="LienInternet"/>
          </w:rPr>
          <w:t>ötletet</w:t>
        </w:r>
      </w:hyperlink>
      <w:r>
        <w:rPr/>
        <w:t xml:space="preserve">), míg mások általában az egészségtelen élelmiszerek megadóztatására törekszenek (lásd például az </w:t>
      </w:r>
      <w:hyperlink r:id="rId404">
        <w:r>
          <w:rPr>
            <w:rStyle w:val="LienInternet"/>
          </w:rPr>
          <w:t>ötletet</w:t>
        </w:r>
      </w:hyperlink>
      <w:hyperlink r:id="rId405">
        <w:r>
          <w:rPr>
            <w:rStyle w:val="LienInternet"/>
          </w:rPr>
          <w:t>)</w:t>
        </w:r>
      </w:hyperlink>
      <w:r>
        <w:rPr/>
        <w:t>. Az egyik résztvevő javasolja az egészséges és bioélelmiszerek támogatását, hogy az alacsony jövedelmű emberek is megengedhessék maguknak, hogy megvásárolják azt (lásd az</w:t>
      </w:r>
      <w:hyperlink r:id="rId406">
        <w:r>
          <w:rPr>
            <w:rStyle w:val="LienInternet"/>
          </w:rPr>
          <w:t xml:space="preserve"> </w:t>
        </w:r>
      </w:hyperlink>
      <w:hyperlink r:id="rId407">
        <w:r>
          <w:rPr>
            <w:rStyle w:val="LienInternet"/>
          </w:rPr>
          <w:t>ötletet</w:t>
        </w:r>
      </w:hyperlink>
      <w:hyperlink r:id="rId408">
        <w:r>
          <w:rPr>
            <w:rStyle w:val="LienInternet"/>
          </w:rPr>
          <w:t>)</w:t>
        </w:r>
      </w:hyperlink>
      <w:r>
        <w:rPr/>
        <w:t>. A rossz étrend következményeire gondolva egy másik résztvevő azt javasolja, hogy kezeljék a rossz étrendhez és az elhízáshoz kapcsolódó gyulladásos betegségeket (lásd az</w:t>
      </w:r>
      <w:hyperlink r:id="rId409">
        <w:r>
          <w:rPr>
            <w:rStyle w:val="LienInternet"/>
          </w:rPr>
          <w:t xml:space="preserve"> </w:t>
        </w:r>
      </w:hyperlink>
      <w:hyperlink r:id="rId410">
        <w:r>
          <w:rPr>
            <w:rStyle w:val="LienInternet"/>
          </w:rPr>
          <w:t>ötletet</w:t>
        </w:r>
      </w:hyperlink>
      <w:hyperlink r:id="rId411">
        <w:r>
          <w:rPr>
            <w:rStyle w:val="LienInternet"/>
          </w:rPr>
          <w:t>)</w:t>
        </w:r>
      </w:hyperlink>
      <w:r>
        <w:rPr/>
        <w:t xml:space="preserve">. </w:t>
      </w:r>
    </w:p>
    <w:p>
      <w:pPr>
        <w:pStyle w:val="Corpsdetexte"/>
        <w:spacing w:lineRule="auto" w:line="240" w:before="57" w:after="57"/>
        <w:jc w:val="left"/>
        <w:rPr/>
      </w:pPr>
      <w:r>
        <w:rPr/>
        <w:t xml:space="preserve">A platformon javasolják az egészségügyi műveltség és oktatás előmozdítását (lásd például az </w:t>
      </w:r>
      <w:hyperlink r:id="rId412">
        <w:r>
          <w:rPr>
            <w:rStyle w:val="LienInternet"/>
          </w:rPr>
          <w:t>ötletet</w:t>
        </w:r>
      </w:hyperlink>
      <w:r>
        <w:rPr/>
        <w:t xml:space="preserve"> </w:t>
      </w:r>
      <w:hyperlink r:id="rId413">
        <w:r>
          <w:rPr>
            <w:rStyle w:val="LienInternet"/>
          </w:rPr>
          <w:t xml:space="preserve"> </w:t>
        </w:r>
      </w:hyperlink>
      <w:r>
        <w:rPr/>
        <w:t>és az ötletet), valamint az egészséggel kapcsolatos gyakorlatok korai életkortól kezdve történő bevezetését, mint az egészséges életmód kulcstényezőjét (lásd az</w:t>
      </w:r>
      <w:hyperlink r:id="rId414">
        <w:r>
          <w:rPr>
            <w:rStyle w:val="LienInternet"/>
          </w:rPr>
          <w:t xml:space="preserve"> </w:t>
        </w:r>
      </w:hyperlink>
      <w:hyperlink r:id="rId415">
        <w:r>
          <w:rPr>
            <w:rStyle w:val="LienInternet"/>
          </w:rPr>
          <w:t>ötletet</w:t>
        </w:r>
      </w:hyperlink>
      <w:hyperlink r:id="rId416">
        <w:r>
          <w:rPr>
            <w:rStyle w:val="LienInternet"/>
          </w:rPr>
          <w:t>)</w:t>
        </w:r>
      </w:hyperlink>
      <w:r>
        <w:rPr/>
        <w:t xml:space="preserve">. Ebben a tekintetben a Nutri-score rendszerben használt paramétereket egy résztvevő bírálta (lásd az </w:t>
      </w:r>
      <w:hyperlink r:id="rId417">
        <w:r>
          <w:rPr>
            <w:rStyle w:val="LienInternet"/>
          </w:rPr>
          <w:t>ötletet</w:t>
        </w:r>
      </w:hyperlink>
      <w:hyperlink r:id="rId418">
        <w:r>
          <w:rPr>
            <w:rStyle w:val="LienInternet"/>
          </w:rPr>
          <w:t>)</w:t>
        </w:r>
      </w:hyperlink>
      <w:r>
        <w:rPr/>
        <w:t>. Az egészséges táplálkozással kapcsolatos oktatás mellett a mentális egészséggel kapcsolatos oktatást különösen fontosnak tartják a közreműködők (lásd például az</w:t>
      </w:r>
      <w:hyperlink r:id="rId419">
        <w:r>
          <w:rPr>
            <w:rStyle w:val="LienInternet"/>
          </w:rPr>
          <w:t xml:space="preserve"> </w:t>
        </w:r>
      </w:hyperlink>
      <w:hyperlink r:id="rId420">
        <w:r>
          <w:rPr>
            <w:rStyle w:val="LienInternet"/>
          </w:rPr>
          <w:t>ötletet</w:t>
        </w:r>
      </w:hyperlink>
      <w:r>
        <w:rPr/>
        <w:t xml:space="preserve">). </w:t>
      </w:r>
    </w:p>
    <w:p>
      <w:pPr>
        <w:pStyle w:val="Corpsdetexte"/>
        <w:spacing w:lineRule="auto" w:line="240" w:before="57" w:after="57"/>
        <w:jc w:val="left"/>
        <w:rPr/>
      </w:pPr>
      <w:r>
        <w:rPr/>
        <w:t>Az élelmiszer és az egészség közötti összefüggést több ötlet is tovább vizsgálja, ami felveti az élelmiszerek minőségének fokozott ellenőrzését (lásd például az</w:t>
      </w:r>
      <w:hyperlink r:id="rId421">
        <w:r>
          <w:rPr>
            <w:rStyle w:val="LienInternet"/>
          </w:rPr>
          <w:t xml:space="preserve"> </w:t>
        </w:r>
      </w:hyperlink>
      <w:hyperlink r:id="rId422">
        <w:r>
          <w:rPr>
            <w:rStyle w:val="LienInternet"/>
          </w:rPr>
          <w:t>ötletet</w:t>
        </w:r>
      </w:hyperlink>
      <w:r>
        <w:rPr/>
        <w:t>), vagy bizonyos termékek, például a mesterséges transzzsírok betiltását (lásd az</w:t>
      </w:r>
      <w:hyperlink r:id="rId423">
        <w:r>
          <w:rPr>
            <w:rStyle w:val="LienInternet"/>
          </w:rPr>
          <w:t xml:space="preserve"> </w:t>
        </w:r>
      </w:hyperlink>
      <w:hyperlink r:id="rId424">
        <w:r>
          <w:rPr>
            <w:rStyle w:val="LienInternet"/>
          </w:rPr>
          <w:t>ötletet</w:t>
        </w:r>
      </w:hyperlink>
      <w:hyperlink r:id="rId425">
        <w:r>
          <w:rPr>
            <w:rStyle w:val="LienInternet"/>
          </w:rPr>
          <w:t>)</w:t>
        </w:r>
      </w:hyperlink>
      <w:r>
        <w:rPr/>
        <w:t xml:space="preserve">. Megemlítik továbbá a táplálkozást és az egészséget befolyásoló mezőgazdasági technikák, például az intenzív gazdálkodásban alkalmazott antibiotikumok szabályozását (lásd az </w:t>
      </w:r>
      <w:hyperlink r:id="rId426">
        <w:r>
          <w:rPr>
            <w:rStyle w:val="LienInternet"/>
          </w:rPr>
          <w:t>ötletet</w:t>
        </w:r>
      </w:hyperlink>
      <w:r>
        <w:rPr/>
        <w:t xml:space="preserve">). Litvániában a fenntartható uniós élelmiszer-politika kidolgozásának szenteltek külön rendezvényt, amelyen 280 résztvevő vett részt (lásd az </w:t>
      </w:r>
      <w:hyperlink r:id="rId427">
        <w:r>
          <w:rPr>
            <w:rStyle w:val="LienInternet"/>
          </w:rPr>
          <w:t>eseményt</w:t>
        </w:r>
      </w:hyperlink>
      <w:r>
        <w:rPr/>
        <w:t xml:space="preserve">). Ezek kifejezték annak szükségességét, hogy az EU a mezőgazdasági termelőknek nyújtott egyedi támogatások révén többet fektessen be az ökológiai mezőgazdaságba. A résztvevők általánosságban hangsúlyozzák, hogy a fenntartható agrárpolitika végrehajtása érdekében alulról építkező megközelítést kell alkalmazni. Hasonló elképzelések merülnek fel az éghajlatváltozás és a környezet témájában is. </w:t>
      </w:r>
    </w:p>
    <w:p>
      <w:pPr>
        <w:pStyle w:val="Corpsdetexte"/>
        <w:spacing w:lineRule="auto" w:line="240" w:before="57" w:after="57"/>
        <w:jc w:val="left"/>
        <w:rPr/>
      </w:pPr>
      <w:r>
        <w:rPr/>
        <w:t xml:space="preserve">Több polgár is rámutat arra, hogy az árak növelésével és a gyógyszertárak értékesítési pontjainak csökkentésével európai szinten vissza kell tartani a dohányfogyasztást (lásd egy </w:t>
      </w:r>
      <w:hyperlink r:id="rId428">
        <w:r>
          <w:rPr>
            <w:rStyle w:val="LienInternet"/>
          </w:rPr>
          <w:t>ötlet</w:t>
        </w:r>
      </w:hyperlink>
      <w:r>
        <w:rPr/>
        <w:t>példáját</w:t>
      </w:r>
      <w:hyperlink r:id="rId429">
        <w:r>
          <w:rPr>
            <w:rStyle w:val="LienInternet"/>
          </w:rPr>
          <w:t>)</w:t>
        </w:r>
      </w:hyperlink>
      <w:r>
        <w:rPr/>
        <w:t xml:space="preserve">, míg mások a kábítószerek elleni fenntarthatóbb uniós szintű küzdelem mellett érvelnek (lásd az </w:t>
      </w:r>
      <w:hyperlink r:id="rId430">
        <w:r>
          <w:rPr>
            <w:rStyle w:val="LienInternet"/>
          </w:rPr>
          <w:t>ötletet</w:t>
        </w:r>
      </w:hyperlink>
      <w:r>
        <w:rPr/>
        <w:t>). Az alkoholt is megemlítik azon függőségek között, amelyek ellen az EU-nak küzdenie kell (lásd például az</w:t>
      </w:r>
      <w:hyperlink r:id="rId431">
        <w:r>
          <w:rPr>
            <w:rStyle w:val="LienInternet"/>
          </w:rPr>
          <w:t xml:space="preserve"> </w:t>
        </w:r>
      </w:hyperlink>
      <w:hyperlink r:id="rId432">
        <w:r>
          <w:rPr>
            <w:rStyle w:val="LienInternet"/>
          </w:rPr>
          <w:t>ötletet</w:t>
        </w:r>
      </w:hyperlink>
      <w:r>
        <w:rPr/>
        <w:t>), és az egyik résztvevő javasolja az alkohol és a dohány szaküzletekbe történő értékesítésének korlátozását (lásd az</w:t>
      </w:r>
      <w:hyperlink r:id="rId433">
        <w:r>
          <w:rPr>
            <w:rStyle w:val="LienInternet"/>
          </w:rPr>
          <w:t xml:space="preserve"> </w:t>
        </w:r>
      </w:hyperlink>
      <w:hyperlink r:id="rId434">
        <w:r>
          <w:rPr>
            <w:rStyle w:val="LienInternet"/>
          </w:rPr>
          <w:t>ötletet</w:t>
        </w:r>
      </w:hyperlink>
      <w:r>
        <w:rPr/>
        <w:t xml:space="preserve">). </w:t>
      </w:r>
    </w:p>
    <w:p>
      <w:pPr>
        <w:pStyle w:val="Corpsdetexte"/>
        <w:spacing w:lineRule="auto" w:line="240" w:before="57" w:after="57"/>
        <w:jc w:val="left"/>
        <w:rPr/>
      </w:pPr>
      <w:r>
        <w:rPr/>
        <w:t>Néhány hozzászóló javasolja a szezonális időváltozások eltörlését, ami véleményük szerint javítaná az általános egészséget és biztonságot (lásd például:</w:t>
      </w:r>
      <w:hyperlink r:id="rId435">
        <w:r>
          <w:rPr>
            <w:rStyle w:val="LienInternet"/>
          </w:rPr>
          <w:t xml:space="preserve"> </w:t>
        </w:r>
      </w:hyperlink>
      <w:hyperlink r:id="rId436">
        <w:r>
          <w:rPr>
            <w:rStyle w:val="LienInternet"/>
          </w:rPr>
          <w:t>i</w:t>
        </w:r>
      </w:hyperlink>
      <w:hyperlink r:id="rId437">
        <w:r>
          <w:rPr>
            <w:rStyle w:val="LienInternet"/>
          </w:rPr>
          <w:t>dea</w:t>
        </w:r>
      </w:hyperlink>
      <w:r>
        <w:rPr/>
        <w:t xml:space="preserve">). </w:t>
      </w:r>
    </w:p>
    <w:p>
      <w:pPr>
        <w:pStyle w:val="Normal"/>
        <w:rPr/>
      </w:pPr>
      <w:r>
        <w:rPr/>
      </w:r>
    </w:p>
    <w:p>
      <w:pPr>
        <w:pStyle w:val="Titre2"/>
        <w:numPr>
          <w:ilvl w:val="1"/>
          <w:numId w:val="1"/>
        </w:numPr>
        <w:jc w:val="left"/>
        <w:rPr/>
      </w:pPr>
      <w:bookmarkStart w:id="35" w:name="__RefHeading___Toc86395_2514204080"/>
      <w:bookmarkEnd w:id="35"/>
      <w:r>
        <w:rPr/>
        <w:t>Egészségügyi kutatás</w:t>
      </w:r>
    </w:p>
    <w:p>
      <w:pPr>
        <w:pStyle w:val="Normal"/>
        <w:jc w:val="left"/>
        <w:rPr/>
      </w:pPr>
      <w:r>
        <w:rPr/>
        <w:t xml:space="preserve">Az egészségügyi kutatás egy átfogó téma, amely több elkötelezettséget vonz, és több témát érint. </w:t>
      </w:r>
    </w:p>
    <w:p>
      <w:pPr>
        <w:pStyle w:val="Normal"/>
        <w:jc w:val="left"/>
        <w:rPr/>
      </w:pPr>
      <w:r>
        <w:rPr/>
        <w:t xml:space="preserve">A konkrét kérdéstől függetlenül a közreműködők általában nagymértékben támogatják a kutatásba való beruházások növelését, különösen az innovatív orvosbiológiai technológiák vizsgálata tekintetében. </w:t>
      </w:r>
    </w:p>
    <w:p>
      <w:pPr>
        <w:pStyle w:val="Normal"/>
        <w:jc w:val="left"/>
        <w:rPr/>
      </w:pPr>
      <w:r>
        <w:rPr/>
        <w:t xml:space="preserve">Számos hozzászóló különböző ötleteket javasol egy virágzó európai egészségügyi ökoszisztéma kialakítására, előmozdítva és támogatva az egészségügyi innovációt és az egészségügyi kutatást (lásd például az </w:t>
      </w:r>
      <w:hyperlink r:id="rId438">
        <w:r>
          <w:rPr>
            <w:rStyle w:val="LienInternet"/>
          </w:rPr>
          <w:t>ötletet</w:t>
        </w:r>
      </w:hyperlink>
      <w:hyperlink r:id="rId439">
        <w:r>
          <w:rPr>
            <w:rStyle w:val="LienInternet"/>
          </w:rPr>
          <w:t>)</w:t>
        </w:r>
      </w:hyperlink>
      <w:r>
        <w:rPr/>
        <w:t xml:space="preserve">. A javaslatok különböző formákat öltenek, például a Horizont Európa keretében a myalgikus encephalomyelitis patomechanizmusaival kapcsolatos kutatás ösztönzésére irányuló, erősen jóváhagyott javaslat (lásd az </w:t>
      </w:r>
      <w:hyperlink r:id="rId440">
        <w:r>
          <w:rPr>
            <w:rStyle w:val="LienInternet"/>
          </w:rPr>
          <w:t>ötletet</w:t>
        </w:r>
      </w:hyperlink>
      <w:r>
        <w:rPr/>
        <w:t>), vagy a neurodegeneratív betegségek kutatásának támogatására irányuló felhívás (lásd az</w:t>
      </w:r>
      <w:hyperlink r:id="rId441">
        <w:r>
          <w:rPr>
            <w:rStyle w:val="LienInternet"/>
          </w:rPr>
          <w:t xml:space="preserve"> </w:t>
        </w:r>
      </w:hyperlink>
      <w:hyperlink r:id="rId442">
        <w:r>
          <w:rPr>
            <w:rStyle w:val="LienInternet"/>
          </w:rPr>
          <w:t>ötletet</w:t>
        </w:r>
      </w:hyperlink>
      <w:hyperlink r:id="rId443">
        <w:r>
          <w:rPr>
            <w:rStyle w:val="LienInternet"/>
          </w:rPr>
          <w:t>)</w:t>
        </w:r>
      </w:hyperlink>
      <w:r>
        <w:rPr/>
        <w:t xml:space="preserve">. </w:t>
      </w:r>
    </w:p>
    <w:p>
      <w:pPr>
        <w:pStyle w:val="Normal"/>
        <w:jc w:val="left"/>
        <w:rPr/>
      </w:pPr>
      <w:r>
        <w:rPr/>
        <w:t>Ami a kutatás uniós szintű intézményi szervezését illeti, egyes hozzászólók átlátható szellemitulajdon-ösztönző rendszert javasolnak (lásd az</w:t>
      </w:r>
      <w:hyperlink r:id="rId444">
        <w:r>
          <w:rPr>
            <w:rStyle w:val="LienInternet"/>
          </w:rPr>
          <w:t xml:space="preserve"> </w:t>
        </w:r>
      </w:hyperlink>
      <w:hyperlink r:id="rId445">
        <w:r>
          <w:rPr>
            <w:rStyle w:val="LienInternet"/>
          </w:rPr>
          <w:t>ötletet</w:t>
        </w:r>
      </w:hyperlink>
      <w:r>
        <w:rPr/>
        <w:t xml:space="preserve">), vagy egy központosított Európai Egészségügyi Kutatóintézet létrehozását, amely koordinálja az egészségügyi kutatást a nemzeti intézetek között, és befektet a gyógyszerészeti kutatásba (lásd az </w:t>
      </w:r>
      <w:hyperlink r:id="rId446">
        <w:r>
          <w:rPr>
            <w:rStyle w:val="LienInternet"/>
          </w:rPr>
          <w:t>ötletet</w:t>
        </w:r>
      </w:hyperlink>
      <w:r>
        <w:rPr/>
        <w:t xml:space="preserve">). További ötletek közé tartozik a fertőző betegségek európai laboratóriumának létrehozása (lásd az </w:t>
      </w:r>
      <w:hyperlink r:id="rId447">
        <w:r>
          <w:rPr>
            <w:rStyle w:val="LienInternet"/>
          </w:rPr>
          <w:t>ötletet</w:t>
        </w:r>
      </w:hyperlink>
      <w:hyperlink r:id="rId448">
        <w:r>
          <w:rPr>
            <w:rStyle w:val="LienInternet"/>
          </w:rPr>
          <w:t>)</w:t>
        </w:r>
      </w:hyperlink>
      <w:r>
        <w:rPr/>
        <w:t>. Az egyik polgár hangsúlyozza, hogy a nemzeti kutatóintézeteknek össze kell kapcsolódniuk, valamint védőruházatot és gyógyszereket kell vásárolniuk, gyártani és szállítaniuk, hogy Európa-alapúabbá váljanak (lásd az</w:t>
      </w:r>
      <w:hyperlink r:id="rId449">
        <w:r>
          <w:rPr>
            <w:rStyle w:val="LienInternet"/>
          </w:rPr>
          <w:t xml:space="preserve"> </w:t>
        </w:r>
      </w:hyperlink>
      <w:hyperlink r:id="rId450">
        <w:r>
          <w:rPr>
            <w:rStyle w:val="LienInternet"/>
          </w:rPr>
          <w:t>ötletet</w:t>
        </w:r>
      </w:hyperlink>
      <w:r>
        <w:rPr/>
        <w:t>). Egy másik javaslat az, hogy Európának össze kell fognia az egyetemekkel a szuperrezisztens baktériumok elleni új antibiotikum kifejlesztésére irányuló kutatás terén (lásd egy</w:t>
      </w:r>
      <w:hyperlink r:id="rId451">
        <w:r>
          <w:rPr>
            <w:rStyle w:val="LienInternet"/>
          </w:rPr>
          <w:t xml:space="preserve"> </w:t>
        </w:r>
      </w:hyperlink>
      <w:hyperlink r:id="rId452">
        <w:r>
          <w:rPr>
            <w:rStyle w:val="LienInternet"/>
          </w:rPr>
          <w:t>ötlet példáját</w:t>
        </w:r>
      </w:hyperlink>
      <w:hyperlink r:id="rId453">
        <w:r>
          <w:rPr>
            <w:rStyle w:val="LienInternet"/>
          </w:rPr>
          <w:t>)</w:t>
        </w:r>
      </w:hyperlink>
      <w:r>
        <w:rPr/>
        <w:t>. Szorgalmazzák továbbá az antibiotikumok használatának és a helytelen felhasználásnak a tudatosabbá tételét is (lásd</w:t>
      </w:r>
      <w:hyperlink r:id="rId454">
        <w:r>
          <w:rPr>
            <w:rStyle w:val="LienInternet"/>
          </w:rPr>
          <w:t xml:space="preserve"> </w:t>
        </w:r>
      </w:hyperlink>
      <w:hyperlink r:id="rId455">
        <w:r>
          <w:rPr>
            <w:rStyle w:val="LienInternet"/>
          </w:rPr>
          <w:t>az ötletet</w:t>
        </w:r>
      </w:hyperlink>
      <w:r>
        <w:rPr/>
        <w:t>). Egyes polgárok azt is kérik, hogy vezessenek be olyan jogszabályt, amely kötelezővé teszi az oltóanyagokat forgalmazó gyógyszeripari vállalatok számára, hogy az említett vakcinákra vonatkozó klinikai vizsgálatokból teljes körű adatokat tegyenek közzé a biztonságosságuk és hatékonyságuk értékelésének megkönnyítése érdekében (lásd az</w:t>
      </w:r>
      <w:hyperlink r:id="rId456">
        <w:r>
          <w:rPr>
            <w:rStyle w:val="LienInternet"/>
          </w:rPr>
          <w:t xml:space="preserve"> </w:t>
        </w:r>
      </w:hyperlink>
      <w:hyperlink r:id="rId457">
        <w:r>
          <w:rPr>
            <w:rStyle w:val="LienInternet"/>
          </w:rPr>
          <w:t>ötletet</w:t>
        </w:r>
      </w:hyperlink>
      <w:hyperlink r:id="rId458">
        <w:r>
          <w:rPr>
            <w:rStyle w:val="LienInternet"/>
          </w:rPr>
          <w:t>)</w:t>
        </w:r>
      </w:hyperlink>
      <w:r>
        <w:rPr/>
        <w:t xml:space="preserve">. </w:t>
      </w:r>
    </w:p>
    <w:p>
      <w:pPr>
        <w:pStyle w:val="Normal"/>
        <w:jc w:val="left"/>
        <w:rPr/>
      </w:pPr>
      <w:r>
        <w:rPr/>
        <w:t>A nemek közötti elfogultságot azok a problémák említik, amelyek akadályozzák a kutatást abban, hogy hatékonyan tanulmányozza azokat a betegségeket, amelyek gyakoribbak a nők körében. Az egyik résztvevő sürgeti az EU-t, hogy találjon megoldást a nőkkel kapcsolatos adatok hiányára a kutatásban (lásd az</w:t>
      </w:r>
      <w:hyperlink r:id="rId459">
        <w:r>
          <w:rPr>
            <w:rStyle w:val="LienInternet"/>
          </w:rPr>
          <w:t xml:space="preserve"> </w:t>
        </w:r>
      </w:hyperlink>
      <w:hyperlink r:id="rId460">
        <w:r>
          <w:rPr>
            <w:rStyle w:val="LienInternet"/>
          </w:rPr>
          <w:t>ötletet</w:t>
        </w:r>
      </w:hyperlink>
      <w:hyperlink r:id="rId461">
        <w:r>
          <w:rPr>
            <w:rStyle w:val="LienInternet"/>
          </w:rPr>
          <w:t>)</w:t>
        </w:r>
      </w:hyperlink>
      <w:r>
        <w:rPr/>
        <w:t xml:space="preserve">. </w:t>
      </w:r>
    </w:p>
    <w:p>
      <w:pPr>
        <w:pStyle w:val="Normal"/>
        <w:jc w:val="left"/>
        <w:rPr/>
      </w:pPr>
      <w:r>
        <w:rPr/>
        <w:t>Néhány közreműködő, köztük egy erősen támogatott ötlet az Egyéb ötletek témájában, cselekvési terv kidolgozására szólít fel az állatmentes tudományra való áttérés érdekében (lásd az</w:t>
      </w:r>
      <w:hyperlink r:id="rId462">
        <w:r>
          <w:rPr>
            <w:rStyle w:val="LienInternet"/>
          </w:rPr>
          <w:t xml:space="preserve"> </w:t>
        </w:r>
      </w:hyperlink>
      <w:hyperlink r:id="rId463">
        <w:r>
          <w:rPr>
            <w:rStyle w:val="LienInternet"/>
          </w:rPr>
          <w:t>ötletet</w:t>
        </w:r>
      </w:hyperlink>
      <w:r>
        <w:rPr/>
        <w:t>).</w:t>
      </w:r>
    </w:p>
    <w:p>
      <w:pPr>
        <w:pStyle w:val="Normal"/>
        <w:jc w:val="left"/>
        <w:rPr/>
      </w:pPr>
      <w:r>
        <w:rPr/>
      </w:r>
    </w:p>
    <w:p>
      <w:pPr>
        <w:pStyle w:val="Titre2"/>
        <w:numPr>
          <w:ilvl w:val="1"/>
          <w:numId w:val="1"/>
        </w:numPr>
        <w:jc w:val="left"/>
        <w:rPr/>
      </w:pPr>
      <w:bookmarkStart w:id="36" w:name="__RefHeading___Toc86397_2514204080"/>
      <w:bookmarkEnd w:id="36"/>
      <w:r>
        <w:rPr/>
        <w:t xml:space="preserve">Megelőzés, nem pedig beavatkozás </w:t>
      </w:r>
    </w:p>
    <w:p>
      <w:pPr>
        <w:pStyle w:val="Normal"/>
        <w:jc w:val="left"/>
        <w:rPr/>
      </w:pPr>
      <w:r>
        <w:rPr/>
        <w:t xml:space="preserve">Ami az egészséges életmód kategóriáját illeti, a megelőzést olyan területnek tekintik, ahol az EU hatékonyan tud és kell is fellépnie. </w:t>
      </w:r>
    </w:p>
    <w:p>
      <w:pPr>
        <w:pStyle w:val="Normal"/>
        <w:jc w:val="left"/>
        <w:rPr/>
      </w:pPr>
      <w:r>
        <w:rPr/>
        <w:t xml:space="preserve">A polgárok által előterjesztett számos ötlet a mentális egészséggel és annak következményeivel kapcsolatos figyelemfelkeltésre, például a kiégésre, a stresszre, a depresszióra és a szorongásra vonatkozik, és európai terv kidolgozására szólít fel e kérdés kezelésére (lásd például az </w:t>
      </w:r>
      <w:hyperlink r:id="rId464">
        <w:r>
          <w:rPr>
            <w:rStyle w:val="LienInternet"/>
          </w:rPr>
          <w:t>ötletet</w:t>
        </w:r>
      </w:hyperlink>
      <w:r>
        <w:rPr/>
        <w:t xml:space="preserve">), különös tekintettel a Covid19 hatásaira (lásd az </w:t>
      </w:r>
      <w:hyperlink r:id="rId465">
        <w:r>
          <w:rPr>
            <w:rStyle w:val="LienInternet"/>
          </w:rPr>
          <w:t>ötlet példáját</w:t>
        </w:r>
      </w:hyperlink>
      <w:hyperlink r:id="rId466">
        <w:r>
          <w:rPr>
            <w:rStyle w:val="LienInternet"/>
          </w:rPr>
          <w:t>)</w:t>
        </w:r>
      </w:hyperlink>
      <w:r>
        <w:rPr/>
        <w:t>. Ezt a kérdést különösen sürgetőnek tekintik a fiatalok körében, ami a mentális egészséggel foglalkozó európai ifjúsági platform (lásd az</w:t>
      </w:r>
      <w:hyperlink r:id="rId467">
        <w:r>
          <w:rPr>
            <w:rStyle w:val="LienInternet"/>
          </w:rPr>
          <w:t xml:space="preserve"> </w:t>
        </w:r>
      </w:hyperlink>
      <w:hyperlink r:id="rId468">
        <w:r>
          <w:rPr>
            <w:rStyle w:val="LienInternet"/>
          </w:rPr>
          <w:t>ötletet</w:t>
        </w:r>
      </w:hyperlink>
      <w:r>
        <w:rPr/>
        <w:t xml:space="preserve">), valamint a kutatásba (lásd az </w:t>
      </w:r>
      <w:hyperlink r:id="rId469">
        <w:r>
          <w:rPr>
            <w:rStyle w:val="LienInternet"/>
          </w:rPr>
          <w:t>ötletet</w:t>
        </w:r>
      </w:hyperlink>
      <w:hyperlink r:id="rId470">
        <w:r>
          <w:rPr>
            <w:rStyle w:val="LienInternet"/>
          </w:rPr>
          <w:t>)</w:t>
        </w:r>
      </w:hyperlink>
      <w:r>
        <w:rPr/>
        <w:t xml:space="preserve"> és a mentális egészséggel kapcsolatos tudatosságot célzó médiakampányokba (lásd az</w:t>
      </w:r>
      <w:hyperlink r:id="rId471">
        <w:r>
          <w:rPr>
            <w:rStyle w:val="LienInternet"/>
          </w:rPr>
          <w:t xml:space="preserve"> </w:t>
        </w:r>
      </w:hyperlink>
      <w:hyperlink r:id="rId472">
        <w:r>
          <w:rPr>
            <w:rStyle w:val="LienInternet"/>
          </w:rPr>
          <w:t>ötletet</w:t>
        </w:r>
      </w:hyperlink>
      <w:r>
        <w:rPr/>
        <w:t xml:space="preserve">) való nagyobb beruházáshoz vezet. </w:t>
      </w:r>
    </w:p>
    <w:p>
      <w:pPr>
        <w:pStyle w:val="Normal"/>
        <w:jc w:val="left"/>
        <w:rPr/>
      </w:pPr>
      <w:r>
        <w:rPr/>
        <w:t xml:space="preserve">A levegőszennyezésnek a polgárok egészségére gyakorolt hatása is sürgető kérdésként merül fel (lásd az </w:t>
      </w:r>
      <w:hyperlink r:id="rId473">
        <w:r>
          <w:rPr>
            <w:rStyle w:val="LienInternet"/>
          </w:rPr>
          <w:t>ötletet</w:t>
        </w:r>
      </w:hyperlink>
      <w:hyperlink r:id="rId474">
        <w:r>
          <w:rPr>
            <w:rStyle w:val="LienInternet"/>
          </w:rPr>
          <w:t>)</w:t>
        </w:r>
      </w:hyperlink>
      <w:r>
        <w:rPr/>
        <w:t xml:space="preserve">, csakúgy, mint a zajszennyezésnek az autógumiabroncsok megengedett zajkibocsátására vonatkozó szigorú szintek meghatározásával történő kezelésének szükségessége (lásd az </w:t>
      </w:r>
      <w:hyperlink r:id="rId475">
        <w:r>
          <w:rPr>
            <w:rStyle w:val="LienInternet"/>
          </w:rPr>
          <w:t>ötletet</w:t>
        </w:r>
      </w:hyperlink>
      <w:r>
        <w:rPr/>
        <w:t>). Ezenkívül felszólítanak a különös aggodalomra okot adó anyagoknak, köztük a PFAS-nak (per- és polifluoralkil anyagok) való kitettség csökkentésére (lásd az</w:t>
      </w:r>
      <w:hyperlink r:id="rId476">
        <w:r>
          <w:rPr>
            <w:rStyle w:val="LienInternet"/>
          </w:rPr>
          <w:t xml:space="preserve"> </w:t>
        </w:r>
      </w:hyperlink>
      <w:hyperlink r:id="rId477">
        <w:r>
          <w:rPr>
            <w:rStyle w:val="LienInternet"/>
          </w:rPr>
          <w:t>ötletet</w:t>
        </w:r>
      </w:hyperlink>
      <w:hyperlink r:id="rId478">
        <w:r>
          <w:rPr>
            <w:rStyle w:val="LienInternet"/>
          </w:rPr>
          <w:t>)</w:t>
        </w:r>
      </w:hyperlink>
      <w:r>
        <w:rPr/>
        <w:t xml:space="preserve">. </w:t>
      </w:r>
    </w:p>
    <w:p>
      <w:pPr>
        <w:pStyle w:val="Normal"/>
        <w:jc w:val="left"/>
        <w:rPr/>
      </w:pPr>
      <w:r>
        <w:rPr/>
        <w:t>A megelőzéssel összhangban egy ötlet bemutatja az epigenetikai technológiák előnyeit az új ökológiai humanizmus előmozdításában azáltal, hogy fokozza a környezet és az élelmiszerek szerepét az egyének és a közösség egészségének védelmében (lásd az</w:t>
      </w:r>
      <w:hyperlink r:id="rId479">
        <w:r>
          <w:rPr>
            <w:rStyle w:val="LienInternet"/>
          </w:rPr>
          <w:t xml:space="preserve"> </w:t>
        </w:r>
      </w:hyperlink>
      <w:hyperlink r:id="rId480">
        <w:r>
          <w:rPr>
            <w:rStyle w:val="LienInternet"/>
          </w:rPr>
          <w:t>ötletet</w:t>
        </w:r>
      </w:hyperlink>
      <w:r>
        <w:rPr/>
        <w:t xml:space="preserve">). </w:t>
      </w:r>
    </w:p>
    <w:p>
      <w:pPr>
        <w:pStyle w:val="Normal"/>
        <w:jc w:val="left"/>
        <w:rPr/>
      </w:pPr>
      <w:r>
        <w:rPr/>
        <w:t>Az eseményeken (lásd az</w:t>
      </w:r>
      <w:hyperlink r:id="rId481">
        <w:r>
          <w:rPr>
            <w:rStyle w:val="LienInternet"/>
          </w:rPr>
          <w:t xml:space="preserve"> </w:t>
        </w:r>
      </w:hyperlink>
      <w:hyperlink r:id="rId482">
        <w:r>
          <w:rPr>
            <w:rStyle w:val="LienInternet"/>
          </w:rPr>
          <w:t>eseményt</w:t>
        </w:r>
      </w:hyperlink>
      <w:r>
        <w:rPr/>
        <w:t>) is kiemelték a megelőzés és az egészségügyi szűrés</w:t>
      </w:r>
      <w:hyperlink r:id="rId483">
        <w:r>
          <w:rPr>
            <w:rStyle w:val="LienInternet"/>
          </w:rPr>
          <w:t>fontosságát</w:t>
        </w:r>
      </w:hyperlink>
      <w:r>
        <w:rPr/>
        <w:t xml:space="preserve">. </w:t>
      </w:r>
    </w:p>
    <w:p>
      <w:pPr>
        <w:pStyle w:val="Normal"/>
        <w:jc w:val="left"/>
        <w:rPr/>
      </w:pPr>
      <w:r>
        <w:rPr/>
        <w:t>Az egyik résztvevő hangsúlyozza, hogy európai cselekvési tervet kell kidolgozni a szív- és érrendszeri betegségekre is (lásd az</w:t>
      </w:r>
      <w:hyperlink r:id="rId484">
        <w:r>
          <w:rPr>
            <w:rStyle w:val="LienInternet"/>
          </w:rPr>
          <w:t xml:space="preserve"> </w:t>
        </w:r>
      </w:hyperlink>
      <w:hyperlink r:id="rId485">
        <w:r>
          <w:rPr>
            <w:rStyle w:val="LienInternet"/>
          </w:rPr>
          <w:t>ötletet</w:t>
        </w:r>
      </w:hyperlink>
      <w:r>
        <w:rPr/>
        <w:t>).</w:t>
      </w:r>
    </w:p>
    <w:p>
      <w:pPr>
        <w:pStyle w:val="Normal"/>
        <w:jc w:val="left"/>
        <w:rPr/>
      </w:pPr>
      <w:r>
        <w:rPr/>
      </w:r>
    </w:p>
    <w:p>
      <w:pPr>
        <w:pStyle w:val="Titre2"/>
        <w:numPr>
          <w:ilvl w:val="1"/>
          <w:numId w:val="1"/>
        </w:numPr>
        <w:jc w:val="left"/>
        <w:rPr/>
      </w:pPr>
      <w:bookmarkStart w:id="37" w:name="__RefHeading___Toc86399_2514204080"/>
      <w:bookmarkEnd w:id="37"/>
      <w:r>
        <w:rPr/>
        <w:t xml:space="preserve">Egészséges öregedés és öregedésgátló </w:t>
      </w:r>
    </w:p>
    <w:p>
      <w:pPr>
        <w:pStyle w:val="Normal"/>
        <w:jc w:val="left"/>
        <w:rPr/>
      </w:pPr>
      <w:r>
        <w:rPr/>
        <w:t xml:space="preserve">Néhány résztvevő több szempontból tárgyalja az egészséges öregedéssel és az öregedés elleni küzdelemmel kapcsolatos ötleteket. </w:t>
      </w:r>
    </w:p>
    <w:p>
      <w:pPr>
        <w:pStyle w:val="Normal"/>
        <w:jc w:val="left"/>
        <w:rPr/>
      </w:pPr>
      <w:r>
        <w:rPr/>
        <w:t xml:space="preserve">Az elöregedő európai népesség fényében a polgárok hangsúlyozzák a jó egészség fontosságát az „ezüstkorban”. Ennek érdekében hangsúlyozzák az idősek minőségi gondozásának szükségességét (lásd az </w:t>
      </w:r>
      <w:hyperlink r:id="rId486">
        <w:r>
          <w:rPr>
            <w:rStyle w:val="LienInternet"/>
          </w:rPr>
          <w:t>ötletet</w:t>
        </w:r>
      </w:hyperlink>
      <w:hyperlink r:id="rId487">
        <w:r>
          <w:rPr>
            <w:rStyle w:val="LienInternet"/>
          </w:rPr>
          <w:t>)</w:t>
        </w:r>
      </w:hyperlink>
      <w:r>
        <w:rPr/>
        <w:t xml:space="preserve">. Egy erősen támogatott és kommentált ötlet elősegíti a tudomány-intenzív egészséges hosszú élettartam kutatást és technológiákat, például a fiatalító terápiákat és a klinikai vizsgálatokat. Szintén kulcsfontosságúnak tartják a hatékony jogi, költségvetési, szabályozási és intézményi kötelezettségvállalások végrehajtását, amelyek célja az egészséges várható élettartam növelése az EU-ban (lásd az </w:t>
      </w:r>
      <w:hyperlink r:id="rId488">
        <w:r>
          <w:rPr>
            <w:rStyle w:val="LienInternet"/>
          </w:rPr>
          <w:t>ötletet</w:t>
        </w:r>
      </w:hyperlink>
      <w:hyperlink r:id="rId489">
        <w:r>
          <w:rPr>
            <w:rStyle w:val="LienInternet"/>
          </w:rPr>
          <w:t>)</w:t>
        </w:r>
      </w:hyperlink>
      <w:r>
        <w:rPr/>
        <w:t>. Az ötlet még továbbhaladva az egyik polgár előrelép a krionikán, mint lehetőség arra, hogy késleltesse az ellátást, amíg meg nem találják a gyógymódot, a halálosan beteg emberek fagyasztásával (lásd az</w:t>
      </w:r>
      <w:hyperlink r:id="rId490">
        <w:r>
          <w:rPr>
            <w:rStyle w:val="LienInternet"/>
          </w:rPr>
          <w:t xml:space="preserve"> </w:t>
        </w:r>
      </w:hyperlink>
      <w:hyperlink r:id="rId491">
        <w:r>
          <w:rPr>
            <w:rStyle w:val="LienInternet"/>
          </w:rPr>
          <w:t>ötletet</w:t>
        </w:r>
      </w:hyperlink>
      <w:hyperlink r:id="rId492">
        <w:r>
          <w:rPr>
            <w:rStyle w:val="LienInternet"/>
          </w:rPr>
          <w:t>)</w:t>
        </w:r>
      </w:hyperlink>
      <w:r>
        <w:rPr/>
        <w:t xml:space="preserve">. </w:t>
      </w:r>
    </w:p>
    <w:p>
      <w:pPr>
        <w:pStyle w:val="Normal"/>
        <w:jc w:val="left"/>
        <w:rPr/>
      </w:pPr>
      <w:r>
        <w:rPr/>
        <w:t>Az idősödés elleni küzdelem mellett érvelnek a gazdasági növekedés fellendítése érdekében is, szemben az aktív népesség csökkenésével (lásd az</w:t>
      </w:r>
      <w:hyperlink r:id="rId493">
        <w:r>
          <w:rPr>
            <w:rStyle w:val="LienInternet"/>
          </w:rPr>
          <w:t xml:space="preserve"> </w:t>
        </w:r>
      </w:hyperlink>
      <w:hyperlink r:id="rId494">
        <w:r>
          <w:rPr>
            <w:rStyle w:val="LienInternet"/>
          </w:rPr>
          <w:t>ötletet</w:t>
        </w:r>
      </w:hyperlink>
      <w:r>
        <w:rPr/>
        <w:t xml:space="preserve">). </w:t>
      </w:r>
    </w:p>
    <w:p>
      <w:pPr>
        <w:pStyle w:val="Normal"/>
        <w:jc w:val="left"/>
        <w:rPr/>
      </w:pPr>
      <w:r>
        <w:rPr/>
        <w:t xml:space="preserve">Az egyik polgár növeli a vidéki területekben rejlő lehetőségeket az egészséges idősödési stratégiák innovációs csomópontjaként, mivel ezeket a „küszöbterületeket” általában sűrűbben az idős polgárok népesítik be, és az egészségügyi ellátás minősége nem olyan magas, mint a városi területeken, ezért innovatív megoldásokat igényel (lásd az </w:t>
      </w:r>
      <w:hyperlink r:id="rId495">
        <w:r>
          <w:rPr>
            <w:rStyle w:val="LienInternet"/>
          </w:rPr>
          <w:t>ötletet</w:t>
        </w:r>
      </w:hyperlink>
      <w:hyperlink r:id="rId496">
        <w:r>
          <w:rPr>
            <w:rStyle w:val="LienInternet"/>
          </w:rPr>
          <w:t>)</w:t>
        </w:r>
      </w:hyperlink>
      <w:r>
        <w:rPr/>
        <w:t>. Egy másik közreműködő által javasolt megoldás az asszisztált, többgenerációs élet (lásd az</w:t>
      </w:r>
      <w:hyperlink r:id="rId497">
        <w:r>
          <w:rPr>
            <w:rStyle w:val="LienInternet"/>
          </w:rPr>
          <w:t xml:space="preserve"> </w:t>
        </w:r>
      </w:hyperlink>
      <w:hyperlink r:id="rId498">
        <w:r>
          <w:rPr>
            <w:rStyle w:val="LienInternet"/>
          </w:rPr>
          <w:t>ötletet</w:t>
        </w:r>
      </w:hyperlink>
      <w:hyperlink r:id="rId499">
        <w:r>
          <w:rPr>
            <w:rStyle w:val="LienInternet"/>
          </w:rPr>
          <w:t>)</w:t>
        </w:r>
      </w:hyperlink>
      <w:r>
        <w:rPr/>
        <w:t xml:space="preserve"> fogalma. </w:t>
      </w:r>
    </w:p>
    <w:p>
      <w:pPr>
        <w:pStyle w:val="Normal"/>
        <w:jc w:val="left"/>
        <w:rPr/>
      </w:pPr>
      <w:r>
        <w:rPr/>
        <w:t xml:space="preserve">Egy litvániai esemény érdekes, életkorral kapcsolatos perspektívát fogadott el, és megpróbálta megérteni a fiatalok és az idősek eltérő felfogását és hozzáállását az egészségügyi kérdésekkel kapcsolatban (lásd az </w:t>
      </w:r>
      <w:hyperlink r:id="rId500">
        <w:r>
          <w:rPr>
            <w:rStyle w:val="LienInternet"/>
          </w:rPr>
          <w:t>eseményt</w:t>
        </w:r>
      </w:hyperlink>
      <w:r>
        <w:rPr/>
        <w:t>). A rendezvény két fő tanulsága egyrészt a tájékoztató kampányok és az egész életen át tartó tanulás fontossága volt az egészségügyi kérdésekről, másrészt a családok kulcsszerepe és a kölcsönös támogatás az egészségügyi problémák kezelésében.</w:t>
      </w:r>
    </w:p>
    <w:p>
      <w:pPr>
        <w:pStyle w:val="Normal"/>
        <w:jc w:val="left"/>
        <w:rPr/>
      </w:pPr>
      <w:r>
        <w:rPr/>
      </w:r>
    </w:p>
    <w:p>
      <w:pPr>
        <w:pStyle w:val="Titre2"/>
        <w:numPr>
          <w:ilvl w:val="1"/>
          <w:numId w:val="1"/>
        </w:numPr>
        <w:jc w:val="left"/>
        <w:rPr/>
      </w:pPr>
      <w:bookmarkStart w:id="38" w:name="__RefHeading___Toc86401_2514204080"/>
      <w:bookmarkEnd w:id="38"/>
      <w:r>
        <w:rPr/>
        <w:t xml:space="preserve">Megközelítések az orvostudományhoz </w:t>
      </w:r>
    </w:p>
    <w:p>
      <w:pPr>
        <w:pStyle w:val="Normal"/>
        <w:jc w:val="left"/>
        <w:rPr/>
      </w:pPr>
      <w:r>
        <w:rPr/>
        <w:t>A platformok résztvevői néha eltérnek az orvostudomány legjobb megközelítéséről alkotott véleményüktől. Bár az orvosi megközelítésekről szóló vita általában néhány résztvevőre korlátozódik, egyes kérdések általában szélesebb közönséghez jutnak el. Ez igaz az életciklus végi kezelésekre is. Egy hozzászóló nagyobb mértékű adatgyűjtést szorgalmaz az életciklus végi döntésekről, valamint az élő akarat elismerését az Európai Unió egész területén (lásd az</w:t>
      </w:r>
      <w:hyperlink r:id="rId501">
        <w:r>
          <w:rPr>
            <w:rStyle w:val="LienInternet"/>
          </w:rPr>
          <w:t xml:space="preserve"> </w:t>
        </w:r>
      </w:hyperlink>
      <w:hyperlink r:id="rId502">
        <w:r>
          <w:rPr>
            <w:rStyle w:val="LienInternet"/>
          </w:rPr>
          <w:t>ötletet</w:t>
        </w:r>
      </w:hyperlink>
      <w:hyperlink r:id="rId503">
        <w:r>
          <w:rPr>
            <w:rStyle w:val="LienInternet"/>
          </w:rPr>
          <w:t>)</w:t>
        </w:r>
      </w:hyperlink>
      <w:r>
        <w:rPr/>
        <w:t xml:space="preserve">. </w:t>
      </w:r>
    </w:p>
    <w:p>
      <w:pPr>
        <w:pStyle w:val="Normal"/>
        <w:jc w:val="left"/>
        <w:rPr/>
      </w:pPr>
      <w:r>
        <w:rPr/>
        <w:t>Az életvégi ellátás témájával foglalkozó egyik ötlet a rákos betegek palliatív kezelésének javítására összpontosít (lásd az</w:t>
      </w:r>
      <w:hyperlink r:id="rId504">
        <w:r>
          <w:rPr>
            <w:rStyle w:val="LienInternet"/>
          </w:rPr>
          <w:t xml:space="preserve"> </w:t>
        </w:r>
      </w:hyperlink>
      <w:hyperlink r:id="rId505">
        <w:r>
          <w:rPr>
            <w:rStyle w:val="LienInternet"/>
          </w:rPr>
          <w:t>ötletet</w:t>
        </w:r>
      </w:hyperlink>
      <w:r>
        <w:rPr/>
        <w:t xml:space="preserve">). </w:t>
      </w:r>
    </w:p>
    <w:p>
      <w:pPr>
        <w:pStyle w:val="Normal"/>
        <w:jc w:val="left"/>
        <w:rPr/>
      </w:pPr>
      <w:r>
        <w:rPr/>
        <w:t>Az életciklus végi jogszabályok támogatásán túl egy másik, általánosan tárgyalt téma a könnyű gyógyszerek gyógyászati célokra történő dekriminalizálása. Számos polgár kéri különösen a kannabisz gyógyászati és terápiás célú dekriminalizálását (lásd az</w:t>
      </w:r>
      <w:hyperlink r:id="rId506">
        <w:r>
          <w:rPr>
            <w:rStyle w:val="LienInternet"/>
          </w:rPr>
          <w:t xml:space="preserve"> </w:t>
        </w:r>
      </w:hyperlink>
      <w:hyperlink r:id="rId507">
        <w:r>
          <w:rPr>
            <w:rStyle w:val="LienInternet"/>
          </w:rPr>
          <w:t>ötletet</w:t>
        </w:r>
      </w:hyperlink>
      <w:hyperlink r:id="rId508">
        <w:r>
          <w:rPr>
            <w:rStyle w:val="LienInternet"/>
          </w:rPr>
          <w:t xml:space="preserve"> </w:t>
        </w:r>
      </w:hyperlink>
      <w:r>
        <w:rPr/>
        <w:t>és az</w:t>
      </w:r>
      <w:hyperlink r:id="rId509">
        <w:r>
          <w:rPr>
            <w:rStyle w:val="LienInternet"/>
          </w:rPr>
          <w:t xml:space="preserve"> </w:t>
        </w:r>
      </w:hyperlink>
      <w:hyperlink r:id="rId510">
        <w:r>
          <w:rPr>
            <w:rStyle w:val="LienInternet"/>
          </w:rPr>
          <w:t>ötletet</w:t>
        </w:r>
      </w:hyperlink>
      <w:r>
        <w:rPr/>
        <w:t xml:space="preserve">). </w:t>
      </w:r>
    </w:p>
    <w:p>
      <w:pPr>
        <w:pStyle w:val="Normal"/>
        <w:jc w:val="left"/>
        <w:rPr/>
      </w:pPr>
      <w:r>
        <w:rPr/>
        <w:t xml:space="preserve">A természetes gyógymódok gyógyászatba történő integrálásának gondolata, mint például a fitoterápia, a homeopátia stb., hogy kiegészítsék az allopátiás orvoslást, széles körben megvitatják a platformon (lásd egy </w:t>
      </w:r>
      <w:hyperlink r:id="rId511">
        <w:r>
          <w:rPr>
            <w:rStyle w:val="LienInternet"/>
          </w:rPr>
          <w:t>ötlet példáját</w:t>
        </w:r>
      </w:hyperlink>
      <w:hyperlink r:id="rId512">
        <w:r>
          <w:rPr>
            <w:rStyle w:val="LienInternet"/>
          </w:rPr>
          <w:t>)</w:t>
        </w:r>
      </w:hyperlink>
      <w:r>
        <w:rPr/>
        <w:t>. Emellett a gyógyászat holisztikusabb megközelítésének szükségessége is kifejezésre jut (lásd az</w:t>
      </w:r>
      <w:hyperlink r:id="rId513">
        <w:r>
          <w:rPr>
            <w:rStyle w:val="LienInternet"/>
          </w:rPr>
          <w:t xml:space="preserve"> i dea példáját</w:t>
        </w:r>
      </w:hyperlink>
      <w:hyperlink r:id="rId514">
        <w:r>
          <w:rPr/>
          <w:t xml:space="preserve">). E tekintetben a hozzászólók azt is sugallják, hogy a nem gyógyászati beavatkozások bizonyíthatóan elősegíthetik a betegek egészségét és autonómiáját (lásd például egy </w:t>
        </w:r>
      </w:hyperlink>
      <w:hyperlink r:id="rId515">
        <w:r>
          <w:rPr>
            <w:rStyle w:val="LienInternet"/>
          </w:rPr>
          <w:t>ötletet</w:t>
        </w:r>
      </w:hyperlink>
      <w:r>
        <w:rPr/>
        <w:t xml:space="preserve">). </w:t>
      </w:r>
    </w:p>
    <w:p>
      <w:pPr>
        <w:pStyle w:val="Normal"/>
        <w:jc w:val="left"/>
        <w:rPr/>
      </w:pPr>
      <w:r>
        <w:rPr/>
        <w:t>Más résztvevők hangsúlyozzák a bizonyítékokon alapuló orvoslás gyakorlásának és a tudományos információkhoz való hozzáférés biztosításának fontosságát az álhírek elleni küzdelem érdekében az egészségügyben (lásd például az</w:t>
      </w:r>
      <w:hyperlink r:id="rId516">
        <w:r>
          <w:rPr>
            <w:rStyle w:val="LienInternet"/>
          </w:rPr>
          <w:t xml:space="preserve"> </w:t>
        </w:r>
      </w:hyperlink>
      <w:hyperlink r:id="rId517">
        <w:r>
          <w:rPr>
            <w:rStyle w:val="LienInternet"/>
          </w:rPr>
          <w:t>ötletet</w:t>
        </w:r>
      </w:hyperlink>
      <w:hyperlink r:id="rId518">
        <w:r>
          <w:rPr>
            <w:rStyle w:val="LienInternet"/>
          </w:rPr>
          <w:t>)</w:t>
        </w:r>
      </w:hyperlink>
      <w:r>
        <w:rPr/>
        <w:t xml:space="preserve">. </w:t>
      </w:r>
    </w:p>
    <w:p>
      <w:pPr>
        <w:pStyle w:val="Normal"/>
        <w:jc w:val="left"/>
        <w:rPr/>
      </w:pPr>
      <w:r>
        <w:rPr/>
      </w:r>
    </w:p>
    <w:p>
      <w:pPr>
        <w:pStyle w:val="Titre2"/>
        <w:numPr>
          <w:ilvl w:val="1"/>
          <w:numId w:val="1"/>
        </w:numPr>
        <w:jc w:val="left"/>
        <w:rPr/>
      </w:pPr>
      <w:bookmarkStart w:id="39" w:name="__RefHeading___Toc86403_2514204080"/>
      <w:bookmarkEnd w:id="39"/>
      <w:r>
        <w:rPr/>
        <w:t xml:space="preserve">A Covid19-járványra adott válaszok </w:t>
      </w:r>
    </w:p>
    <w:p>
      <w:pPr>
        <w:pStyle w:val="Normal"/>
        <w:jc w:val="left"/>
        <w:rPr/>
      </w:pPr>
      <w:r>
        <w:rPr/>
        <w:t>A világjárvány minden bizonnyal felkeltette az egészséggel kapcsolatos érdeklődést és aggodalmat. Ezt a témát számos, a platformon közzétett ötlet említi. Az egészségügyi erőforrások hiánya, függetlenül attól, hogy a kórházakban, maszkokban vagy vakcinákban rendelkezésre állnak-e emberi erőforrások, nyilvános vitát váltott ki arról, hogy az EU-nak stratégiailag függetlennek kell lennie az egészségügy területén. Egy másik jóváhagyott ötlet az alapvető gyógyszerek előállításának autonómiájához kapcsolódik (lásd az</w:t>
      </w:r>
      <w:hyperlink r:id="rId519">
        <w:r>
          <w:rPr>
            <w:rStyle w:val="LienInternet"/>
          </w:rPr>
          <w:t xml:space="preserve"> </w:t>
        </w:r>
      </w:hyperlink>
      <w:hyperlink r:id="rId520">
        <w:r>
          <w:rPr>
            <w:rStyle w:val="LienInternet"/>
          </w:rPr>
          <w:t>ötletet</w:t>
        </w:r>
      </w:hyperlink>
      <w:hyperlink r:id="rId521">
        <w:r>
          <w:rPr>
            <w:rStyle w:val="LienInternet"/>
          </w:rPr>
          <w:t>)</w:t>
        </w:r>
      </w:hyperlink>
      <w:r>
        <w:rPr/>
        <w:t xml:space="preserve">. </w:t>
      </w:r>
    </w:p>
    <w:p>
      <w:pPr>
        <w:pStyle w:val="Normal"/>
        <w:jc w:val="left"/>
        <w:rPr/>
      </w:pPr>
      <w:r>
        <w:rPr/>
        <w:t xml:space="preserve">A Covid19 hatásait széles körben megvitatják azok a résztvevők, akik összességében úgy érzik, hogy helyre kell állítani az orvostudomány és a politika iránti racionális és tudományos hitelességet és bizalmat a tévhitek és az álhírek széles körű terjedésével szemben a világjárvány idején. A Covid19-cel kapcsolatos intézkedések megvitatása során a platform polgárai egyetértenek abban, hogy az EU-ban minden Covid19-intézkedést tényeken alapuló módon kell végrehajtani annak érdekében, hogy a lehető legvalószínűbb költség-haszon elemzést lehessen készíteni (lásd az </w:t>
      </w:r>
      <w:hyperlink r:id="rId522">
        <w:r>
          <w:rPr>
            <w:rStyle w:val="LienInternet"/>
          </w:rPr>
          <w:t>ötletet</w:t>
        </w:r>
      </w:hyperlink>
      <w:hyperlink r:id="rId523">
        <w:r>
          <w:rPr>
            <w:rStyle w:val="LienInternet"/>
          </w:rPr>
          <w:t>)</w:t>
        </w:r>
      </w:hyperlink>
      <w:r>
        <w:rPr/>
        <w:t xml:space="preserve">. Az egyik résztvevő különösen óva int attól, hogy elhanyagolja vagy késleltesse az egyéb betegségben és betegségben szenvedő betegek ellátását az egészségügyi létesítményeknek a Covid-betegek figyelembevétele érdekében történő szerkezetátalakításával kapcsolatban (lásd az </w:t>
      </w:r>
      <w:hyperlink r:id="rId524">
        <w:r>
          <w:rPr>
            <w:rStyle w:val="LienInternet"/>
          </w:rPr>
          <w:t>ötletet</w:t>
        </w:r>
      </w:hyperlink>
      <w:hyperlink r:id="rId525">
        <w:r>
          <w:rPr>
            <w:rStyle w:val="LienInternet"/>
          </w:rPr>
          <w:t>)</w:t>
        </w:r>
      </w:hyperlink>
      <w:r>
        <w:rPr/>
        <w:t>. Ezzel összhangban a polgárok támogatják az egészségügyi személyzet kapacitásának növelését (lásd például egy</w:t>
      </w:r>
      <w:hyperlink r:id="rId526">
        <w:r>
          <w:rPr>
            <w:rStyle w:val="LienInternet"/>
          </w:rPr>
          <w:t xml:space="preserve"> </w:t>
        </w:r>
      </w:hyperlink>
      <w:hyperlink r:id="rId527">
        <w:r>
          <w:rPr>
            <w:rStyle w:val="LienInternet"/>
          </w:rPr>
          <w:t>ötletet</w:t>
        </w:r>
      </w:hyperlink>
      <w:hyperlink r:id="rId528">
        <w:r>
          <w:rPr>
            <w:rStyle w:val="LienInternet"/>
          </w:rPr>
          <w:t>)</w:t>
        </w:r>
      </w:hyperlink>
      <w:r>
        <w:rPr/>
        <w:t xml:space="preserve">. </w:t>
      </w:r>
    </w:p>
    <w:p>
      <w:pPr>
        <w:pStyle w:val="Normal"/>
        <w:jc w:val="left"/>
        <w:rPr/>
      </w:pPr>
      <w:r>
        <w:rPr/>
        <w:t xml:space="preserve">A további ötletek rávilágítanak arra, hogy inkluzív stratégiákat kell kidolgozni a jövőbeli világjárványok uniós szintű kezelésére, védve a fogyatékossággal élő személyek jogait (lásd az </w:t>
      </w:r>
      <w:hyperlink r:id="rId529">
        <w:r>
          <w:rPr>
            <w:rStyle w:val="LienInternet"/>
          </w:rPr>
          <w:t>ötletet</w:t>
        </w:r>
      </w:hyperlink>
      <w:r>
        <w:rPr/>
        <w:t xml:space="preserve">). Az egyik javasolt javaslat a Covid19-intézkedéseknek a különböző uniós országokban az idősotthonok lakóira és alkalmazottaira gyakorolt hatásával kapcsolatos kutatás elvégzése annak érdekében, hogy első kézből lehessen beszámolót készíteni az idősek Covid19-intézkedésekkel kapcsolatos tapasztalatairól (lásd az </w:t>
      </w:r>
      <w:hyperlink r:id="rId530">
        <w:r>
          <w:rPr>
            <w:rStyle w:val="LienInternet"/>
          </w:rPr>
          <w:t>ötletet</w:t>
        </w:r>
      </w:hyperlink>
      <w:hyperlink r:id="rId531">
        <w:r>
          <w:rPr>
            <w:rStyle w:val="LienInternet"/>
          </w:rPr>
          <w:t>)</w:t>
        </w:r>
      </w:hyperlink>
      <w:r>
        <w:rPr/>
        <w:t xml:space="preserve">. Továbbá egy polgár kéri a világjárvány járulékos kárának és rejtett hatásainak kivizsgálását (lásd az </w:t>
      </w:r>
      <w:hyperlink r:id="rId532">
        <w:r>
          <w:rPr>
            <w:rStyle w:val="LienInternet"/>
          </w:rPr>
          <w:t>ötletet</w:t>
        </w:r>
      </w:hyperlink>
      <w:r>
        <w:rPr/>
        <w:t xml:space="preserve">). </w:t>
      </w:r>
    </w:p>
    <w:p>
      <w:pPr>
        <w:pStyle w:val="Normal"/>
        <w:jc w:val="left"/>
        <w:rPr/>
      </w:pPr>
      <w:r>
        <w:rPr/>
        <w:t xml:space="preserve">Több résztvevő fokozott mentális egészségügyi támogatásra szólít fel a világjárvány társadalmi és gazdasági következményeinek kezelése érdekében, különösen a fiatalok körében (lásd például egy </w:t>
      </w:r>
      <w:hyperlink r:id="rId533">
        <w:r>
          <w:rPr>
            <w:rStyle w:val="LienInternet"/>
          </w:rPr>
          <w:t>ötletet</w:t>
        </w:r>
      </w:hyperlink>
      <w:hyperlink r:id="rId534">
        <w:r>
          <w:rPr>
            <w:rStyle w:val="LienInternet"/>
          </w:rPr>
          <w:t xml:space="preserve"> </w:t>
        </w:r>
      </w:hyperlink>
      <w:r>
        <w:rPr/>
        <w:t xml:space="preserve">és </w:t>
      </w:r>
      <w:hyperlink r:id="rId535">
        <w:r>
          <w:rPr>
            <w:rStyle w:val="LienInternet"/>
          </w:rPr>
          <w:t>ötletet</w:t>
        </w:r>
      </w:hyperlink>
      <w:hyperlink r:id="rId536">
        <w:r>
          <w:rPr>
            <w:rStyle w:val="LienInternet"/>
          </w:rPr>
          <w:t>)</w:t>
        </w:r>
      </w:hyperlink>
      <w:r>
        <w:rPr/>
        <w:t>. Számos esemény is foglalkozott ezzel a témával, például az európai népegészségügynek a koronavírus-válság utáni jövőjével (lásd az</w:t>
      </w:r>
      <w:hyperlink r:id="rId537">
        <w:r>
          <w:rPr>
            <w:rStyle w:val="LienInternet"/>
          </w:rPr>
          <w:t xml:space="preserve"> </w:t>
        </w:r>
      </w:hyperlink>
      <w:hyperlink r:id="rId538">
        <w:r>
          <w:rPr>
            <w:rStyle w:val="LienInternet"/>
          </w:rPr>
          <w:t>eseményt</w:t>
        </w:r>
      </w:hyperlink>
      <w:hyperlink r:id="rId539">
        <w:r>
          <w:rPr>
            <w:rStyle w:val="LienInternet"/>
          </w:rPr>
          <w:t>)</w:t>
        </w:r>
      </w:hyperlink>
      <w:r>
        <w:rPr/>
        <w:t xml:space="preserve">. </w:t>
      </w:r>
    </w:p>
    <w:p>
      <w:pPr>
        <w:pStyle w:val="Normal"/>
        <w:jc w:val="left"/>
        <w:rPr/>
      </w:pPr>
      <w:r>
        <w:rPr/>
        <w:t>A vakcinázási programról folytatott viták ellentmondásos nézeteket tárnak fel, kezdve attól az elképzeléstől, hogy az oltást mindenki számára kötelezővé kell tenni (lásd például az</w:t>
      </w:r>
      <w:hyperlink r:id="rId540">
        <w:r>
          <w:rPr>
            <w:rStyle w:val="LienInternet"/>
          </w:rPr>
          <w:t xml:space="preserve"> </w:t>
        </w:r>
      </w:hyperlink>
      <w:hyperlink r:id="rId541">
        <w:r>
          <w:rPr>
            <w:rStyle w:val="LienInternet"/>
          </w:rPr>
          <w:t>ötletet</w:t>
        </w:r>
      </w:hyperlink>
      <w:r>
        <w:rPr/>
        <w:t xml:space="preserve">), egészen a polgárok szabad választásának javaslatáig (lásd például az </w:t>
      </w:r>
      <w:hyperlink r:id="rId542">
        <w:r>
          <w:rPr>
            <w:rStyle w:val="LienInternet"/>
          </w:rPr>
          <w:t>ötletet</w:t>
        </w:r>
      </w:hyperlink>
      <w:r>
        <w:rPr/>
        <w:t>). Egy másik hozzászóló azzal érvel, hogy a védőoltásokat nem szabad kötelezővé tenni a fiatalok számára, és hogy az EU-nak nem szabad „blackpostáznia” őket azáltal, hogy lehetővé teszi a „könnyített” transznacionális utazást az oltásért cserébe, és ha PCR-tesztekre van szükség, azokat ingyenesen kell biztosítani (lásd az</w:t>
      </w:r>
      <w:hyperlink r:id="rId543">
        <w:r>
          <w:rPr>
            <w:rStyle w:val="LienInternet"/>
          </w:rPr>
          <w:t xml:space="preserve"> </w:t>
        </w:r>
      </w:hyperlink>
      <w:hyperlink r:id="rId544">
        <w:r>
          <w:rPr>
            <w:rStyle w:val="LienInternet"/>
          </w:rPr>
          <w:t>ötletet</w:t>
        </w:r>
      </w:hyperlink>
      <w:hyperlink r:id="rId545">
        <w:r>
          <w:rPr>
            <w:rStyle w:val="LienInternet"/>
          </w:rPr>
          <w:t>)</w:t>
        </w:r>
      </w:hyperlink>
      <w:r>
        <w:rPr/>
        <w:t>. Javasoljuk továbbá, hogy az uniós tagállamok állapodjanak meg az antitestek (vagy vakcina/frissítés) szintjét igazoló vonatkozó WHO-szabványok és nemzeti dokumentumok elismerésében (lásd az</w:t>
      </w:r>
      <w:hyperlink r:id="rId546">
        <w:r>
          <w:rPr>
            <w:rStyle w:val="LienInternet"/>
          </w:rPr>
          <w:t xml:space="preserve"> </w:t>
        </w:r>
      </w:hyperlink>
      <w:hyperlink r:id="rId547">
        <w:r>
          <w:rPr>
            <w:rStyle w:val="LienInternet"/>
          </w:rPr>
          <w:t>ötletet</w:t>
        </w:r>
      </w:hyperlink>
      <w:r>
        <w:rPr/>
        <w:t>). A zöld igazolványról szóló igazolást is széles körben vitatják, felvetve azokat, akik kérik annak eltörlését (lásd az</w:t>
      </w:r>
      <w:hyperlink r:id="rId548">
        <w:r>
          <w:rPr>
            <w:rStyle w:val="LienInternet"/>
          </w:rPr>
          <w:t xml:space="preserve"> </w:t>
        </w:r>
      </w:hyperlink>
      <w:hyperlink r:id="rId549">
        <w:r>
          <w:rPr>
            <w:rStyle w:val="LienInternet"/>
          </w:rPr>
          <w:t>ötlet</w:t>
        </w:r>
      </w:hyperlink>
      <w:r>
        <w:rPr/>
        <w:t xml:space="preserve">példáját), félve a polgárok két osztályának felemelkedésétől (lásd az </w:t>
      </w:r>
      <w:hyperlink r:id="rId550">
        <w:r>
          <w:rPr>
            <w:rStyle w:val="LienInternet"/>
          </w:rPr>
          <w:t>ötletet</w:t>
        </w:r>
      </w:hyperlink>
      <w:r>
        <w:rPr/>
        <w:t xml:space="preserve">), és azt sugallják, hogy az európaiaknak meg kell védeniük azt a jogot, hogy megválasszák a védőoltást (lásd az </w:t>
      </w:r>
      <w:hyperlink r:id="rId551">
        <w:r>
          <w:rPr>
            <w:rStyle w:val="LienInternet"/>
          </w:rPr>
          <w:t>ötletet</w:t>
        </w:r>
      </w:hyperlink>
      <w:r>
        <w:rPr/>
        <w:t xml:space="preserve">) azokkal szemben, akik támogatják az ilyen egészségügyi igazolványt és a kötelező védőoltást a vírus leküzdésére és az egészségügyi rendszerek életképességének biztosítására irányuló kollektív erőfeszítés részeként (lásd egy </w:t>
      </w:r>
      <w:hyperlink r:id="rId552">
        <w:r>
          <w:rPr>
            <w:rStyle w:val="LienInternet"/>
          </w:rPr>
          <w:t>ötlet</w:t>
        </w:r>
      </w:hyperlink>
      <w:r>
        <w:rPr/>
        <w:t>példáját</w:t>
      </w:r>
      <w:hyperlink r:id="rId553">
        <w:r>
          <w:rPr>
            <w:rStyle w:val="LienInternet"/>
          </w:rPr>
          <w:t>)</w:t>
        </w:r>
      </w:hyperlink>
      <w:r>
        <w:rPr/>
        <w:t>. Az egyik hozzászólás az oltóanyagok uniós szintű beszerzésével kapcsolatos eljárásokkal foglalkozik, és a gyógyszeripari vállalatokkal kötött szerződések nagyobb mértékű közzétételére és átláthatóságára szólít fel (lásd az</w:t>
      </w:r>
      <w:hyperlink r:id="rId554">
        <w:r>
          <w:rPr>
            <w:rStyle w:val="LienInternet"/>
          </w:rPr>
          <w:t xml:space="preserve"> </w:t>
        </w:r>
      </w:hyperlink>
      <w:hyperlink r:id="rId555">
        <w:r>
          <w:rPr>
            <w:rStyle w:val="LienInternet"/>
          </w:rPr>
          <w:t>ötletet</w:t>
        </w:r>
      </w:hyperlink>
      <w:hyperlink r:id="rId556">
        <w:r>
          <w:rPr>
            <w:rStyle w:val="LienInternet"/>
          </w:rPr>
          <w:t>)</w:t>
        </w:r>
      </w:hyperlink>
      <w:r>
        <w:rPr/>
        <w:t xml:space="preserve">. </w:t>
      </w:r>
    </w:p>
    <w:p>
      <w:pPr>
        <w:pStyle w:val="Normal"/>
        <w:jc w:val="left"/>
        <w:rPr/>
      </w:pPr>
      <w:r>
        <w:rPr/>
        <w:t xml:space="preserve">Számos polgár nagyobb szolidaritást és globális partnerséget és finanszírozást sürget a betegségek elleni globális küzdelem és a betegségek felszámolása érdekében, és azt sugallja, hogy Európa világelső lehet a világjárványok, a rák és a szívbetegségek elleni küzdelemben és leküzdésében (lásd az </w:t>
      </w:r>
      <w:hyperlink r:id="rId557">
        <w:r>
          <w:rPr>
            <w:rStyle w:val="LienInternet"/>
          </w:rPr>
          <w:t>ötletet</w:t>
        </w:r>
      </w:hyperlink>
      <w:hyperlink r:id="rId558">
        <w:r>
          <w:rPr>
            <w:rStyle w:val="LienInternet"/>
          </w:rPr>
          <w:t>)</w:t>
        </w:r>
      </w:hyperlink>
      <w:r>
        <w:rPr/>
        <w:t xml:space="preserve">. Az egyik állampolgár azt javasolja, hogy az Európai Bizottság az Egészségügyi Világszervezettel együttműködve mozdítson elő egy olyan nemzetközi megállapodást, amely lehetővé teszi a gyógyszerek világméretű előállítását és forgalmazását a világjárványokkal összefüggésben (lásd az </w:t>
      </w:r>
      <w:hyperlink r:id="rId559">
        <w:r>
          <w:rPr>
            <w:rStyle w:val="LienInternet"/>
          </w:rPr>
          <w:t>ötletet</w:t>
        </w:r>
      </w:hyperlink>
      <w:hyperlink r:id="rId560">
        <w:r>
          <w:rPr>
            <w:rStyle w:val="LienInternet"/>
          </w:rPr>
          <w:t>)</w:t>
        </w:r>
      </w:hyperlink>
      <w:r>
        <w:rPr/>
        <w:t xml:space="preserve">, egy másik hozzájárulás pedig hangsúlyozza, hogy az új törzsek elterjedésének megelőzése érdekében be kell oltani a világot (lásd az </w:t>
      </w:r>
      <w:hyperlink r:id="rId561">
        <w:r>
          <w:rPr>
            <w:rStyle w:val="LienInternet"/>
          </w:rPr>
          <w:t>ötletet</w:t>
        </w:r>
      </w:hyperlink>
      <w:r>
        <w:rPr/>
        <w:t>). Ugyanakkor a hozzászólók azt javasolják, hogy hozzanak intézkedéseket a vállalatok szabadalmainak védelme érdekében, és azt javasolják, hogy az Európai Bizottság jelentős szerepet játszhatna közvetítőként és nagykövetként (lásd az</w:t>
      </w:r>
      <w:hyperlink r:id="rId562">
        <w:r>
          <w:rPr>
            <w:rStyle w:val="LienInternet"/>
          </w:rPr>
          <w:t xml:space="preserve"> </w:t>
        </w:r>
      </w:hyperlink>
      <w:hyperlink r:id="rId563">
        <w:r>
          <w:rPr>
            <w:rStyle w:val="LienInternet"/>
          </w:rPr>
          <w:t>ötletet</w:t>
        </w:r>
      </w:hyperlink>
      <w:hyperlink r:id="rId564">
        <w:r>
          <w:rPr>
            <w:rStyle w:val="LienInternet"/>
          </w:rPr>
          <w:t>)</w:t>
        </w:r>
      </w:hyperlink>
      <w:r>
        <w:rPr/>
        <w:t xml:space="preserve">. </w:t>
      </w:r>
    </w:p>
    <w:p>
      <w:pPr>
        <w:pStyle w:val="Normal"/>
        <w:jc w:val="left"/>
        <w:rPr/>
      </w:pPr>
      <w:r>
        <w:rPr/>
      </w:r>
    </w:p>
    <w:p>
      <w:pPr>
        <w:pStyle w:val="Titre2"/>
        <w:numPr>
          <w:ilvl w:val="1"/>
          <w:numId w:val="1"/>
        </w:numPr>
        <w:jc w:val="left"/>
        <w:rPr/>
      </w:pPr>
      <w:bookmarkStart w:id="40" w:name="__RefHeading___Toc86405_2514204080"/>
      <w:bookmarkEnd w:id="40"/>
      <w:r>
        <w:rPr/>
        <w:t>A rák kezelése</w:t>
      </w:r>
    </w:p>
    <w:p>
      <w:pPr>
        <w:pStyle w:val="Normal"/>
        <w:jc w:val="left"/>
        <w:rPr/>
      </w:pPr>
      <w:r>
        <w:rPr/>
        <w:t xml:space="preserve">Olyan téma, amelyet gyakran említenek a platformon, különösen a </w:t>
      </w:r>
    </w:p>
    <w:p>
      <w:pPr>
        <w:pStyle w:val="Normal"/>
        <w:jc w:val="left"/>
        <w:rPr/>
      </w:pPr>
      <w:r>
        <w:rPr/>
        <w:t>a megelőzés, de annak társadalmi és pszichológiai következményei is a rák (lásd az</w:t>
      </w:r>
      <w:hyperlink r:id="rId565">
        <w:r>
          <w:rPr>
            <w:rStyle w:val="LienInternet"/>
          </w:rPr>
          <w:t xml:space="preserve"> </w:t>
        </w:r>
      </w:hyperlink>
      <w:hyperlink r:id="rId566">
        <w:r>
          <w:rPr>
            <w:rStyle w:val="LienInternet"/>
          </w:rPr>
          <w:t>ötlet példáját</w:t>
        </w:r>
      </w:hyperlink>
      <w:hyperlink r:id="rId567">
        <w:r>
          <w:rPr>
            <w:rStyle w:val="LienInternet"/>
          </w:rPr>
          <w:t>)</w:t>
        </w:r>
      </w:hyperlink>
      <w:r>
        <w:rPr/>
        <w:t>. A résztvevők itt is azt javasolják, hogy egyesítsék a rák elleni küzdelemhez szükséges erőforrásokat az egész EU-ban (lásd például az</w:t>
      </w:r>
      <w:hyperlink r:id="rId568">
        <w:r>
          <w:rPr>
            <w:rStyle w:val="LienInternet"/>
          </w:rPr>
          <w:t xml:space="preserve"> </w:t>
        </w:r>
      </w:hyperlink>
      <w:hyperlink r:id="rId569">
        <w:r>
          <w:rPr>
            <w:rStyle w:val="LienInternet"/>
          </w:rPr>
          <w:t>ötletet</w:t>
        </w:r>
      </w:hyperlink>
      <w:r>
        <w:rPr/>
        <w:t xml:space="preserve">). </w:t>
      </w:r>
    </w:p>
    <w:p>
      <w:pPr>
        <w:pStyle w:val="Normal"/>
        <w:jc w:val="left"/>
        <w:rPr/>
      </w:pPr>
      <w:r>
        <w:rPr/>
        <w:t>A hozzászólók hangsúlyozzák, hogy közös erőfeszítésekre van szükség a korai diagnosztikára, például a szűrésre, amelyet az EU-nak támogatnia kell (lásd például az</w:t>
      </w:r>
      <w:hyperlink r:id="rId570">
        <w:r>
          <w:rPr>
            <w:rStyle w:val="LienInternet"/>
          </w:rPr>
          <w:t xml:space="preserve"> </w:t>
        </w:r>
      </w:hyperlink>
      <w:hyperlink r:id="rId571">
        <w:r>
          <w:rPr>
            <w:rStyle w:val="LienInternet"/>
          </w:rPr>
          <w:t>ötletet</w:t>
        </w:r>
      </w:hyperlink>
      <w:hyperlink r:id="rId572">
        <w:r>
          <w:rPr>
            <w:rStyle w:val="LienInternet"/>
          </w:rPr>
          <w:t xml:space="preserve"> </w:t>
        </w:r>
      </w:hyperlink>
      <w:r>
        <w:rPr/>
        <w:t>és az</w:t>
      </w:r>
      <w:hyperlink r:id="rId573">
        <w:r>
          <w:rPr>
            <w:rStyle w:val="LienInternet"/>
          </w:rPr>
          <w:t xml:space="preserve"> </w:t>
        </w:r>
      </w:hyperlink>
      <w:hyperlink r:id="rId574">
        <w:r>
          <w:rPr>
            <w:rStyle w:val="LienInternet"/>
          </w:rPr>
          <w:t>ötletet</w:t>
        </w:r>
      </w:hyperlink>
      <w:hyperlink r:id="rId575">
        <w:r>
          <w:rPr>
            <w:rStyle w:val="LienInternet"/>
          </w:rPr>
          <w:t>)</w:t>
        </w:r>
      </w:hyperlink>
      <w:r>
        <w:rPr/>
        <w:t xml:space="preserve">. </w:t>
      </w:r>
    </w:p>
    <w:p>
      <w:pPr>
        <w:pStyle w:val="Normal"/>
        <w:jc w:val="left"/>
        <w:rPr/>
      </w:pPr>
      <w:r>
        <w:rPr/>
        <w:t>A rákmegelőzéssel kapcsolatban az egyik ötlet a napozóágyak betiltását javasolja a bőrrák kialakulásának megelőzése érdekében (lásd az</w:t>
      </w:r>
      <w:hyperlink r:id="rId576">
        <w:r>
          <w:rPr>
            <w:rStyle w:val="LienInternet"/>
          </w:rPr>
          <w:t xml:space="preserve"> </w:t>
        </w:r>
      </w:hyperlink>
      <w:hyperlink r:id="rId577">
        <w:r>
          <w:rPr>
            <w:rStyle w:val="LienInternet"/>
          </w:rPr>
          <w:t>ötletet</w:t>
        </w:r>
      </w:hyperlink>
      <w:hyperlink r:id="rId578">
        <w:r>
          <w:rPr>
            <w:rStyle w:val="LienInternet"/>
          </w:rPr>
          <w:t>)</w:t>
        </w:r>
      </w:hyperlink>
      <w:r>
        <w:rPr/>
        <w:t xml:space="preserve">, míg egy másik hozzászóló kiemeli a rákmegelőzés fontosságát a vidéki területeken, amelyeket gyakran alig érnek el a rákmegelőzési kampányok (lásd az </w:t>
      </w:r>
      <w:hyperlink r:id="rId579">
        <w:r>
          <w:rPr>
            <w:rStyle w:val="LienInternet"/>
          </w:rPr>
          <w:t>ötletet</w:t>
        </w:r>
      </w:hyperlink>
      <w:hyperlink r:id="rId580">
        <w:r>
          <w:rPr>
            <w:rStyle w:val="LienInternet"/>
          </w:rPr>
          <w:t>)</w:t>
        </w:r>
      </w:hyperlink>
      <w:r>
        <w:rPr/>
        <w:t>. Egyes résztvevők hangsúlyozzák a nemi sztereotípiák és a megbélyegzés akadályát az egészséges életmód és a megelőzési gyakorlatok előmozdítása terén a férfiak körében. Azt akarják, hogy az EU dolgozzon ki célzott figyelemfelkeltő kampányokat, különösen a prosztatarák megelőzésére vonatkozóan (lásd</w:t>
      </w:r>
      <w:hyperlink r:id="rId581">
        <w:r>
          <w:rPr>
            <w:rStyle w:val="LienInternet"/>
          </w:rPr>
          <w:t xml:space="preserve"> </w:t>
        </w:r>
      </w:hyperlink>
      <w:hyperlink r:id="rId582">
        <w:r>
          <w:rPr>
            <w:rStyle w:val="LienInternet"/>
          </w:rPr>
          <w:t>az ötletet</w:t>
        </w:r>
      </w:hyperlink>
      <w:r>
        <w:rPr/>
        <w:t>).</w:t>
      </w:r>
    </w:p>
    <w:p>
      <w:pPr>
        <w:pStyle w:val="Normal"/>
        <w:jc w:val="left"/>
        <w:rPr/>
      </w:pPr>
      <w:r>
        <w:rPr/>
      </w:r>
    </w:p>
    <w:p>
      <w:pPr>
        <w:pStyle w:val="Titre2"/>
        <w:numPr>
          <w:ilvl w:val="1"/>
          <w:numId w:val="1"/>
        </w:numPr>
        <w:jc w:val="left"/>
        <w:rPr/>
      </w:pPr>
      <w:bookmarkStart w:id="41" w:name="__RefHeading___Toc86407_2514204080"/>
      <w:bookmarkEnd w:id="41"/>
      <w:r>
        <w:rPr/>
        <w:t>Egészségügyi dolgozók</w:t>
      </w:r>
    </w:p>
    <w:p>
      <w:pPr>
        <w:pStyle w:val="Normal"/>
        <w:jc w:val="left"/>
        <w:rPr/>
      </w:pPr>
      <w:r>
        <w:rPr/>
      </w:r>
    </w:p>
    <w:p>
      <w:pPr>
        <w:pStyle w:val="Normal"/>
        <w:jc w:val="left"/>
        <w:rPr/>
      </w:pPr>
      <w:r>
        <w:rPr/>
        <w:t>Az egészségügyi ágazatban a munkakörülmények témáját a résztvevők nemcsak az egészséggel, hanem a migrációval és a nemek közötti egyenlőséggel kapcsolatban is felvetették (lásd például a migrációról szóló fejezetet). A résztvevők hangsúlyozták az egészségügyi ágazatban dolgozó nők hozzájárulását, valamint azt, hogy a vezetői és továbbképzési programokba való befektetéssel támogatni kell őket (lásd az</w:t>
      </w:r>
      <w:hyperlink r:id="rId583">
        <w:r>
          <w:rPr>
            <w:rStyle w:val="LienInternet"/>
          </w:rPr>
          <w:t xml:space="preserve"> </w:t>
        </w:r>
      </w:hyperlink>
      <w:hyperlink r:id="rId584">
        <w:r>
          <w:rPr>
            <w:rStyle w:val="LienInternet"/>
          </w:rPr>
          <w:t>ötletet</w:t>
        </w:r>
      </w:hyperlink>
      <w:r>
        <w:rPr/>
        <w:t xml:space="preserve">). </w:t>
      </w:r>
    </w:p>
    <w:p>
      <w:pPr>
        <w:pStyle w:val="Normal"/>
        <w:jc w:val="left"/>
        <w:rPr/>
      </w:pPr>
      <w:r>
        <w:rPr/>
        <w:t xml:space="preserve">Az egészségügyi dolgozókkal kapcsolatos elképzelések rávilágítanak az ágazatot érintő negatív munkakörülményekre (lásd például az </w:t>
      </w:r>
      <w:hyperlink r:id="rId585">
        <w:r>
          <w:rPr>
            <w:rStyle w:val="LienInternet"/>
          </w:rPr>
          <w:t>ötletet</w:t>
        </w:r>
      </w:hyperlink>
      <w:r>
        <w:rPr/>
        <w:t xml:space="preserve">), amelyek általában a fizetések és a munkakörülmények javítását követelik (lásd az </w:t>
      </w:r>
      <w:hyperlink r:id="rId586">
        <w:r>
          <w:rPr>
            <w:rStyle w:val="LienInternet"/>
          </w:rPr>
          <w:t>ötletet</w:t>
        </w:r>
      </w:hyperlink>
      <w:r>
        <w:rPr/>
        <w:t xml:space="preserve">). </w:t>
      </w:r>
    </w:p>
    <w:p>
      <w:pPr>
        <w:pStyle w:val="Normal"/>
        <w:jc w:val="left"/>
        <w:rPr/>
      </w:pPr>
      <w:r>
        <w:rPr/>
        <w:t>A világjárvány hozzájárult az egészségügyi dolgozók kulcsfontosságú társadalmi hozzájárulásának kiemeléséhez is, ami néha szélesebb körű vitákat váltott ki a jelenlegi egészségügyi rendszerek jellegéről és az ágazat magánszereplőinek szerepéről, beleértve a privatizációnak a munkakörülményekre gyakorolt hatását (lásd az</w:t>
      </w:r>
      <w:hyperlink r:id="rId587">
        <w:r>
          <w:rPr>
            <w:rStyle w:val="LienInternet"/>
          </w:rPr>
          <w:t xml:space="preserve"> </w:t>
        </w:r>
      </w:hyperlink>
      <w:hyperlink r:id="rId588">
        <w:r>
          <w:rPr>
            <w:rStyle w:val="LienInternet"/>
          </w:rPr>
          <w:t>ötletet</w:t>
        </w:r>
      </w:hyperlink>
      <w:hyperlink r:id="rId589">
        <w:r>
          <w:rPr>
            <w:rStyle w:val="LienInternet"/>
          </w:rPr>
          <w:t>)</w:t>
        </w:r>
      </w:hyperlink>
      <w:r>
        <w:rPr/>
        <w:t xml:space="preserve">. </w:t>
        <w:br/>
        <w:t>Egy elképzelés szerint az önkéntesek európai éve méltó elismerés lenne az önkéntesek által a Covid19-világjárvány során tett erőfeszítések és hatások előtt (lásd az</w:t>
      </w:r>
      <w:hyperlink r:id="rId590">
        <w:r>
          <w:rPr>
            <w:rStyle w:val="LienInternet"/>
          </w:rPr>
          <w:t xml:space="preserve"> </w:t>
        </w:r>
      </w:hyperlink>
      <w:hyperlink r:id="rId591">
        <w:r>
          <w:rPr>
            <w:rStyle w:val="LienInternet"/>
          </w:rPr>
          <w:t>ötletet</w:t>
        </w:r>
      </w:hyperlink>
      <w:r>
        <w:rPr/>
        <w:t xml:space="preserve">). </w:t>
      </w:r>
    </w:p>
    <w:p>
      <w:pPr>
        <w:pStyle w:val="Normal"/>
        <w:jc w:val="left"/>
        <w:rPr/>
      </w:pPr>
      <w:r>
        <w:rPr/>
      </w:r>
    </w:p>
    <w:p>
      <w:pPr>
        <w:pStyle w:val="Titre2"/>
        <w:numPr>
          <w:ilvl w:val="1"/>
          <w:numId w:val="1"/>
        </w:numPr>
        <w:jc w:val="left"/>
        <w:rPr/>
      </w:pPr>
      <w:bookmarkStart w:id="42" w:name="__RefHeading___Toc86409_2514204080"/>
      <w:bookmarkEnd w:id="42"/>
      <w:r>
        <w:rPr/>
        <w:t xml:space="preserve">Szexualitás </w:t>
        <w:tab/>
        <w:t>reproduktív egészség</w:t>
      </w:r>
    </w:p>
    <w:p>
      <w:pPr>
        <w:pStyle w:val="Normal"/>
        <w:jc w:val="left"/>
        <w:rPr/>
      </w:pPr>
      <w:r>
        <w:rPr/>
        <w:t xml:space="preserve">A megfizethető és hozzáférhető fogamzásgátláshoz való hozzáférés biztosítására irányuló felhívást ötletekben és eseményekben vitatják meg (lásd az </w:t>
      </w:r>
      <w:hyperlink r:id="rId592">
        <w:r>
          <w:rPr>
            <w:rStyle w:val="LienInternet"/>
          </w:rPr>
          <w:t>eseményt</w:t>
        </w:r>
      </w:hyperlink>
      <w:r>
        <w:rPr/>
        <w:t xml:space="preserve">). Egyes ötletek azt javasolják, hogy az úgynevezett „időszaki szegénység” elleni küzdelem érdekében szabad menstruációs termékeket bocsássanak rendelkezésre a nyilvános terekben (lásd például egy </w:t>
      </w:r>
      <w:hyperlink r:id="rId593">
        <w:r>
          <w:rPr>
            <w:rStyle w:val="LienInternet"/>
          </w:rPr>
          <w:t>ötletet</w:t>
        </w:r>
      </w:hyperlink>
      <w:hyperlink r:id="rId594">
        <w:r>
          <w:rPr>
            <w:rStyle w:val="LienInternet"/>
          </w:rPr>
          <w:t>)</w:t>
        </w:r>
      </w:hyperlink>
      <w:r>
        <w:rPr/>
        <w:t>. Más javaslatok a női egészségügyi termékekre, például az egészségügyi betétekre kivetett adók csökkentését vagy eltörlését javasolják (lásd az</w:t>
      </w:r>
      <w:hyperlink r:id="rId595">
        <w:r>
          <w:rPr>
            <w:rStyle w:val="LienInternet"/>
          </w:rPr>
          <w:t xml:space="preserve"> </w:t>
        </w:r>
      </w:hyperlink>
      <w:hyperlink r:id="rId596">
        <w:r>
          <w:rPr>
            <w:rStyle w:val="LienInternet"/>
          </w:rPr>
          <w:t>ötletet</w:t>
        </w:r>
      </w:hyperlink>
      <w:hyperlink r:id="rId597">
        <w:r>
          <w:rPr>
            <w:rStyle w:val="LienInternet"/>
          </w:rPr>
          <w:t>)</w:t>
        </w:r>
      </w:hyperlink>
      <w:r>
        <w:rPr/>
        <w:t xml:space="preserve">. Ezen túlmenően a nők reproduktív egészségének és a kevésbé invazív női és férfi fogamzásgátlók kifejlesztésének több kutatására van szükség (lásd az </w:t>
      </w:r>
      <w:hyperlink r:id="rId598">
        <w:r>
          <w:rPr>
            <w:rStyle w:val="LienInternet"/>
          </w:rPr>
          <w:t>ötletet</w:t>
        </w:r>
      </w:hyperlink>
      <w:hyperlink r:id="rId599">
        <w:r>
          <w:rPr>
            <w:rStyle w:val="LienInternet"/>
          </w:rPr>
          <w:t>)</w:t>
        </w:r>
      </w:hyperlink>
      <w:r>
        <w:rPr/>
        <w:t xml:space="preserve">, valamint a reggeli pirulát minden országban recept nélkül elérhetővé teszik. Az abortuszhoz való joggal szembeni nézeteket szintén rögzítik a platformon (lásd az </w:t>
      </w:r>
      <w:hyperlink r:id="rId600">
        <w:r>
          <w:rPr>
            <w:rStyle w:val="LienInternet"/>
          </w:rPr>
          <w:t>ötletet</w:t>
        </w:r>
      </w:hyperlink>
      <w:r>
        <w:rPr/>
        <w:t xml:space="preserve">). </w:t>
      </w:r>
    </w:p>
    <w:p>
      <w:pPr>
        <w:pStyle w:val="Normal"/>
        <w:jc w:val="left"/>
        <w:rPr/>
      </w:pPr>
      <w:r>
        <w:rPr/>
        <w:t>A hozzászólások megvitatják a szexuális nevelés előmozdításának szükségességét páneurópai megközelítéssel, szexuális egészségügyi kampányokkal vagy az e tekintetben aktív nem kormányzati intézmények támogatásával (lásd például az</w:t>
      </w:r>
      <w:hyperlink r:id="rId601">
        <w:r>
          <w:rPr>
            <w:rStyle w:val="LienInternet"/>
          </w:rPr>
          <w:t xml:space="preserve"> </w:t>
        </w:r>
      </w:hyperlink>
      <w:hyperlink r:id="rId602">
        <w:r>
          <w:rPr>
            <w:rStyle w:val="LienInternet"/>
          </w:rPr>
          <w:t>ötletet</w:t>
        </w:r>
      </w:hyperlink>
      <w:hyperlink r:id="rId603">
        <w:r>
          <w:rPr>
            <w:rStyle w:val="LienInternet"/>
          </w:rPr>
          <w:t>)</w:t>
        </w:r>
      </w:hyperlink>
      <w:r>
        <w:rPr/>
        <w:t xml:space="preserve">. </w:t>
      </w:r>
    </w:p>
    <w:p>
      <w:pPr>
        <w:pStyle w:val="Normal"/>
        <w:jc w:val="left"/>
        <w:rPr/>
      </w:pPr>
      <w:r>
        <w:rPr/>
        <w:t xml:space="preserve">Egy berlini esemény megvitatta a jövőbeli perspektívákat, de különösen az in vitro megtermékenyítéssel kapcsolatos etikai kérdéseket (lásd az </w:t>
      </w:r>
      <w:hyperlink r:id="rId604">
        <w:r>
          <w:rPr>
            <w:rStyle w:val="LienInternet"/>
          </w:rPr>
          <w:t>eseményt</w:t>
        </w:r>
      </w:hyperlink>
      <w:hyperlink r:id="rId605">
        <w:r>
          <w:rPr>
            <w:rStyle w:val="LienInternet"/>
          </w:rPr>
          <w:t>)</w:t>
        </w:r>
      </w:hyperlink>
      <w:r>
        <w:rPr/>
        <w:t xml:space="preserve">. Az egyik javaslat az EU által szponzorált és népszerűsített szexuális egészségügyi klinikák létrehozását javasolja (lásd az </w:t>
      </w:r>
      <w:hyperlink r:id="rId606">
        <w:r>
          <w:rPr>
            <w:rStyle w:val="LienInternet"/>
          </w:rPr>
          <w:t>ötletet</w:t>
        </w:r>
      </w:hyperlink>
      <w:r>
        <w:rPr/>
        <w:t>), egy másik pedig a HIV elleni küzdelem fontosságát hangsúlyozza (lásd az</w:t>
      </w:r>
      <w:hyperlink r:id="rId607">
        <w:r>
          <w:rPr>
            <w:rStyle w:val="LienInternet"/>
          </w:rPr>
          <w:t xml:space="preserve"> </w:t>
        </w:r>
      </w:hyperlink>
      <w:hyperlink r:id="rId608">
        <w:r>
          <w:rPr>
            <w:rStyle w:val="LienInternet"/>
          </w:rPr>
          <w:t>ötletet</w:t>
        </w:r>
      </w:hyperlink>
      <w:hyperlink r:id="rId609">
        <w:r>
          <w:rPr>
            <w:rStyle w:val="LienInternet"/>
          </w:rPr>
          <w:t>)</w:t>
        </w:r>
      </w:hyperlink>
      <w:r>
        <w:rPr/>
        <w:t xml:space="preserve">. </w:t>
      </w:r>
    </w:p>
    <w:p>
      <w:pPr>
        <w:pStyle w:val="Normal"/>
        <w:jc w:val="left"/>
        <w:rPr/>
      </w:pPr>
      <w:r>
        <w:rPr/>
      </w:r>
    </w:p>
    <w:p>
      <w:pPr>
        <w:pStyle w:val="Titre2"/>
        <w:numPr>
          <w:ilvl w:val="1"/>
          <w:numId w:val="1"/>
        </w:numPr>
        <w:jc w:val="left"/>
        <w:rPr/>
      </w:pPr>
      <w:bookmarkStart w:id="43" w:name="__RefHeading___Toc86411_2514204080"/>
      <w:bookmarkEnd w:id="43"/>
      <w:r>
        <w:rPr/>
        <w:t>Új ötletek az elmúlt időszakban (21/02/2022–09/05/2022)</w:t>
      </w:r>
    </w:p>
    <w:p>
      <w:pPr>
        <w:pStyle w:val="Normal"/>
        <w:jc w:val="left"/>
        <w:rPr/>
      </w:pPr>
      <w:r>
        <w:rPr/>
        <w:t xml:space="preserve">A közelmúltban az Egészségügyi téma keretében benyújtott ötletek megismételték a korábban említett témákat, és azt mutatják, hogy továbbra is azokra a kérdésekre összpontosítanak, amelyeket a legtöbb résztvevő számára prioritásnak tekintenek. Nem rögzítettek új altémákat vagy témákat. </w:t>
      </w:r>
    </w:p>
    <w:p>
      <w:pPr>
        <w:pStyle w:val="Normal"/>
        <w:jc w:val="left"/>
        <w:rPr/>
      </w:pPr>
      <w:r>
        <w:rPr/>
        <w:t xml:space="preserve">A résztvevők megvitatták továbbá, hogy közös keretet kell-e elfogadni az európai egészségügyi rendszer irányításában, és elő kell mozdítani a különálló nemzeti egészségügyi rendszerek integrációját (lásd például az </w:t>
      </w:r>
      <w:hyperlink r:id="rId610">
        <w:r>
          <w:rPr>
            <w:rStyle w:val="LienInternet"/>
          </w:rPr>
          <w:t>ötletet</w:t>
        </w:r>
      </w:hyperlink>
      <w:r>
        <w:rPr/>
        <w:t>), néhány résztvevő megismételte az európai egészségügyi unió elképzelését (lásd például egy</w:t>
      </w:r>
      <w:hyperlink r:id="rId611">
        <w:r>
          <w:rPr>
            <w:rStyle w:val="LienInternet"/>
          </w:rPr>
          <w:t xml:space="preserve"> </w:t>
        </w:r>
      </w:hyperlink>
      <w:hyperlink r:id="rId612">
        <w:r>
          <w:rPr>
            <w:rStyle w:val="LienInternet"/>
          </w:rPr>
          <w:t>ötletet</w:t>
        </w:r>
      </w:hyperlink>
      <w:hyperlink r:id="rId613">
        <w:r>
          <w:rPr>
            <w:rStyle w:val="LienInternet"/>
          </w:rPr>
          <w:t>)</w:t>
        </w:r>
      </w:hyperlink>
      <w:r>
        <w:rPr/>
        <w:t xml:space="preserve">, mások pedig az egészségügyi szuverenitásra összpontosítva (lásd az </w:t>
      </w:r>
      <w:hyperlink r:id="rId614">
        <w:r>
          <w:rPr>
            <w:rStyle w:val="LienInternet"/>
          </w:rPr>
          <w:t>ötletet</w:t>
        </w:r>
      </w:hyperlink>
      <w:r>
        <w:rPr/>
        <w:t xml:space="preserve">). A résztvevők azt is hangsúlyozták, hogy az egészségügyi ellátásnak közszolgáltatásnak kell maradnia (lásd például egy </w:t>
      </w:r>
      <w:hyperlink r:id="rId615">
        <w:r>
          <w:rPr>
            <w:rStyle w:val="LienInternet"/>
          </w:rPr>
          <w:t>ötletet</w:t>
        </w:r>
      </w:hyperlink>
      <w:r>
        <w:rPr/>
        <w:t xml:space="preserve">). </w:t>
      </w:r>
    </w:p>
    <w:p>
      <w:pPr>
        <w:pStyle w:val="Normal"/>
        <w:jc w:val="left"/>
        <w:rPr/>
      </w:pPr>
      <w:r>
        <w:rPr/>
        <w:t>A Covid19-cel kapcsolatban felvetették a megfelelő oltóanyag-felvétel biztosításának fontosságát (lásd az</w:t>
      </w:r>
      <w:hyperlink r:id="rId616">
        <w:r>
          <w:rPr>
            <w:rStyle w:val="LienInternet"/>
          </w:rPr>
          <w:t xml:space="preserve"> </w:t>
        </w:r>
      </w:hyperlink>
      <w:hyperlink r:id="rId617">
        <w:r>
          <w:rPr>
            <w:rStyle w:val="LienInternet"/>
          </w:rPr>
          <w:t>ötletet</w:t>
        </w:r>
      </w:hyperlink>
      <w:hyperlink r:id="rId618">
        <w:r>
          <w:rPr>
            <w:rStyle w:val="LienInternet"/>
          </w:rPr>
          <w:t>)</w:t>
        </w:r>
      </w:hyperlink>
      <w:r>
        <w:rPr/>
        <w:t>, valamint a jobb válságkommunikáció és -kezelés szükségességét (lásd az</w:t>
      </w:r>
      <w:hyperlink r:id="rId619">
        <w:r>
          <w:rPr>
            <w:rStyle w:val="LienInternet"/>
          </w:rPr>
          <w:t xml:space="preserve"> </w:t>
        </w:r>
      </w:hyperlink>
      <w:hyperlink r:id="rId620">
        <w:r>
          <w:rPr>
            <w:rStyle w:val="LienInternet"/>
          </w:rPr>
          <w:t>ötletet</w:t>
        </w:r>
      </w:hyperlink>
      <w:hyperlink r:id="rId621">
        <w:r>
          <w:rPr>
            <w:rStyle w:val="LienInternet"/>
          </w:rPr>
          <w:t xml:space="preserve"> </w:t>
        </w:r>
      </w:hyperlink>
      <w:r>
        <w:rPr/>
        <w:t>és az</w:t>
      </w:r>
      <w:hyperlink r:id="rId622">
        <w:r>
          <w:rPr>
            <w:rStyle w:val="LienInternet"/>
          </w:rPr>
          <w:t xml:space="preserve"> </w:t>
        </w:r>
      </w:hyperlink>
      <w:hyperlink r:id="rId623">
        <w:r>
          <w:rPr>
            <w:rStyle w:val="LienInternet"/>
          </w:rPr>
          <w:t>ötletet</w:t>
        </w:r>
      </w:hyperlink>
      <w:r>
        <w:rPr/>
        <w:t xml:space="preserve">). </w:t>
      </w:r>
    </w:p>
    <w:p>
      <w:pPr>
        <w:pStyle w:val="Normal"/>
        <w:jc w:val="left"/>
        <w:rPr/>
      </w:pPr>
      <w:r>
        <w:rPr/>
        <w:t>A megelőzési kezdeményezések fontosságát széles körben megvitatták (lásd egy</w:t>
      </w:r>
      <w:hyperlink r:id="rId624">
        <w:r>
          <w:rPr>
            <w:rStyle w:val="LienInternet"/>
          </w:rPr>
          <w:t xml:space="preserve"> </w:t>
        </w:r>
      </w:hyperlink>
      <w:hyperlink r:id="rId625">
        <w:r>
          <w:rPr>
            <w:rStyle w:val="LienInternet"/>
          </w:rPr>
          <w:t>ötlet</w:t>
        </w:r>
      </w:hyperlink>
      <w:r>
        <w:rPr/>
        <w:t xml:space="preserve">példáját), és javaslatokat tettek az innovatív technológiákra (lásd az </w:t>
      </w:r>
      <w:hyperlink r:id="rId626">
        <w:r>
          <w:rPr>
            <w:rStyle w:val="LienInternet"/>
          </w:rPr>
          <w:t>ötletet</w:t>
        </w:r>
      </w:hyperlink>
      <w:r>
        <w:rPr/>
        <w:t xml:space="preserve">) és a távorvoslás alkalmazására a lakosság nehezen elérhető szegmenseiben (lásd az </w:t>
      </w:r>
      <w:hyperlink r:id="rId627">
        <w:r>
          <w:rPr>
            <w:rStyle w:val="LienInternet"/>
          </w:rPr>
          <w:t>ötletet</w:t>
        </w:r>
      </w:hyperlink>
      <w:r>
        <w:rPr/>
        <w:t xml:space="preserve">) és a kötelező rutinellenőrzéseket (lásd egy </w:t>
      </w:r>
      <w:hyperlink r:id="rId628">
        <w:r>
          <w:rPr>
            <w:rStyle w:val="LienInternet"/>
          </w:rPr>
          <w:t>ötlet példáját</w:t>
        </w:r>
      </w:hyperlink>
      <w:r>
        <w:rPr/>
        <w:t>). Emellett kiemelték a dohányból eredő veszélyeket, különösen a korai életkortól kezdve (lásd az</w:t>
      </w:r>
      <w:hyperlink r:id="rId629">
        <w:r>
          <w:rPr>
            <w:rStyle w:val="LienInternet"/>
          </w:rPr>
          <w:t xml:space="preserve"> </w:t>
        </w:r>
      </w:hyperlink>
      <w:hyperlink r:id="rId630">
        <w:r>
          <w:rPr>
            <w:rStyle w:val="LienInternet"/>
          </w:rPr>
          <w:t>ötletet</w:t>
        </w:r>
      </w:hyperlink>
      <w:hyperlink r:id="rId631">
        <w:r>
          <w:rPr>
            <w:rStyle w:val="LienInternet"/>
          </w:rPr>
          <w:t>)</w:t>
        </w:r>
      </w:hyperlink>
      <w:r>
        <w:rPr/>
        <w:t xml:space="preserve">. </w:t>
      </w:r>
    </w:p>
    <w:p>
      <w:pPr>
        <w:pStyle w:val="Normal"/>
        <w:jc w:val="left"/>
        <w:rPr/>
      </w:pPr>
      <w:r>
        <w:rPr/>
        <w:t xml:space="preserve">Az adatgyűjtés szintén kiemelt téma volt az orvosi kutatás fokozása érdekében, különösen a nemek közötti adatszakadék összeegyeztetése érdekében (lásd például egy </w:t>
      </w:r>
      <w:hyperlink r:id="rId632">
        <w:r>
          <w:rPr>
            <w:rStyle w:val="LienInternet"/>
          </w:rPr>
          <w:t>ötletet</w:t>
        </w:r>
      </w:hyperlink>
      <w:r>
        <w:rPr/>
        <w:t>). A platformon megismételték az egészségügyi jártasság javításának szükségességét is (lásd egy</w:t>
      </w:r>
      <w:hyperlink r:id="rId633">
        <w:r>
          <w:rPr>
            <w:rStyle w:val="LienInternet"/>
          </w:rPr>
          <w:t xml:space="preserve"> </w:t>
        </w:r>
      </w:hyperlink>
      <w:hyperlink r:id="rId634">
        <w:r>
          <w:rPr>
            <w:rStyle w:val="LienInternet"/>
          </w:rPr>
          <w:t>ötlet</w:t>
        </w:r>
      </w:hyperlink>
      <w:r>
        <w:rPr/>
        <w:t>példáját</w:t>
      </w:r>
      <w:hyperlink r:id="rId635">
        <w:r>
          <w:rPr>
            <w:rStyle w:val="LienInternet"/>
          </w:rPr>
          <w:t>)</w:t>
        </w:r>
      </w:hyperlink>
      <w:r>
        <w:rPr/>
        <w:t>.</w:t>
      </w:r>
    </w:p>
    <w:p>
      <w:pPr>
        <w:pStyle w:val="Normal"/>
        <w:jc w:val="left"/>
        <w:rPr/>
      </w:pPr>
      <w:r>
        <w:rPr/>
      </w:r>
    </w:p>
    <w:p>
      <w:pPr>
        <w:sectPr>
          <w:headerReference w:type="default" r:id="rId636"/>
          <w:footerReference w:type="default" r:id="rId637"/>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Normal"/>
        <w:jc w:val="left"/>
        <w:rPr/>
      </w:pPr>
      <w:r>
        <w:rPr/>
      </w:r>
    </w:p>
    <w:p>
      <w:pPr>
        <w:pStyle w:val="Normal"/>
        <w:jc w:val="left"/>
        <w:rPr/>
      </w:pPr>
      <w:r>
        <w:rPr/>
      </w:r>
      <w:r>
        <w:br w:type="page"/>
      </w:r>
    </w:p>
    <w:p>
      <w:pPr>
        <w:pStyle w:val="Normal"/>
        <w:rPr/>
      </w:pPr>
      <w:r>
        <w:rPr/>
        <mc:AlternateContent>
          <mc:Choice Requires="wps">
            <w:drawing>
              <wp:anchor behindDoc="0" distT="0" distB="0" distL="0" distR="0" simplePos="0" locked="0" layoutInCell="0" allowOverlap="1" relativeHeight="93">
                <wp:simplePos x="0" y="0"/>
                <wp:positionH relativeFrom="column">
                  <wp:posOffset>-1270</wp:posOffset>
                </wp:positionH>
                <wp:positionV relativeFrom="paragraph">
                  <wp:posOffset>66675</wp:posOffset>
                </wp:positionV>
                <wp:extent cx="8498205" cy="5431155"/>
                <wp:effectExtent l="0" t="0" r="0" b="0"/>
                <wp:wrapTopAndBottom/>
                <wp:docPr id="62" name="Cadre13"/>
                <a:graphic xmlns:a="http://schemas.openxmlformats.org/drawingml/2006/main">
                  <a:graphicData uri="http://schemas.microsoft.com/office/word/2010/wordprocessingShape">
                    <wps:wsp>
                      <wps:cNvSpPr/>
                      <wps:spPr>
                        <a:xfrm>
                          <a:off x="0" y="0"/>
                          <a:ext cx="8498160" cy="543132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Ábra. Elmetérkép „Egészségügy” téma 1. rész</w:t>
                            </w:r>
                          </w:p>
                        </w:txbxContent>
                      </wps:txbx>
                      <wps:bodyPr lIns="0" rIns="0" tIns="0" bIns="0" anchor="t">
                        <a:noAutofit/>
                      </wps:bodyPr>
                    </wps:wsp>
                  </a:graphicData>
                </a:graphic>
              </wp:anchor>
            </w:drawing>
          </mc:Choice>
          <mc:Fallback>
            <w:pict>
              <v:rect id="shape_0" ID="Cadre13" path="m0,0l-2147483645,0l-2147483645,-2147483646l0,-2147483646xe" fillcolor="white" stroked="f" o:allowincell="f" style="position:absolute;margin-left:-0.1pt;margin-top:5.25pt;width:669.1pt;height:427.6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Ábra. Elmetérkép „Egészségügy” téma 1. rész</w:t>
                      </w:r>
                    </w:p>
                  </w:txbxContent>
                </v:textbox>
                <w10:wrap type="topAndBottom"/>
              </v:rect>
            </w:pict>
          </mc:Fallback>
        </mc:AlternateContent>
        <mc:AlternateContent>
          <mc:Choice Requires="wpg">
            <w:drawing>
              <wp:anchor behindDoc="0" distT="0" distB="0" distL="0" distR="1270" simplePos="0" locked="0" layoutInCell="0" allowOverlap="1" relativeHeight="95">
                <wp:simplePos x="0" y="0"/>
                <wp:positionH relativeFrom="column">
                  <wp:posOffset>398145</wp:posOffset>
                </wp:positionH>
                <wp:positionV relativeFrom="paragraph">
                  <wp:posOffset>297180</wp:posOffset>
                </wp:positionV>
                <wp:extent cx="8496935" cy="5255260"/>
                <wp:effectExtent l="0" t="0" r="635" b="0"/>
                <wp:wrapTopAndBottom/>
                <wp:docPr id="64" name="Forme7"/>
                <a:graphic xmlns:a="http://schemas.openxmlformats.org/drawingml/2006/main">
                  <a:graphicData uri="http://schemas.microsoft.com/office/word/2010/wordprocessingGroup">
                    <wpg:wgp>
                      <wpg:cNvGrpSpPr/>
                      <wpg:grpSpPr>
                        <a:xfrm>
                          <a:off x="0" y="0"/>
                          <a:ext cx="8497080" cy="5255280"/>
                          <a:chOff x="0" y="0"/>
                          <a:chExt cx="8497080" cy="5255280"/>
                        </a:xfrm>
                      </wpg:grpSpPr>
                      <wpg:grpSp>
                        <wpg:cNvGrpSpPr/>
                        <wpg:grpSpPr>
                          <a:xfrm>
                            <a:off x="7172280" y="1975320"/>
                            <a:ext cx="1211760" cy="1477800"/>
                          </a:xfrm>
                        </wpg:grpSpPr>
                        <pic:pic xmlns:pic="http://schemas.openxmlformats.org/drawingml/2006/picture">
                          <pic:nvPicPr>
                            <pic:cNvPr id="11" name="" descr=""/>
                            <pic:cNvPicPr/>
                          </pic:nvPicPr>
                          <pic:blipFill>
                            <a:blip r:embed="rId638"/>
                            <a:stretch/>
                          </pic:blipFill>
                          <pic:spPr>
                            <a:xfrm>
                              <a:off x="0" y="0"/>
                              <a:ext cx="1211760" cy="1067400"/>
                            </a:xfrm>
                            <a:prstGeom prst="rect">
                              <a:avLst/>
                            </a:prstGeom>
                            <a:ln w="0">
                              <a:noFill/>
                            </a:ln>
                          </pic:spPr>
                        </pic:pic>
                        <wps:wsp>
                          <wps:cNvSpPr/>
                          <wps:spPr>
                            <a:xfrm>
                              <a:off x="13320" y="1044720"/>
                              <a:ext cx="1126440" cy="43308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Egészség</w:t>
                                </w:r>
                              </w:p>
                            </w:txbxContent>
                          </wps:txbx>
                          <wps:bodyPr lIns="90000" rIns="90000" tIns="45000" bIns="45000" anchor="t">
                            <a:noAutofit/>
                          </wps:bodyPr>
                        </wps:wsp>
                      </wpg:grpSp>
                      <wpg:grpSp>
                        <wpg:cNvGrpSpPr/>
                        <wpg:grpSpPr>
                          <a:xfrm>
                            <a:off x="107280" y="80640"/>
                            <a:ext cx="4236120" cy="1798200"/>
                          </a:xfrm>
                        </wpg:grpSpPr>
                        <wps:wsp>
                          <wps:cNvSpPr/>
                          <wps:spPr>
                            <a:xfrm>
                              <a:off x="0" y="0"/>
                              <a:ext cx="2660760" cy="1798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európai egészségügyi rendszerek megerősítése együttműködés és információcsere révén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orvosi ismeretek és kapacitások uniós szintű összevonása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Uniós szintű szervadományozási rendszer létrehozása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 hatáskörének növelése közegészségügyi kérdésekben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Felvértezni az EU-t több vészhelyzeti kompetenciával és hatáskörökkel a közegészségügy terén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Integrált stratégiák kidolgozása a közös uniós egészségügyi kihívásokra: mentális egészség, öngyilkosság megelőzése, ritka betegségek, rák stb. </w:t>
                                </w:r>
                              </w:p>
                            </w:txbxContent>
                          </wps:txbx>
                          <wps:bodyPr lIns="90000" rIns="90000" tIns="45000" bIns="45000" anchor="t">
                            <a:noAutofit/>
                          </wps:bodyPr>
                        </wps:wsp>
                        <wps:wsp>
                          <wps:cNvSpPr/>
                          <wps:spPr>
                            <a:xfrm>
                              <a:off x="2653560" y="241200"/>
                              <a:ext cx="158256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uniós gondozási rendszerek integrálása</w:t>
                                </w:r>
                              </w:p>
                            </w:txbxContent>
                          </wps:txbx>
                          <wps:bodyPr lIns="90000" rIns="90000" tIns="45000" bIns="45000" anchor="t">
                            <a:noAutofit/>
                          </wps:bodyPr>
                        </wps:wsp>
                      </wpg:grpSp>
                      <wpg:grpSp>
                        <wpg:cNvGrpSpPr/>
                        <wpg:grpSpPr>
                          <a:xfrm>
                            <a:off x="0" y="2108880"/>
                            <a:ext cx="2703240" cy="2684880"/>
                          </a:xfrm>
                        </wpg:grpSpPr>
                        <wps:wsp>
                          <wps:cNvSpPr/>
                          <wps:spPr>
                            <a:xfrm>
                              <a:off x="196200" y="0"/>
                              <a:ext cx="1711440" cy="4330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Egészségügyi kutatás</w:t>
                                </w:r>
                              </w:p>
                            </w:txbxContent>
                          </wps:txbx>
                          <wps:bodyPr lIns="90000" rIns="90000" tIns="45000" bIns="45000" anchor="t">
                            <a:noAutofit/>
                          </wps:bodyPr>
                        </wps:wsp>
                        <wps:wsp>
                          <wps:cNvSpPr/>
                          <wps:spPr>
                            <a:xfrm>
                              <a:off x="0" y="490680"/>
                              <a:ext cx="2703240" cy="2193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egészségügyi kutatás és innováció beruházása és támogatása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egészségügyi kutatás koordinálása egy fertőző betegségekkel foglalkozó európai laboratóriummal vagy egy központosított Európai Egészségügyi Kutatóintézettel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Új antibiotikum kifejlesztése a szuperrezisztens baktériumok ellen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Kötelezettséget vállal a klinikai vizsgálatok és az oltóanyag-vizsgálatok átláthatóságára, az adatok nyilvánosság számára való hozzáférhetővé tételére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Kerülje a nemek közötti elfogultságot a nők körében elterjedt betegségek kutatásában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Átmenet az állatmentes tudományba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myalgikus encephalomyelitis patomechanizmusainak kutatásának ösztönzése </w:t>
                                </w:r>
                              </w:p>
                            </w:txbxContent>
                          </wps:txbx>
                          <wps:bodyPr lIns="90000" rIns="90000" tIns="45000" bIns="45000" anchor="t">
                            <a:noAutofit/>
                          </wps:bodyPr>
                        </wps:wsp>
                      </wpg:grpSp>
                      <wpg:grpSp>
                        <wpg:cNvGrpSpPr/>
                        <wpg:grpSpPr>
                          <a:xfrm>
                            <a:off x="5043240" y="0"/>
                            <a:ext cx="3453840" cy="1666800"/>
                          </a:xfrm>
                        </wpg:grpSpPr>
                        <wps:wsp>
                          <wps:cNvSpPr/>
                          <wps:spPr>
                            <a:xfrm>
                              <a:off x="0" y="0"/>
                              <a:ext cx="1848960" cy="1666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Megfizethető és magas színvonalú egészségügyi ellátáshoz való hozzáférés biztosítása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ellátásra vonatkozó uniós szintű szabványok kidolgozása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Átfogó európai egészségbiztosítási rendszer végrehajtása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Deprivatizálja az egészségügyi ágazatot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Megfizethető gyógyszerek biztosítása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távoli egészségügyi ellátás fejlesztése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mentális egészségügyi ellátáshoz való hozzáférés biztosítása mindenki számára </w:t>
                                </w:r>
                              </w:p>
                            </w:txbxContent>
                          </wps:txbx>
                          <wps:bodyPr lIns="90000" rIns="90000" tIns="45000" bIns="45000" anchor="t">
                            <a:noAutofit/>
                          </wps:bodyPr>
                        </wps:wsp>
                        <wps:wsp>
                          <wps:cNvSpPr/>
                          <wps:spPr>
                            <a:xfrm>
                              <a:off x="1833840" y="385920"/>
                              <a:ext cx="1620000" cy="603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Egészségügyi ellátás mindenki számára</w:t>
                                </w:r>
                              </w:p>
                            </w:txbxContent>
                          </wps:txbx>
                          <wps:bodyPr lIns="90000" rIns="90000" tIns="45000" bIns="45000" anchor="t">
                            <a:noAutofit/>
                          </wps:bodyPr>
                        </wps:wsp>
                      </wpg:grpSp>
                      <wpg:grpSp>
                        <wpg:cNvGrpSpPr/>
                        <wpg:grpSpPr>
                          <a:xfrm>
                            <a:off x="4092120" y="1859400"/>
                            <a:ext cx="2873520" cy="1654920"/>
                          </a:xfrm>
                        </wpg:grpSpPr>
                        <wps:wsp>
                          <wps:cNvSpPr/>
                          <wps:spPr>
                            <a:xfrm>
                              <a:off x="350280" y="0"/>
                              <a:ext cx="171144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Egészséges életmód</w:t>
                                </w:r>
                              </w:p>
                            </w:txbxContent>
                          </wps:txbx>
                          <wps:bodyPr lIns="90000" rIns="90000" tIns="45000" bIns="45000" anchor="t">
                            <a:noAutofit/>
                          </wps:bodyPr>
                        </wps:wsp>
                        <wps:wsp>
                          <wps:cNvSpPr/>
                          <wps:spPr>
                            <a:xfrm>
                              <a:off x="0" y="249480"/>
                              <a:ext cx="2873520" cy="14050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vegetáriánus étrend ösztönzése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egészséges táplálkozás előmozdítása támogatás vagy egészségtelen termékek megadóztatása révén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mesterséges transzzsírok, valamint az antibiotikumok és biocidok intenzív gazdálkodásban való alkalmazásának betiltása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egészségtudatosság a korai életkortól</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függőséget okozó termékek, például a dohány és az alkohol fogyasztásának visszaszorítása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Tartós küzdelem a kemény drogok ellen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Időváltozások és időzónák eltörlése</w:t>
                                </w:r>
                              </w:p>
                            </w:txbxContent>
                          </wps:txbx>
                          <wps:bodyPr lIns="90000" rIns="90000" tIns="45000" bIns="45000" anchor="t">
                            <a:noAutofit/>
                          </wps:bodyPr>
                        </wps:wsp>
                      </wpg:grpSp>
                      <wpg:grpSp>
                        <wpg:cNvGrpSpPr/>
                        <wpg:grpSpPr>
                          <a:xfrm>
                            <a:off x="4685760" y="3832200"/>
                            <a:ext cx="2904480" cy="1423080"/>
                          </a:xfrm>
                        </wpg:grpSpPr>
                        <wps:wsp>
                          <wps:cNvSpPr/>
                          <wps:spPr>
                            <a:xfrm>
                              <a:off x="657720" y="0"/>
                              <a:ext cx="190548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Megelőzés</w:t>
                                </w:r>
                              </w:p>
                            </w:txbxContent>
                          </wps:txbx>
                          <wps:bodyPr lIns="90000" rIns="90000" tIns="45000" bIns="45000" anchor="t">
                            <a:noAutofit/>
                          </wps:bodyPr>
                        </wps:wsp>
                        <wps:wsp>
                          <wps:cNvSpPr/>
                          <wps:spPr>
                            <a:xfrm>
                              <a:off x="0" y="281880"/>
                              <a:ext cx="2904480" cy="1141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mentális egészség tudatosságának növelése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levegő- és zajszennyezés, valamint a nagy aggodalomra okot adó anyagokból eredő expozíció korlátozása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Olyan gyakorlatok betiltása vagy korlátozása, amelyekről ismert, hogy károsak az egészségre, mint például a napozóágyak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Leküzdeni a nemi sztereotípiákat, amelyek korlátozzák a megelőzési programok hatékonyságát, különösen a férfiak körében </w:t>
                                </w:r>
                              </w:p>
                            </w:txbxContent>
                          </wps:txbx>
                          <wps:bodyPr lIns="90000" rIns="90000" tIns="45000" bIns="45000" anchor="t">
                            <a:noAutofit/>
                          </wps:bodyPr>
                        </wps:wsp>
                      </wpg:grpSp>
                    </wpg:wgp>
                  </a:graphicData>
                </a:graphic>
              </wp:anchor>
            </w:drawing>
          </mc:Choice>
          <mc:Fallback>
            <w:pict>
              <v:group id="shape_0" alt="Forme7" style="position:absolute;margin-left:31.35pt;margin-top:23.4pt;width:669.05pt;height:413.8pt" coordorigin="627,468" coordsize="13381,8276">
                <v:group id="shape_0" style="position:absolute;left:11922;top:3579;width:1908;height:2327">
                  <v:shape id="shape_0" stroked="f" o:allowincell="f" style="position:absolute;left:11922;top:3579;width:1907;height:1680;mso-wrap-style:none;v-text-anchor:middle" type="_x0000_t75">
                    <v:imagedata r:id="rId638" o:detectmouseclick="t"/>
                    <v:stroke color="#3465a4" joinstyle="round" endcap="flat"/>
                    <w10:wrap type="topAndBottom"/>
                  </v:shape>
                  <v:rect id="shape_0" path="m0,0l-2147483645,0l-2147483645,-2147483646l0,-2147483646xe" stroked="f" o:allowincell="f" style="position:absolute;left:11943;top:5224;width:1773;height:681;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Egészség</w:t>
                          </w:r>
                        </w:p>
                      </w:txbxContent>
                    </v:textbox>
                    <v:fill o:detectmouseclick="t" on="false"/>
                    <v:stroke color="#3465a4" joinstyle="round" endcap="flat"/>
                    <w10:wrap type="topAndBottom"/>
                  </v:rect>
                </v:group>
                <v:group id="shape_0" style="position:absolute;left:796;top:595;width:6671;height:2832">
                  <v:rect id="shape_0" path="m0,0l-2147483645,0l-2147483645,-2147483646l0,-2147483646xe" fillcolor="#eeeeee" stroked="f" o:allowincell="f" style="position:absolute;left:796;top:595;width:4189;height:2831;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európai egészségügyi rendszerek megerősítése együttműködés és információcsere révén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orvosi ismeretek és kapacitások uniós szintű összevonása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Uniós szintű szervadományozási rendszer létrehozása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 hatáskörének növelése közegészségügyi kérdésekben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Felvértezni az EU-t több vészhelyzeti kompetenciával és hatáskörökkel a közegészségügy terén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Integrált stratégiák kidolgozása a közös uniós egészségügyi kihívásokra: mentális egészség, öngyilkosság megelőzése, ritka betegségek, rák stb.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4975;top:975;width:2491;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uniós gondozási rendszerek integrálása</w:t>
                          </w:r>
                        </w:p>
                      </w:txbxContent>
                    </v:textbox>
                    <v:fill o:detectmouseclick="t" type="solid" color2="#5cdc71"/>
                    <v:stroke color="#3465a4" joinstyle="round" endcap="flat"/>
                    <w10:wrap type="topAndBottom"/>
                  </v:rect>
                </v:group>
                <v:group id="shape_0" style="position:absolute;left:627;top:3789;width:4257;height:4227">
                  <v:rect id="shape_0" path="m0,0l-2147483645,0l-2147483645,-2147483646l0,-2147483646xe" fillcolor="#a3238e" stroked="t" o:allowincell="f" style="position:absolute;left:936;top:3789;width:2694;height:681;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Egészségügyi kutatás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627;top:4562;width:4256;height:345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egészségügyi kutatás és innováció beruházása és támogatása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egészségügyi kutatás koordinálása egy fertőző betegségekkel foglalkozó európai laboratóriummal vagy egy központosított Európai Egészségügyi Kutatóintézettel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Új antibiotikum kifejlesztése a szuperrezisztens baktériumok ellen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Kötelezettséget vállal a klinikai vizsgálatok és az oltóanyag-vizsgálatok átláthatóságára, az adatok nyilvánosság számára való hozzáférhetővé tételére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Kerülje a nemek közötti elfogultságot a nők körében elterjedt betegségek kutatásában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Átmenet az állatmentes tudományba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myalgikus encephalomyelitis patomechanizmusainak kutatásának ösztönzése </w:t>
                          </w:r>
                        </w:p>
                      </w:txbxContent>
                    </v:textbox>
                    <v:fill o:detectmouseclick="t" type="solid" color2="#111111"/>
                    <v:stroke color="#3465a4" joinstyle="round" endcap="flat"/>
                    <w10:wrap type="topAndBottom"/>
                  </v:rect>
                </v:group>
                <v:group id="shape_0" style="position:absolute;left:8569;top:468;width:5439;height:2625">
                  <v:rect id="shape_0" path="m0,0l-2147483645,0l-2147483645,-2147483646l0,-2147483646xe" fillcolor="#eeeeee" stroked="f" o:allowincell="f" style="position:absolute;left:8569;top:468;width:2911;height:262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Megfizethető és magas színvonalú egészségügyi ellátáshoz való hozzáférés biztosítása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ellátásra vonatkozó uniós szintű szabványok kidolgozása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Átfogó európai egészségbiztosítási rendszer végrehajtása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Deprivatizálja az egészségügyi ágazatot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Megfizethető gyógyszerek biztosítása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távoli egészségügyi ellátás fejlesztése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mentális egészségügyi ellátáshoz való hozzáférés biztosítása mindenki számára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11457;top:1076;width:2550;height:94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Egészségügyi ellátás mindenki számára</w:t>
                          </w:r>
                        </w:p>
                      </w:txbxContent>
                    </v:textbox>
                    <v:fill o:detectmouseclick="t" type="solid" color2="#5cdc71"/>
                    <v:stroke color="#3465a4" joinstyle="round" endcap="flat"/>
                    <w10:wrap type="topAndBottom"/>
                  </v:rect>
                </v:group>
                <v:group id="shape_0" style="position:absolute;left:7071;top:3396;width:4525;height:2606">
                  <v:rect id="shape_0" path="m0,0l-2147483645,0l-2147483645,-2147483646l0,-2147483646xe" fillcolor="#a3238e" stroked="t" o:allowincell="f" style="position:absolute;left:7623;top:3396;width:2694;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Egészséges életmód</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071;top:3789;width:4524;height:221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vegetáriánus étrend ösztönzése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egészséges táplálkozás előmozdítása támogatás vagy egészségtelen termékek megadóztatása révén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mesterséges transzzsírok, valamint az antibiotikumok és biocidok intenzív gazdálkodásban való alkalmazásának betiltása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egészségtudatosság a korai életkortól</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függőséget okozó termékek, például a dohány és az alkohol fogyasztásának visszaszorítása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Tartós küzdelem a kemény drogok ellen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Időváltozások és időzónák eltörlése</w:t>
                          </w:r>
                        </w:p>
                      </w:txbxContent>
                    </v:textbox>
                    <v:fill o:detectmouseclick="t" type="solid" color2="#111111"/>
                    <v:stroke color="#3465a4" joinstyle="round" endcap="flat"/>
                    <w10:wrap type="topAndBottom"/>
                  </v:rect>
                </v:group>
                <v:group id="shape_0" style="position:absolute;left:8006;top:6503;width:4574;height:2241">
                  <v:rect id="shape_0" path="m0,0l-2147483645,0l-2147483645,-2147483646l0,-2147483646xe" fillcolor="#a3238e" stroked="t" o:allowincell="f" style="position:absolute;left:9042;top:6503;width:3000;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Megelőzés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8006;top:6947;width:4573;height:179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mentális egészség tudatosságának növelése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levegő- és zajszennyezés, valamint a nagy aggodalomra okot adó anyagokból eredő expozíció korlátozása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Olyan gyakorlatok betiltása vagy korlátozása, amelyekről ismert, hogy károsak az egészségre, mint például a napozóágyak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Leküzdeni a nemi sztereotípiákat, amelyek korlátozzák a megelőzési programok hatékonyságát, különösen a férfiak körében </w:t>
                          </w:r>
                        </w:p>
                      </w:txbxContent>
                    </v:textbox>
                    <v:fill o:detectmouseclick="t" type="solid" color2="#111111"/>
                    <v:stroke color="#3465a4" joinstyle="round" endcap="flat"/>
                    <w10:wrap type="topAndBottom"/>
                  </v:rect>
                </v:group>
              </v:group>
            </w:pict>
          </mc:Fallback>
        </mc:AlternateContent>
      </w:r>
    </w:p>
    <w:p>
      <w:pPr>
        <w:pStyle w:val="Normal"/>
        <w:jc w:val="left"/>
        <w:rPr/>
      </w:pPr>
      <w:r>
        <w:rPr/>
      </w:r>
    </w:p>
    <w:p>
      <w:pPr>
        <w:pStyle w:val="Normal"/>
        <w:jc w:val="left"/>
        <w:rPr/>
      </w:pPr>
      <w:r>
        <w:rPr/>
        <mc:AlternateContent>
          <mc:Choice Requires="wps">
            <w:drawing>
              <wp:anchor behindDoc="0" distT="0" distB="0" distL="0" distR="0" simplePos="0" locked="0" layoutInCell="0" allowOverlap="1" relativeHeight="96">
                <wp:simplePos x="0" y="0"/>
                <wp:positionH relativeFrom="column">
                  <wp:posOffset>9525</wp:posOffset>
                </wp:positionH>
                <wp:positionV relativeFrom="paragraph">
                  <wp:posOffset>72390</wp:posOffset>
                </wp:positionV>
                <wp:extent cx="8514715" cy="5424170"/>
                <wp:effectExtent l="0" t="0" r="0" b="0"/>
                <wp:wrapTopAndBottom/>
                <wp:docPr id="65" name="Cadre14"/>
                <a:graphic xmlns:a="http://schemas.openxmlformats.org/drawingml/2006/main">
                  <a:graphicData uri="http://schemas.microsoft.com/office/word/2010/wordprocessingShape">
                    <wps:wsp>
                      <wps:cNvSpPr/>
                      <wps:spPr>
                        <a:xfrm>
                          <a:off x="0" y="0"/>
                          <a:ext cx="8514720" cy="542412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Ábra. Elmetérkép „Egészségügy” téma 2. rész </w:t>
                            </w:r>
                          </w:p>
                        </w:txbxContent>
                      </wps:txbx>
                      <wps:bodyPr lIns="0" rIns="0" tIns="0" bIns="0" anchor="t">
                        <a:noAutofit/>
                      </wps:bodyPr>
                    </wps:wsp>
                  </a:graphicData>
                </a:graphic>
              </wp:anchor>
            </w:drawing>
          </mc:Choice>
          <mc:Fallback>
            <w:pict>
              <v:rect id="shape_0" ID="Cadre14" path="m0,0l-2147483645,0l-2147483645,-2147483646l0,-2147483646xe" fillcolor="white" stroked="f" o:allowincell="f" style="position:absolute;margin-left:0.75pt;margin-top:5.7pt;width:670.4pt;height:427.0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Ábra. Elmetérkép „Egészségügy” téma 2. rész </w:t>
                      </w:r>
                    </w:p>
                  </w:txbxContent>
                </v:textbox>
                <w10:wrap type="topAndBottom"/>
              </v:rect>
            </w:pict>
          </mc:Fallback>
        </mc:AlternateContent>
        <mc:AlternateContent>
          <mc:Choice Requires="wpg">
            <w:drawing>
              <wp:anchor behindDoc="0" distT="0" distB="0" distL="635" distR="0" simplePos="0" locked="0" layoutInCell="0" allowOverlap="1" relativeHeight="98">
                <wp:simplePos x="0" y="0"/>
                <wp:positionH relativeFrom="column">
                  <wp:posOffset>283845</wp:posOffset>
                </wp:positionH>
                <wp:positionV relativeFrom="paragraph">
                  <wp:posOffset>328930</wp:posOffset>
                </wp:positionV>
                <wp:extent cx="8514080" cy="5248275"/>
                <wp:effectExtent l="635" t="0" r="0" b="0"/>
                <wp:wrapTopAndBottom/>
                <wp:docPr id="67" name="Forme8"/>
                <a:graphic xmlns:a="http://schemas.openxmlformats.org/drawingml/2006/main">
                  <a:graphicData uri="http://schemas.microsoft.com/office/word/2010/wordprocessingGroup">
                    <wpg:wgp>
                      <wpg:cNvGrpSpPr/>
                      <wpg:grpSpPr>
                        <a:xfrm>
                          <a:off x="0" y="0"/>
                          <a:ext cx="8514000" cy="5248440"/>
                          <a:chOff x="0" y="0"/>
                          <a:chExt cx="8514000" cy="5248440"/>
                        </a:xfrm>
                      </wpg:grpSpPr>
                      <wpg:grpSp>
                        <wpg:cNvGrpSpPr/>
                        <wpg:grpSpPr>
                          <a:xfrm>
                            <a:off x="38160" y="0"/>
                            <a:ext cx="3260880" cy="1009800"/>
                          </a:xfrm>
                        </wpg:grpSpPr>
                        <wps:wsp>
                          <wps:cNvSpPr/>
                          <wps:spPr>
                            <a:xfrm>
                              <a:off x="0" y="88920"/>
                              <a:ext cx="1405080" cy="4762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Egészség a digitalizált korban</w:t>
                                </w:r>
                              </w:p>
                            </w:txbxContent>
                          </wps:txbx>
                          <wps:bodyPr lIns="90000" rIns="90000" tIns="45000" bIns="45000" anchor="t">
                            <a:noAutofit/>
                          </wps:bodyPr>
                        </wps:wsp>
                        <wps:wsp>
                          <wps:cNvSpPr/>
                          <wps:spPr>
                            <a:xfrm>
                              <a:off x="1414080" y="0"/>
                              <a:ext cx="1846440" cy="1009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európai e-egészségügyi rendszerek megvalósítása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e-egészségügyi eszközök előmozdítása a testmozgás ösztönzése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DNS-adatbázisok magánéletének biztosítása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Kontraszt digitális függőség </w:t>
                                </w:r>
                              </w:p>
                            </w:txbxContent>
                          </wps:txbx>
                          <wps:bodyPr lIns="90000" rIns="90000" tIns="45000" bIns="45000" anchor="t">
                            <a:noAutofit/>
                          </wps:bodyPr>
                        </wps:wsp>
                      </wpg:grpSp>
                      <wpg:grpSp>
                        <wpg:cNvGrpSpPr/>
                        <wpg:grpSpPr>
                          <a:xfrm>
                            <a:off x="2008440" y="1074960"/>
                            <a:ext cx="2861280" cy="615240"/>
                          </a:xfrm>
                        </wpg:grpSpPr>
                        <wps:wsp>
                          <wps:cNvSpPr/>
                          <wps:spPr>
                            <a:xfrm>
                              <a:off x="0" y="80280"/>
                              <a:ext cx="115128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Egészségügyi dolgozók</w:t>
                                </w:r>
                              </w:p>
                            </w:txbxContent>
                          </wps:txbx>
                          <wps:bodyPr lIns="90000" rIns="90000" tIns="45000" bIns="45000" anchor="t">
                            <a:noAutofit/>
                          </wps:bodyPr>
                        </wps:wsp>
                        <wps:wsp>
                          <wps:cNvSpPr/>
                          <wps:spPr>
                            <a:xfrm>
                              <a:off x="1144440" y="0"/>
                              <a:ext cx="1717200" cy="6152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egészségügyi dolgozók fizetésének növelése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munkakörülmények javítása az egészségügyben </w:t>
                                </w:r>
                              </w:p>
                            </w:txbxContent>
                          </wps:txbx>
                          <wps:bodyPr lIns="90000" rIns="90000" tIns="45000" bIns="45000" anchor="t">
                            <a:noAutofit/>
                          </wps:bodyPr>
                        </wps:wsp>
                      </wpg:grpSp>
                      <wpg:grpSp>
                        <wpg:cNvGrpSpPr/>
                        <wpg:grpSpPr>
                          <a:xfrm>
                            <a:off x="0" y="1682640"/>
                            <a:ext cx="1220400" cy="1460520"/>
                          </a:xfrm>
                        </wpg:grpSpPr>
                        <pic:pic xmlns:pic="http://schemas.openxmlformats.org/drawingml/2006/picture">
                          <pic:nvPicPr>
                            <pic:cNvPr id="12" name="" descr=""/>
                            <pic:cNvPicPr/>
                          </pic:nvPicPr>
                          <pic:blipFill>
                            <a:blip r:embed="rId639"/>
                            <a:stretch/>
                          </pic:blipFill>
                          <pic:spPr>
                            <a:xfrm>
                              <a:off x="0" y="0"/>
                              <a:ext cx="1220400" cy="1054800"/>
                            </a:xfrm>
                            <a:prstGeom prst="rect">
                              <a:avLst/>
                            </a:prstGeom>
                            <a:ln w="0">
                              <a:noFill/>
                            </a:ln>
                          </pic:spPr>
                        </pic:pic>
                        <wps:wsp>
                          <wps:cNvSpPr/>
                          <wps:spPr>
                            <a:xfrm>
                              <a:off x="13320" y="1032480"/>
                              <a:ext cx="1135440" cy="42804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Egészség</w:t>
                                </w:r>
                              </w:p>
                            </w:txbxContent>
                          </wps:txbx>
                          <wps:bodyPr lIns="90000" rIns="90000" tIns="45000" bIns="45000" anchor="t">
                            <a:noAutofit/>
                          </wps:bodyPr>
                        </wps:wsp>
                      </wpg:grpSp>
                      <wpg:grpSp>
                        <wpg:cNvGrpSpPr/>
                        <wpg:grpSpPr>
                          <a:xfrm>
                            <a:off x="1665000" y="2125440"/>
                            <a:ext cx="3107160" cy="2193840"/>
                          </a:xfrm>
                        </wpg:grpSpPr>
                        <wps:wsp>
                          <wps:cNvSpPr/>
                          <wps:spPr>
                            <a:xfrm>
                              <a:off x="0" y="206280"/>
                              <a:ext cx="1176120" cy="6602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Szexuális és reproduktív egészség</w:t>
                                </w:r>
                              </w:p>
                            </w:txbxContent>
                          </wps:txbx>
                          <wps:bodyPr lIns="90000" rIns="90000" tIns="45000" bIns="45000" anchor="t">
                            <a:noAutofit/>
                          </wps:bodyPr>
                        </wps:wsp>
                        <wps:wsp>
                          <wps:cNvSpPr/>
                          <wps:spPr>
                            <a:xfrm>
                              <a:off x="1185480" y="0"/>
                              <a:ext cx="1921680" cy="2193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Megfizethető és hozzáférhető fogamzásgátláshoz való hozzáférés biztosítása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időszaki szegénység elleni küzdelem a női egészségügyi termékekre kivetett adók eltörlésével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női reproduktív egészség és a kevésbé invazív női és férfi fogamzásgátlók kutatásának növelése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Európai szexuális egészségklinika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választáshoz való jog biztosítása minden nő számára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Adja meg a nap után pirulát recept nélkül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HIV elleni küzdelem </w:t>
                                </w:r>
                              </w:p>
                            </w:txbxContent>
                          </wps:txbx>
                          <wps:bodyPr lIns="90000" rIns="90000" tIns="45000" bIns="45000" anchor="t">
                            <a:noAutofit/>
                          </wps:bodyPr>
                        </wps:wsp>
                      </wpg:grpSp>
                      <wpg:grpSp>
                        <wpg:cNvGrpSpPr/>
                        <wpg:grpSpPr>
                          <a:xfrm>
                            <a:off x="0" y="4382280"/>
                            <a:ext cx="4557240" cy="866160"/>
                          </a:xfrm>
                        </wpg:grpSpPr>
                        <wps:wsp>
                          <wps:cNvSpPr/>
                          <wps:spPr>
                            <a:xfrm>
                              <a:off x="0" y="199080"/>
                              <a:ext cx="194832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rák kezelése</w:t>
                                </w:r>
                              </w:p>
                            </w:txbxContent>
                          </wps:txbx>
                          <wps:bodyPr lIns="90000" rIns="90000" tIns="45000" bIns="45000" anchor="t">
                            <a:noAutofit/>
                          </wps:bodyPr>
                        </wps:wsp>
                        <wps:wsp>
                          <wps:cNvSpPr/>
                          <wps:spPr>
                            <a:xfrm>
                              <a:off x="1949400" y="0"/>
                              <a:ext cx="2607840" cy="8661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Megelőzés (egészséges szokások, szűrések stb.)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Mozgósítani a rák társadalmi és pszichológiai hatásait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Központosított erőfeszítések, a rák elleni küzdelemhez szükséges források uniós szintű összevonása </w:t>
                                </w:r>
                              </w:p>
                            </w:txbxContent>
                          </wps:txbx>
                          <wps:bodyPr lIns="90000" rIns="90000" tIns="45000" bIns="45000" anchor="t">
                            <a:noAutofit/>
                          </wps:bodyPr>
                        </wps:wsp>
                      </wpg:grpSp>
                      <wpg:grpSp>
                        <wpg:cNvGrpSpPr/>
                        <wpg:grpSpPr>
                          <a:xfrm>
                            <a:off x="4739760" y="65520"/>
                            <a:ext cx="3774600" cy="2324160"/>
                          </a:xfrm>
                        </wpg:grpSpPr>
                        <wps:wsp>
                          <wps:cNvSpPr/>
                          <wps:spPr>
                            <a:xfrm>
                              <a:off x="0" y="119160"/>
                              <a:ext cx="1094760" cy="6591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Covid19-járványra adott válaszok</w:t>
                                </w:r>
                              </w:p>
                            </w:txbxContent>
                          </wps:txbx>
                          <wps:bodyPr lIns="90000" rIns="90000" tIns="45000" bIns="45000" anchor="t">
                            <a:noAutofit/>
                          </wps:bodyPr>
                        </wps:wsp>
                        <wps:wsp>
                          <wps:cNvSpPr/>
                          <wps:spPr>
                            <a:xfrm>
                              <a:off x="1145520" y="0"/>
                              <a:ext cx="2629080" cy="23241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tudományos hitelesség helyreállítása az orvostudományban és a politikában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Bizonyítékokon alapuló módon vezesse be a Covid19-cel kapcsolatos intézkedéseket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Inkluzív stratégiák kidolgozása a fogyatékossággal élő személyek jogainak védelmére a jövőbeli világjárványokkal való szembenézés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Hatásvizsgálat, amely beszámolót gyűjt a Covid19 során élő idősek tapasztalatairól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szolidaritás globális partnerségre és finanszírozásra szólít fel a betegségek felszámolása és felszámolása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oltóanyag-beszerzés és -adminisztráció uniós szintű módozatainak kezelése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egészségügyi létesítmények átalakítása annak megakadályozása érdekében, hogy a Covid19-től eltérő betegségben szenvedő betegeket ne kezeljék</w:t>
                                </w:r>
                              </w:p>
                            </w:txbxContent>
                          </wps:txbx>
                          <wps:bodyPr lIns="90000" rIns="90000" tIns="45000" bIns="45000" anchor="t">
                            <a:noAutofit/>
                          </wps:bodyPr>
                        </wps:wsp>
                      </wpg:grpSp>
                      <wpg:grpSp>
                        <wpg:cNvGrpSpPr/>
                        <wpg:grpSpPr>
                          <a:xfrm>
                            <a:off x="5239440" y="2507040"/>
                            <a:ext cx="3274560" cy="616680"/>
                          </a:xfrm>
                        </wpg:grpSpPr>
                        <wps:wsp>
                          <wps:cNvSpPr/>
                          <wps:spPr>
                            <a:xfrm>
                              <a:off x="0" y="39960"/>
                              <a:ext cx="1715040" cy="4705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Egészséges öregedés és öregedésgátló</w:t>
                                </w:r>
                              </w:p>
                            </w:txbxContent>
                          </wps:txbx>
                          <wps:bodyPr lIns="90000" rIns="90000" tIns="45000" bIns="45000" anchor="t">
                            <a:noAutofit/>
                          </wps:bodyPr>
                        </wps:wsp>
                        <wps:wsp>
                          <wps:cNvSpPr/>
                          <wps:spPr>
                            <a:xfrm>
                              <a:off x="1716480" y="0"/>
                              <a:ext cx="1558440" cy="6166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Az egészséges időskort célzó innovációk előmozdítása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Az öregedés elleni és a hosszú élettartamra vonatkozó kutatások </w:t>
                                </w:r>
                              </w:p>
                            </w:txbxContent>
                          </wps:txbx>
                          <wps:bodyPr lIns="90000" rIns="90000" tIns="45000" bIns="45000" anchor="t">
                            <a:noAutofit/>
                          </wps:bodyPr>
                        </wps:wsp>
                      </wpg:grpSp>
                      <wpg:grpSp>
                        <wpg:cNvGrpSpPr/>
                        <wpg:grpSpPr>
                          <a:xfrm>
                            <a:off x="4797360" y="4138920"/>
                            <a:ext cx="3716640" cy="1009800"/>
                          </a:xfrm>
                        </wpg:grpSpPr>
                        <wps:wsp>
                          <wps:cNvSpPr/>
                          <wps:spPr>
                            <a:xfrm>
                              <a:off x="0" y="127800"/>
                              <a:ext cx="141336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Megközelítések az orvostudományhoz</w:t>
                                </w:r>
                              </w:p>
                            </w:txbxContent>
                          </wps:txbx>
                          <wps:bodyPr lIns="90000" rIns="90000" tIns="45000" bIns="45000" anchor="t">
                            <a:noAutofit/>
                          </wps:bodyPr>
                        </wps:wsp>
                        <wps:wsp>
                          <wps:cNvSpPr/>
                          <wps:spPr>
                            <a:xfrm>
                              <a:off x="1373400" y="0"/>
                              <a:ext cx="2343240" cy="1009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bizonyítékokon alapuló gyógyszerek támogatása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orvostudomány holisztikus megközelítésének támogatása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kannabisz gyógyászati célokra történő dekriminalizálása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Felismeri a természetes gyógyszereket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elhasználódott ápolási-gondozási kezelések egységes európai stratégiája </w:t>
                                </w:r>
                              </w:p>
                            </w:txbxContent>
                          </wps:txbx>
                          <wps:bodyPr lIns="90000" rIns="90000" tIns="45000" bIns="45000" anchor="t">
                            <a:noAutofit/>
                          </wps:bodyPr>
                        </wps:wsp>
                      </wpg:grpSp>
                    </wpg:wgp>
                  </a:graphicData>
                </a:graphic>
              </wp:anchor>
            </w:drawing>
          </mc:Choice>
          <mc:Fallback>
            <w:pict>
              <v:group id="shape_0" alt="Forme8" style="position:absolute;margin-left:22.35pt;margin-top:25.9pt;width:670.4pt;height:413.25pt" coordorigin="447,518" coordsize="13408,8265">
                <v:group id="shape_0" style="position:absolute;left:507;top:518;width:5135;height:1590">
                  <v:rect id="shape_0" path="m0,0l-2147483645,0l-2147483645,-2147483646l0,-2147483646xe" fillcolor="#a3238e" stroked="t" o:allowincell="f" style="position:absolute;left:507;top:658;width:2212;height:74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Egészség a digitalizált korban</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2734;top:518;width:2907;height:158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európai e-egészségügyi rendszerek megvalósítása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e-egészségügyi eszközök előmozdítása a testmozgás ösztönzése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DNS-adatbázisok magánéletének biztosítása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Kontraszt digitális függőség </w:t>
                          </w:r>
                        </w:p>
                      </w:txbxContent>
                    </v:textbox>
                    <v:fill o:detectmouseclick="t" type="solid" color2="#111111"/>
                    <v:stroke color="#3465a4" joinstyle="round" endcap="flat"/>
                    <w10:wrap type="topAndBottom"/>
                  </v:rect>
                </v:group>
                <v:group id="shape_0" style="position:absolute;left:3610;top:2211;width:4507;height:969">
                  <v:rect id="shape_0" path="m0,0l-2147483645,0l-2147483645,-2147483646l0,-2147483646xe" fillcolor="#a3238e" stroked="t" o:allowincell="f" style="position:absolute;left:3610;top:2337;width:1812;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Egészségügyi dolgozók</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5412;top:2211;width:2703;height:96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egészségügyi dolgozók fizetésének növelése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munkakörülmények javítása az egészségügyben </w:t>
                          </w:r>
                        </w:p>
                      </w:txbxContent>
                    </v:textbox>
                    <v:fill o:detectmouseclick="t" type="solid" color2="#111111"/>
                    <v:stroke color="#3465a4" joinstyle="round" endcap="flat"/>
                    <w10:wrap type="topAndBottom"/>
                  </v:rect>
                </v:group>
                <v:group id="shape_0" style="position:absolute;left:447;top:3168;width:1922;height:2300">
                  <v:shape id="shape_0" stroked="f" o:allowincell="f" style="position:absolute;left:447;top:3168;width:1921;height:1660;mso-wrap-style:none;v-text-anchor:middle" type="_x0000_t75">
                    <v:imagedata r:id="rId638" o:detectmouseclick="t"/>
                    <v:stroke color="#3465a4" joinstyle="round" endcap="flat"/>
                    <w10:wrap type="topAndBottom"/>
                  </v:shape>
                  <v:rect id="shape_0" path="m0,0l-2147483645,0l-2147483645,-2147483646l0,-2147483646xe" stroked="f" o:allowincell="f" style="position:absolute;left:468;top:4794;width:1787;height:673;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Egészség</w:t>
                          </w:r>
                        </w:p>
                      </w:txbxContent>
                    </v:textbox>
                    <v:fill o:detectmouseclick="t" on="false"/>
                    <v:stroke color="#3465a4" joinstyle="round" endcap="flat"/>
                    <w10:wrap type="topAndBottom"/>
                  </v:rect>
                </v:group>
                <v:group id="shape_0" style="position:absolute;left:3069;top:3865;width:4892;height:3455">
                  <v:rect id="shape_0" path="m0,0l-2147483645,0l-2147483645,-2147483646l0,-2147483646xe" fillcolor="#a3238e" stroked="t" o:allowincell="f" style="position:absolute;left:3069;top:4190;width:1851;height:10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Szexuális és reproduktív egészség</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4936;top:3865;width:3025;height:345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Megfizethető és hozzáférhető fogamzásgátláshoz való hozzáférés biztosítása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időszaki szegénység elleni küzdelem a női egészségügyi termékekre kivetett adók eltörlésével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női reproduktív egészség és a kevésbé invazív női és férfi fogamzásgátlók kutatásának növelése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Európai szexuális egészségklinika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választáshoz való jog biztosítása minden nő számára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Adja meg a nap után pirulát recept nélkül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HIV elleni küzdelem </w:t>
                          </w:r>
                        </w:p>
                      </w:txbxContent>
                    </v:textbox>
                    <v:fill o:detectmouseclick="t" type="solid" color2="#111111"/>
                    <v:stroke color="#3465a4" joinstyle="round" endcap="flat"/>
                    <w10:wrap type="topAndBottom"/>
                  </v:rect>
                </v:group>
                <v:group id="shape_0" style="position:absolute;left:447;top:7419;width:7176;height:1364">
                  <v:rect id="shape_0" path="m0,0l-2147483645,0l-2147483645,-2147483646l0,-2147483646xe" fillcolor="#a3238e" stroked="t" o:allowincell="f" style="position:absolute;left:447;top:7733;width:3067;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rák kezelése</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517;top:7419;width:4106;height:1363;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Megelőzés (egészséges szokások, szűrések stb.)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Mozgósítani a rák társadalmi és pszichológiai hatásait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Központosított erőfeszítések, a rák elleni küzdelemhez szükséges források uniós szintű összevonása </w:t>
                          </w:r>
                        </w:p>
                      </w:txbxContent>
                    </v:textbox>
                    <v:fill o:detectmouseclick="t" type="solid" color2="#111111"/>
                    <v:stroke color="#3465a4" joinstyle="round" endcap="flat"/>
                    <w10:wrap type="topAndBottom"/>
                  </v:rect>
                </v:group>
                <v:group id="shape_0" style="position:absolute;left:7911;top:621;width:5944;height:3660">
                  <v:rect id="shape_0" path="m0,0l-2147483645,0l-2147483645,-2147483646l0,-2147483646xe" fillcolor="#a3238e" stroked="t" o:allowincell="f" style="position:absolute;left:7911;top:809;width:1723;height:103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Covid19-járványra adott válaszok</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715;top:621;width:4139;height:365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tudományos hitelesség helyreállítása az orvostudományban és a politikában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Bizonyítékokon alapuló módon vezesse be a Covid19-cel kapcsolatos intézkedéseket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Inkluzív stratégiák kidolgozása a fogyatékossággal élő személyek jogainak védelmére a jövőbeli világjárványokkal való szembenézés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Hatásvizsgálat, amely beszámolót gyűjt a Covid19 során élő idősek tapasztalatairól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szolidaritás globális partnerségre és finanszírozásra szólít fel a betegségek felszámolása és felszámolása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oltóanyag-beszerzés és -adminisztráció uniós szintű módozatainak kezelése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egészségügyi létesítmények átalakítása annak megakadályozása érdekében, hogy a Covid19-től eltérő betegségben szenvedő betegeket ne kezeljék</w:t>
                          </w:r>
                        </w:p>
                      </w:txbxContent>
                    </v:textbox>
                    <v:fill o:detectmouseclick="t" type="solid" color2="#111111"/>
                    <v:stroke color="#3465a4" joinstyle="round" endcap="flat"/>
                    <w10:wrap type="topAndBottom"/>
                  </v:rect>
                </v:group>
                <v:group id="shape_0" style="position:absolute;left:8698;top:4466;width:5157;height:971">
                  <v:rect id="shape_0" path="m0,0l-2147483645,0l-2147483645,-2147483646l0,-2147483646xe" fillcolor="#a3238e" stroked="t" o:allowincell="f" style="position:absolute;left:8698;top:4529;width:2700;height:74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Egészséges öregedés és öregedésgátló</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1401;top:4466;width:2453;height:97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Az egészséges időskort célzó innovációk előmozdítása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Az öregedés elleni és a hosszú élettartamra vonatkozó kutatások </w:t>
                          </w:r>
                        </w:p>
                      </w:txbxContent>
                    </v:textbox>
                    <v:fill o:detectmouseclick="t" type="solid" color2="#111111"/>
                    <v:stroke color="#3465a4" joinstyle="round" endcap="flat"/>
                    <w10:wrap type="topAndBottom"/>
                  </v:rect>
                </v:group>
                <v:group id="shape_0" style="position:absolute;left:8002;top:7036;width:5853;height:1590">
                  <v:rect id="shape_0" path="m0,0l-2147483645,0l-2147483645,-2147483646l0,-2147483646xe" fillcolor="#a3238e" stroked="t" o:allowincell="f" style="position:absolute;left:8002;top:7237;width:2225;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Megközelítések az orvostudományhoz</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0164;top:7036;width:3689;height:158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bizonyítékokon alapuló gyógyszerek támogatása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orvostudomány holisztikus megközelítésének támogatása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kannabisz gyógyászati célokra történő dekriminalizálása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Felismeri a természetes gyógyszereket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elhasználódott ápolási-gondozási kezelések egységes európai stratégiája </w:t>
                          </w:r>
                        </w:p>
                      </w:txbxContent>
                    </v:textbox>
                    <v:fill o:detectmouseclick="t" type="solid" color2="#111111"/>
                    <v:stroke color="#3465a4" joinstyle="round" endcap="flat"/>
                    <w10:wrap type="topAndBottom"/>
                  </v:rect>
                </v:group>
              </v:group>
            </w:pict>
          </mc:Fallback>
        </mc:AlternateContent>
      </w:r>
    </w:p>
    <w:p>
      <w:pPr>
        <w:sectPr>
          <w:headerReference w:type="default" r:id="rId640"/>
          <w:footerReference w:type="default" r:id="rId641"/>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Normal"/>
        <w:jc w:val="left"/>
        <w:rPr/>
      </w:pPr>
      <w:r>
        <w:rPr/>
        <w:drawing>
          <wp:anchor behindDoc="0" distT="0" distB="0" distL="0" distR="0" simplePos="0" locked="0" layoutInCell="0" allowOverlap="1" relativeHeight="99">
            <wp:simplePos x="0" y="0"/>
            <wp:positionH relativeFrom="column">
              <wp:align>center</wp:align>
            </wp:positionH>
            <wp:positionV relativeFrom="paragraph">
              <wp:posOffset>635</wp:posOffset>
            </wp:positionV>
            <wp:extent cx="2970530" cy="1984375"/>
            <wp:effectExtent l="0" t="0" r="0" b="0"/>
            <wp:wrapSquare wrapText="largest"/>
            <wp:docPr id="68" name="Kép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Kép33" descr=""/>
                    <pic:cNvPicPr>
                      <a:picLocks noChangeAspect="1" noChangeArrowheads="1"/>
                    </pic:cNvPicPr>
                  </pic:nvPicPr>
                  <pic:blipFill>
                    <a:blip r:embed="rId642"/>
                    <a:stretch>
                      <a:fillRect/>
                    </a:stretch>
                  </pic:blipFill>
                  <pic:spPr bwMode="auto">
                    <a:xfrm>
                      <a:off x="0" y="0"/>
                      <a:ext cx="2970530" cy="1984375"/>
                    </a:xfrm>
                    <a:prstGeom prst="rect">
                      <a:avLst/>
                    </a:prstGeom>
                  </pic:spPr>
                </pic:pic>
              </a:graphicData>
            </a:graphic>
          </wp:anchor>
        </w:drawing>
      </w:r>
    </w:p>
    <w:p>
      <w:pPr>
        <w:pStyle w:val="Titre1"/>
        <w:numPr>
          <w:ilvl w:val="0"/>
          <w:numId w:val="1"/>
        </w:numPr>
        <w:rPr/>
      </w:pPr>
      <w:bookmarkStart w:id="44" w:name="__RefHeading___Toc86413_2514204080"/>
      <w:bookmarkEnd w:id="44"/>
      <w:r>
        <w:rPr/>
        <w:t>4. Erősebb gazdaság, társadalmi igazságosság és munkahelyek</w:t>
      </w:r>
    </w:p>
    <w:p>
      <w:pPr>
        <w:pStyle w:val="Normal"/>
        <w:rPr/>
      </w:pPr>
      <w:r>
        <w:rPr/>
      </w:r>
    </w:p>
    <w:p>
      <w:pPr>
        <w:pStyle w:val="Normal"/>
        <w:jc w:val="left"/>
        <w:rPr/>
      </w:pPr>
      <w:r>
        <w:rPr/>
        <w:t xml:space="preserve">Az erősebb gazdaság, a társadalmi igazságosság és a munkahelyek témáját 2022. május 9-ig összesen 2195 ötlet, 2 099 megjegyzés és 645 esemény fogadta. A hozzászólók hangsúlyozták annak fontosságát, hogy az EU befogadóbbá és társadalmilag méltányosabbá váljon, különösen a Covid19-világjárvány fényében, és rámutattak számos kapcsolódó kihívásra, például a fiatal európaiak támogatásának hiányára és a tagállamok közötti együttműködés hiányára. Európa befogadóbbá és társadalmilag méltányosabbá tételének egyik leggyakrabban javasolt mechanizmusa a feltétel nélküli alapjövedelem garantálása az egész EU-ban. Emellett a hozzászólók számos javaslatot terjesztettek elő a gazdasági növekedés ösztönzésére az EU-ban a gazdaságpolitikák bevezetésével, az egységes európai piac további elmélyítésével, az innovációra összpontosítva, valamint a kkv-k és a stratégiai iparágak előmozdításával és támogatásával. Emellett a hozzászólók úgy vélik, hogy a zöld és digitális átállás lehetőséget kínál az európai munkavállalók továbbképzésére és a változó munkaerőpiachoz való alkalmazkodásra, hogy az európai gazdaság versenyképesebb és önállóbb legyen. A hozzájárulások egy további része rámutat arra, hogy szembe kell nézni a vidéki térségek elnéptelenedésével és az agyelszívás hatásaival. A különböző ötletek a következő témák szerint csoportosíthatók: </w:t>
      </w:r>
    </w:p>
    <w:p>
      <w:pPr>
        <w:pStyle w:val="P68B1DB1Normal4"/>
        <w:jc w:val="left"/>
        <w:rPr>
          <w:b/>
          <w:b/>
        </w:rPr>
      </w:pPr>
      <w:r>
        <w:rPr/>
        <w:t xml:space="preserve">• </w:t>
      </w:r>
      <w:r>
        <w:rPr/>
        <w:t xml:space="preserve">Befogadóbb, társadalmilag igazságosabb Európa </w:t>
      </w:r>
    </w:p>
    <w:p>
      <w:pPr>
        <w:pStyle w:val="P68B1DB1Normal4"/>
        <w:jc w:val="left"/>
        <w:rPr>
          <w:b/>
          <w:b/>
        </w:rPr>
      </w:pPr>
      <w:r>
        <w:rPr/>
        <w:t xml:space="preserve">• </w:t>
      </w:r>
      <w:r>
        <w:rPr/>
        <w:t xml:space="preserve">Gazdasági fellendülés </w:t>
      </w:r>
    </w:p>
    <w:p>
      <w:pPr>
        <w:pStyle w:val="P68B1DB1Normal4"/>
        <w:jc w:val="left"/>
        <w:rPr>
          <w:b/>
          <w:b/>
        </w:rPr>
      </w:pPr>
      <w:r>
        <w:rPr/>
        <w:t xml:space="preserve">• </w:t>
      </w:r>
      <w:r>
        <w:rPr/>
        <w:t xml:space="preserve">Innováció – a növekedés fellendítése </w:t>
      </w:r>
    </w:p>
    <w:p>
      <w:pPr>
        <w:pStyle w:val="P68B1DB1Normal4"/>
        <w:jc w:val="left"/>
        <w:rPr>
          <w:b/>
          <w:b/>
        </w:rPr>
      </w:pPr>
      <w:r>
        <w:rPr/>
        <w:t xml:space="preserve">• </w:t>
      </w:r>
      <w:r>
        <w:rPr/>
        <w:t xml:space="preserve">Szociális védelem és szociális biztonság </w:t>
      </w:r>
    </w:p>
    <w:p>
      <w:pPr>
        <w:pStyle w:val="P68B1DB1Normal4"/>
        <w:jc w:val="left"/>
        <w:rPr>
          <w:b/>
          <w:b/>
        </w:rPr>
      </w:pPr>
      <w:r>
        <w:rPr/>
        <w:t xml:space="preserve">• </w:t>
      </w:r>
      <w:r>
        <w:rPr/>
        <w:t xml:space="preserve">Adózás a méltányos gazdaság érdekében </w:t>
      </w:r>
    </w:p>
    <w:p>
      <w:pPr>
        <w:pStyle w:val="P68B1DB1Normal4"/>
        <w:jc w:val="left"/>
        <w:rPr>
          <w:b/>
          <w:b/>
        </w:rPr>
      </w:pPr>
      <w:r>
        <w:rPr/>
        <w:t xml:space="preserve">• </w:t>
      </w:r>
      <w:r>
        <w:rPr/>
        <w:t xml:space="preserve">Az európai egységes piac további erősítése </w:t>
      </w:r>
    </w:p>
    <w:p>
      <w:pPr>
        <w:pStyle w:val="P68B1DB1Normal4"/>
        <w:jc w:val="left"/>
        <w:rPr>
          <w:b/>
          <w:b/>
        </w:rPr>
      </w:pPr>
      <w:r>
        <w:rPr/>
        <w:t xml:space="preserve">• </w:t>
      </w:r>
      <w:r>
        <w:rPr/>
        <w:t xml:space="preserve">Boost állások </w:t>
      </w:r>
    </w:p>
    <w:p>
      <w:pPr>
        <w:pStyle w:val="P68B1DB1Normal4"/>
        <w:jc w:val="left"/>
        <w:rPr>
          <w:b/>
          <w:b/>
        </w:rPr>
      </w:pPr>
      <w:r>
        <w:rPr/>
        <w:t xml:space="preserve">• </w:t>
      </w:r>
      <w:r>
        <w:rPr/>
        <w:t xml:space="preserve">A jelenlegi gazdasági modell megkérdőjelezése </w:t>
      </w:r>
    </w:p>
    <w:p>
      <w:pPr>
        <w:pStyle w:val="Normal"/>
        <w:jc w:val="left"/>
        <w:rPr/>
      </w:pPr>
      <w:r>
        <w:rPr/>
        <w:t xml:space="preserve">• </w:t>
      </w:r>
      <w:r>
        <w:rPr/>
        <w:t xml:space="preserve">A fogyasztók jogai és védelme </w:t>
      </w:r>
    </w:p>
    <w:p>
      <w:pPr>
        <w:pStyle w:val="Titre2"/>
        <w:numPr>
          <w:ilvl w:val="1"/>
          <w:numId w:val="1"/>
        </w:numPr>
        <w:jc w:val="left"/>
        <w:rPr/>
      </w:pPr>
      <w:bookmarkStart w:id="45" w:name="__RefHeading___Toc175967_1436627219"/>
      <w:bookmarkEnd w:id="45"/>
      <w:r>
        <w:rPr/>
        <w:t xml:space="preserve">Események </w:t>
      </w:r>
    </w:p>
    <w:p>
      <w:pPr>
        <w:pStyle w:val="Normal"/>
        <w:jc w:val="left"/>
        <w:rPr/>
      </w:pPr>
      <w:r>
        <w:rPr/>
        <w:t xml:space="preserve">Európa különböző pontjain számos részvételi rendezvényre került sor annak érdekében, hogy a polgárok kifejthessék véleményüket az EU-ról és a jövőre vonatkozó aggályaikról (lásd például egy </w:t>
      </w:r>
      <w:hyperlink r:id="rId643">
        <w:r>
          <w:rPr>
            <w:rStyle w:val="LienInternet"/>
          </w:rPr>
          <w:t>rendezvényt)</w:t>
        </w:r>
      </w:hyperlink>
      <w:r>
        <w:rPr/>
        <w:t>. Például egy esemény a diákokat arra ösztönözte, hogy átgondolják azokat a kérdéseket, amelyek számukra prioritást jelentenek. A foglalkoztatás területén igazságosabb lehetőségekre szólítottak fel (férfiak és nők között, illetve generációk között) az agyelszívás megelőzése érdekében, és szorgalmazták a növekedést ösztönző innovációba való beruházások növelését, a nemzedékek közötti párbeszéd fokozását és a nagyobb mértékű befogadást a megkülönböztetés minden formájának elkerülése érdekében. Emellett kiemelték a történelmi, művészeti és kulturális örökség értékét, valamint a jobb közlekedési infrastruktúra szükségességét (lásd az</w:t>
      </w:r>
      <w:hyperlink r:id="rId644">
        <w:r>
          <w:rPr>
            <w:rStyle w:val="LienInternet"/>
          </w:rPr>
          <w:t xml:space="preserve"> </w:t>
        </w:r>
      </w:hyperlink>
      <w:hyperlink r:id="rId645">
        <w:r>
          <w:rPr>
            <w:rStyle w:val="LienInternet"/>
          </w:rPr>
          <w:t>eseményt</w:t>
        </w:r>
      </w:hyperlink>
      <w:r>
        <w:rPr/>
        <w:t>). Egy bolgár rendezvényen megvitatták az agyelszívás és a fiatalok megtartásának kérdését a kevésbé lakott területeken a gazdaság méltányosabbá és inkluzívabbá tételével, valamint a munkahelyteremtés, a növekedés és a beruházások ösztönzésével kapcsolatban (lásd az</w:t>
      </w:r>
      <w:hyperlink r:id="rId646">
        <w:r>
          <w:rPr>
            <w:rStyle w:val="LienInternet"/>
          </w:rPr>
          <w:t xml:space="preserve"> </w:t>
        </w:r>
      </w:hyperlink>
      <w:hyperlink r:id="rId647">
        <w:r>
          <w:rPr>
            <w:rStyle w:val="LienInternet"/>
          </w:rPr>
          <w:t>eseményt</w:t>
        </w:r>
      </w:hyperlink>
      <w:r>
        <w:rPr/>
        <w:t xml:space="preserve">). </w:t>
      </w:r>
    </w:p>
    <w:p>
      <w:pPr>
        <w:pStyle w:val="Normal"/>
        <w:jc w:val="left"/>
        <w:rPr/>
      </w:pPr>
      <w:r>
        <w:rPr/>
        <w:t xml:space="preserve">A szociálpolitikával kapcsolatban a Maison de l’Europe által Agen városában szervezett vita során a résztvevők megvitatták a szociális Európa kilátásait (lásd az </w:t>
      </w:r>
      <w:hyperlink r:id="rId648">
        <w:r>
          <w:rPr>
            <w:rStyle w:val="LienInternet"/>
          </w:rPr>
          <w:t>eseményt)</w:t>
        </w:r>
      </w:hyperlink>
      <w:r>
        <w:rPr/>
        <w:t>, valamint az egyenlőtlenségek közötti szakadék áthidalásának módjait a nagyobb társadalmi igazságosság érdekében (lásd az</w:t>
      </w:r>
      <w:hyperlink r:id="rId649">
        <w:r>
          <w:rPr>
            <w:rStyle w:val="LienInternet"/>
          </w:rPr>
          <w:t xml:space="preserve"> </w:t>
        </w:r>
      </w:hyperlink>
      <w:hyperlink r:id="rId650">
        <w:r>
          <w:rPr>
            <w:rStyle w:val="LienInternet"/>
          </w:rPr>
          <w:t>eseményt</w:t>
        </w:r>
      </w:hyperlink>
      <w:r>
        <w:rPr/>
        <w:t>). A fiatalok kilátásai az EU piacgazdaságában a diákoknak szóló rendezvény középpontjában álltak (lásd az</w:t>
      </w:r>
      <w:hyperlink r:id="rId651">
        <w:r>
          <w:rPr>
            <w:rStyle w:val="LienInternet"/>
          </w:rPr>
          <w:t xml:space="preserve"> </w:t>
        </w:r>
      </w:hyperlink>
      <w:hyperlink r:id="rId652">
        <w:r>
          <w:rPr>
            <w:rStyle w:val="LienInternet"/>
          </w:rPr>
          <w:t>eseményt)</w:t>
        </w:r>
      </w:hyperlink>
      <w:r>
        <w:rPr/>
        <w:t xml:space="preserve">. </w:t>
      </w:r>
    </w:p>
    <w:p>
      <w:pPr>
        <w:pStyle w:val="Normal"/>
        <w:jc w:val="left"/>
        <w:rPr/>
      </w:pPr>
      <w:r>
        <w:rPr/>
        <w:t xml:space="preserve">Ciprus összefüggésében alaposan megvizsgálták a férfiak és nők közötti bérszakadék kérdését (lásd az </w:t>
      </w:r>
      <w:hyperlink r:id="rId653">
        <w:r>
          <w:rPr>
            <w:rStyle w:val="LienInternet"/>
          </w:rPr>
          <w:t>eseményt)</w:t>
        </w:r>
      </w:hyperlink>
      <w:r>
        <w:rPr/>
        <w:t>. Ezen túlmenően az Európai Szociális Alapot a munkaerőpiacon végbemenő átalakulásokkal kapcsolatban egy Zágrábban szervezett, „A munkaerőpiac jövője, lehetőségek és lehetőségek az Európai Szociális Alapon belül” című konferencián vitatták meg (lásd az</w:t>
      </w:r>
      <w:hyperlink r:id="rId654">
        <w:r>
          <w:rPr>
            <w:rStyle w:val="LienInternet"/>
          </w:rPr>
          <w:t xml:space="preserve"> </w:t>
        </w:r>
      </w:hyperlink>
      <w:hyperlink r:id="rId655">
        <w:r>
          <w:rPr>
            <w:rStyle w:val="LienInternet"/>
          </w:rPr>
          <w:t>eseményt</w:t>
        </w:r>
      </w:hyperlink>
      <w:r>
        <w:rPr/>
        <w:t xml:space="preserve">). </w:t>
      </w:r>
    </w:p>
    <w:p>
      <w:pPr>
        <w:pStyle w:val="Normal"/>
        <w:jc w:val="left"/>
        <w:rPr/>
      </w:pPr>
      <w:r>
        <w:rPr/>
        <w:t>Egy hibrid rendezvény során az európai vállalatok munkaadóival konzultáltak arról, hogyan kell szembenézni a piacgazdaság jövőbeli kihívásaival (lásd az</w:t>
      </w:r>
      <w:hyperlink r:id="rId656">
        <w:r>
          <w:rPr>
            <w:rStyle w:val="LienInternet"/>
          </w:rPr>
          <w:t xml:space="preserve"> </w:t>
        </w:r>
      </w:hyperlink>
      <w:hyperlink r:id="rId657">
        <w:r>
          <w:rPr>
            <w:rStyle w:val="LienInternet"/>
          </w:rPr>
          <w:t>eseményt)</w:t>
        </w:r>
      </w:hyperlink>
      <w:r>
        <w:rPr/>
        <w:t xml:space="preserve">. </w:t>
      </w:r>
    </w:p>
    <w:p>
      <w:pPr>
        <w:pStyle w:val="Normal"/>
        <w:jc w:val="left"/>
        <w:rPr/>
      </w:pPr>
      <w:r>
        <w:rPr/>
        <w:t xml:space="preserve">Egy magyarországi rendezvényen megvitatták az EU új közös agrárpolitikájának a családi gazdaságokra gyakorolt hatását (lásd az </w:t>
      </w:r>
      <w:hyperlink r:id="rId658">
        <w:r>
          <w:rPr>
            <w:rStyle w:val="LienInternet"/>
          </w:rPr>
          <w:t>eseményt</w:t>
        </w:r>
      </w:hyperlink>
      <w:r>
        <w:rPr/>
        <w:t>). Spanyolországban az Europa Press az Európai Parlamenttel együttműködve rendezvénysorozatot szervezett „A jövő az Ön kezedben” címmel; az egyik ilyen esemény a vidéki területek elnéptelenedésének és revitalizációjuk kilátásainak kérdésével foglalkozott (lásd az</w:t>
      </w:r>
      <w:hyperlink r:id="rId659">
        <w:r>
          <w:rPr>
            <w:rStyle w:val="LienInternet"/>
          </w:rPr>
          <w:t xml:space="preserve"> </w:t>
        </w:r>
      </w:hyperlink>
      <w:hyperlink r:id="rId660">
        <w:r>
          <w:rPr>
            <w:rStyle w:val="LienInternet"/>
          </w:rPr>
          <w:t>eseményt</w:t>
        </w:r>
      </w:hyperlink>
      <w:r>
        <w:rPr/>
        <w:t xml:space="preserve">). </w:t>
      </w:r>
    </w:p>
    <w:p>
      <w:pPr>
        <w:pStyle w:val="Normal"/>
        <w:jc w:val="left"/>
        <w:rPr/>
      </w:pPr>
      <w:r>
        <w:rPr/>
      </w:r>
    </w:p>
    <w:p>
      <w:pPr>
        <w:pStyle w:val="Titre2"/>
        <w:numPr>
          <w:ilvl w:val="1"/>
          <w:numId w:val="1"/>
        </w:numPr>
        <w:jc w:val="left"/>
        <w:rPr/>
      </w:pPr>
      <w:bookmarkStart w:id="46" w:name="__RefHeading___Toc86415_2514204080"/>
      <w:bookmarkEnd w:id="46"/>
      <w:r>
        <w:rPr/>
        <w:t>Befogadóbb, társadalmilag igazságosabb Európa</w:t>
      </w:r>
    </w:p>
    <w:p>
      <w:pPr>
        <w:pStyle w:val="Normal"/>
        <w:jc w:val="left"/>
        <w:rPr/>
      </w:pPr>
      <w:r>
        <w:rPr/>
        <w:t>Az inkluzív és társadalmilag igazságos európai gazdaság kiépítésére irányuló törekvés a témával kapcsolatos legtöbb ötletet rögzítette. Ez a téma az erős gazdaság megvalósításának eszközeként a társadalmi kohézió erősítésének célkitűzésével foglalkozik (lásd az</w:t>
      </w:r>
      <w:hyperlink r:id="rId661">
        <w:r>
          <w:rPr>
            <w:rStyle w:val="LienInternet"/>
          </w:rPr>
          <w:t xml:space="preserve"> </w:t>
        </w:r>
      </w:hyperlink>
      <w:hyperlink r:id="rId662">
        <w:r>
          <w:rPr>
            <w:rStyle w:val="LienInternet"/>
          </w:rPr>
          <w:t>ötletet</w:t>
        </w:r>
      </w:hyperlink>
      <w:hyperlink r:id="rId663">
        <w:r>
          <w:rPr>
            <w:rStyle w:val="LienInternet"/>
          </w:rPr>
          <w:t>)</w:t>
        </w:r>
      </w:hyperlink>
      <w:r>
        <w:rPr/>
        <w:t xml:space="preserve">. Az e témához tartozó ötletek nagy része általában a szociális jogok európai pillérének kiterjesztésére (lásd például egy erősen jóváhagyott </w:t>
      </w:r>
      <w:hyperlink r:id="rId664">
        <w:r>
          <w:rPr>
            <w:rStyle w:val="LienInternet"/>
          </w:rPr>
          <w:t>elképzelést</w:t>
        </w:r>
      </w:hyperlink>
      <w:hyperlink r:id="rId665">
        <w:r>
          <w:rPr>
            <w:rStyle w:val="LienInternet"/>
          </w:rPr>
          <w:t>)</w:t>
        </w:r>
      </w:hyperlink>
      <w:r>
        <w:rPr/>
        <w:t xml:space="preserve"> és a szociális biztonság egységes uniós megközelítésére szólít fel, a szülőktől és a családtól kezdve a hozzáférhető lakhatási és nyugdíjpolitikákhoz való jogig (lásd például az </w:t>
      </w:r>
      <w:hyperlink r:id="rId666">
        <w:r>
          <w:rPr>
            <w:rStyle w:val="LienInternet"/>
          </w:rPr>
          <w:t>eseményt</w:t>
        </w:r>
      </w:hyperlink>
      <w:hyperlink r:id="rId667">
        <w:r>
          <w:rPr>
            <w:rStyle w:val="LienInternet"/>
          </w:rPr>
          <w:t>)</w:t>
        </w:r>
      </w:hyperlink>
      <w:r>
        <w:rPr/>
        <w:t>. Más hozzászólók megvitatják a szociális jogok európai pillérét mint a szociális Európa megvalósításának iránytűjét, és felszólítanak egy minimumcél meghatározására a foglalkoztatás, a szegénység csökkentése, valamint az oktatás és a készségek területén (lásd az</w:t>
      </w:r>
      <w:hyperlink r:id="rId668">
        <w:r>
          <w:rPr>
            <w:rStyle w:val="LienInternet"/>
          </w:rPr>
          <w:t xml:space="preserve"> </w:t>
        </w:r>
      </w:hyperlink>
      <w:hyperlink r:id="rId669">
        <w:r>
          <w:rPr>
            <w:rStyle w:val="LienInternet"/>
          </w:rPr>
          <w:t>ötletet</w:t>
        </w:r>
      </w:hyperlink>
      <w:hyperlink r:id="rId670">
        <w:r>
          <w:rPr>
            <w:rStyle w:val="LienInternet"/>
          </w:rPr>
          <w:t>)</w:t>
        </w:r>
      </w:hyperlink>
      <w:r>
        <w:rPr/>
        <w:t>. Másrészt egyes hozzájárulók azt állítják, hogy a munkajognak, a szociális jóléti és nyugdíjrendszereknek az egyes tagállamok hatáskörében kell maradniuk (lásd az</w:t>
      </w:r>
      <w:hyperlink r:id="rId671">
        <w:r>
          <w:rPr>
            <w:rStyle w:val="LienInternet"/>
          </w:rPr>
          <w:t xml:space="preserve"> </w:t>
        </w:r>
      </w:hyperlink>
      <w:hyperlink r:id="rId672">
        <w:r>
          <w:rPr>
            <w:rStyle w:val="LienInternet"/>
          </w:rPr>
          <w:t>ötletet</w:t>
        </w:r>
      </w:hyperlink>
      <w:hyperlink r:id="rId673">
        <w:r>
          <w:rPr>
            <w:rStyle w:val="LienInternet"/>
          </w:rPr>
          <w:t>)</w:t>
        </w:r>
      </w:hyperlink>
      <w:r>
        <w:rPr/>
        <w:t xml:space="preserve">. </w:t>
      </w:r>
    </w:p>
    <w:p>
      <w:pPr>
        <w:pStyle w:val="Normal"/>
        <w:jc w:val="left"/>
        <w:rPr/>
      </w:pPr>
      <w:r>
        <w:rPr/>
        <w:t>A platform számos hozzászólója egy társadalmilag igazságosabb Európára szólít fel, amelyet például a társadalmi egyenlőség mérésére szolgáló mutató kidolgozásával lehetne elérni (lásd például az</w:t>
      </w:r>
      <w:hyperlink r:id="rId674">
        <w:r>
          <w:rPr>
            <w:rStyle w:val="LienInternet"/>
          </w:rPr>
          <w:t xml:space="preserve"> </w:t>
        </w:r>
      </w:hyperlink>
      <w:hyperlink r:id="rId675">
        <w:r>
          <w:rPr>
            <w:rStyle w:val="LienInternet"/>
          </w:rPr>
          <w:t>ötletet</w:t>
        </w:r>
      </w:hyperlink>
      <w:r>
        <w:rPr/>
        <w:t xml:space="preserve">). </w:t>
      </w:r>
    </w:p>
    <w:p>
      <w:pPr>
        <w:pStyle w:val="Normal"/>
        <w:jc w:val="left"/>
        <w:rPr/>
      </w:pPr>
      <w:r>
        <w:rPr/>
        <w:t xml:space="preserve">E téma egyik megvitatott altémája az intézményi szintű politikák kidolgozásának szükségessége a nemek közötti egyenlőség elérése érdekében, valamint kulturális és oktatási szinten (lásd például egy </w:t>
      </w:r>
      <w:hyperlink r:id="rId676">
        <w:r>
          <w:rPr>
            <w:rStyle w:val="LienInternet"/>
          </w:rPr>
          <w:t>ötletet</w:t>
        </w:r>
      </w:hyperlink>
      <w:r>
        <w:rPr/>
        <w:t xml:space="preserve">). Az egyik javaslat a vállalatok vezetői pozícióira vonatkozó nemi kvóták megállapítása (lásd az </w:t>
      </w:r>
      <w:hyperlink r:id="rId677">
        <w:r>
          <w:rPr>
            <w:rStyle w:val="LienInternet"/>
          </w:rPr>
          <w:t>ötletet</w:t>
        </w:r>
      </w:hyperlink>
      <w:hyperlink r:id="rId678">
        <w:r>
          <w:rPr>
            <w:rStyle w:val="LienInternet"/>
          </w:rPr>
          <w:t>)</w:t>
        </w:r>
      </w:hyperlink>
      <w:r>
        <w:rPr/>
        <w:t xml:space="preserve">. Konkrétabban vannak olyan elképzelések, amelyek az egyenlőségre vonatkozó politikákat javasolnak a szülői szabadságra (lásd az </w:t>
      </w:r>
      <w:hyperlink r:id="rId679">
        <w:r>
          <w:rPr>
            <w:rStyle w:val="LienInternet"/>
          </w:rPr>
          <w:t>ötletet</w:t>
        </w:r>
      </w:hyperlink>
      <w:r>
        <w:rPr/>
        <w:t>) és az egyenlő foglalkoztatási lehetőségekre (lásd az</w:t>
      </w:r>
      <w:hyperlink r:id="rId680">
        <w:r>
          <w:rPr>
            <w:rStyle w:val="LienInternet"/>
          </w:rPr>
          <w:t xml:space="preserve"> </w:t>
        </w:r>
      </w:hyperlink>
      <w:hyperlink r:id="rId681">
        <w:r>
          <w:rPr>
            <w:rStyle w:val="LienInternet"/>
          </w:rPr>
          <w:t>ötletet</w:t>
        </w:r>
      </w:hyperlink>
      <w:hyperlink r:id="rId682">
        <w:r>
          <w:rPr>
            <w:rStyle w:val="LienInternet"/>
          </w:rPr>
          <w:t>)</w:t>
        </w:r>
      </w:hyperlink>
      <w:r>
        <w:rPr/>
        <w:t xml:space="preserve"> vonatkozó döntésekre. Ezzel összhangban egy panelbeszélgetés foglalkozott a női vállalkozók előtt álló kihívásokkal az üzleti környezetben, a bérek terén mutatkozó egyenlőtlenségekkel, a finanszírozási lehetőségekkel, valamint kiemelte a helyi és nemzeti szintű bevált gyakorlatok példáit (lásd az</w:t>
      </w:r>
      <w:hyperlink r:id="rId683">
        <w:r>
          <w:rPr>
            <w:rStyle w:val="LienInternet"/>
          </w:rPr>
          <w:t xml:space="preserve"> </w:t>
        </w:r>
      </w:hyperlink>
      <w:hyperlink r:id="rId684">
        <w:r>
          <w:rPr>
            <w:rStyle w:val="LienInternet"/>
          </w:rPr>
          <w:t>eseményt</w:t>
        </w:r>
      </w:hyperlink>
      <w:hyperlink r:id="rId685">
        <w:r>
          <w:rPr>
            <w:rStyle w:val="LienInternet"/>
          </w:rPr>
          <w:t xml:space="preserve"> </w:t>
        </w:r>
      </w:hyperlink>
      <w:r>
        <w:rPr/>
        <w:t>és az</w:t>
      </w:r>
      <w:hyperlink r:id="rId686">
        <w:r>
          <w:rPr>
            <w:rStyle w:val="LienInternet"/>
          </w:rPr>
          <w:t xml:space="preserve"> </w:t>
        </w:r>
      </w:hyperlink>
      <w:hyperlink r:id="rId687">
        <w:r>
          <w:rPr>
            <w:rStyle w:val="LienInternet"/>
          </w:rPr>
          <w:t>eseményt</w:t>
        </w:r>
      </w:hyperlink>
      <w:r>
        <w:rPr/>
        <w:t>). A Covid19 során felmerültek a nők foglalkoztatási bizonytalanságával kapcsolatos megfontolások is (lásd az</w:t>
      </w:r>
      <w:hyperlink r:id="rId688">
        <w:r>
          <w:rPr>
            <w:rStyle w:val="LienInternet"/>
          </w:rPr>
          <w:t xml:space="preserve"> </w:t>
        </w:r>
      </w:hyperlink>
      <w:hyperlink r:id="rId689">
        <w:r>
          <w:rPr>
            <w:rStyle w:val="LienInternet"/>
          </w:rPr>
          <w:t>ötletet</w:t>
        </w:r>
      </w:hyperlink>
      <w:hyperlink r:id="rId690">
        <w:r>
          <w:rPr>
            <w:rStyle w:val="LienInternet"/>
          </w:rPr>
          <w:t xml:space="preserve"> </w:t>
        </w:r>
      </w:hyperlink>
      <w:r>
        <w:rPr/>
        <w:t>és az</w:t>
      </w:r>
      <w:hyperlink r:id="rId691">
        <w:r>
          <w:rPr>
            <w:rStyle w:val="LienInternet"/>
          </w:rPr>
          <w:t xml:space="preserve"> </w:t>
        </w:r>
      </w:hyperlink>
      <w:hyperlink r:id="rId692">
        <w:r>
          <w:rPr>
            <w:rStyle w:val="LienInternet"/>
          </w:rPr>
          <w:t>ötletet</w:t>
        </w:r>
      </w:hyperlink>
      <w:r>
        <w:rPr/>
        <w:t xml:space="preserve">). </w:t>
      </w:r>
    </w:p>
    <w:p>
      <w:pPr>
        <w:pStyle w:val="Normal"/>
        <w:jc w:val="left"/>
        <w:rPr/>
      </w:pPr>
      <w:r>
        <w:rPr/>
        <w:t xml:space="preserve">További ötletek közé tartozik például a nemek közötti egyenlőség érvényesítésére irányuló felhívás az építészet és a mélyépítés területén (lásd az </w:t>
      </w:r>
      <w:hyperlink r:id="rId693">
        <w:r>
          <w:rPr>
            <w:rStyle w:val="LienInternet"/>
          </w:rPr>
          <w:t>ötletet</w:t>
        </w:r>
      </w:hyperlink>
      <w:r>
        <w:rPr/>
        <w:t xml:space="preserve">). A platformon rögzített egyik ötlet az egyenlő bánásmódról szóló irányelv elfogadását javasolja az élet minden területén az egyenlő bánásmód biztosítása érdekében (lásd az </w:t>
      </w:r>
      <w:hyperlink r:id="rId694">
        <w:r>
          <w:rPr>
            <w:rStyle w:val="LienInternet"/>
          </w:rPr>
          <w:t>ötletet</w:t>
        </w:r>
      </w:hyperlink>
      <w:r>
        <w:rPr/>
        <w:t xml:space="preserve">). A kapcsolódó ötletek a szexuális erőszak és a családon belüli erőszak elleni intézkedésekre vonatkoznak, különösen az áldozatok támogatására irányuló kezdeményezésekre, például egy alkalmazáson keresztül (lásd az </w:t>
      </w:r>
      <w:hyperlink r:id="rId695">
        <w:r>
          <w:rPr>
            <w:rStyle w:val="LienInternet"/>
          </w:rPr>
          <w:t>ötletet</w:t>
        </w:r>
      </w:hyperlink>
      <w:r>
        <w:rPr/>
        <w:t xml:space="preserve">). </w:t>
      </w:r>
    </w:p>
    <w:p>
      <w:pPr>
        <w:pStyle w:val="Normal"/>
        <w:jc w:val="left"/>
        <w:rPr/>
      </w:pPr>
      <w:r>
        <w:rPr/>
        <w:t xml:space="preserve">Egy másik altéma, amely a befogadóbb, nagyszámú közreműködővel rendelkező Európa előmozdítását érintette, azt tárgyalja, hogy meg kell-e könnyíteni a fogyatékossággal élő személyek befogadását, például a nemzeti fogyatékossági igazolványok érvényességének EU-szerte történő kiterjesztésével (lásd az </w:t>
      </w:r>
      <w:hyperlink r:id="rId696">
        <w:r>
          <w:rPr>
            <w:rStyle w:val="LienInternet"/>
          </w:rPr>
          <w:t>ötletet</w:t>
        </w:r>
      </w:hyperlink>
      <w:hyperlink r:id="rId697">
        <w:r>
          <w:rPr>
            <w:rStyle w:val="LienInternet"/>
          </w:rPr>
          <w:t>)</w:t>
        </w:r>
      </w:hyperlink>
      <w:r>
        <w:rPr/>
        <w:t xml:space="preserve"> és a turisztikai területek jobb hozzáférhetőségével (lásd az </w:t>
      </w:r>
      <w:hyperlink r:id="rId698">
        <w:r>
          <w:rPr>
            <w:rStyle w:val="LienInternet"/>
          </w:rPr>
          <w:t>ötletet</w:t>
        </w:r>
      </w:hyperlink>
      <w:hyperlink r:id="rId699">
        <w:r>
          <w:rPr>
            <w:rStyle w:val="LienInternet"/>
          </w:rPr>
          <w:t xml:space="preserve"> </w:t>
        </w:r>
      </w:hyperlink>
      <w:r>
        <w:rPr/>
        <w:t xml:space="preserve">és az </w:t>
      </w:r>
      <w:hyperlink r:id="rId700">
        <w:r>
          <w:rPr>
            <w:rStyle w:val="LienInternet"/>
          </w:rPr>
          <w:t>eseményt</w:t>
        </w:r>
      </w:hyperlink>
      <w:r>
        <w:rPr/>
        <w:t xml:space="preserve">). Támogatja továbbá a fogyatékossággal élő személyek szociális hálózatának létrehozását (lásd az </w:t>
      </w:r>
      <w:hyperlink r:id="rId701">
        <w:r>
          <w:rPr>
            <w:rStyle w:val="LienInternet"/>
          </w:rPr>
          <w:t>ötletet</w:t>
        </w:r>
      </w:hyperlink>
      <w:hyperlink r:id="rId702">
        <w:r>
          <w:rPr>
            <w:rStyle w:val="LienInternet"/>
          </w:rPr>
          <w:t>)</w:t>
        </w:r>
      </w:hyperlink>
      <w:r>
        <w:rPr/>
        <w:t xml:space="preserve">. Emellett egyes ötletek a várostervezésre összpontosítanak, és azt javasolják, hogy parkokon, kulturális központokon stb. keresztül tegyék lehetővé a generációk közötti cseréket elősegítő nyilvános tereket (lásd például egy </w:t>
      </w:r>
      <w:hyperlink r:id="rId703">
        <w:r>
          <w:rPr>
            <w:rStyle w:val="LienInternet"/>
          </w:rPr>
          <w:t>ötletet</w:t>
        </w:r>
      </w:hyperlink>
      <w:r>
        <w:rPr/>
        <w:t>). Ez egyike volt annak a számos ötletnek, amelyet egy spanyol rendezvényen terjesztettek elő, amely arra ösztönözte a polgárokat, hogy osszák meg nézeteiket arról, hogyan javítanák városukat polgármesterként (lásd az</w:t>
      </w:r>
      <w:hyperlink r:id="rId704">
        <w:r>
          <w:rPr>
            <w:rStyle w:val="LienInternet"/>
          </w:rPr>
          <w:t xml:space="preserve"> </w:t>
        </w:r>
      </w:hyperlink>
      <w:hyperlink r:id="rId705">
        <w:r>
          <w:rPr>
            <w:rStyle w:val="LienInternet"/>
          </w:rPr>
          <w:t>eseményt</w:t>
        </w:r>
      </w:hyperlink>
      <w:r>
        <w:rPr/>
        <w:t xml:space="preserve">). </w:t>
      </w:r>
    </w:p>
    <w:p>
      <w:pPr>
        <w:pStyle w:val="Normal"/>
        <w:jc w:val="left"/>
        <w:rPr/>
      </w:pPr>
      <w:r>
        <w:rPr/>
        <w:t>Hasonlóképpen, egy ötlet a fenntartható urbanista elveket támogatja, hogy a jó életminőséggel rendelkező városokat a reziliens és társadalmilag igazságos európai gazdaság középpontjába helyezzék, beleértve a helyi vállalkozások és a helyi gazdaságok előmozdítását, a tömegközlekedéshez való hozzáférést, a jó levegőminőséget stb. (lásd az</w:t>
      </w:r>
      <w:hyperlink r:id="rId706">
        <w:r>
          <w:rPr>
            <w:rStyle w:val="LienInternet"/>
          </w:rPr>
          <w:t xml:space="preserve"> </w:t>
        </w:r>
      </w:hyperlink>
      <w:hyperlink r:id="rId707">
        <w:r>
          <w:rPr>
            <w:rStyle w:val="LienInternet"/>
          </w:rPr>
          <w:t>ötletet</w:t>
        </w:r>
      </w:hyperlink>
      <w:hyperlink r:id="rId708">
        <w:r>
          <w:rPr>
            <w:rStyle w:val="LienInternet"/>
          </w:rPr>
          <w:t xml:space="preserve"> </w:t>
        </w:r>
      </w:hyperlink>
      <w:r>
        <w:rPr/>
        <w:t>és az</w:t>
      </w:r>
      <w:hyperlink r:id="rId709">
        <w:r>
          <w:rPr>
            <w:rStyle w:val="LienInternet"/>
          </w:rPr>
          <w:t xml:space="preserve"> </w:t>
        </w:r>
      </w:hyperlink>
      <w:hyperlink r:id="rId710">
        <w:r>
          <w:rPr>
            <w:rStyle w:val="LienInternet"/>
          </w:rPr>
          <w:t>ötletet</w:t>
        </w:r>
      </w:hyperlink>
      <w:r>
        <w:rPr/>
        <w:t xml:space="preserve">). </w:t>
      </w:r>
    </w:p>
    <w:p>
      <w:pPr>
        <w:pStyle w:val="Normal"/>
        <w:jc w:val="left"/>
        <w:rPr/>
      </w:pPr>
      <w:r>
        <w:rPr/>
        <w:t xml:space="preserve">Támogatják a szegénységi küszöb alatt élők segítésének és az egyenlőtlenségek csökkentésének szükségességét (lásd például az </w:t>
      </w:r>
      <w:hyperlink r:id="rId711">
        <w:r>
          <w:rPr>
            <w:rStyle w:val="LienInternet"/>
          </w:rPr>
          <w:t>ötletet</w:t>
        </w:r>
      </w:hyperlink>
      <w:r>
        <w:rPr/>
        <w:t xml:space="preserve">). Néhány ötlet azt is kiemeli, hogy nagyobb erőfeszítésekre van szükség a hajléktalanság kezelésére (lásd egy </w:t>
      </w:r>
      <w:hyperlink r:id="rId712">
        <w:r>
          <w:rPr>
            <w:rStyle w:val="LienInternet"/>
          </w:rPr>
          <w:t>ötlet</w:t>
        </w:r>
      </w:hyperlink>
      <w:r>
        <w:rPr/>
        <w:t xml:space="preserve">példáját) és a roma kisebbségek integrációs stratégiáinak kidolgozására (lásd az </w:t>
      </w:r>
      <w:hyperlink r:id="rId713">
        <w:r>
          <w:rPr>
            <w:rStyle w:val="LienInternet"/>
          </w:rPr>
          <w:t>eseményt</w:t>
        </w:r>
      </w:hyperlink>
      <w:hyperlink r:id="rId714">
        <w:r>
          <w:rPr>
            <w:rStyle w:val="LienInternet"/>
          </w:rPr>
          <w:t xml:space="preserve"> </w:t>
        </w:r>
      </w:hyperlink>
      <w:r>
        <w:rPr/>
        <w:t xml:space="preserve">és az </w:t>
      </w:r>
      <w:hyperlink r:id="rId715">
        <w:r>
          <w:rPr>
            <w:rStyle w:val="LienInternet"/>
          </w:rPr>
          <w:t>eseményt</w:t>
        </w:r>
      </w:hyperlink>
      <w:hyperlink r:id="rId716">
        <w:r>
          <w:rPr>
            <w:rStyle w:val="LienInternet"/>
          </w:rPr>
          <w:t>)</w:t>
        </w:r>
      </w:hyperlink>
      <w:r>
        <w:rPr/>
        <w:t>, és néhány szkeptikusabb nézetet is kifejezésre juttat (lásd az</w:t>
      </w:r>
      <w:hyperlink r:id="rId717">
        <w:r>
          <w:rPr>
            <w:rStyle w:val="LienInternet"/>
          </w:rPr>
          <w:t xml:space="preserve"> </w:t>
        </w:r>
      </w:hyperlink>
      <w:hyperlink r:id="rId718">
        <w:r>
          <w:rPr>
            <w:rStyle w:val="LienInternet"/>
          </w:rPr>
          <w:t>ötletet</w:t>
        </w:r>
      </w:hyperlink>
      <w:r>
        <w:rPr/>
        <w:t xml:space="preserve">). </w:t>
      </w:r>
    </w:p>
    <w:p>
      <w:pPr>
        <w:pStyle w:val="Normal"/>
        <w:jc w:val="left"/>
        <w:rPr/>
      </w:pPr>
      <w:r>
        <w:rPr/>
        <w:t>Számos ötlet tárgyalja a kijelentkezéshez való jog bevezetésének szükségességét (lásd az</w:t>
      </w:r>
      <w:hyperlink r:id="rId719">
        <w:r>
          <w:rPr>
            <w:rStyle w:val="LienInternet"/>
          </w:rPr>
          <w:t xml:space="preserve"> </w:t>
        </w:r>
      </w:hyperlink>
      <w:hyperlink r:id="rId720">
        <w:r>
          <w:rPr>
            <w:rStyle w:val="LienInternet"/>
          </w:rPr>
          <w:t>ötlet és az ötlet</w:t>
        </w:r>
      </w:hyperlink>
      <w:r>
        <w:rPr/>
        <w:t>példáit</w:t>
      </w:r>
      <w:hyperlink r:id="rId721">
        <w:r>
          <w:rPr>
            <w:rStyle w:val="LienInternet"/>
          </w:rPr>
          <w:t>)</w:t>
        </w:r>
      </w:hyperlink>
      <w:hyperlink r:id="rId722">
        <w:r>
          <w:rPr/>
          <w:t xml:space="preserve">. </w:t>
        </w:r>
      </w:hyperlink>
    </w:p>
    <w:p>
      <w:pPr>
        <w:pStyle w:val="Normal"/>
        <w:jc w:val="left"/>
        <w:rPr/>
      </w:pPr>
      <w:r>
        <w:rPr/>
        <w:t>Egy másik ötlet azt javasolja, hogy a harmadik országbeli állampolgárok számára növeljék a kékkártyák érvényességét az eredeti munkaviszonyuk megszűnését követően (lásd az</w:t>
      </w:r>
      <w:hyperlink r:id="rId723">
        <w:r>
          <w:rPr>
            <w:rStyle w:val="LienInternet"/>
          </w:rPr>
          <w:t xml:space="preserve"> </w:t>
        </w:r>
      </w:hyperlink>
      <w:hyperlink r:id="rId724">
        <w:r>
          <w:rPr>
            <w:rStyle w:val="LienInternet"/>
          </w:rPr>
          <w:t>ötletet</w:t>
        </w:r>
      </w:hyperlink>
      <w:hyperlink r:id="rId725">
        <w:r>
          <w:rPr>
            <w:rStyle w:val="LienInternet"/>
          </w:rPr>
          <w:t>)</w:t>
        </w:r>
      </w:hyperlink>
      <w:r>
        <w:rPr/>
        <w:t xml:space="preserve">. </w:t>
      </w:r>
    </w:p>
    <w:p>
      <w:pPr>
        <w:pStyle w:val="Normal"/>
        <w:jc w:val="left"/>
        <w:rPr/>
      </w:pPr>
      <w:r>
        <w:rPr/>
      </w:r>
    </w:p>
    <w:p>
      <w:pPr>
        <w:pStyle w:val="Titre2"/>
        <w:numPr>
          <w:ilvl w:val="1"/>
          <w:numId w:val="1"/>
        </w:numPr>
        <w:jc w:val="left"/>
        <w:rPr/>
      </w:pPr>
      <w:bookmarkStart w:id="47" w:name="__RefHeading___Toc86417_2514204080"/>
      <w:bookmarkEnd w:id="47"/>
      <w:r>
        <w:rPr/>
        <w:t>Gazdasági fellendülés</w:t>
      </w:r>
    </w:p>
    <w:p>
      <w:pPr>
        <w:pStyle w:val="Normal"/>
        <w:jc w:val="left"/>
        <w:rPr/>
      </w:pPr>
      <w:r>
        <w:rPr/>
        <w:t xml:space="preserve">A gazdasági fellendülés egyike azoknak a témáknak, amelyek a leginkább elkötelezték magukat. A platform résztvevői megosztották nézeteiket a belső piac versenyképességének növelése és az innováció ösztönzése érdekében, mint a fellendülés felé vezető útról (lásd az </w:t>
      </w:r>
      <w:hyperlink r:id="rId726">
        <w:r>
          <w:rPr>
            <w:rStyle w:val="LienInternet"/>
          </w:rPr>
          <w:t>ötletet</w:t>
        </w:r>
      </w:hyperlink>
      <w:r>
        <w:rPr/>
        <w:t xml:space="preserve">). Ezzel párhuzamosan számos résztvevő támogatja a méltányos fellendülésre irányuló megújított európai szociális szerződés (lásd az </w:t>
      </w:r>
      <w:hyperlink r:id="rId727">
        <w:r>
          <w:rPr>
            <w:rStyle w:val="LienInternet"/>
          </w:rPr>
          <w:t>ötletet) ötletét</w:t>
        </w:r>
      </w:hyperlink>
      <w:r>
        <w:rPr/>
        <w:t>. Ezenkívül az európai szociális piacgazdaság megvalósítása érdekében a polgárok ösztönzik a szociális párbeszéd és a kollektív tárgyalások megerősítését (lásd az</w:t>
      </w:r>
      <w:hyperlink r:id="rId728">
        <w:r>
          <w:rPr>
            <w:rStyle w:val="LienInternet"/>
          </w:rPr>
          <w:t xml:space="preserve"> </w:t>
        </w:r>
      </w:hyperlink>
      <w:hyperlink r:id="rId729">
        <w:r>
          <w:rPr>
            <w:rStyle w:val="LienInternet"/>
          </w:rPr>
          <w:t>ötletet</w:t>
        </w:r>
      </w:hyperlink>
      <w:hyperlink r:id="rId730">
        <w:r>
          <w:rPr>
            <w:rStyle w:val="LienInternet"/>
          </w:rPr>
          <w:t>)</w:t>
        </w:r>
      </w:hyperlink>
      <w:r>
        <w:rPr/>
        <w:t xml:space="preserve">. </w:t>
      </w:r>
    </w:p>
    <w:p>
      <w:pPr>
        <w:pStyle w:val="Normal"/>
        <w:jc w:val="left"/>
        <w:rPr/>
      </w:pPr>
      <w:r>
        <w:rPr/>
        <w:t xml:space="preserve">A platformon található észrevételek és ötletek összessége aggodalmának ad hangot az EU-n belüli államadósság növekedésével kapcsolatban (lásd például egy </w:t>
      </w:r>
      <w:hyperlink r:id="rId731">
        <w:r>
          <w:rPr>
            <w:rStyle w:val="LienInternet"/>
          </w:rPr>
          <w:t>ötlet</w:t>
        </w:r>
      </w:hyperlink>
      <w:hyperlink r:id="rId732">
        <w:r>
          <w:rPr>
            <w:rStyle w:val="LienInternet"/>
          </w:rPr>
          <w:t xml:space="preserve"> </w:t>
        </w:r>
      </w:hyperlink>
      <w:r>
        <w:rPr/>
        <w:t xml:space="preserve">és </w:t>
      </w:r>
      <w:hyperlink r:id="rId733">
        <w:r>
          <w:rPr>
            <w:rStyle w:val="LienInternet"/>
          </w:rPr>
          <w:t>esemény példáját</w:t>
        </w:r>
      </w:hyperlink>
      <w:hyperlink r:id="rId734">
        <w:r>
          <w:rPr>
            <w:rStyle w:val="LienInternet"/>
          </w:rPr>
          <w:t>)</w:t>
        </w:r>
      </w:hyperlink>
      <w:r>
        <w:rPr/>
        <w:t xml:space="preserve">: az Európai Központi Bank (EKB) szerepének megvitatása, felszólítva a Stabilitási és Növekedési Paktum szabályainak felülvizsgálatára (lásd az </w:t>
      </w:r>
      <w:hyperlink r:id="rId735">
        <w:r>
          <w:rPr>
            <w:rStyle w:val="LienInternet"/>
          </w:rPr>
          <w:t>ötletet</w:t>
        </w:r>
      </w:hyperlink>
      <w:r>
        <w:rPr/>
        <w:t xml:space="preserve">), a folyó fizetési mérleg egyensúlyhiányára vonatkozó jogszabályokra (lásd például az </w:t>
      </w:r>
      <w:hyperlink r:id="rId736">
        <w:r>
          <w:rPr>
            <w:rStyle w:val="LienInternet"/>
          </w:rPr>
          <w:t>ötletet</w:t>
        </w:r>
      </w:hyperlink>
      <w:hyperlink r:id="rId737">
        <w:r>
          <w:rPr>
            <w:rStyle w:val="LienInternet"/>
          </w:rPr>
          <w:t>)</w:t>
        </w:r>
      </w:hyperlink>
      <w:r>
        <w:rPr/>
        <w:t xml:space="preserve"> és általánosabban az EKB megbízatásának kiterjesztésére és megerősítésére (lásd az</w:t>
      </w:r>
      <w:hyperlink r:id="rId738">
        <w:r>
          <w:rPr>
            <w:rStyle w:val="LienInternet"/>
          </w:rPr>
          <w:t xml:space="preserve"> </w:t>
        </w:r>
      </w:hyperlink>
      <w:hyperlink r:id="rId739">
        <w:r>
          <w:rPr>
            <w:rStyle w:val="LienInternet"/>
          </w:rPr>
          <w:t>ötletet</w:t>
        </w:r>
      </w:hyperlink>
      <w:hyperlink r:id="rId740">
        <w:r>
          <w:rPr>
            <w:rStyle w:val="LienInternet"/>
          </w:rPr>
          <w:t xml:space="preserve"> </w:t>
        </w:r>
      </w:hyperlink>
      <w:r>
        <w:rPr/>
        <w:t>és az</w:t>
      </w:r>
      <w:hyperlink r:id="rId741">
        <w:r>
          <w:rPr>
            <w:rStyle w:val="LienInternet"/>
          </w:rPr>
          <w:t xml:space="preserve"> </w:t>
        </w:r>
      </w:hyperlink>
      <w:hyperlink r:id="rId742">
        <w:r>
          <w:rPr>
            <w:rStyle w:val="LienInternet"/>
          </w:rPr>
          <w:t>ötletet</w:t>
        </w:r>
      </w:hyperlink>
      <w:r>
        <w:rPr/>
        <w:t xml:space="preserve">). </w:t>
      </w:r>
    </w:p>
    <w:p>
      <w:pPr>
        <w:pStyle w:val="Normal"/>
        <w:jc w:val="left"/>
        <w:rPr/>
      </w:pPr>
      <w:r>
        <w:rPr/>
        <w:t xml:space="preserve">A vita középpontjában az uniós gazdaságélénkítési terv áll, ahol a hozzászólók kiemelték az uniós országok között megosztott szolidaritási kihívást, és megvitatták a források aktiválásával kapcsolatos kihívásokat (lásd például egy </w:t>
      </w:r>
      <w:hyperlink r:id="rId743">
        <w:r>
          <w:rPr>
            <w:rStyle w:val="LienInternet"/>
          </w:rPr>
          <w:t>ötlet</w:t>
        </w:r>
      </w:hyperlink>
      <w:hyperlink r:id="rId744">
        <w:r>
          <w:rPr>
            <w:rStyle w:val="LienInternet"/>
          </w:rPr>
          <w:t xml:space="preserve"> </w:t>
        </w:r>
      </w:hyperlink>
      <w:r>
        <w:rPr/>
        <w:t xml:space="preserve">és </w:t>
      </w:r>
      <w:hyperlink r:id="rId745">
        <w:r>
          <w:rPr>
            <w:rStyle w:val="LienInternet"/>
          </w:rPr>
          <w:t>esemény példáját</w:t>
        </w:r>
      </w:hyperlink>
      <w:hyperlink r:id="rId746">
        <w:r>
          <w:rPr>
            <w:rStyle w:val="LienInternet"/>
          </w:rPr>
          <w:t>)</w:t>
        </w:r>
      </w:hyperlink>
      <w:r>
        <w:rPr/>
        <w:t>. Ugyanakkor a hozzászólók hangsúlyozzák, hogy a helyreállítási tervek végrehajtása során szigorúságra, hatékonyságra és átláthatóságra van szükség (lásd például egy</w:t>
      </w:r>
      <w:hyperlink r:id="rId747">
        <w:r>
          <w:rPr>
            <w:rStyle w:val="LienInternet"/>
          </w:rPr>
          <w:t xml:space="preserve"> </w:t>
        </w:r>
      </w:hyperlink>
      <w:hyperlink r:id="rId748">
        <w:r>
          <w:rPr>
            <w:rStyle w:val="LienInternet"/>
          </w:rPr>
          <w:t>ötletet</w:t>
        </w:r>
      </w:hyperlink>
      <w:r>
        <w:rPr/>
        <w:t xml:space="preserve">). </w:t>
      </w:r>
    </w:p>
    <w:p>
      <w:pPr>
        <w:pStyle w:val="Normal"/>
        <w:jc w:val="left"/>
        <w:rPr/>
      </w:pPr>
      <w:r>
        <w:rPr/>
        <w:t xml:space="preserve">A helyi fogyasztás és termelés előmozdításával kapcsolatos ötleteket, amelyek növekedési motorja a kkv-k, gyakran a közreműködők terjesztik elő, és azokat az EU gazdasági fellendülése szempontjából kulcsfontosságúnak tekintik. Ezért a polgárok hangsúlyozzák, hogy meg kell szüntetni a vállalkozások előtt álló bürokratikus akadályokat (lásd például egy </w:t>
      </w:r>
      <w:hyperlink r:id="rId749">
        <w:r>
          <w:rPr>
            <w:rStyle w:val="LienInternet"/>
          </w:rPr>
          <w:t>ötlet</w:t>
        </w:r>
      </w:hyperlink>
      <w:hyperlink r:id="rId750">
        <w:r>
          <w:rPr>
            <w:rStyle w:val="LienInternet"/>
          </w:rPr>
          <w:t xml:space="preserve"> </w:t>
        </w:r>
      </w:hyperlink>
      <w:r>
        <w:rPr/>
        <w:t xml:space="preserve">és </w:t>
      </w:r>
      <w:hyperlink r:id="rId751">
        <w:r>
          <w:rPr>
            <w:rStyle w:val="LienInternet"/>
          </w:rPr>
          <w:t>esemény</w:t>
        </w:r>
      </w:hyperlink>
      <w:r>
        <w:rPr/>
        <w:t>példáját</w:t>
      </w:r>
      <w:hyperlink r:id="rId752">
        <w:r>
          <w:rPr>
            <w:rStyle w:val="LienInternet"/>
          </w:rPr>
          <w:t>)</w:t>
        </w:r>
      </w:hyperlink>
      <w:r>
        <w:rPr/>
        <w:t xml:space="preserve">, és egyszerűsíteni kell a külföldi induló vállalkozások bürokratikus eljárásait (lásd az </w:t>
      </w:r>
      <w:hyperlink r:id="rId753">
        <w:r>
          <w:rPr>
            <w:rStyle w:val="LienInternet"/>
          </w:rPr>
          <w:t>ötletet</w:t>
        </w:r>
      </w:hyperlink>
      <w:r>
        <w:rPr/>
        <w:t>). A résztvevők azt is javasolják, hogy az uniós alapokat a kkv-kra is fordítsák (lásd például egy</w:t>
      </w:r>
      <w:hyperlink r:id="rId754">
        <w:r>
          <w:rPr>
            <w:rStyle w:val="LienInternet"/>
          </w:rPr>
          <w:t xml:space="preserve"> </w:t>
        </w:r>
      </w:hyperlink>
      <w:hyperlink r:id="rId755">
        <w:r>
          <w:rPr>
            <w:rStyle w:val="LienInternet"/>
          </w:rPr>
          <w:t>ötletet</w:t>
        </w:r>
      </w:hyperlink>
      <w:hyperlink r:id="rId756">
        <w:r>
          <w:rPr>
            <w:rStyle w:val="LienInternet"/>
          </w:rPr>
          <w:t>)</w:t>
        </w:r>
      </w:hyperlink>
      <w:r>
        <w:rPr/>
        <w:t>. Az e témán belüli széles körű tendenciával összhangban számos felhívás van az EU-n belüli árutermelés növelésére az import helyett (lásd az</w:t>
      </w:r>
      <w:hyperlink r:id="rId757">
        <w:r>
          <w:rPr>
            <w:rStyle w:val="LienInternet"/>
          </w:rPr>
          <w:t xml:space="preserve"> </w:t>
        </w:r>
      </w:hyperlink>
      <w:hyperlink r:id="rId758">
        <w:r>
          <w:rPr>
            <w:rStyle w:val="LienInternet"/>
          </w:rPr>
          <w:t>ötletet</w:t>
        </w:r>
      </w:hyperlink>
      <w:hyperlink r:id="rId759">
        <w:r>
          <w:rPr>
            <w:rStyle w:val="LienInternet"/>
          </w:rPr>
          <w:t xml:space="preserve"> </w:t>
        </w:r>
      </w:hyperlink>
      <w:r>
        <w:rPr/>
        <w:t>és az</w:t>
      </w:r>
      <w:hyperlink r:id="rId760">
        <w:r>
          <w:rPr>
            <w:rStyle w:val="LienInternet"/>
          </w:rPr>
          <w:t xml:space="preserve"> </w:t>
        </w:r>
      </w:hyperlink>
      <w:hyperlink r:id="rId761">
        <w:r>
          <w:rPr>
            <w:rStyle w:val="LienInternet"/>
          </w:rPr>
          <w:t>ötletet</w:t>
        </w:r>
      </w:hyperlink>
      <w:hyperlink r:id="rId762">
        <w:r>
          <w:rPr>
            <w:rStyle w:val="LienInternet"/>
          </w:rPr>
          <w:t>)</w:t>
        </w:r>
      </w:hyperlink>
      <w:r>
        <w:rPr/>
        <w:t>. Egy hozzászóló azt javasolja, hogy tüntessék fel az interneten értékesített termékek eredetét a helyi fogyasztás növelése érdekében (lásd</w:t>
      </w:r>
      <w:hyperlink r:id="rId763">
        <w:r>
          <w:rPr>
            <w:rStyle w:val="LienInternet"/>
          </w:rPr>
          <w:t xml:space="preserve"> </w:t>
        </w:r>
      </w:hyperlink>
      <w:hyperlink r:id="rId764">
        <w:r>
          <w:rPr>
            <w:rStyle w:val="LienInternet"/>
          </w:rPr>
          <w:t>az ötletet</w:t>
        </w:r>
      </w:hyperlink>
      <w:hyperlink r:id="rId765">
        <w:r>
          <w:rPr>
            <w:rStyle w:val="LienInternet"/>
          </w:rPr>
          <w:t>)</w:t>
        </w:r>
      </w:hyperlink>
      <w:r>
        <w:rPr/>
        <w:t xml:space="preserve">. </w:t>
      </w:r>
    </w:p>
    <w:p>
      <w:pPr>
        <w:pStyle w:val="Normal"/>
        <w:jc w:val="left"/>
        <w:rPr/>
      </w:pPr>
      <w:r>
        <w:rPr/>
        <w:t xml:space="preserve">A gazdaságélénkítési stratégiákkal kapcsolatban a kohéziót alapvető értékként emelik ki az online szociális jogokkal és a fiatalok foglalkoztatási igényeinek kielégítésével összefüggésben (lásd az </w:t>
      </w:r>
      <w:hyperlink r:id="rId766">
        <w:r>
          <w:rPr>
            <w:rStyle w:val="LienInternet"/>
          </w:rPr>
          <w:t>eseményt</w:t>
        </w:r>
      </w:hyperlink>
      <w:r>
        <w:rPr/>
        <w:t xml:space="preserve">). Például a Covid19-válságot követően a gazdaság újraindítására irányuló stratégiaként is bemutatják a jövő generációiba való befektetést (lásd az </w:t>
      </w:r>
      <w:hyperlink r:id="rId767">
        <w:r>
          <w:rPr>
            <w:rStyle w:val="LienInternet"/>
          </w:rPr>
          <w:t>ötletet</w:t>
        </w:r>
      </w:hyperlink>
      <w:r>
        <w:rPr/>
        <w:t xml:space="preserve">). </w:t>
      </w:r>
    </w:p>
    <w:p>
      <w:pPr>
        <w:pStyle w:val="Normal"/>
        <w:jc w:val="left"/>
        <w:rPr/>
      </w:pPr>
      <w:r>
        <w:rPr/>
        <w:t>Hasonlóképpen, a Covid19-cel kapcsolatban a hozzászólók megvitatják, hogy szükség van-e a világjárványra való felkészülés jövőbeli lehetséges intézkedéseinek finanszírozására (lásd például az</w:t>
      </w:r>
      <w:hyperlink r:id="rId768">
        <w:r>
          <w:rPr>
            <w:rStyle w:val="LienInternet"/>
          </w:rPr>
          <w:t xml:space="preserve"> </w:t>
        </w:r>
      </w:hyperlink>
      <w:hyperlink r:id="rId769">
        <w:r>
          <w:rPr>
            <w:rStyle w:val="LienInternet"/>
          </w:rPr>
          <w:t>ötletet</w:t>
        </w:r>
      </w:hyperlink>
      <w:r>
        <w:rPr/>
        <w:t>). Ezzel összhangban egy ötlet az európai egészségügyi szakemberek létszámhiányával foglalkozik (lásd az</w:t>
      </w:r>
      <w:hyperlink r:id="rId770">
        <w:r>
          <w:rPr>
            <w:rStyle w:val="LienInternet"/>
          </w:rPr>
          <w:t xml:space="preserve"> </w:t>
        </w:r>
      </w:hyperlink>
      <w:hyperlink r:id="rId771">
        <w:r>
          <w:rPr>
            <w:rStyle w:val="LienInternet"/>
          </w:rPr>
          <w:t>ötletet</w:t>
        </w:r>
      </w:hyperlink>
      <w:hyperlink r:id="rId772">
        <w:r>
          <w:rPr>
            <w:rStyle w:val="LienInternet"/>
          </w:rPr>
          <w:t>)</w:t>
        </w:r>
      </w:hyperlink>
      <w:r>
        <w:rPr/>
        <w:t>. A hozzászólók hangsúlyozzák továbbá annak fontosságát, hogy állami forrásokat különítsenek el a kistermelők és kereskedők támogatására, hogy kompenzálják a világjárvány alatti bezárásokból eredő veszteségeket (lásd az</w:t>
      </w:r>
      <w:hyperlink r:id="rId773">
        <w:r>
          <w:rPr>
            <w:rStyle w:val="LienInternet"/>
          </w:rPr>
          <w:t xml:space="preserve"> </w:t>
        </w:r>
      </w:hyperlink>
      <w:hyperlink r:id="rId774">
        <w:r>
          <w:rPr>
            <w:rStyle w:val="LienInternet"/>
          </w:rPr>
          <w:t>ötletet</w:t>
        </w:r>
      </w:hyperlink>
      <w:hyperlink r:id="rId775">
        <w:r>
          <w:rPr>
            <w:rStyle w:val="LienInternet"/>
          </w:rPr>
          <w:t>)</w:t>
        </w:r>
      </w:hyperlink>
      <w:r>
        <w:rPr/>
        <w:t>.</w:t>
      </w:r>
    </w:p>
    <w:p>
      <w:pPr>
        <w:pStyle w:val="Normal"/>
        <w:jc w:val="left"/>
        <w:rPr/>
      </w:pPr>
      <w:r>
        <w:rPr/>
      </w:r>
    </w:p>
    <w:p>
      <w:pPr>
        <w:pStyle w:val="Titre2"/>
        <w:numPr>
          <w:ilvl w:val="1"/>
          <w:numId w:val="1"/>
        </w:numPr>
        <w:jc w:val="left"/>
        <w:rPr/>
      </w:pPr>
      <w:bookmarkStart w:id="48" w:name="__RefHeading___Toc86419_2514204080"/>
      <w:bookmarkEnd w:id="48"/>
      <w:r>
        <w:rPr/>
        <w:t xml:space="preserve">Innováció – a növekedés fellendítése </w:t>
      </w:r>
    </w:p>
    <w:p>
      <w:pPr>
        <w:pStyle w:val="Normal"/>
        <w:jc w:val="left"/>
        <w:rPr/>
      </w:pPr>
      <w:r>
        <w:rPr/>
        <w:t xml:space="preserve">Az e témához tartozó számos bejegyzés az innovációra mint az európai gazdaság alapvető eszközére mutatott rá. A hozzászólók a csúcstechnológiai kutatásba, készségekbe, tudásba és szakértelembe (mesterséges intelligencia, blokklánc, nanotechnológia, energiatárolás, laboratóriumi hús stb.) történő beruházások révén a növekedés fellendítését javasolják. Néhány ötlet a versenyben a költségek minimalizálása helyett a tudás maximalizálása felé történő elmozdulást, az európai tudásalapú gazdaság létrehozásának lehetőségeit (lásd az </w:t>
      </w:r>
      <w:hyperlink r:id="rId776">
        <w:r>
          <w:rPr>
            <w:rStyle w:val="LienInternet"/>
          </w:rPr>
          <w:t>ötletet és az ötletet</w:t>
        </w:r>
      </w:hyperlink>
      <w:hyperlink r:id="rId777">
        <w:r>
          <w:rPr>
            <w:rStyle w:val="LienInternet"/>
          </w:rPr>
          <w:t>)</w:t>
        </w:r>
      </w:hyperlink>
      <w:r>
        <w:rPr/>
        <w:t xml:space="preserve"> tárgyalja. Emellett számos ötlet azonosítja a technológiai függetlenség szükségességét, például az EU hardvergyártási kapacitásának fejlesztésével és a külső országoktól való ipari és kereskedelmi függőségének csökkentésével (lásd például egy</w:t>
      </w:r>
      <w:hyperlink r:id="rId778">
        <w:r>
          <w:rPr>
            <w:rStyle w:val="LienInternet"/>
          </w:rPr>
          <w:t xml:space="preserve"> </w:t>
        </w:r>
      </w:hyperlink>
      <w:hyperlink r:id="rId779">
        <w:r>
          <w:rPr>
            <w:rStyle w:val="LienInternet"/>
          </w:rPr>
          <w:t>ötletet)</w:t>
        </w:r>
      </w:hyperlink>
      <w:r>
        <w:rPr/>
        <w:t xml:space="preserve">. </w:t>
      </w:r>
    </w:p>
    <w:p>
      <w:pPr>
        <w:pStyle w:val="Normal"/>
        <w:jc w:val="left"/>
        <w:rPr/>
      </w:pPr>
      <w:r>
        <w:rPr/>
        <w:t>A témán belül a leggyakrabban visszatérő ötletek a kis- és középvállalkozások támogatásának (lásd például az</w:t>
      </w:r>
      <w:hyperlink r:id="rId780">
        <w:r>
          <w:rPr>
            <w:rStyle w:val="LienInternet"/>
          </w:rPr>
          <w:t xml:space="preserve"> </w:t>
        </w:r>
      </w:hyperlink>
      <w:hyperlink r:id="rId781">
        <w:r>
          <w:rPr>
            <w:rStyle w:val="LienInternet"/>
          </w:rPr>
          <w:t>ötletet)</w:t>
        </w:r>
      </w:hyperlink>
      <w:r>
        <w:rPr/>
        <w:t xml:space="preserve"> és a vállalkozói szellem ösztönzésének szükségességével foglalkoznak (lásd az</w:t>
      </w:r>
      <w:hyperlink r:id="rId782">
        <w:r>
          <w:rPr>
            <w:rStyle w:val="LienInternet"/>
          </w:rPr>
          <w:t xml:space="preserve"> </w:t>
        </w:r>
      </w:hyperlink>
      <w:hyperlink r:id="rId783">
        <w:r>
          <w:rPr>
            <w:rStyle w:val="LienInternet"/>
          </w:rPr>
          <w:t>ötletet</w:t>
        </w:r>
      </w:hyperlink>
      <w:r>
        <w:rPr/>
        <w:t xml:space="preserve">). Valójában az induló vállalkozások és a kis- és középvállalkozások (kkv-k) finanszírozását általában az innováció fontos mozgatórugójának tekintik (lásd például az </w:t>
      </w:r>
      <w:hyperlink r:id="rId784">
        <w:r>
          <w:rPr>
            <w:rStyle w:val="LienInternet"/>
          </w:rPr>
          <w:t>ötletet)</w:t>
        </w:r>
      </w:hyperlink>
      <w:r>
        <w:rPr/>
        <w:t xml:space="preserve">. A gyakorlatban a válaszadók a kkv-k támogatását javasolják például a kkv-k számára induló tőkét biztosító uniós alap (lásd az </w:t>
      </w:r>
      <w:hyperlink r:id="rId785">
        <w:r>
          <w:rPr>
            <w:rStyle w:val="LienInternet"/>
          </w:rPr>
          <w:t>ötletet</w:t>
        </w:r>
      </w:hyperlink>
      <w:r>
        <w:rPr/>
        <w:t xml:space="preserve">) vagy az európai kkv-knak szánt online kereskedelmi platform (lásd az </w:t>
      </w:r>
      <w:hyperlink r:id="rId786">
        <w:r>
          <w:rPr>
            <w:rStyle w:val="LienInternet"/>
          </w:rPr>
          <w:t>ötletet)</w:t>
        </w:r>
      </w:hyperlink>
      <w:r>
        <w:rPr/>
        <w:t xml:space="preserve"> révén. Egy másik résztvevő rámutat Kína fejlődésére az innováció és a növekedés kapilláris központjai révén, kedvező adminisztratív és költségvetési szabályozásokkal kombinálva, amelyek ösztönözték a beruházásokat és az induló vállalkozások növekedését. A résztvevő az európai politikák újragondolását kéri az ilyen példák fényében (lásd az </w:t>
      </w:r>
      <w:hyperlink r:id="rId787">
        <w:r>
          <w:rPr>
            <w:rStyle w:val="LienInternet"/>
          </w:rPr>
          <w:t>ötletet)</w:t>
        </w:r>
      </w:hyperlink>
      <w:r>
        <w:rPr/>
        <w:t>. Emellett egy ötlet azt javasolja, hogy az élvonalbeli technológiai ágazatokban kedvező adózást biztosítsanak az induló vállalkozások számára (lásd az</w:t>
      </w:r>
      <w:hyperlink r:id="rId788">
        <w:r>
          <w:rPr>
            <w:rStyle w:val="LienInternet"/>
          </w:rPr>
          <w:t xml:space="preserve"> </w:t>
        </w:r>
      </w:hyperlink>
      <w:hyperlink r:id="rId789">
        <w:r>
          <w:rPr>
            <w:rStyle w:val="LienInternet"/>
          </w:rPr>
          <w:t>ötletet</w:t>
        </w:r>
      </w:hyperlink>
      <w:r>
        <w:rPr/>
        <w:t xml:space="preserve">). </w:t>
      </w:r>
    </w:p>
    <w:p>
      <w:pPr>
        <w:pStyle w:val="Normal"/>
        <w:jc w:val="left"/>
        <w:rPr/>
      </w:pPr>
      <w:r>
        <w:rPr/>
        <w:t>A hozzájárulások erőteljes része kiemeli azt a lehetőséget is, hogy vállalkozásokat alapítsanak kis európai falvakban és határ menti területeken (lásd például egy</w:t>
      </w:r>
      <w:hyperlink r:id="rId790">
        <w:r>
          <w:rPr>
            <w:rStyle w:val="LienInternet"/>
          </w:rPr>
          <w:t xml:space="preserve"> ötletet </w:t>
        </w:r>
      </w:hyperlink>
      <w:r>
        <w:rPr/>
        <w:t xml:space="preserve">és </w:t>
      </w:r>
      <w:hyperlink r:id="rId791">
        <w:r>
          <w:rPr>
            <w:rStyle w:val="LienInternet"/>
          </w:rPr>
          <w:t>rendezvényt)</w:t>
        </w:r>
      </w:hyperlink>
      <w:r>
        <w:rPr/>
        <w:t xml:space="preserve">, a távmunka lehetőségét is kihasználva (lásd az </w:t>
      </w:r>
      <w:hyperlink r:id="rId792">
        <w:r>
          <w:rPr>
            <w:rStyle w:val="LienInternet"/>
          </w:rPr>
          <w:t>ötletet</w:t>
        </w:r>
      </w:hyperlink>
      <w:r>
        <w:rPr/>
        <w:t>). Számos ötlet támogatja a decentralizációt és a fokozott helyi kormányzást (lásd az</w:t>
      </w:r>
      <w:hyperlink r:id="rId793">
        <w:r>
          <w:rPr>
            <w:rStyle w:val="LienInternet"/>
          </w:rPr>
          <w:t xml:space="preserve"> </w:t>
        </w:r>
      </w:hyperlink>
      <w:hyperlink r:id="rId794">
        <w:r>
          <w:rPr>
            <w:rStyle w:val="LienInternet"/>
          </w:rPr>
          <w:t xml:space="preserve">ötletet </w:t>
        </w:r>
      </w:hyperlink>
      <w:r>
        <w:rPr/>
        <w:t>és az</w:t>
      </w:r>
      <w:hyperlink r:id="rId795">
        <w:r>
          <w:rPr>
            <w:rStyle w:val="LienInternet"/>
          </w:rPr>
          <w:t xml:space="preserve"> eseményt</w:t>
        </w:r>
      </w:hyperlink>
      <w:r>
        <w:rPr/>
        <w:t xml:space="preserve">), többek között a regionális területi egyenlőtlenségek csökkentése és az agyelszívás miatt, amellyel számos régió szembesül (lásd az </w:t>
      </w:r>
      <w:hyperlink r:id="rId796">
        <w:r>
          <w:rPr>
            <w:rStyle w:val="LienInternet"/>
          </w:rPr>
          <w:t>eseményt)</w:t>
        </w:r>
      </w:hyperlink>
      <w:r>
        <w:rPr/>
        <w:t xml:space="preserve">. Hasonló megvilágításban tartottak egy </w:t>
      </w:r>
      <w:hyperlink r:id="rId797">
        <w:r>
          <w:rPr>
            <w:rStyle w:val="LienInternet"/>
          </w:rPr>
          <w:t xml:space="preserve">rendezvényt </w:t>
        </w:r>
      </w:hyperlink>
      <w:r>
        <w:rPr/>
        <w:t>arról, hogyan lehet megtartani a fiatalokat a vidéki és kisebb városokban. Hasonló megjegyzésként számos rendezvény megvitatta a területek helyi fejlesztésének a fenntartható turizmus előmozdítása érdekében történő hasznosításának lehetőségeit (lásd az</w:t>
      </w:r>
      <w:hyperlink r:id="rId798">
        <w:r>
          <w:rPr>
            <w:rStyle w:val="LienInternet"/>
          </w:rPr>
          <w:t xml:space="preserve"> </w:t>
        </w:r>
      </w:hyperlink>
      <w:hyperlink r:id="rId799">
        <w:r>
          <w:rPr>
            <w:rStyle w:val="LienInternet"/>
          </w:rPr>
          <w:t xml:space="preserve">eseményt </w:t>
        </w:r>
      </w:hyperlink>
      <w:r>
        <w:rPr/>
        <w:t>és az</w:t>
      </w:r>
      <w:hyperlink r:id="rId800">
        <w:r>
          <w:rPr>
            <w:rStyle w:val="LienInternet"/>
          </w:rPr>
          <w:t xml:space="preserve"> </w:t>
        </w:r>
      </w:hyperlink>
      <w:hyperlink r:id="rId801">
        <w:r>
          <w:rPr>
            <w:rStyle w:val="LienInternet"/>
          </w:rPr>
          <w:t>eseményt)</w:t>
        </w:r>
      </w:hyperlink>
      <w:r>
        <w:rPr/>
        <w:t xml:space="preserve">. </w:t>
      </w:r>
    </w:p>
    <w:p>
      <w:pPr>
        <w:pStyle w:val="Normal"/>
        <w:jc w:val="left"/>
        <w:rPr/>
      </w:pPr>
      <w:r>
        <w:rPr/>
        <w:t xml:space="preserve">A kutatási és oktatási beruházásokat kritikus fontosságúnak tekintik (lásd az </w:t>
      </w:r>
      <w:hyperlink r:id="rId802">
        <w:r>
          <w:rPr>
            <w:rStyle w:val="LienInternet"/>
          </w:rPr>
          <w:t xml:space="preserve">ötletet </w:t>
        </w:r>
      </w:hyperlink>
      <w:r>
        <w:rPr/>
        <w:t xml:space="preserve">és az </w:t>
      </w:r>
      <w:hyperlink r:id="rId803">
        <w:r>
          <w:rPr>
            <w:rStyle w:val="LienInternet"/>
          </w:rPr>
          <w:t>eseményt</w:t>
        </w:r>
      </w:hyperlink>
      <w:r>
        <w:rPr/>
        <w:t xml:space="preserve">), és támogatják a tudásmegosztást a laboratóriumok nyílt hálózatán vagy az Európai Infrastruktúra Ügynökségen keresztül (lásd az </w:t>
      </w:r>
      <w:hyperlink r:id="rId804">
        <w:r>
          <w:rPr>
            <w:rStyle w:val="LienInternet"/>
          </w:rPr>
          <w:t>ötletet</w:t>
        </w:r>
      </w:hyperlink>
      <w:r>
        <w:rPr/>
        <w:t xml:space="preserve">). Egy nagyrészt támogatott ötlet arra szólítja fel az EU-t, hogy teljesítse ígéretét, miszerint a GDP 3%-át kutatásra és innovációra fordítja (lásd az </w:t>
      </w:r>
      <w:hyperlink r:id="rId805">
        <w:r>
          <w:rPr>
            <w:rStyle w:val="LienInternet"/>
          </w:rPr>
          <w:t>ötletet)</w:t>
        </w:r>
      </w:hyperlink>
      <w:r>
        <w:rPr/>
        <w:t xml:space="preserve">. Egy másik javaslat a tudomány számára egyfajta Spotify-t, a 3D nyomtatási modelleket (lásd az </w:t>
      </w:r>
      <w:hyperlink r:id="rId806">
        <w:r>
          <w:rPr>
            <w:rStyle w:val="LienInternet"/>
          </w:rPr>
          <w:t>ötletet)</w:t>
        </w:r>
      </w:hyperlink>
      <w:r>
        <w:rPr/>
        <w:t xml:space="preserve"> tartalmazó hozzáférhető adatbázist, az e-tanulási anyagokat és a szakmai oktatásban bevált nemzetközi gyakorlatokat összegyűjtő oktatási programokat (lásd az </w:t>
      </w:r>
      <w:hyperlink r:id="rId807">
        <w:r>
          <w:rPr>
            <w:rStyle w:val="LienInternet"/>
          </w:rPr>
          <w:t>ötletet)</w:t>
        </w:r>
      </w:hyperlink>
      <w:r>
        <w:rPr/>
        <w:t xml:space="preserve"> tárgyal. A kutatással kapcsolatban az egyik javaslat a szabadalmak szabadalmi alapon keresztül történő megkönnyítése (lásd az</w:t>
      </w:r>
      <w:hyperlink r:id="rId808">
        <w:r>
          <w:rPr>
            <w:rStyle w:val="LienInternet"/>
          </w:rPr>
          <w:t xml:space="preserve"> ötletet</w:t>
        </w:r>
      </w:hyperlink>
      <w:r>
        <w:rPr/>
        <w:t xml:space="preserve">). Az Európai Egészségügyi Főhatóság felállítását is kérik, amelynek ösztönöznie kell a köz- és magán egészségügyi kutatásokat (lásd az </w:t>
      </w:r>
      <w:hyperlink r:id="rId809">
        <w:r>
          <w:rPr>
            <w:rStyle w:val="LienInternet"/>
          </w:rPr>
          <w:t>ötletet</w:t>
        </w:r>
      </w:hyperlink>
      <w:r>
        <w:rPr/>
        <w:t xml:space="preserve">). Emellett az innováció ösztönzése érdekében az egyik polgár amellett érvel, hogy az innovációt a szabványosítás szabadságának növelése révén kell támogatni az alternatív megoldásokat kínáló innovatív megközelítésekkel szembeni jogi felelősség csökkentése érdekében (lásd az </w:t>
      </w:r>
      <w:hyperlink r:id="rId810">
        <w:r>
          <w:rPr>
            <w:rStyle w:val="LienInternet"/>
          </w:rPr>
          <w:t>ötletet</w:t>
        </w:r>
      </w:hyperlink>
      <w:r>
        <w:rPr/>
        <w:t>). Számos javaslat született a kutatás és az innováció előmozdítására, hogy előmozdítsák a kulcsfontosságú alaptechnológiák fejlesztését Európában (lásd az</w:t>
      </w:r>
      <w:hyperlink r:id="rId811">
        <w:r>
          <w:rPr>
            <w:rStyle w:val="LienInternet"/>
          </w:rPr>
          <w:t xml:space="preserve"> </w:t>
        </w:r>
      </w:hyperlink>
      <w:hyperlink r:id="rId812">
        <w:r>
          <w:rPr>
            <w:rStyle w:val="LienInternet"/>
          </w:rPr>
          <w:t>ötletet</w:t>
        </w:r>
      </w:hyperlink>
      <w:r>
        <w:rPr/>
        <w:t xml:space="preserve">). </w:t>
      </w:r>
    </w:p>
    <w:p>
      <w:pPr>
        <w:pStyle w:val="Normal"/>
        <w:jc w:val="left"/>
        <w:rPr/>
      </w:pPr>
      <w:r>
        <w:rPr/>
        <w:t xml:space="preserve">Más ötletek azt mutatják, hogy a digitális gazdaság az innováció és a növekedés előfeltétele, a kriptovalutáról (lásd az </w:t>
      </w:r>
      <w:hyperlink r:id="rId813">
        <w:r>
          <w:rPr>
            <w:rStyle w:val="LienInternet"/>
          </w:rPr>
          <w:t>ötletet</w:t>
        </w:r>
      </w:hyperlink>
      <w:r>
        <w:rPr/>
        <w:t xml:space="preserve">) és a helyi digitális valutákról folytatott vitákkal, amelyek párhuzamosak lennének az euróval (lásd például az </w:t>
      </w:r>
      <w:hyperlink r:id="rId814">
        <w:r>
          <w:rPr>
            <w:rStyle w:val="LienInternet"/>
          </w:rPr>
          <w:t>ötletet)</w:t>
        </w:r>
      </w:hyperlink>
      <w:r>
        <w:rPr/>
        <w:t>. A kriptovaluták esetében a válaszadók úgy érzik, hogy a polgárok védelme érdekében szabályozásra van szükség (lásd például az</w:t>
      </w:r>
      <w:hyperlink r:id="rId815">
        <w:r>
          <w:rPr>
            <w:rStyle w:val="LienInternet"/>
          </w:rPr>
          <w:t xml:space="preserve"> </w:t>
        </w:r>
      </w:hyperlink>
      <w:hyperlink r:id="rId816">
        <w:r>
          <w:rPr>
            <w:rStyle w:val="LienInternet"/>
          </w:rPr>
          <w:t>ötletet</w:t>
        </w:r>
      </w:hyperlink>
      <w:r>
        <w:rPr/>
        <w:t xml:space="preserve">). </w:t>
      </w:r>
    </w:p>
    <w:p>
      <w:pPr>
        <w:pStyle w:val="Normal"/>
        <w:jc w:val="left"/>
        <w:rPr/>
      </w:pPr>
      <w:r>
        <w:rPr/>
        <w:t xml:space="preserve">A környezetvédelem és az éghajlatváltozás, valamint a zöld átállás kapcsán is megvitatják az innovációt és a növekedést (lásd az </w:t>
      </w:r>
      <w:hyperlink r:id="rId817">
        <w:r>
          <w:rPr>
            <w:rStyle w:val="LienInternet"/>
          </w:rPr>
          <w:t>ötletet)</w:t>
        </w:r>
      </w:hyperlink>
      <w:r>
        <w:rPr/>
        <w:t xml:space="preserve">. Mint ilyenek, a klímasemlegességi célokról és az EU által a (globális) zöld gazdaság megteremtésében és az abba való beruházásban játszott vezető szerepről szóló elképzelések jelen vannak az egész platformon (lásd például az </w:t>
      </w:r>
      <w:hyperlink r:id="rId818">
        <w:r>
          <w:rPr>
            <w:rStyle w:val="LienInternet"/>
          </w:rPr>
          <w:t>ötletet)</w:t>
        </w:r>
      </w:hyperlink>
      <w:r>
        <w:rPr/>
        <w:t>. Az egyik polgár például azt javasolja, hogy az európai iparstratégia globális összehasonlítását szolgáló mennyiségi mutatók révén egészítsék ki a zöld átállást az iparpolitikai terv céljainak nyomon követésével (lásd az</w:t>
      </w:r>
      <w:hyperlink r:id="rId819">
        <w:r>
          <w:rPr>
            <w:rStyle w:val="LienInternet"/>
          </w:rPr>
          <w:t xml:space="preserve"> </w:t>
        </w:r>
      </w:hyperlink>
      <w:hyperlink r:id="rId820">
        <w:r>
          <w:rPr>
            <w:rStyle w:val="LienInternet"/>
          </w:rPr>
          <w:t>ötletet</w:t>
        </w:r>
      </w:hyperlink>
      <w:r>
        <w:rPr/>
        <w:t>). Ezenkívül a résztvevő kiemeli annak lehetőségét, hogy a mesterséges intelligenciát a vállalkozások energiahatékonyságának javítására használják (lásd az</w:t>
      </w:r>
      <w:hyperlink r:id="rId821">
        <w:r>
          <w:rPr>
            <w:rStyle w:val="LienInternet"/>
          </w:rPr>
          <w:t xml:space="preserve"> </w:t>
        </w:r>
      </w:hyperlink>
      <w:hyperlink r:id="rId822">
        <w:r>
          <w:rPr>
            <w:rStyle w:val="LienInternet"/>
          </w:rPr>
          <w:t>ötletet)</w:t>
        </w:r>
      </w:hyperlink>
      <w:r>
        <w:rPr/>
        <w:t xml:space="preserve">. </w:t>
      </w:r>
    </w:p>
    <w:p>
      <w:pPr>
        <w:pStyle w:val="Normal"/>
        <w:jc w:val="left"/>
        <w:rPr/>
      </w:pPr>
      <w:r>
        <w:rPr/>
        <w:t>Számos ötlet foglalkozik a zöld gazdaság gyakorlati megvalósításával, például a biogazdálkodásba és a „termelőtől a fogyasztóig” kezdeményezésekbe való beruházás révén (lásd az</w:t>
      </w:r>
      <w:hyperlink r:id="rId823">
        <w:r>
          <w:rPr>
            <w:rStyle w:val="LienInternet"/>
          </w:rPr>
          <w:t xml:space="preserve"> </w:t>
        </w:r>
      </w:hyperlink>
      <w:hyperlink r:id="rId824">
        <w:r>
          <w:rPr>
            <w:rStyle w:val="LienInternet"/>
          </w:rPr>
          <w:t>ötletet</w:t>
        </w:r>
      </w:hyperlink>
      <w:r>
        <w:rPr/>
        <w:t>). Egy másik résztvevő a zöldebb gazdaság megvalósítását javasolja, miközben intelligens mezőgazdasági technológiák révén kezeli az élelmezésbiztonság kérdését (lásd az</w:t>
      </w:r>
      <w:hyperlink r:id="rId825">
        <w:r>
          <w:rPr>
            <w:rStyle w:val="LienInternet"/>
          </w:rPr>
          <w:t xml:space="preserve"> </w:t>
        </w:r>
      </w:hyperlink>
      <w:hyperlink r:id="rId826">
        <w:r>
          <w:rPr>
            <w:rStyle w:val="LienInternet"/>
          </w:rPr>
          <w:t>ötletet)</w:t>
        </w:r>
      </w:hyperlink>
      <w:r>
        <w:rPr/>
        <w:t xml:space="preserve">. </w:t>
      </w:r>
    </w:p>
    <w:p>
      <w:pPr>
        <w:pStyle w:val="Normal"/>
        <w:jc w:val="left"/>
        <w:rPr/>
      </w:pPr>
      <w:r>
        <w:rPr/>
        <w:t xml:space="preserve">Mindazonáltal az egyik polgár kifejti, hogy a zöld megállapodás végrehajtásának biztosítania kell, hogy az új intézkedések ne érintsék hátrányosan az uniós polgárokat (lásd az </w:t>
      </w:r>
      <w:hyperlink r:id="rId827">
        <w:r>
          <w:rPr>
            <w:rStyle w:val="LienInternet"/>
          </w:rPr>
          <w:t>ötletet</w:t>
        </w:r>
      </w:hyperlink>
      <w:r>
        <w:rPr/>
        <w:t>). Üzleti szempontból több ötlet is megvitatja azokat az intézkedéseket, amelyek ösztönzik és támogatják a vállalkozásokat a zöld átállás megvalósításában (lásd az</w:t>
      </w:r>
      <w:hyperlink r:id="rId828">
        <w:r>
          <w:rPr>
            <w:rStyle w:val="LienInternet"/>
          </w:rPr>
          <w:t xml:space="preserve"> eseményt</w:t>
        </w:r>
      </w:hyperlink>
      <w:r>
        <w:rPr/>
        <w:t xml:space="preserve">), például egyértelmű és kötelező erejű célkitűzéseket határoznak meg egyes ágazatok számára (lásd az </w:t>
      </w:r>
      <w:hyperlink r:id="rId829">
        <w:r>
          <w:rPr>
            <w:rStyle w:val="LienInternet"/>
          </w:rPr>
          <w:t>ötletet</w:t>
        </w:r>
      </w:hyperlink>
      <w:r>
        <w:rPr/>
        <w:t>), ugyanakkor megakadályozzák a vállalatokat abban, hogy „zöld mosási” stratégiákat fogadjanak el (lásd az</w:t>
      </w:r>
      <w:hyperlink r:id="rId830">
        <w:r>
          <w:rPr>
            <w:rStyle w:val="LienInternet"/>
          </w:rPr>
          <w:t xml:space="preserve"> </w:t>
        </w:r>
      </w:hyperlink>
      <w:hyperlink r:id="rId831">
        <w:r>
          <w:rPr>
            <w:rStyle w:val="LienInternet"/>
          </w:rPr>
          <w:t>ötletet)</w:t>
        </w:r>
      </w:hyperlink>
      <w:r>
        <w:rPr/>
        <w:t xml:space="preserve">. </w:t>
      </w:r>
    </w:p>
    <w:p>
      <w:pPr>
        <w:pStyle w:val="Normal"/>
        <w:jc w:val="left"/>
        <w:rPr/>
      </w:pPr>
      <w:r>
        <w:rPr/>
        <w:t>Más javaslatok az űrkutatási ipar megerősítésére mint az innovatív technológiák élén álló eszközre hivatkoznak, például az ESA finanszírozásának növelése révén (lásd az</w:t>
      </w:r>
      <w:hyperlink r:id="rId832">
        <w:r>
          <w:rPr>
            <w:rStyle w:val="LienInternet"/>
          </w:rPr>
          <w:t xml:space="preserve"> </w:t>
        </w:r>
      </w:hyperlink>
      <w:hyperlink r:id="rId833">
        <w:r>
          <w:rPr>
            <w:rStyle w:val="LienInternet"/>
          </w:rPr>
          <w:t xml:space="preserve">ötletet </w:t>
        </w:r>
      </w:hyperlink>
      <w:r>
        <w:rPr/>
        <w:t>és az</w:t>
      </w:r>
      <w:hyperlink r:id="rId834">
        <w:r>
          <w:rPr>
            <w:rStyle w:val="LienInternet"/>
          </w:rPr>
          <w:t xml:space="preserve"> </w:t>
        </w:r>
      </w:hyperlink>
      <w:hyperlink r:id="rId835">
        <w:r>
          <w:rPr>
            <w:rStyle w:val="LienInternet"/>
          </w:rPr>
          <w:t>ötletet</w:t>
        </w:r>
      </w:hyperlink>
      <w:r>
        <w:rPr/>
        <w:t>).</w:t>
      </w:r>
    </w:p>
    <w:p>
      <w:pPr>
        <w:pStyle w:val="Normal"/>
        <w:jc w:val="left"/>
        <w:rPr/>
      </w:pPr>
      <w:r>
        <w:rPr/>
      </w:r>
    </w:p>
    <w:p>
      <w:pPr>
        <w:pStyle w:val="Titre2"/>
        <w:numPr>
          <w:ilvl w:val="1"/>
          <w:numId w:val="1"/>
        </w:numPr>
        <w:jc w:val="left"/>
        <w:rPr/>
      </w:pPr>
      <w:bookmarkStart w:id="49" w:name="__RefHeading___Toc86421_2514204080"/>
      <w:bookmarkEnd w:id="49"/>
      <w:r>
        <w:rPr/>
        <w:t xml:space="preserve">Szociális védelem és szociális biztonság </w:t>
      </w:r>
    </w:p>
    <w:p>
      <w:pPr>
        <w:pStyle w:val="Normal"/>
        <w:jc w:val="left"/>
        <w:rPr/>
      </w:pPr>
      <w:r>
        <w:rPr/>
        <w:t xml:space="preserve">A legismétlkedőbb altéma, amelyben számos ötletet erősen támogatnak és kommentálnak, a feltétel nélküli alapjövedelemre vonatkozik, amely biztosítja, hogy minden személy képes legyen részt venni a társadalomban (lásd az </w:t>
      </w:r>
      <w:hyperlink r:id="rId836">
        <w:r>
          <w:rPr>
            <w:rStyle w:val="LienInternet"/>
          </w:rPr>
          <w:t xml:space="preserve">ötletet </w:t>
        </w:r>
      </w:hyperlink>
      <w:r>
        <w:rPr/>
        <w:t xml:space="preserve">és az </w:t>
      </w:r>
      <w:hyperlink r:id="rId837">
        <w:r>
          <w:rPr>
            <w:rStyle w:val="LienInternet"/>
          </w:rPr>
          <w:t>ötletet</w:t>
        </w:r>
      </w:hyperlink>
      <w:r>
        <w:rPr/>
        <w:t xml:space="preserve">). A feltétel nélküli alapjövedelem mellett a (ifjúsági) munkanélküliség kezelésére irányuló intézkedésekre van szükség, például a készségfejlesztési programokra (lásd például az </w:t>
      </w:r>
      <w:hyperlink r:id="rId838">
        <w:r>
          <w:rPr>
            <w:rStyle w:val="LienInternet"/>
          </w:rPr>
          <w:t>ötletet</w:t>
        </w:r>
      </w:hyperlink>
      <w:r>
        <w:rPr/>
        <w:t xml:space="preserve">) és az európai munkanélküliségi alap bevezetésére (lásd az </w:t>
      </w:r>
      <w:hyperlink r:id="rId839">
        <w:r>
          <w:rPr>
            <w:rStyle w:val="LienInternet"/>
          </w:rPr>
          <w:t>ötletet</w:t>
        </w:r>
      </w:hyperlink>
      <w:r>
        <w:rPr/>
        <w:t xml:space="preserve">). Az ifjúsági munkanélküliség témájával más témákban is foglalkozunk. </w:t>
      </w:r>
    </w:p>
    <w:p>
      <w:pPr>
        <w:pStyle w:val="Normal"/>
        <w:jc w:val="left"/>
        <w:rPr/>
      </w:pPr>
      <w:r>
        <w:rPr/>
        <w:t xml:space="preserve">Ehhez az altémához hasonlóan az EU-n belüli jövedelmi különbségekről szóló ötletcsoport is kapcsolódik, amely arra utal, hogy ugyanazon vállalaton belül korlátozott a bérkülönbség (lásd az </w:t>
      </w:r>
      <w:hyperlink r:id="rId840">
        <w:r>
          <w:rPr>
            <w:rStyle w:val="LienInternet"/>
          </w:rPr>
          <w:t>ötletet)</w:t>
        </w:r>
      </w:hyperlink>
      <w:r>
        <w:rPr/>
        <w:t>, valamint egy általános felhívás az európai szegénység leküzdésére és megelőzésére irányuló további intézkedésekre (lásd például az</w:t>
      </w:r>
      <w:hyperlink r:id="rId841">
        <w:r>
          <w:rPr>
            <w:rStyle w:val="LienInternet"/>
          </w:rPr>
          <w:t xml:space="preserve"> ötletet)</w:t>
        </w:r>
      </w:hyperlink>
      <w:r>
        <w:rPr/>
        <w:t>. A résztvevő megismétli, hogy a szociális juttatások finanszírozásának erős gazdasági alapot kell követnie (lásd az</w:t>
      </w:r>
      <w:hyperlink r:id="rId842">
        <w:r>
          <w:rPr>
            <w:rStyle w:val="LienInternet"/>
          </w:rPr>
          <w:t xml:space="preserve"> </w:t>
        </w:r>
      </w:hyperlink>
      <w:hyperlink r:id="rId843">
        <w:r>
          <w:rPr>
            <w:rStyle w:val="LienInternet"/>
          </w:rPr>
          <w:t>ötletet)</w:t>
        </w:r>
      </w:hyperlink>
      <w:r>
        <w:rPr/>
        <w:t xml:space="preserve">. </w:t>
      </w:r>
    </w:p>
    <w:p>
      <w:pPr>
        <w:pStyle w:val="Normal"/>
        <w:jc w:val="left"/>
        <w:rPr/>
      </w:pPr>
      <w:r>
        <w:rPr/>
        <w:t>Az idősödő népesség fényében egyes résztvevők kiemelik, hogy foglalkozni kell a hosszú távú egészségügyi ellátással az idősek biztonságának és méltóságának biztosítása érdekében (lásd az</w:t>
      </w:r>
      <w:hyperlink r:id="rId844">
        <w:r>
          <w:rPr>
            <w:rStyle w:val="LienInternet"/>
          </w:rPr>
          <w:t xml:space="preserve"> </w:t>
        </w:r>
      </w:hyperlink>
      <w:hyperlink r:id="rId845">
        <w:r>
          <w:rPr>
            <w:rStyle w:val="LienInternet"/>
          </w:rPr>
          <w:t>ötletet)</w:t>
        </w:r>
      </w:hyperlink>
      <w:r>
        <w:rPr/>
        <w:t xml:space="preserve">, valamint az időskori társadalmi elszigeteltség kezelését (lásd az </w:t>
      </w:r>
      <w:hyperlink r:id="rId846">
        <w:r>
          <w:rPr>
            <w:rStyle w:val="LienInternet"/>
          </w:rPr>
          <w:t>ötletet</w:t>
        </w:r>
      </w:hyperlink>
      <w:r>
        <w:rPr/>
        <w:t xml:space="preserve">). Ösztönözni kívánják a nemzedékek közötti szolidaritást annak érdekében, hogy megakadályozzák az idős generációt abban, hogy háttérbe szoruljanak (lásd </w:t>
      </w:r>
      <w:hyperlink r:id="rId847">
        <w:r>
          <w:rPr>
            <w:rStyle w:val="LienInternet"/>
          </w:rPr>
          <w:t>az ötletet)</w:t>
        </w:r>
      </w:hyperlink>
      <w:r>
        <w:rPr/>
        <w:t>. Az egyik résztvevő azt is kéri, hogy szüntessék meg az idősek közötti digitális szakadékot annak biztosítása érdekében, hogy rendelkezzenek a közigazgatási formalitások teljesítéséhez szükséges készségekkel, és hozzáférjenek a szociális és egészségügyi erőforrásokhoz, az általános tájékoztatáshoz és a kulturális tevékenységekhez (lásd az</w:t>
      </w:r>
      <w:hyperlink r:id="rId848">
        <w:r>
          <w:rPr>
            <w:rStyle w:val="LienInternet"/>
          </w:rPr>
          <w:t xml:space="preserve"> </w:t>
        </w:r>
      </w:hyperlink>
      <w:hyperlink r:id="rId849">
        <w:r>
          <w:rPr>
            <w:rStyle w:val="LienInternet"/>
          </w:rPr>
          <w:t>ötletet</w:t>
        </w:r>
      </w:hyperlink>
      <w:r>
        <w:rPr/>
        <w:t xml:space="preserve">). </w:t>
      </w:r>
    </w:p>
    <w:p>
      <w:pPr>
        <w:pStyle w:val="Normal"/>
        <w:jc w:val="left"/>
        <w:rPr/>
      </w:pPr>
      <w:r>
        <w:rPr/>
        <w:t xml:space="preserve">Ehhez kapcsolódóan számos hozzászóló megvitatja, hogy szükség van-e összehangolt nyugdíjpolitikákra és nyugdíjakra az uniós tagállamokban (lásd például az </w:t>
      </w:r>
      <w:hyperlink r:id="rId850">
        <w:r>
          <w:rPr>
            <w:rStyle w:val="LienInternet"/>
          </w:rPr>
          <w:t>ötletet</w:t>
        </w:r>
      </w:hyperlink>
      <w:r>
        <w:rPr/>
        <w:t xml:space="preserve">), és javaslatokat tesz a mobilis polgárok egységes nyugdíjrendszerének létrehozására (lásd például egy </w:t>
      </w:r>
      <w:hyperlink r:id="rId851">
        <w:r>
          <w:rPr>
            <w:rStyle w:val="LienInternet"/>
          </w:rPr>
          <w:t>ötletet</w:t>
        </w:r>
      </w:hyperlink>
      <w:r>
        <w:rPr/>
        <w:t>). A nyugdíjreformokat a résztvevők is javasolják (lásd például egy</w:t>
      </w:r>
      <w:hyperlink r:id="rId852">
        <w:r>
          <w:rPr>
            <w:rStyle w:val="LienInternet"/>
          </w:rPr>
          <w:t xml:space="preserve"> </w:t>
        </w:r>
      </w:hyperlink>
      <w:hyperlink r:id="rId853">
        <w:r>
          <w:rPr>
            <w:rStyle w:val="LienInternet"/>
          </w:rPr>
          <w:t>ötletet)</w:t>
        </w:r>
      </w:hyperlink>
      <w:r>
        <w:rPr/>
        <w:t xml:space="preserve">. </w:t>
      </w:r>
    </w:p>
    <w:p>
      <w:pPr>
        <w:pStyle w:val="Normal"/>
        <w:jc w:val="left"/>
        <w:rPr/>
      </w:pPr>
      <w:r>
        <w:rPr/>
        <w:t>Egy másik ötletcsomag foglalkozik a gyermek- és időskorú szegénység problémájával (lásd egy</w:t>
      </w:r>
      <w:hyperlink r:id="rId854">
        <w:r>
          <w:rPr>
            <w:rStyle w:val="LienInternet"/>
          </w:rPr>
          <w:t xml:space="preserve"> </w:t>
        </w:r>
      </w:hyperlink>
      <w:hyperlink r:id="rId855">
        <w:r>
          <w:rPr>
            <w:rStyle w:val="LienInternet"/>
          </w:rPr>
          <w:t>ötlet példáját)</w:t>
        </w:r>
      </w:hyperlink>
      <w:r>
        <w:rPr/>
        <w:t>. A női nyugdíjasok jobban ki vannak téve a szegénység kockázatának, mivel általában a gondozók szerepét töltik be, és az ilyen munkaéveket nem ismerik el nyugdíjaikban (lásd az</w:t>
      </w:r>
      <w:hyperlink r:id="rId856">
        <w:r>
          <w:rPr>
            <w:rStyle w:val="LienInternet"/>
          </w:rPr>
          <w:t xml:space="preserve"> ötletet</w:t>
        </w:r>
      </w:hyperlink>
      <w:r>
        <w:rPr/>
        <w:t xml:space="preserve">). A hozzáférhető, megfizethető lakhatáshoz való jog egy másik, a társadalombiztosítással kapcsolatos altéma, amelyet a közreműködők megvitatnak (lásd például az </w:t>
      </w:r>
      <w:hyperlink r:id="rId857">
        <w:r>
          <w:rPr>
            <w:rStyle w:val="LienInternet"/>
          </w:rPr>
          <w:t>ötletet</w:t>
        </w:r>
      </w:hyperlink>
      <w:r>
        <w:rPr/>
        <w:t xml:space="preserve">). A résztvevő emellett ösztönzőket kér a jelenlegi demográfiai hanyatlás leküzdésére egy olyan adójóváírási intézkedés révén, amely enyhíti az alacsony jövedelmű fiatal családok pénzügyi terheit (lásd az </w:t>
      </w:r>
      <w:hyperlink r:id="rId858">
        <w:r>
          <w:rPr>
            <w:rStyle w:val="LienInternet"/>
          </w:rPr>
          <w:t>ötletet</w:t>
        </w:r>
      </w:hyperlink>
      <w:r>
        <w:rPr/>
        <w:t xml:space="preserve">). Másrészt általánosabban kéri, hogy az EU és tagállamai vegyék figyelembe a demográfiai átalakulást (lásd például egy </w:t>
      </w:r>
      <w:hyperlink r:id="rId859">
        <w:r>
          <w:rPr>
            <w:rStyle w:val="LienInternet"/>
          </w:rPr>
          <w:t>ötletet</w:t>
        </w:r>
      </w:hyperlink>
      <w:r>
        <w:rPr/>
        <w:t>), és javasolják, hogy e célból hozzanak létre testületet (lásd az</w:t>
      </w:r>
      <w:hyperlink r:id="rId860">
        <w:r>
          <w:rPr>
            <w:rStyle w:val="LienInternet"/>
          </w:rPr>
          <w:t xml:space="preserve"> </w:t>
        </w:r>
      </w:hyperlink>
      <w:hyperlink r:id="rId861">
        <w:r>
          <w:rPr>
            <w:rStyle w:val="LienInternet"/>
          </w:rPr>
          <w:t>ötletet)</w:t>
        </w:r>
      </w:hyperlink>
      <w:r>
        <w:rPr/>
        <w:t xml:space="preserve">. </w:t>
      </w:r>
    </w:p>
    <w:p>
      <w:pPr>
        <w:pStyle w:val="Normal"/>
        <w:jc w:val="left"/>
        <w:rPr/>
      </w:pPr>
      <w:r>
        <w:rPr/>
        <w:t>Végezetül az adminisztratív folyamatokkal kapcsolatos további ötletek csoportja van, például a digitalizált (közös uniós) társadalombiztosítási kártya bevezetése és a mobil európaiak számára átruházható szociális jogok bevezetése, amint azt a platform más témáiban is megvitatták (lásd például az</w:t>
      </w:r>
      <w:hyperlink r:id="rId862">
        <w:r>
          <w:rPr>
            <w:rStyle w:val="LienInternet"/>
          </w:rPr>
          <w:t xml:space="preserve"> ötletet</w:t>
        </w:r>
      </w:hyperlink>
      <w:r>
        <w:rPr/>
        <w:t>). Ugyanakkor az egyik hozzászóló támogatja a demokratikus digitális eurót és az egyetemes alapvető osztalékot, amelyet az EKB által a nyílt piaci műveletek, digitális engedélyezés vagy közvetlen befektetések révén szerzett kötvények és részvények hozamaiból finanszírozhatnak (lásd az</w:t>
      </w:r>
      <w:hyperlink r:id="rId863">
        <w:r>
          <w:rPr>
            <w:rStyle w:val="LienInternet"/>
          </w:rPr>
          <w:t xml:space="preserve"> </w:t>
        </w:r>
      </w:hyperlink>
      <w:hyperlink r:id="rId864">
        <w:r>
          <w:rPr>
            <w:rStyle w:val="LienInternet"/>
          </w:rPr>
          <w:t>ötletet)</w:t>
        </w:r>
      </w:hyperlink>
      <w:r>
        <w:rPr/>
        <w:t>.</w:t>
      </w:r>
    </w:p>
    <w:p>
      <w:pPr>
        <w:pStyle w:val="Normal"/>
        <w:jc w:val="left"/>
        <w:rPr/>
      </w:pPr>
      <w:r>
        <w:rPr/>
      </w:r>
    </w:p>
    <w:p>
      <w:pPr>
        <w:pStyle w:val="Titre2"/>
        <w:numPr>
          <w:ilvl w:val="1"/>
          <w:numId w:val="1"/>
        </w:numPr>
        <w:jc w:val="left"/>
        <w:rPr/>
      </w:pPr>
      <w:bookmarkStart w:id="50" w:name="__RefHeading___Toc86423_2514204080"/>
      <w:bookmarkEnd w:id="50"/>
      <w:r>
        <w:rPr/>
        <w:t xml:space="preserve">Adózás a méltányos gazdaságért </w:t>
      </w:r>
    </w:p>
    <w:p>
      <w:pPr>
        <w:pStyle w:val="Normal"/>
        <w:jc w:val="left"/>
        <w:rPr/>
      </w:pPr>
      <w:r>
        <w:rPr/>
        <w:t xml:space="preserve">Jelentős téma a társadalmi, gazdasági és környezeti problémák fiskális szabályok révén történő kezelése. </w:t>
      </w:r>
    </w:p>
    <w:p>
      <w:pPr>
        <w:pStyle w:val="Normal"/>
        <w:jc w:val="left"/>
        <w:rPr/>
      </w:pPr>
      <w:r>
        <w:rPr/>
        <w:t xml:space="preserve">Az ötletek domináns csoportja a nagyobb adóügyi igazságosságot, a méltányos adózást és az adócsalás elleni küzdelmet támogatja. A javaslatok között szerepel az adókikerülés elleni küzdelemre irányuló intézkedések bevezetése, a pénzügyi tranzakciós adó bevezetése (lásd </w:t>
      </w:r>
      <w:hyperlink r:id="rId865">
        <w:r>
          <w:rPr>
            <w:rStyle w:val="LienInternet"/>
          </w:rPr>
          <w:t>az ötletet)</w:t>
        </w:r>
      </w:hyperlink>
      <w:r>
        <w:rPr/>
        <w:t xml:space="preserve">. A résztvevők nagy része a fiskális szabályok és a minimálbérek tagállamok közötti harmonizálása révén nyújt be ötleteket a „szociális dömping” elkerüléséről (lásd az </w:t>
      </w:r>
      <w:hyperlink r:id="rId866">
        <w:r>
          <w:rPr>
            <w:rStyle w:val="LienInternet"/>
          </w:rPr>
          <w:t xml:space="preserve">ötleteket </w:t>
        </w:r>
      </w:hyperlink>
      <w:r>
        <w:rPr/>
        <w:t xml:space="preserve">és </w:t>
      </w:r>
      <w:hyperlink r:id="rId867">
        <w:r>
          <w:rPr>
            <w:rStyle w:val="LienInternet"/>
          </w:rPr>
          <w:t>ötleteket</w:t>
        </w:r>
      </w:hyperlink>
      <w:r>
        <w:rPr/>
        <w:t xml:space="preserve">). Egy erősen kommentált és jóváhagyott ötlet az adóparadicsomok kezelésére szolgáló globális vagy uniós minimumadó bevezetésére </w:t>
      </w:r>
      <w:hyperlink r:id="rId868">
        <w:r>
          <w:rPr>
            <w:rStyle w:val="LienInternet"/>
          </w:rPr>
          <w:t>és</w:t>
        </w:r>
      </w:hyperlink>
      <w:r>
        <w:rPr/>
        <w:t xml:space="preserve">a közvetlen adózás európai konvergenciájának előmozdítására is vonatkozik (lásd az </w:t>
      </w:r>
      <w:hyperlink r:id="rId869">
        <w:r>
          <w:rPr>
            <w:rStyle w:val="LienInternet"/>
          </w:rPr>
          <w:t>ötletet</w:t>
        </w:r>
      </w:hyperlink>
      <w:r>
        <w:rPr/>
        <w:t xml:space="preserve">). Egy másik elképzelés szerint felül kell vizsgálni az adózási szempontból nem együttműködő országok és területek jegyzékének módszertanát (lásd az </w:t>
      </w:r>
      <w:hyperlink r:id="rId870">
        <w:r>
          <w:rPr>
            <w:rStyle w:val="LienInternet"/>
          </w:rPr>
          <w:t>ötletet)</w:t>
        </w:r>
      </w:hyperlink>
      <w:r>
        <w:rPr/>
        <w:t xml:space="preserve">. Számos hozzászólás felveti azt a kérdést, hogy hogyan kell hatékonyan megadóztatni a nagy technológiai vállalatokat és a digitális vállalatokat (lásd például egy </w:t>
      </w:r>
      <w:hyperlink r:id="rId871">
        <w:r>
          <w:rPr>
            <w:rStyle w:val="LienInternet"/>
          </w:rPr>
          <w:t xml:space="preserve">ötlet </w:t>
        </w:r>
      </w:hyperlink>
      <w:r>
        <w:rPr/>
        <w:t>és</w:t>
      </w:r>
      <w:hyperlink r:id="rId872">
        <w:r>
          <w:rPr>
            <w:rStyle w:val="LienInternet"/>
          </w:rPr>
          <w:t xml:space="preserve"> </w:t>
        </w:r>
      </w:hyperlink>
      <w:hyperlink r:id="rId873">
        <w:r>
          <w:rPr>
            <w:rStyle w:val="LienInternet"/>
          </w:rPr>
          <w:t>esemény példáját)</w:t>
        </w:r>
      </w:hyperlink>
      <w:r>
        <w:rPr/>
        <w:t xml:space="preserve">. </w:t>
      </w:r>
    </w:p>
    <w:p>
      <w:pPr>
        <w:pStyle w:val="Normal"/>
        <w:jc w:val="left"/>
        <w:rPr/>
      </w:pPr>
      <w:r>
        <w:rPr/>
        <w:t xml:space="preserve">Az ötletek jelentős része az adóharmonizáció és a fiskális unió létrehozása mellett érvel, hogy biztosítsa a vagyon jobb elosztását az európai társadalmak között (lásd például egy </w:t>
      </w:r>
      <w:hyperlink r:id="rId874">
        <w:r>
          <w:rPr>
            <w:rStyle w:val="LienInternet"/>
          </w:rPr>
          <w:t>ötletet)</w:t>
        </w:r>
      </w:hyperlink>
      <w:r>
        <w:rPr/>
        <w:t xml:space="preserve">. E tekintetben a digitális platform számos lehetséges adóintézkedést emel ki az inkluzív és méltányos gazdaság érdekében (lásd például egy </w:t>
      </w:r>
      <w:hyperlink r:id="rId875">
        <w:r>
          <w:rPr>
            <w:rStyle w:val="LienInternet"/>
          </w:rPr>
          <w:t>ötletet</w:t>
        </w:r>
      </w:hyperlink>
      <w:r>
        <w:rPr/>
        <w:t xml:space="preserve">). Az adó alanyai jelenleg a következők. Először is a vállalkozások közötti tisztességes versenyt előmozdító adóintézkedések, például az e-kereskedelemre vonatkozó közös hozzáadottértékadó-rendszer (héarendszer), vagy pedig arra kötelezi a vállalatokat, hogy csak a saját országukban fizessenek héát (lásd az </w:t>
      </w:r>
      <w:hyperlink r:id="rId876">
        <w:r>
          <w:rPr>
            <w:rStyle w:val="LienInternet"/>
          </w:rPr>
          <w:t>ötletet</w:t>
        </w:r>
      </w:hyperlink>
      <w:r>
        <w:rPr/>
        <w:t xml:space="preserve">). Másodszor, a környezethez és az éghajlatváltozáshoz kapcsolódó adózás többek között az importált fogyasztási cikkek karbonintenzitását ellensúlyozó uniós mechanizmust (lásd például az </w:t>
      </w:r>
      <w:hyperlink r:id="rId877">
        <w:r>
          <w:rPr>
            <w:rStyle w:val="LienInternet"/>
          </w:rPr>
          <w:t>ötletet</w:t>
        </w:r>
      </w:hyperlink>
      <w:r>
        <w:rPr/>
        <w:t xml:space="preserve">) vagy a fenntarthatósági adót (lásd például az </w:t>
      </w:r>
      <w:hyperlink r:id="rId878">
        <w:r>
          <w:rPr>
            <w:rStyle w:val="LienInternet"/>
          </w:rPr>
          <w:t>ötletet) igényel</w:t>
        </w:r>
      </w:hyperlink>
      <w:r>
        <w:rPr/>
        <w:t xml:space="preserve">. A közös adók, például a szénlábnyom megadóztatása az uniós országok közötti egyenlőtlenségek áthidalásának és az egységes piac működésének javításának egyik módja (lásd az </w:t>
      </w:r>
      <w:hyperlink r:id="rId879">
        <w:r>
          <w:rPr>
            <w:rStyle w:val="LienInternet"/>
          </w:rPr>
          <w:t>ötletet</w:t>
        </w:r>
      </w:hyperlink>
      <w:r>
        <w:rPr/>
        <w:t>). E tekintetben olyan eseményre került sor, amelyben a Covid utáni fenntartható helyreállítás, valamint a zöld és digitális átálláshoz szükséges közberuházások biztosítása érdekében a tagállamokban alkalmazandó uniós költségvetési szabályok reformjára került sor (lásd az</w:t>
      </w:r>
      <w:hyperlink r:id="rId880">
        <w:r>
          <w:rPr>
            <w:rStyle w:val="LienInternet"/>
          </w:rPr>
          <w:t xml:space="preserve"> </w:t>
        </w:r>
      </w:hyperlink>
      <w:hyperlink r:id="rId881">
        <w:r>
          <w:rPr>
            <w:rStyle w:val="LienInternet"/>
          </w:rPr>
          <w:t>eseményt)</w:t>
        </w:r>
      </w:hyperlink>
      <w:r>
        <w:rPr/>
        <w:t xml:space="preserve">. </w:t>
      </w:r>
    </w:p>
    <w:p>
      <w:pPr>
        <w:pStyle w:val="Normal"/>
        <w:jc w:val="left"/>
        <w:rPr/>
      </w:pPr>
      <w:r>
        <w:rPr/>
        <w:t xml:space="preserve">Harmadszor a fogyasztási cikkek termelési feltételek (munka, nyersanyagok, bérek) alapján történő megadóztatására irányuló felhívás a szabad kereskedelem helyett a tisztességes kereskedelem előmozdítása érdekében (lásd például egy </w:t>
      </w:r>
      <w:hyperlink r:id="rId882">
        <w:r>
          <w:rPr>
            <w:rStyle w:val="LienInternet"/>
          </w:rPr>
          <w:t>ötletet</w:t>
        </w:r>
      </w:hyperlink>
      <w:r>
        <w:rPr/>
        <w:t>). Az adózási intézkedések utolsó csoportja különböző kategóriákba tartozik, beleértve a nemek közötti egyenlőség előmozdítását célzó adózást is, és arra szólít fel, hogy tegyék lehetővé a nulla vagy csökkentett héamérték alkalmazását a női egészségügyi termékek esetében (lásd az</w:t>
      </w:r>
      <w:hyperlink r:id="rId883">
        <w:r>
          <w:rPr>
            <w:rStyle w:val="LienInternet"/>
          </w:rPr>
          <w:t xml:space="preserve"> </w:t>
        </w:r>
      </w:hyperlink>
      <w:hyperlink r:id="rId884">
        <w:r>
          <w:rPr>
            <w:rStyle w:val="LienInternet"/>
          </w:rPr>
          <w:t>ötletet)</w:t>
        </w:r>
      </w:hyperlink>
      <w:r>
        <w:rPr/>
        <w:t>.</w:t>
      </w:r>
    </w:p>
    <w:p>
      <w:pPr>
        <w:pStyle w:val="Normal"/>
        <w:jc w:val="left"/>
        <w:rPr/>
      </w:pPr>
      <w:r>
        <w:rPr/>
      </w:r>
    </w:p>
    <w:p>
      <w:pPr>
        <w:pStyle w:val="Titre2"/>
        <w:numPr>
          <w:ilvl w:val="1"/>
          <w:numId w:val="1"/>
        </w:numPr>
        <w:jc w:val="left"/>
        <w:rPr/>
      </w:pPr>
      <w:bookmarkStart w:id="51" w:name="__RefHeading___Toc86425_2514204080"/>
      <w:bookmarkEnd w:id="51"/>
      <w:r>
        <w:rPr/>
        <w:t xml:space="preserve">Az európai egységes piac további erősítése </w:t>
      </w:r>
    </w:p>
    <w:p>
      <w:pPr>
        <w:pStyle w:val="Normal"/>
        <w:jc w:val="left"/>
        <w:rPr/>
      </w:pPr>
      <w:r>
        <w:rPr/>
        <w:t>Számos észrevétel kapcsolódik az európai egységes piac további megerősítésének szükségességéhez, a gazdaságpolitikákra helyezve a hangsúlyt, figyelembe véve, hogy a Bizottság egyre inkább más szakpolitikai területekre összpontosít (lásd például egy</w:t>
      </w:r>
      <w:hyperlink r:id="rId885">
        <w:r>
          <w:rPr>
            <w:rStyle w:val="LienInternet"/>
          </w:rPr>
          <w:t xml:space="preserve"> ötlet </w:t>
        </w:r>
      </w:hyperlink>
      <w:r>
        <w:rPr/>
        <w:t>és</w:t>
      </w:r>
      <w:hyperlink r:id="rId886">
        <w:r>
          <w:rPr>
            <w:rStyle w:val="LienInternet"/>
          </w:rPr>
          <w:t xml:space="preserve"> esemény példáját)</w:t>
        </w:r>
      </w:hyperlink>
      <w:r>
        <w:rPr/>
        <w:t>. Valójában sok résztvevő az EU áruk, szolgáltatások, tőke és emberek egységes piacát tekinti az EU értékesebb eszközének (lásd például egy</w:t>
      </w:r>
      <w:hyperlink r:id="rId887">
        <w:r>
          <w:rPr>
            <w:rStyle w:val="LienInternet"/>
          </w:rPr>
          <w:t xml:space="preserve"> </w:t>
        </w:r>
      </w:hyperlink>
      <w:hyperlink r:id="rId888">
        <w:r>
          <w:rPr>
            <w:rStyle w:val="LienInternet"/>
          </w:rPr>
          <w:t>ötletet</w:t>
        </w:r>
      </w:hyperlink>
      <w:r>
        <w:rPr/>
        <w:t xml:space="preserve">). </w:t>
      </w:r>
    </w:p>
    <w:p>
      <w:pPr>
        <w:pStyle w:val="Normal"/>
        <w:jc w:val="left"/>
        <w:rPr/>
      </w:pPr>
      <w:r>
        <w:rPr/>
        <w:t>Néhány hozzászólás hangsúlyozza a helyi ökoszisztémák Európa-szerte való összekapcsolásának értékét és fontosságát, amelyek révén a szakértelem és a know-how különböző formái fejlődtek ki (lásd az</w:t>
      </w:r>
      <w:hyperlink r:id="rId889">
        <w:r>
          <w:rPr>
            <w:rStyle w:val="LienInternet"/>
          </w:rPr>
          <w:t xml:space="preserve"> </w:t>
        </w:r>
      </w:hyperlink>
      <w:hyperlink r:id="rId890">
        <w:r>
          <w:rPr>
            <w:rStyle w:val="LienInternet"/>
          </w:rPr>
          <w:t>ötletet</w:t>
        </w:r>
      </w:hyperlink>
      <w:r>
        <w:rPr/>
        <w:t xml:space="preserve">). </w:t>
      </w:r>
    </w:p>
    <w:p>
      <w:pPr>
        <w:pStyle w:val="Normal"/>
        <w:jc w:val="left"/>
        <w:rPr/>
      </w:pPr>
      <w:r>
        <w:rPr/>
        <w:t xml:space="preserve">Emellett számos hozzájárulás utal arra, hogy a konténerszállítási költségek jelentős növekedésének fényében az EU visszahozhatja a multinacionális gyárakat, például a mikrochipet, amelyeket korábban az alacsonyabb termelési költségek miatt áthelyeztek az ázsiai országokba (lásd az </w:t>
      </w:r>
      <w:hyperlink r:id="rId891">
        <w:r>
          <w:rPr>
            <w:rStyle w:val="LienInternet"/>
          </w:rPr>
          <w:t xml:space="preserve">ötletet </w:t>
        </w:r>
      </w:hyperlink>
      <w:r>
        <w:rPr/>
        <w:t xml:space="preserve">és az </w:t>
      </w:r>
      <w:hyperlink r:id="rId892">
        <w:r>
          <w:rPr>
            <w:rStyle w:val="LienInternet"/>
          </w:rPr>
          <w:t>ötletet</w:t>
        </w:r>
      </w:hyperlink>
      <w:r>
        <w:rPr/>
        <w:t xml:space="preserve">). Az egyik polgár azt javasolja, hogy dolgozzanak ki olyan gazdaságpolitikát, amely a globális vállalatokat az EU-ba vonzza az európai vállalkozáspolitika részeként, az EU-ban homogén adóztatással (lásd az </w:t>
      </w:r>
      <w:hyperlink r:id="rId893">
        <w:r>
          <w:rPr>
            <w:rStyle w:val="LienInternet"/>
          </w:rPr>
          <w:t>ötletet</w:t>
        </w:r>
      </w:hyperlink>
      <w:r>
        <w:rPr/>
        <w:t xml:space="preserve">). </w:t>
      </w:r>
    </w:p>
    <w:p>
      <w:pPr>
        <w:pStyle w:val="Normal"/>
        <w:jc w:val="left"/>
        <w:rPr/>
      </w:pPr>
      <w:r>
        <w:rPr/>
        <w:t>Összességében az elképzelések megismétlik, hogy a tagállamoknak javítaniuk kell a gazdasági területen meglévő uniós vívmányok végrehajtását, elkerülve a protekcionizmust annak érdekében, hogy az egységes piac vonzóbbá és versenyképesebbé váljon (lásd például az</w:t>
      </w:r>
      <w:hyperlink r:id="rId894">
        <w:r>
          <w:rPr>
            <w:rStyle w:val="LienInternet"/>
          </w:rPr>
          <w:t xml:space="preserve"> ötletet</w:t>
        </w:r>
      </w:hyperlink>
      <w:r>
        <w:rPr/>
        <w:t xml:space="preserve">). Más ötletek az EKB funkcióinak bővítését (lásd egy </w:t>
      </w:r>
      <w:hyperlink r:id="rId895">
        <w:r>
          <w:rPr>
            <w:rStyle w:val="LienInternet"/>
          </w:rPr>
          <w:t>ötlet</w:t>
        </w:r>
      </w:hyperlink>
      <w:r>
        <w:rPr/>
        <w:t>példáját), az EU-n belüli lobbiérdekek korlátozását (lásd egy</w:t>
      </w:r>
      <w:hyperlink r:id="rId896">
        <w:r>
          <w:rPr>
            <w:rStyle w:val="LienInternet"/>
          </w:rPr>
          <w:t xml:space="preserve"> </w:t>
        </w:r>
      </w:hyperlink>
      <w:hyperlink r:id="rId897">
        <w:r>
          <w:rPr>
            <w:rStyle w:val="LienInternet"/>
          </w:rPr>
          <w:t>ötlet</w:t>
        </w:r>
      </w:hyperlink>
      <w:r>
        <w:rPr/>
        <w:t>példáját) és a határokon átnyúló összekapcsoltság megerősítését szorgalmazzák. Valamint a vidéki térségekkel való kapcsolatok javítása (lásd az</w:t>
      </w:r>
      <w:hyperlink r:id="rId898">
        <w:r>
          <w:rPr>
            <w:rStyle w:val="LienInternet"/>
          </w:rPr>
          <w:t xml:space="preserve"> </w:t>
        </w:r>
      </w:hyperlink>
      <w:hyperlink r:id="rId899">
        <w:r>
          <w:rPr>
            <w:rStyle w:val="LienInternet"/>
          </w:rPr>
          <w:t>ötletet)</w:t>
        </w:r>
      </w:hyperlink>
      <w:r>
        <w:rPr/>
        <w:t xml:space="preserve">. </w:t>
      </w:r>
    </w:p>
    <w:p>
      <w:pPr>
        <w:pStyle w:val="Normal"/>
        <w:jc w:val="left"/>
        <w:rPr/>
      </w:pPr>
      <w:r>
        <w:rPr/>
        <w:t xml:space="preserve">A közös adók, mint például a szénlábnyom megadóztatása és a valuta, az uniós országok közötti egyenlőtlenségek áthidalásának és az egységes piac működésének javításának egyik módja (lásd az </w:t>
      </w:r>
      <w:hyperlink r:id="rId900">
        <w:r>
          <w:rPr>
            <w:rStyle w:val="LienInternet"/>
          </w:rPr>
          <w:t>ötletet</w:t>
        </w:r>
      </w:hyperlink>
      <w:r>
        <w:rPr/>
        <w:t>). E tekintetben olyan eseményre került sor, amelynek során sor került a tagállamokban alkalmazandó uniós költségvetési szabályok reformjára a Covid19-válság utáni fenntartható helyreállítás, valamint a zöld és digitális átálláshoz szükséges közberuházások biztosítása érdekében (lásd az</w:t>
      </w:r>
      <w:hyperlink r:id="rId901">
        <w:r>
          <w:rPr>
            <w:rStyle w:val="LienInternet"/>
          </w:rPr>
          <w:t xml:space="preserve"> </w:t>
        </w:r>
      </w:hyperlink>
      <w:hyperlink r:id="rId902">
        <w:r>
          <w:rPr>
            <w:rStyle w:val="LienInternet"/>
          </w:rPr>
          <w:t>eseményt</w:t>
        </w:r>
      </w:hyperlink>
      <w:r>
        <w:rPr/>
        <w:t xml:space="preserve">). </w:t>
      </w:r>
    </w:p>
    <w:p>
      <w:pPr>
        <w:pStyle w:val="Normal"/>
        <w:jc w:val="left"/>
        <w:rPr/>
      </w:pPr>
      <w:r>
        <w:rPr/>
        <w:t>A résztvevő megismétli, hogy a határokon átnyúló kereskedelem működésének javítása érdekében harmonizálni kell a belső piaci szabályokat. Ezenkívül a kkv-tesztet követően értékelni kell a kkv-k növekedési és növekedési kilátásait annak biztosítása érdekében, hogy a szabályozás megfeleljen a vállalkozók és a polgárok valós igényeinek (lásd az</w:t>
      </w:r>
      <w:hyperlink r:id="rId903">
        <w:r>
          <w:rPr>
            <w:rStyle w:val="LienInternet"/>
          </w:rPr>
          <w:t xml:space="preserve"> </w:t>
        </w:r>
      </w:hyperlink>
      <w:hyperlink r:id="rId904">
        <w:r>
          <w:rPr>
            <w:rStyle w:val="LienInternet"/>
          </w:rPr>
          <w:t>ötletet)</w:t>
        </w:r>
      </w:hyperlink>
      <w:r>
        <w:rPr/>
        <w:t xml:space="preserve">. </w:t>
      </w:r>
    </w:p>
    <w:p>
      <w:pPr>
        <w:pStyle w:val="Normal"/>
        <w:jc w:val="left"/>
        <w:rPr/>
      </w:pPr>
      <w:r>
        <w:rPr/>
        <w:t xml:space="preserve">Néhány ötlet az idegenforgalomra, mint az európai gazdaság növekedésének stratégiai ágazatára helyezi a hangsúlyt (lásd az </w:t>
      </w:r>
      <w:hyperlink r:id="rId905">
        <w:r>
          <w:rPr>
            <w:rStyle w:val="LienInternet"/>
          </w:rPr>
          <w:t>ötletet</w:t>
        </w:r>
      </w:hyperlink>
      <w:r>
        <w:rPr/>
        <w:t xml:space="preserve">). </w:t>
      </w:r>
    </w:p>
    <w:p>
      <w:pPr>
        <w:pStyle w:val="Normal"/>
        <w:jc w:val="left"/>
        <w:rPr/>
      </w:pPr>
      <w:r>
        <w:rPr/>
        <w:t>Végül egy ötlet azt támasztja alá, hogy az eszperantó európai nyelvként való elfogadása gazdaságilag előnyös lenne (lásd az</w:t>
      </w:r>
      <w:hyperlink r:id="rId906">
        <w:r>
          <w:rPr>
            <w:rStyle w:val="LienInternet"/>
          </w:rPr>
          <w:t xml:space="preserve"> </w:t>
        </w:r>
      </w:hyperlink>
      <w:hyperlink r:id="rId907">
        <w:r>
          <w:rPr>
            <w:rStyle w:val="LienInternet"/>
          </w:rPr>
          <w:t>ötletet)</w:t>
        </w:r>
      </w:hyperlink>
      <w:r>
        <w:rPr/>
        <w:t>.</w:t>
      </w:r>
    </w:p>
    <w:p>
      <w:pPr>
        <w:pStyle w:val="Normal"/>
        <w:jc w:val="left"/>
        <w:rPr/>
      </w:pPr>
      <w:r>
        <w:rPr/>
      </w:r>
    </w:p>
    <w:p>
      <w:pPr>
        <w:pStyle w:val="Titre2"/>
        <w:numPr>
          <w:ilvl w:val="1"/>
          <w:numId w:val="1"/>
        </w:numPr>
        <w:jc w:val="left"/>
        <w:rPr/>
      </w:pPr>
      <w:bookmarkStart w:id="52" w:name="__RefHeading___Toc86427_2514204080"/>
      <w:bookmarkEnd w:id="52"/>
      <w:r>
        <w:rPr/>
        <w:t xml:space="preserve">Növelje a munkahelyeket </w:t>
      </w:r>
    </w:p>
    <w:p>
      <w:pPr>
        <w:pStyle w:val="Normal"/>
        <w:jc w:val="left"/>
        <w:rPr/>
      </w:pPr>
      <w:r>
        <w:rPr/>
        <w:t xml:space="preserve">A munkahelyek fellendítésének mikéntjéről folytatott megbeszélések során a hozzászólók számos kérdést azonosítanak, a munkavállalók továbbképzésétől kezdve a változó munkaerőpiachoz való alkalmazkodásig, a fiatalok munkanélküliségének kezeléséhez és a Covid19-járvány által előidézett feltételekhez való alkalmazkodás szükségességéig. </w:t>
      </w:r>
    </w:p>
    <w:p>
      <w:pPr>
        <w:pStyle w:val="Normal"/>
        <w:jc w:val="left"/>
        <w:rPr/>
      </w:pPr>
      <w:r>
        <w:rPr/>
        <w:t xml:space="preserve">A hozzászólók kiemelik a fiatalok támogatásának fontosságát, különösen a munkaerőpiachoz való hozzáférés tekintetében (lásd például az </w:t>
      </w:r>
      <w:hyperlink r:id="rId908">
        <w:r>
          <w:rPr>
            <w:rStyle w:val="LienInternet"/>
          </w:rPr>
          <w:t>eseményt)</w:t>
        </w:r>
      </w:hyperlink>
      <w:r>
        <w:rPr/>
        <w:t xml:space="preserve">. Ebben a témában a fiatalok munkanélkülisége a legjelentősebb kérdés (lásd egy </w:t>
      </w:r>
      <w:hyperlink r:id="rId909">
        <w:r>
          <w:rPr>
            <w:rStyle w:val="LienInternet"/>
          </w:rPr>
          <w:t>ötlet példáját)</w:t>
        </w:r>
      </w:hyperlink>
      <w:r>
        <w:rPr/>
        <w:t xml:space="preserve">, különös tekintettel a NEET-fiatalok közreműködőire (lásd az </w:t>
      </w:r>
      <w:hyperlink r:id="rId910">
        <w:r>
          <w:rPr>
            <w:rStyle w:val="LienInternet"/>
          </w:rPr>
          <w:t>ötletet</w:t>
        </w:r>
      </w:hyperlink>
      <w:r>
        <w:rPr/>
        <w:t>). A résztvevők kiemelik, hogy a belépő szintű állások nem érhetők el a belépő szintű álláskeresők számára, mivel paradox módon munkatapasztalatot igényelnek (lásd az</w:t>
      </w:r>
      <w:hyperlink r:id="rId911">
        <w:r>
          <w:rPr>
            <w:rStyle w:val="LienInternet"/>
          </w:rPr>
          <w:t xml:space="preserve"> ötletet)</w:t>
        </w:r>
      </w:hyperlink>
      <w:r>
        <w:rPr/>
        <w:t xml:space="preserve">. Az egyik ötlet azt javasolja, hogy néhány kemény készséget építsenek be az akadémiai tantervbe a munkaorientált készségek megerősítése érdekében (lásd az </w:t>
      </w:r>
      <w:hyperlink r:id="rId912">
        <w:r>
          <w:rPr>
            <w:rStyle w:val="LienInternet"/>
          </w:rPr>
          <w:t>ötletet</w:t>
        </w:r>
      </w:hyperlink>
      <w:r>
        <w:rPr/>
        <w:t xml:space="preserve">). Hangsúlyt fektet a karrierfejlesztésre is, olyan programokra és intézkedésekre szólít fel, amelyek megkönnyítik az uniós munkaerőpiachoz való hozzáférést, tagállami szakmai gyakorlatokkal és online állásplatformmal (lásd például az </w:t>
      </w:r>
      <w:hyperlink r:id="rId913">
        <w:r>
          <w:rPr>
            <w:rStyle w:val="LienInternet"/>
          </w:rPr>
          <w:t>ötletet</w:t>
        </w:r>
      </w:hyperlink>
      <w:r>
        <w:rPr/>
        <w:t>). A kompetenciafejlesztési pályák projekt például arra törekszik, hogy a képzési és tanulási lehetőségeket az európai szociális piac középpontjába helyezze (lásd az</w:t>
      </w:r>
      <w:hyperlink r:id="rId914">
        <w:r>
          <w:rPr>
            <w:rStyle w:val="LienInternet"/>
          </w:rPr>
          <w:t xml:space="preserve"> </w:t>
        </w:r>
      </w:hyperlink>
      <w:hyperlink r:id="rId915">
        <w:r>
          <w:rPr>
            <w:rStyle w:val="LienInternet"/>
          </w:rPr>
          <w:t>ötletet</w:t>
        </w:r>
      </w:hyperlink>
      <w:r>
        <w:rPr/>
        <w:t xml:space="preserve">). </w:t>
      </w:r>
    </w:p>
    <w:p>
      <w:pPr>
        <w:pStyle w:val="Normal"/>
        <w:jc w:val="left"/>
        <w:rPr/>
      </w:pPr>
      <w:r>
        <w:rPr/>
        <w:t xml:space="preserve">Hasonló megjegyzésként a platformhoz benyújtott javaslatok közé tartozik az egyetemi képesítések munkaerő-piaci kiigazítása, ami viszont javítaná a diákok foglalkoztathatóságát (lásd az </w:t>
      </w:r>
      <w:hyperlink r:id="rId916">
        <w:r>
          <w:rPr>
            <w:rStyle w:val="LienInternet"/>
          </w:rPr>
          <w:t>ötletet)</w:t>
        </w:r>
      </w:hyperlink>
      <w:r>
        <w:rPr/>
        <w:t>. A szakképzett munkaerő hiányának, és általánosabban a munkaerő-piaci digitalizációhoz szükséges készségek hiányának (lásd az</w:t>
      </w:r>
      <w:hyperlink r:id="rId917">
        <w:r>
          <w:rPr>
            <w:rStyle w:val="LienInternet"/>
          </w:rPr>
          <w:t xml:space="preserve"> ötletet)</w:t>
        </w:r>
      </w:hyperlink>
      <w:r>
        <w:rPr/>
        <w:t xml:space="preserve"> kezelése érdekében az egyik résztvevő javasolja a külföldön szerzett képzések elismerésének megkönnyítését (lásd az</w:t>
      </w:r>
      <w:hyperlink r:id="rId918">
        <w:r>
          <w:rPr>
            <w:rStyle w:val="LienInternet"/>
          </w:rPr>
          <w:t xml:space="preserve"> </w:t>
        </w:r>
      </w:hyperlink>
      <w:hyperlink r:id="rId919">
        <w:r>
          <w:rPr>
            <w:rStyle w:val="LienInternet"/>
          </w:rPr>
          <w:t>ötletet)</w:t>
        </w:r>
      </w:hyperlink>
      <w:r>
        <w:rPr/>
        <w:t>. Egy másik, az innováció témájához kapcsolódó ötletcsoport a zöld és digitális átállással összhangban lévő munkahelyteremtésre szólít fel (lásd például az</w:t>
      </w:r>
      <w:hyperlink r:id="rId920">
        <w:r>
          <w:rPr>
            <w:rStyle w:val="LienInternet"/>
          </w:rPr>
          <w:t xml:space="preserve"> </w:t>
        </w:r>
      </w:hyperlink>
      <w:hyperlink r:id="rId921">
        <w:r>
          <w:rPr>
            <w:rStyle w:val="LienInternet"/>
          </w:rPr>
          <w:t>ötletet</w:t>
        </w:r>
      </w:hyperlink>
      <w:r>
        <w:rPr/>
        <w:t xml:space="preserve">). </w:t>
      </w:r>
    </w:p>
    <w:p>
      <w:pPr>
        <w:pStyle w:val="Normal"/>
        <w:jc w:val="left"/>
        <w:rPr/>
      </w:pPr>
      <w:r>
        <w:rPr/>
        <w:t xml:space="preserve">Másrészt a résztvevők hangsúlyozzák, hogy több szakmai fejlődési lehetőséget kell biztosítani a technikai területeken, ahol több gyakorlati készségre van szükség (lásd az </w:t>
      </w:r>
      <w:hyperlink r:id="rId922">
        <w:r>
          <w:rPr>
            <w:rStyle w:val="LienInternet"/>
          </w:rPr>
          <w:t>ötletet</w:t>
        </w:r>
      </w:hyperlink>
      <w:r>
        <w:rPr/>
        <w:t>). Valójában számos résztvevő hangsúlyozza a szakképzés és a középiskola utáni tanulás hiányát, és ebből következően azt, hogy a vállalatok nem találnak képzett munkaerőt (lásd az</w:t>
      </w:r>
      <w:hyperlink r:id="rId923">
        <w:r>
          <w:rPr>
            <w:rStyle w:val="LienInternet"/>
          </w:rPr>
          <w:t xml:space="preserve"> </w:t>
        </w:r>
      </w:hyperlink>
      <w:hyperlink r:id="rId924">
        <w:r>
          <w:rPr>
            <w:rStyle w:val="LienInternet"/>
          </w:rPr>
          <w:t>ötletet</w:t>
        </w:r>
      </w:hyperlink>
      <w:r>
        <w:rPr/>
        <w:t>). Az egyik résztvevő például a kézműves munkák előmozdítását kéri a fiatal generációk számára az alapvető értékek újrafelfedezésének eszközeként, ahelyett, hogy kizárólag az IT-ágazatban támogatnák a munkahelyeket (lásd az</w:t>
      </w:r>
      <w:hyperlink r:id="rId925">
        <w:r>
          <w:rPr>
            <w:rStyle w:val="LienInternet"/>
          </w:rPr>
          <w:t xml:space="preserve"> </w:t>
        </w:r>
      </w:hyperlink>
      <w:hyperlink r:id="rId926">
        <w:r>
          <w:rPr>
            <w:rStyle w:val="LienInternet"/>
          </w:rPr>
          <w:t>ötletet)</w:t>
        </w:r>
      </w:hyperlink>
      <w:r>
        <w:rPr/>
        <w:t xml:space="preserve">. </w:t>
      </w:r>
    </w:p>
    <w:p>
      <w:pPr>
        <w:pStyle w:val="Normal"/>
        <w:jc w:val="left"/>
        <w:rPr/>
      </w:pPr>
      <w:r>
        <w:rPr/>
        <w:t xml:space="preserve">A munkavállalók EU-n belüli mobilitásának növelése szintén gazdaságilag előnyösnek tekinthető (lásd az </w:t>
      </w:r>
      <w:hyperlink r:id="rId927">
        <w:r>
          <w:rPr>
            <w:rStyle w:val="LienInternet"/>
          </w:rPr>
          <w:t>ötletet</w:t>
        </w:r>
      </w:hyperlink>
      <w:r>
        <w:rPr/>
        <w:t xml:space="preserve">), amelyet azonban annak fényében is megvitatnak, hogy egyes országokban agyelszívás alakul ki (lásd az </w:t>
      </w:r>
      <w:hyperlink r:id="rId928">
        <w:r>
          <w:rPr>
            <w:rStyle w:val="LienInternet"/>
          </w:rPr>
          <w:t>eseményt</w:t>
        </w:r>
      </w:hyperlink>
      <w:r>
        <w:rPr/>
        <w:t>). A meritokrácia alapján tisztességes munkahelyek létrehozására irányuló törekvést a platform egyik résztvevője fejleszti (lásd az</w:t>
      </w:r>
      <w:hyperlink r:id="rId929">
        <w:r>
          <w:rPr>
            <w:rStyle w:val="LienInternet"/>
          </w:rPr>
          <w:t xml:space="preserve"> </w:t>
        </w:r>
      </w:hyperlink>
      <w:hyperlink r:id="rId930">
        <w:r>
          <w:rPr>
            <w:rStyle w:val="LienInternet"/>
          </w:rPr>
          <w:t>ötletet</w:t>
        </w:r>
      </w:hyperlink>
      <w:r>
        <w:rPr/>
        <w:t xml:space="preserve">). </w:t>
      </w:r>
    </w:p>
    <w:p>
      <w:pPr>
        <w:pStyle w:val="Normal"/>
        <w:jc w:val="left"/>
        <w:rPr/>
      </w:pPr>
      <w:r>
        <w:rPr/>
        <w:t xml:space="preserve">Ami a munkakörülményeket illeti, a résztvevők támogatják a távmunka és a „rugalmas munkavégzés” fokozását annak érdekében, hogy csökkenjenek az ingázó munkavállalók utazási ideje és az irodai infrastruktúra állandó költségei a munkáltatók számára (lásd az </w:t>
      </w:r>
      <w:hyperlink r:id="rId931">
        <w:r>
          <w:rPr>
            <w:rStyle w:val="LienInternet"/>
          </w:rPr>
          <w:t>ötletet</w:t>
        </w:r>
      </w:hyperlink>
      <w:r>
        <w:rPr/>
        <w:t xml:space="preserve">), a családi idő összeegyeztetése, a vidék elnéptelenedésének csökkentése (lásd az </w:t>
      </w:r>
      <w:hyperlink r:id="rId932">
        <w:r>
          <w:rPr>
            <w:rStyle w:val="LienInternet"/>
          </w:rPr>
          <w:t>ötletet)</w:t>
        </w:r>
      </w:hyperlink>
      <w:r>
        <w:rPr/>
        <w:t xml:space="preserve"> és a káros kibocsátások csökkentése a forgalom csökkentése révén (lásd az</w:t>
      </w:r>
      <w:hyperlink r:id="rId933">
        <w:r>
          <w:rPr>
            <w:rStyle w:val="LienInternet"/>
          </w:rPr>
          <w:t xml:space="preserve"> ötletet</w:t>
        </w:r>
      </w:hyperlink>
      <w:r>
        <w:rPr/>
        <w:t xml:space="preserve">). További javaslatok közé tartozik egy rövidebb munkahét bevezetése (lásd az </w:t>
      </w:r>
      <w:hyperlink r:id="rId934">
        <w:r>
          <w:rPr>
            <w:rStyle w:val="LienInternet"/>
          </w:rPr>
          <w:t>ötlet példáját)</w:t>
        </w:r>
      </w:hyperlink>
      <w:r>
        <w:rPr/>
        <w:t xml:space="preserve">, a fizetés nélküli szakmai gyakorlatok betiltása, a kötelező túlóra és a bizonytalan munkaszerződések (lásd például az </w:t>
      </w:r>
      <w:hyperlink r:id="rId935">
        <w:r>
          <w:rPr>
            <w:rStyle w:val="LienInternet"/>
          </w:rPr>
          <w:t>ötletet)</w:t>
        </w:r>
      </w:hyperlink>
      <w:r>
        <w:rPr/>
        <w:t xml:space="preserve">, vagy a gyermekgondozási infrastruktúrákba való beruházás a magán- és a szakmai élet összeegyeztetése érdekében. </w:t>
      </w:r>
    </w:p>
    <w:p>
      <w:pPr>
        <w:pStyle w:val="Normal"/>
        <w:jc w:val="left"/>
        <w:rPr/>
      </w:pPr>
      <w:r>
        <w:rPr/>
        <w:t>Végül a nyári időszámítás megszüntetésének gondolata kibővült azzal, hogy a hozzászólók megvitatták a „Daylight time” (DST) megszüntetésének gazdasági és társadalmi előnyeit (lásd egy</w:t>
      </w:r>
      <w:hyperlink r:id="rId936">
        <w:r>
          <w:rPr>
            <w:rStyle w:val="LienInternet"/>
          </w:rPr>
          <w:t xml:space="preserve"> ötlet példáját)</w:t>
        </w:r>
      </w:hyperlink>
      <w:r>
        <w:rPr/>
        <w:t>.</w:t>
      </w:r>
    </w:p>
    <w:p>
      <w:pPr>
        <w:pStyle w:val="Normal"/>
        <w:jc w:val="left"/>
        <w:rPr/>
      </w:pPr>
      <w:r>
        <w:rPr/>
      </w:r>
    </w:p>
    <w:p>
      <w:pPr>
        <w:pStyle w:val="Titre2"/>
        <w:numPr>
          <w:ilvl w:val="1"/>
          <w:numId w:val="1"/>
        </w:numPr>
        <w:jc w:val="left"/>
        <w:rPr/>
      </w:pPr>
      <w:bookmarkStart w:id="53" w:name="__RefHeading___Toc86429_2514204080"/>
      <w:bookmarkEnd w:id="53"/>
      <w:r>
        <w:rPr/>
        <w:t xml:space="preserve">A jelenlegi gazdasági modell megkérdőjelezése </w:t>
      </w:r>
    </w:p>
    <w:p>
      <w:pPr>
        <w:pStyle w:val="Normal"/>
        <w:jc w:val="left"/>
        <w:rPr/>
      </w:pPr>
      <w:r>
        <w:rPr/>
        <w:t xml:space="preserve">Az e témához tartozó számos ötlet egyetért azzal a célkitűzéssel, hogy az EU gazdaságaiban csökkenteni kell az egyenlőtlenségeket (lásd például egy </w:t>
      </w:r>
      <w:hyperlink r:id="rId937">
        <w:r>
          <w:rPr>
            <w:rStyle w:val="LienInternet"/>
          </w:rPr>
          <w:t>ötletet)</w:t>
        </w:r>
      </w:hyperlink>
      <w:r>
        <w:rPr/>
        <w:t xml:space="preserve">. Ezt alapvető fontosságúnak tartják a társadalmi egyensúly fokozott régiók közötti együttműködés révén történő növelésére irányuló törekvés mellett (lásd az </w:t>
      </w:r>
      <w:hyperlink r:id="rId938">
        <w:r>
          <w:rPr>
            <w:rStyle w:val="LienInternet"/>
          </w:rPr>
          <w:t>ötletet</w:t>
        </w:r>
      </w:hyperlink>
      <w:r>
        <w:rPr/>
        <w:t xml:space="preserve">). </w:t>
      </w:r>
    </w:p>
    <w:p>
      <w:pPr>
        <w:pStyle w:val="Normal"/>
        <w:jc w:val="left"/>
        <w:rPr/>
      </w:pPr>
      <w:r>
        <w:rPr/>
        <w:t>Számos ötlet támogatja az európai ipar nyersanyag- és feldolgozotttermék-ellátási forrásainak diverzifikálásáról szóló rendelet bevezetését az „európai kapitalizmus” modelljének előmozdítása érdekében (lásd az</w:t>
      </w:r>
      <w:hyperlink r:id="rId939">
        <w:r>
          <w:rPr>
            <w:rStyle w:val="LienInternet"/>
          </w:rPr>
          <w:t xml:space="preserve"> ötletet </w:t>
        </w:r>
      </w:hyperlink>
      <w:r>
        <w:rPr/>
        <w:t>és az</w:t>
      </w:r>
      <w:hyperlink r:id="rId940">
        <w:r>
          <w:rPr>
            <w:rStyle w:val="LienInternet"/>
          </w:rPr>
          <w:t xml:space="preserve"> </w:t>
        </w:r>
      </w:hyperlink>
      <w:hyperlink r:id="rId941">
        <w:r>
          <w:rPr>
            <w:rStyle w:val="LienInternet"/>
          </w:rPr>
          <w:t>ötletet)</w:t>
        </w:r>
      </w:hyperlink>
      <w:r>
        <w:rPr/>
        <w:t xml:space="preserve">. </w:t>
      </w:r>
    </w:p>
    <w:p>
      <w:pPr>
        <w:pStyle w:val="Normal"/>
        <w:jc w:val="left"/>
        <w:rPr/>
      </w:pPr>
      <w:r>
        <w:rPr/>
        <w:t>Számos észrevétel azt is kiemeli, hogy a GDP-n túlmutató gazdasági modellt is figyelembe kell venni az inkluzív és méltányos európai jólét érdekében (lásd egy</w:t>
      </w:r>
      <w:hyperlink r:id="rId942">
        <w:r>
          <w:rPr>
            <w:rStyle w:val="LienInternet"/>
          </w:rPr>
          <w:t xml:space="preserve"> </w:t>
        </w:r>
      </w:hyperlink>
      <w:hyperlink r:id="rId943">
        <w:r>
          <w:rPr>
            <w:rStyle w:val="LienInternet"/>
          </w:rPr>
          <w:t>ötlet</w:t>
        </w:r>
      </w:hyperlink>
      <w:r>
        <w:rPr/>
        <w:t>,</w:t>
      </w:r>
      <w:hyperlink r:id="rId944">
        <w:r>
          <w:rPr>
            <w:rStyle w:val="LienInternet"/>
          </w:rPr>
          <w:t xml:space="preserve"> </w:t>
        </w:r>
      </w:hyperlink>
      <w:hyperlink r:id="rId945">
        <w:r>
          <w:rPr>
            <w:rStyle w:val="LienInternet"/>
          </w:rPr>
          <w:t xml:space="preserve">esemény és esemény </w:t>
        </w:r>
      </w:hyperlink>
      <w:r>
        <w:rPr/>
        <w:t xml:space="preserve"> </w:t>
      </w:r>
      <w:hyperlink r:id="rId946">
        <w:r>
          <w:rPr/>
          <w:t>példáját), a GDP-n túli növekedési koncepciók mérésére szolgáló mutatókkal (lásd az</w:t>
        </w:r>
      </w:hyperlink>
      <w:hyperlink r:id="rId947">
        <w:r>
          <w:rPr>
            <w:rStyle w:val="LienInternet"/>
          </w:rPr>
          <w:t xml:space="preserve"> </w:t>
        </w:r>
      </w:hyperlink>
      <w:hyperlink r:id="rId948">
        <w:r>
          <w:rPr>
            <w:rStyle w:val="LienInternet"/>
          </w:rPr>
          <w:t>eseményt)</w:t>
        </w:r>
      </w:hyperlink>
      <w:r>
        <w:rPr/>
        <w:t xml:space="preserve">. Hasonlóképpen egy polgár azzal érvel, hogy az egységes piac szabályozási keretének nagyobb ösztönzőket kellene bevezetnie a vállalatok számára a társadalommal és a környezettel való együttműködésre (lásd az </w:t>
      </w:r>
      <w:hyperlink r:id="rId949">
        <w:r>
          <w:rPr>
            <w:rStyle w:val="LienInternet"/>
          </w:rPr>
          <w:t xml:space="preserve">ötletet </w:t>
        </w:r>
      </w:hyperlink>
      <w:r>
        <w:rPr/>
        <w:t xml:space="preserve">és az </w:t>
      </w:r>
      <w:hyperlink r:id="rId950">
        <w:r>
          <w:rPr>
            <w:rStyle w:val="LienInternet"/>
          </w:rPr>
          <w:t>eseményt)</w:t>
        </w:r>
      </w:hyperlink>
      <w:r>
        <w:rPr/>
        <w:t xml:space="preserve">. Ugyanakkor egy ötlet felvázolja annak szükségességét, hogy a monetáris politikát a „környezeti taxonómia” és a „társadalmi taxonómia” (lásd az </w:t>
      </w:r>
      <w:hyperlink r:id="rId951">
        <w:r>
          <w:rPr>
            <w:rStyle w:val="LienInternet"/>
          </w:rPr>
          <w:t>ötletet)</w:t>
        </w:r>
      </w:hyperlink>
      <w:r>
        <w:rPr/>
        <w:t xml:space="preserve"> koncepciójához kell igazítani. A harmadik szektorbeli szervezetek támogatják, hogy a Next Generation EU csomag egy részét a társadalmi jólétre és a területi kohézióra fordítsák (lásd az</w:t>
      </w:r>
      <w:hyperlink r:id="rId952">
        <w:r>
          <w:rPr>
            <w:rStyle w:val="LienInternet"/>
          </w:rPr>
          <w:t xml:space="preserve"> </w:t>
        </w:r>
      </w:hyperlink>
      <w:hyperlink r:id="rId953">
        <w:r>
          <w:rPr>
            <w:rStyle w:val="LienInternet"/>
          </w:rPr>
          <w:t>ötletet)</w:t>
        </w:r>
      </w:hyperlink>
      <w:r>
        <w:rPr/>
        <w:t xml:space="preserve">. </w:t>
      </w:r>
    </w:p>
    <w:p>
      <w:pPr>
        <w:pStyle w:val="Normal"/>
        <w:jc w:val="left"/>
        <w:rPr/>
      </w:pPr>
      <w:r>
        <w:rPr/>
        <w:t xml:space="preserve">Az egyik javaslat azt javasolja, hogy számoljanak be arról, hogy a különböző közlekedési szokások mennyi hatással vannak a szénlábnyomra, hogy növeljék a tudatosságot, és ösztönözzék a polgárokat arra, hogy a legkevésbé szennyező módot válasszák (lásd az </w:t>
      </w:r>
      <w:hyperlink r:id="rId954">
        <w:r>
          <w:rPr>
            <w:rStyle w:val="LienInternet"/>
          </w:rPr>
          <w:t xml:space="preserve">ötletet </w:t>
        </w:r>
      </w:hyperlink>
      <w:r>
        <w:rPr/>
        <w:t xml:space="preserve">és az </w:t>
      </w:r>
      <w:hyperlink r:id="rId955">
        <w:r>
          <w:rPr>
            <w:rStyle w:val="LienInternet"/>
          </w:rPr>
          <w:t>eseményt)</w:t>
        </w:r>
      </w:hyperlink>
      <w:r>
        <w:rPr/>
        <w:t>. Hasonlóképpen egy másik résztvevő azt javasolja, hogy vezessenek be szén-dioxid-kibocsátású hitelkártya-rendszert az EU-ban a légi közlekedés szabályozása és korlátozása érdekében (lásd az</w:t>
      </w:r>
      <w:hyperlink r:id="rId956">
        <w:r>
          <w:rPr>
            <w:rStyle w:val="LienInternet"/>
          </w:rPr>
          <w:t xml:space="preserve"> </w:t>
        </w:r>
      </w:hyperlink>
      <w:hyperlink r:id="rId957">
        <w:r>
          <w:rPr>
            <w:rStyle w:val="LienInternet"/>
          </w:rPr>
          <w:t>ötletet</w:t>
        </w:r>
      </w:hyperlink>
      <w:r>
        <w:rPr/>
        <w:t xml:space="preserve">). </w:t>
      </w:r>
    </w:p>
    <w:p>
      <w:pPr>
        <w:pStyle w:val="Normal"/>
        <w:jc w:val="left"/>
        <w:rPr/>
      </w:pPr>
      <w:r>
        <w:rPr/>
        <w:t xml:space="preserve">Ebben a témában a jelenlegi európai gazdasági rendszert ideológiai szempontból tárgyalják. Egyrészt a válaszadók azt javasolják, hogy építsenek a kapitalizmusra és a szabad piacra, nagyobb belső versennyel, csökkent szabályozási teherrel, kevesebb támogatással és túlzott adókulcsokkal (lásd például az </w:t>
      </w:r>
      <w:hyperlink r:id="rId958">
        <w:r>
          <w:rPr>
            <w:rStyle w:val="LienInternet"/>
          </w:rPr>
          <w:t>ötletet</w:t>
        </w:r>
      </w:hyperlink>
      <w:r>
        <w:rPr/>
        <w:t xml:space="preserve">). A válaszadók egy csoportja azt kéri, hogy a gazdaság liberálisabb legyen. Javaslataik közé tartozik különösen a bürokrácia csökkentése, az uniós politikusok és alkalmazottak kiváltságainak visszavonása (lásd például az </w:t>
      </w:r>
      <w:hyperlink r:id="rId959">
        <w:r>
          <w:rPr>
            <w:rStyle w:val="LienInternet"/>
          </w:rPr>
          <w:t>ötletet)</w:t>
        </w:r>
      </w:hyperlink>
      <w:r>
        <w:rPr/>
        <w:t>, az alacsonyabb és középosztálybeli adók csökkentése, a vállalkozói szellem támogatása és a kis- és középvállalkozások fejlődésének támogatása, amelyek viszont foglalkoztatási lehetőségeket kínálnak (lásd például egy</w:t>
      </w:r>
      <w:hyperlink r:id="rId960">
        <w:r>
          <w:rPr>
            <w:rStyle w:val="LienInternet"/>
          </w:rPr>
          <w:t xml:space="preserve"> </w:t>
        </w:r>
      </w:hyperlink>
      <w:hyperlink r:id="rId961">
        <w:r>
          <w:rPr>
            <w:rStyle w:val="LienInternet"/>
          </w:rPr>
          <w:t>ötletet)</w:t>
        </w:r>
      </w:hyperlink>
      <w:r>
        <w:rPr/>
        <w:t xml:space="preserve">. </w:t>
      </w:r>
    </w:p>
    <w:p>
      <w:pPr>
        <w:pStyle w:val="Normal"/>
        <w:jc w:val="left"/>
        <w:rPr/>
      </w:pPr>
      <w:r>
        <w:rPr/>
        <w:t>Ezzel szemben más résztvevők emberközpontúbb gazdaságra törekszenek, és rámutatnak a jelenlegi gazdasági modell észlelt hiányosságaira, például a munkakörülmények és az áruk származási helyének átláthatóságának hiányára a termelési láncokban (lásd például egy</w:t>
      </w:r>
      <w:hyperlink r:id="rId962">
        <w:r>
          <w:rPr>
            <w:rStyle w:val="LienInternet"/>
          </w:rPr>
          <w:t xml:space="preserve"> </w:t>
        </w:r>
      </w:hyperlink>
      <w:hyperlink r:id="rId963">
        <w:r>
          <w:rPr>
            <w:rStyle w:val="LienInternet"/>
          </w:rPr>
          <w:t>ötletet</w:t>
        </w:r>
      </w:hyperlink>
      <w:r>
        <w:rPr/>
        <w:t xml:space="preserve">). </w:t>
      </w:r>
    </w:p>
    <w:p>
      <w:pPr>
        <w:pStyle w:val="Normal"/>
        <w:jc w:val="left"/>
        <w:rPr/>
      </w:pPr>
      <w:r>
        <w:rPr/>
        <w:t xml:space="preserve">Ebben a vitában az egyik gondolat a degrowth elméletére összpontosít, mint az ember és a természet közötti új egyensúly helyreállítására az ellenőrizetlen növekedéssel szemben (lásd az </w:t>
      </w:r>
      <w:hyperlink r:id="rId964">
        <w:r>
          <w:rPr>
            <w:rStyle w:val="LienInternet"/>
          </w:rPr>
          <w:t>ötletet)</w:t>
        </w:r>
      </w:hyperlink>
      <w:r>
        <w:rPr/>
        <w:t>. Egy másik résztvevő azt javasolja, hogy referenciaként vegyék figyelembe a fánk gazdasági modelljét (lásd</w:t>
      </w:r>
      <w:hyperlink r:id="rId965">
        <w:r>
          <w:rPr>
            <w:rStyle w:val="LienInternet"/>
          </w:rPr>
          <w:t xml:space="preserve"> az ötletet</w:t>
        </w:r>
      </w:hyperlink>
      <w:r>
        <w:rPr/>
        <w:t xml:space="preserve">). Néhány közreműködő támogatja a körforgásos gazdaság kezdeményezéseit (lásd az </w:t>
      </w:r>
      <w:hyperlink r:id="rId966">
        <w:r>
          <w:rPr>
            <w:rStyle w:val="LienInternet"/>
          </w:rPr>
          <w:t xml:space="preserve">ötletet </w:t>
        </w:r>
      </w:hyperlink>
      <w:r>
        <w:rPr/>
        <w:t xml:space="preserve">és az </w:t>
      </w:r>
      <w:hyperlink r:id="rId967">
        <w:r>
          <w:rPr>
            <w:rStyle w:val="LienInternet"/>
          </w:rPr>
          <w:t>ötletet</w:t>
        </w:r>
      </w:hyperlink>
      <w:r>
        <w:rPr/>
        <w:t>). A körforgásos gazdasággal kapcsolatos további ötletek az Éghajlatváltozás és a környezetvédelem témakörben találhatók.</w:t>
      </w:r>
    </w:p>
    <w:p>
      <w:pPr>
        <w:pStyle w:val="Normal"/>
        <w:jc w:val="left"/>
        <w:rPr/>
      </w:pPr>
      <w:r>
        <w:rPr/>
      </w:r>
    </w:p>
    <w:p>
      <w:pPr>
        <w:pStyle w:val="Titre2"/>
        <w:numPr>
          <w:ilvl w:val="1"/>
          <w:numId w:val="1"/>
        </w:numPr>
        <w:jc w:val="left"/>
        <w:rPr/>
      </w:pPr>
      <w:bookmarkStart w:id="54" w:name="__RefHeading___Toc86431_2514204080"/>
      <w:bookmarkEnd w:id="54"/>
      <w:r>
        <w:rPr/>
        <w:t>Új ötletek az elmúlt időszakban (21/02/2022–09/05/2022)</w:t>
      </w:r>
    </w:p>
    <w:p>
      <w:pPr>
        <w:pStyle w:val="Corpsdetexte"/>
        <w:jc w:val="left"/>
        <w:rPr/>
      </w:pPr>
      <w:r>
        <w:rPr/>
        <w:t xml:space="preserve">Oroszország Ukrajnával szembeni inváziójával kapcsolatban az elképzelések nagy része felvetette, hogy az európai gazdasági önellátás fokozása érdekében termelési autonómiára van szükség (lásd egy </w:t>
      </w:r>
      <w:hyperlink r:id="rId968">
        <w:r>
          <w:rPr>
            <w:rStyle w:val="LienInternet"/>
          </w:rPr>
          <w:t>ötlet</w:t>
        </w:r>
      </w:hyperlink>
      <w:r>
        <w:rPr/>
        <w:t xml:space="preserve">példáját), amelyet az európai címke erőteljesebb védelme (lásd az </w:t>
      </w:r>
      <w:hyperlink r:id="rId969">
        <w:r>
          <w:rPr>
            <w:rStyle w:val="LienInternet"/>
          </w:rPr>
          <w:t>ötletet</w:t>
        </w:r>
      </w:hyperlink>
      <w:r>
        <w:rPr/>
        <w:t xml:space="preserve">) és az importadók növelését, mint Európa szuverenitásának megerősítését szolgáló eszközt (lásd az ötletet) kísér (lásd az </w:t>
      </w:r>
      <w:hyperlink r:id="rId970">
        <w:r>
          <w:rPr>
            <w:rStyle w:val="LienInternet"/>
          </w:rPr>
          <w:t>ötletet</w:t>
        </w:r>
      </w:hyperlink>
      <w:r>
        <w:rPr/>
        <w:t xml:space="preserve">). E téma új kifejezése az önellátás keresése, amelyet több résztvevő vetett fel az energiafüggetlenség elérése érdekében (lásd egy </w:t>
      </w:r>
      <w:hyperlink r:id="rId971">
        <w:r>
          <w:rPr>
            <w:rStyle w:val="LienInternet"/>
          </w:rPr>
          <w:t>ötlet</w:t>
        </w:r>
      </w:hyperlink>
      <w:r>
        <w:rPr/>
        <w:t>példáját), gyakran utalva az oroszországi invázióra adott stratégiai válaszok által generált energiaválságra (lásd például egy</w:t>
      </w:r>
      <w:hyperlink r:id="rId972">
        <w:r>
          <w:rPr>
            <w:rStyle w:val="LienInternet"/>
          </w:rPr>
          <w:t xml:space="preserve"> ötletet</w:t>
        </w:r>
      </w:hyperlink>
      <w:r>
        <w:rPr/>
        <w:t xml:space="preserve">). Ez beépül az európai energiaunióra irányuló javaslatba (lásd az </w:t>
      </w:r>
      <w:hyperlink r:id="rId973">
        <w:r>
          <w:rPr>
            <w:rStyle w:val="LienInternet"/>
          </w:rPr>
          <w:t>ötletet</w:t>
        </w:r>
      </w:hyperlink>
      <w:r>
        <w:rPr/>
        <w:t xml:space="preserve">). Az EU stratégiai energetikai autonómiájának koncepcióját több résztvevő is megvitatta egy szakértői </w:t>
      </w:r>
      <w:hyperlink r:id="rId974">
        <w:r>
          <w:rPr>
            <w:rStyle w:val="LienInternet"/>
          </w:rPr>
          <w:t>testülettel</w:t>
        </w:r>
      </w:hyperlink>
      <w:r>
        <w:rPr/>
        <w:t xml:space="preserve">egy spanyolországi rendezvényen, a biztonság és védelem, az energia és a környezet, valamint az ipari átmenet szempontjából (lásd az </w:t>
      </w:r>
      <w:hyperlink r:id="rId975">
        <w:r>
          <w:rPr>
            <w:rStyle w:val="LienInternet"/>
          </w:rPr>
          <w:t>ötletet</w:t>
        </w:r>
      </w:hyperlink>
      <w:r>
        <w:rPr/>
        <w:t xml:space="preserve">). </w:t>
      </w:r>
    </w:p>
    <w:p>
      <w:pPr>
        <w:pStyle w:val="Corpsdetexte"/>
        <w:jc w:val="left"/>
        <w:rPr/>
      </w:pPr>
      <w:r>
        <w:rPr/>
        <w:t xml:space="preserve">A vidéki térségeknek az erősebb uniós gazdaság megteremtésében betöltött szerepét korábban számos közelmúltbeli hozzájárulásban vitatták meg. Különböző elképzelések rávilágítottak a vidéki területek elnéptelenedésének problémájára (lásd egy </w:t>
      </w:r>
      <w:hyperlink r:id="rId976">
        <w:r>
          <w:rPr>
            <w:rStyle w:val="LienInternet"/>
          </w:rPr>
          <w:t>ötlet</w:t>
        </w:r>
      </w:hyperlink>
      <w:r>
        <w:rPr/>
        <w:t xml:space="preserve">példáját), és sok hozzászóló úgy vélte, hogy ez hatással van az egyenlőtlenségre (lásd az </w:t>
      </w:r>
      <w:hyperlink r:id="rId977">
        <w:r>
          <w:rPr>
            <w:rStyle w:val="LienInternet"/>
          </w:rPr>
          <w:t>ötletet</w:t>
        </w:r>
      </w:hyperlink>
      <w:r>
        <w:rPr/>
        <w:t xml:space="preserve">). A résztvevők hangsúlyozták annak fontosságát, hogy célzott adózás és a bürokrácia csökkentése révén ösztönözzék a vállalkozásokat és a fiatalokat arra, hogy vidéken telepedjenek le (lásd például egy </w:t>
      </w:r>
      <w:hyperlink r:id="rId978">
        <w:r>
          <w:rPr>
            <w:rStyle w:val="LienInternet"/>
          </w:rPr>
          <w:t>ötletet</w:t>
        </w:r>
      </w:hyperlink>
      <w:r>
        <w:rPr/>
        <w:t>). A fiatal mezőgazdasági termelők finanszírozásának növelését is szorgalmazták (lásd az</w:t>
      </w:r>
      <w:hyperlink r:id="rId979">
        <w:r>
          <w:rPr>
            <w:rStyle w:val="LienInternet"/>
          </w:rPr>
          <w:t xml:space="preserve"> ötletet</w:t>
        </w:r>
      </w:hyperlink>
      <w:r>
        <w:rPr/>
        <w:t xml:space="preserve">). </w:t>
      </w:r>
    </w:p>
    <w:p>
      <w:pPr>
        <w:pStyle w:val="Corpsdetexte"/>
        <w:jc w:val="left"/>
        <w:rPr/>
      </w:pPr>
      <w:r>
        <w:rPr/>
        <w:t xml:space="preserve">Az elmúlt időszakban a szociális védelem és a szociális biztonság témaköre nagy mennyiségű kapcsolódó ötletet generált, megismételve a fent részletezett témákat. A hozzájárulások megvitatták a nyugdíjreformokat, a munkahét hosszát, az aktivizálási politikákat, a fogyatékkal élők sajátos problémáinak kezelésére irányuló politikákat (lásd például az </w:t>
      </w:r>
      <w:hyperlink r:id="rId980">
        <w:r>
          <w:rPr>
            <w:rStyle w:val="LienInternet"/>
          </w:rPr>
          <w:t>ötletet</w:t>
        </w:r>
      </w:hyperlink>
      <w:r>
        <w:rPr/>
        <w:t>), valamint a jövedelemtámogatási rendszereket. Ez utóbbiak közül az egyetemes alapjövedelem bevezetése volt a leggyakoribb javaslat (lásd egy</w:t>
      </w:r>
      <w:hyperlink r:id="rId981">
        <w:r>
          <w:rPr>
            <w:rStyle w:val="LienInternet"/>
          </w:rPr>
          <w:t xml:space="preserve"> ötlet</w:t>
        </w:r>
      </w:hyperlink>
      <w:r>
        <w:rPr/>
        <w:t xml:space="preserve">példáját), és néhány közreműködő problémásnak találta az ilyen intézkedés hatékonyságát (lásd az </w:t>
      </w:r>
      <w:hyperlink r:id="rId982">
        <w:r>
          <w:rPr>
            <w:rStyle w:val="LienInternet"/>
          </w:rPr>
          <w:t>ötletet</w:t>
        </w:r>
      </w:hyperlink>
      <w:r>
        <w:rPr/>
        <w:t xml:space="preserve">). </w:t>
      </w:r>
    </w:p>
    <w:p>
      <w:pPr>
        <w:pStyle w:val="Corpsdetexte"/>
        <w:jc w:val="left"/>
        <w:rPr/>
      </w:pPr>
      <w:r>
        <w:rPr/>
        <w:t xml:space="preserve">A zöld gazdaság megvalósításának és fenntartásának mikéntjét vitatták meg (lásd például egy </w:t>
      </w:r>
      <w:hyperlink r:id="rId983">
        <w:r>
          <w:rPr>
            <w:rStyle w:val="LienInternet"/>
          </w:rPr>
          <w:t>ötlet</w:t>
        </w:r>
      </w:hyperlink>
      <w:r>
        <w:rPr/>
        <w:t xml:space="preserve">példáját). Az egyik résztvevő a jó vízgazdálkodás érdekében európai szintű figyelemfelkeltő kampányok szervezését is szorgalmazta (lásd az </w:t>
      </w:r>
      <w:hyperlink r:id="rId984">
        <w:r>
          <w:rPr>
            <w:rStyle w:val="LienInternet"/>
          </w:rPr>
          <w:t>ötletet</w:t>
        </w:r>
      </w:hyperlink>
      <w:r>
        <w:rPr/>
        <w:t>).</w:t>
      </w:r>
    </w:p>
    <w:p>
      <w:pPr>
        <w:sectPr>
          <w:headerReference w:type="default" r:id="rId985"/>
          <w:footerReference w:type="default" r:id="rId986"/>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Normal"/>
        <w:jc w:val="left"/>
        <w:rPr/>
      </w:pPr>
      <w:r>
        <w:rPr/>
      </w:r>
      <w:r>
        <w:br w:type="page"/>
      </w:r>
    </w:p>
    <w:p>
      <w:pPr>
        <w:pStyle w:val="Normal"/>
        <w:rPr/>
      </w:pPr>
      <w:r>
        <w:rPr/>
        <mc:AlternateContent>
          <mc:Choice Requires="wps">
            <w:drawing>
              <wp:anchor behindDoc="0" distT="0" distB="0" distL="0" distR="0" simplePos="0" locked="0" layoutInCell="0" allowOverlap="1" relativeHeight="100">
                <wp:simplePos x="0" y="0"/>
                <wp:positionH relativeFrom="column">
                  <wp:posOffset>127000</wp:posOffset>
                </wp:positionH>
                <wp:positionV relativeFrom="paragraph">
                  <wp:posOffset>114935</wp:posOffset>
                </wp:positionV>
                <wp:extent cx="8393430" cy="5425440"/>
                <wp:effectExtent l="0" t="0" r="0" b="0"/>
                <wp:wrapTopAndBottom/>
                <wp:docPr id="69" name="Cadre15"/>
                <a:graphic xmlns:a="http://schemas.openxmlformats.org/drawingml/2006/main">
                  <a:graphicData uri="http://schemas.microsoft.com/office/word/2010/wordprocessingShape">
                    <wps:wsp>
                      <wps:cNvSpPr/>
                      <wps:spPr>
                        <a:xfrm>
                          <a:off x="0" y="0"/>
                          <a:ext cx="8393400" cy="542556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Ábra. Az „Erősebb gazdaság, társadalmi igazságosság és munkahelyek” témakör, 1. rész </w:t>
                            </w:r>
                          </w:p>
                        </w:txbxContent>
                      </wps:txbx>
                      <wps:bodyPr lIns="0" rIns="0" tIns="0" bIns="0" anchor="t">
                        <a:noAutofit/>
                      </wps:bodyPr>
                    </wps:wsp>
                  </a:graphicData>
                </a:graphic>
              </wp:anchor>
            </w:drawing>
          </mc:Choice>
          <mc:Fallback>
            <w:pict>
              <v:rect id="shape_0" ID="Cadre15" path="m0,0l-2147483645,0l-2147483645,-2147483646l0,-2147483646xe" fillcolor="white" stroked="f" o:allowincell="f" style="position:absolute;margin-left:10pt;margin-top:9.05pt;width:660.85pt;height:427.1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Ábra. Az „Erősebb gazdaság, társadalmi igazságosság és munkahelyek” témakör, 1. rész </w:t>
                      </w:r>
                    </w:p>
                  </w:txbxContent>
                </v:textbox>
                <w10:wrap type="topAndBottom"/>
              </v:rect>
            </w:pict>
          </mc:Fallback>
        </mc:AlternateContent>
        <mc:AlternateContent>
          <mc:Choice Requires="wpg">
            <w:drawing>
              <wp:anchor behindDoc="0" distT="0" distB="0" distL="0" distR="635" simplePos="0" locked="0" layoutInCell="0" allowOverlap="1" relativeHeight="102">
                <wp:simplePos x="0" y="0"/>
                <wp:positionH relativeFrom="column">
                  <wp:posOffset>345440</wp:posOffset>
                </wp:positionH>
                <wp:positionV relativeFrom="paragraph">
                  <wp:posOffset>516890</wp:posOffset>
                </wp:positionV>
                <wp:extent cx="8096250" cy="5320665"/>
                <wp:effectExtent l="0" t="0" r="635" b="0"/>
                <wp:wrapTopAndBottom/>
                <wp:docPr id="71" name="Forme9"/>
                <a:graphic xmlns:a="http://schemas.openxmlformats.org/drawingml/2006/main">
                  <a:graphicData uri="http://schemas.microsoft.com/office/word/2010/wordprocessingGroup">
                    <wpg:wgp>
                      <wpg:cNvGrpSpPr/>
                      <wpg:grpSpPr>
                        <a:xfrm>
                          <a:off x="0" y="0"/>
                          <a:ext cx="8096400" cy="5320800"/>
                          <a:chOff x="0" y="0"/>
                          <a:chExt cx="8096400" cy="5320800"/>
                        </a:xfrm>
                      </wpg:grpSpPr>
                      <wpg:grpSp>
                        <wpg:cNvGrpSpPr/>
                        <wpg:grpSpPr>
                          <a:xfrm>
                            <a:off x="6384240" y="1858680"/>
                            <a:ext cx="1660680" cy="1429920"/>
                          </a:xfrm>
                        </wpg:grpSpPr>
                        <pic:pic xmlns:pic="http://schemas.openxmlformats.org/drawingml/2006/picture">
                          <pic:nvPicPr>
                            <pic:cNvPr id="13" name="" descr=""/>
                            <pic:cNvPicPr/>
                          </pic:nvPicPr>
                          <pic:blipFill>
                            <a:blip r:embed="rId987"/>
                            <a:stretch/>
                          </pic:blipFill>
                          <pic:spPr>
                            <a:xfrm>
                              <a:off x="99720" y="0"/>
                              <a:ext cx="925920" cy="598320"/>
                            </a:xfrm>
                            <a:prstGeom prst="rect">
                              <a:avLst/>
                            </a:prstGeom>
                            <a:ln w="0">
                              <a:noFill/>
                            </a:ln>
                          </pic:spPr>
                        </pic:pic>
                        <wps:wsp>
                          <wps:cNvSpPr/>
                          <wps:spPr>
                            <a:xfrm>
                              <a:off x="0" y="636120"/>
                              <a:ext cx="1660680" cy="79380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Erősebb gazdaság, társadalmi igazságosság és munkahelyek</w:t>
                                </w:r>
                              </w:p>
                            </w:txbxContent>
                          </wps:txbx>
                          <wps:bodyPr lIns="90000" rIns="90000" tIns="45000" bIns="45000" anchor="t">
                            <a:noAutofit/>
                          </wps:bodyPr>
                        </wps:wsp>
                      </wpg:grpSp>
                      <wpg:grpSp>
                        <wpg:cNvGrpSpPr/>
                        <wpg:grpSpPr>
                          <a:xfrm>
                            <a:off x="48960" y="0"/>
                            <a:ext cx="3997800" cy="1798200"/>
                          </a:xfrm>
                        </wpg:grpSpPr>
                        <wps:wsp>
                          <wps:cNvSpPr/>
                          <wps:spPr>
                            <a:xfrm>
                              <a:off x="0" y="0"/>
                              <a:ext cx="2933640" cy="1798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Tárgyalás a szociális párbeszéden és a kollektív tárgyalásokon alapuló megújított szociális szerződésről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Intézkedések bevezetése a növekvő államadósság ellen az EU-ban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EKB megbízatásának megerősítése és bővítése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Annak biztosítása, hogy a helyreállítási tervek szigorúak, hatékonyak és átláthatóak legyenek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kkv-k támogatása és növelése: kulcsfontosságú az EU talpra állásában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jövőbeli pandémiás felkészültségi intézkedések finanszírozása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egészségügyi szakember létszámhiánya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helyi fogyasztás és termelés előmozdítása és azokba való beruházás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vidéki területek újraértékelése a gazdasági fellendülés érdekében </w:t>
                                </w:r>
                              </w:p>
                            </w:txbxContent>
                          </wps:txbx>
                          <wps:bodyPr lIns="90000" rIns="90000" tIns="45000" bIns="45000" anchor="t">
                            <a:noAutofit/>
                          </wps:bodyPr>
                        </wps:wsp>
                        <wps:wsp>
                          <wps:cNvSpPr/>
                          <wps:spPr>
                            <a:xfrm>
                              <a:off x="2897280" y="255240"/>
                              <a:ext cx="110052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Gazdasági fellendülés</w:t>
                                </w:r>
                              </w:p>
                            </w:txbxContent>
                          </wps:txbx>
                          <wps:bodyPr lIns="90000" rIns="90000" tIns="45000" bIns="45000" anchor="t">
                            <a:noAutofit/>
                          </wps:bodyPr>
                        </wps:wsp>
                      </wpg:grpSp>
                      <wpg:grpSp>
                        <wpg:cNvGrpSpPr/>
                        <wpg:grpSpPr>
                          <a:xfrm>
                            <a:off x="35640" y="1945080"/>
                            <a:ext cx="4695840" cy="1536840"/>
                          </a:xfrm>
                        </wpg:grpSpPr>
                        <wps:wsp>
                          <wps:cNvSpPr/>
                          <wps:spPr>
                            <a:xfrm>
                              <a:off x="0" y="0"/>
                              <a:ext cx="3620880" cy="1536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Uniós szintű feltétel nélküli alapjövedelem bevezetése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Battle (ifjúsági) munkanélküliség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EU-n belüli jövedelmi különbségek és a szegénység elleni küzdelem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szociális védelmi ellátások bevezetésének lehetőségeinek mérése a gazdasági alapok szilárdságához viszonyítva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hosszú távú egészségügyi ellátás kezelése az idősek biztonságának és méltóságának biztosítása, valamint a nemzedékek közötti cserék ösztönzése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nyugdíjpolitikák és a nyugdíjak koordinálása az EU-ban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szociális biztonságra és védelemre vonatkozó uniós minimumszabályok meghatározása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megfizethető lakhatáshoz való hozzáférés biztosítása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Digitális közös társadalombiztosítási kártya bevezetése </w:t>
                                </w:r>
                              </w:p>
                            </w:txbxContent>
                          </wps:txbx>
                          <wps:bodyPr lIns="90000" rIns="90000" tIns="45000" bIns="45000" anchor="t">
                            <a:noAutofit/>
                          </wps:bodyPr>
                        </wps:wsp>
                        <wps:wsp>
                          <wps:cNvSpPr/>
                          <wps:spPr>
                            <a:xfrm>
                              <a:off x="3618000" y="190440"/>
                              <a:ext cx="1077480" cy="8503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Szociális védelem és szociális biztonság</w:t>
                                </w:r>
                              </w:p>
                            </w:txbxContent>
                          </wps:txbx>
                          <wps:bodyPr lIns="90000" rIns="90000" tIns="45000" bIns="45000" anchor="t">
                            <a:noAutofit/>
                          </wps:bodyPr>
                        </wps:wsp>
                      </wpg:grpSp>
                      <wpg:grpSp>
                        <wpg:cNvGrpSpPr/>
                        <wpg:grpSpPr>
                          <a:xfrm>
                            <a:off x="0" y="3782520"/>
                            <a:ext cx="3322800" cy="1272600"/>
                          </a:xfrm>
                        </wpg:grpSpPr>
                        <wps:wsp>
                          <wps:cNvSpPr/>
                          <wps:spPr>
                            <a:xfrm>
                              <a:off x="0" y="0"/>
                              <a:ext cx="2388240" cy="12726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adócsalás elleni küzdelem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európai adószabályok egységesítése a szociális dömping elkerülése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adópolitika harmonizálása a fiskális unió felé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adóparadicsomok elleni küzdelem minimumadóval az EU-ban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uniós fogyasztás előmozdítása az adózás révén</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Adózás az éghajlatváltozás kezelésére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Méltányos adózás a tisztességes kereskedelem előmozdítása érdekében </w:t>
                                </w:r>
                              </w:p>
                            </w:txbxContent>
                          </wps:txbx>
                          <wps:bodyPr lIns="90000" rIns="90000" tIns="45000" bIns="45000" anchor="t">
                            <a:noAutofit/>
                          </wps:bodyPr>
                        </wps:wsp>
                        <wps:wsp>
                          <wps:cNvSpPr/>
                          <wps:spPr>
                            <a:xfrm>
                              <a:off x="2374200" y="103680"/>
                              <a:ext cx="948600" cy="10389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Adózás az inkluzív és méltányos gazdaság érdekében</w:t>
                                </w:r>
                              </w:p>
                            </w:txbxContent>
                          </wps:txbx>
                          <wps:bodyPr lIns="90000" rIns="90000" tIns="45000" bIns="45000" anchor="t">
                            <a:noAutofit/>
                          </wps:bodyPr>
                        </wps:wsp>
                      </wpg:grpSp>
                      <wpg:grpSp>
                        <wpg:cNvGrpSpPr/>
                        <wpg:grpSpPr>
                          <a:xfrm>
                            <a:off x="4219560" y="219240"/>
                            <a:ext cx="3825720" cy="1666800"/>
                          </a:xfrm>
                        </wpg:grpSpPr>
                        <wps:wsp>
                          <wps:cNvSpPr/>
                          <wps:spPr>
                            <a:xfrm>
                              <a:off x="0" y="0"/>
                              <a:ext cx="2552760" cy="1666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Európa szociális dimenziójának kialakítása a szociális jogok európai pillérével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Egyenlő bérezéssel és nemi kvótával elérni a nemek közötti egyenlőséget az iparágakban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fogyatékossággal élő személyek bevonására irányuló erőfeszítések fokozása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egyenlőtlenségek csökkentése és a hajléktalanság elleni küzdelemre irányuló erőfeszítések fokozása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azonosított marginalizált népesség társadalomba való integrálására és a megkülönböztetés valamennyi formájának leküzdésére irányuló erőfeszítések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kijelentkezéshez való jog gyakorlása</w:t>
                                </w:r>
                              </w:p>
                            </w:txbxContent>
                          </wps:txbx>
                          <wps:bodyPr lIns="90000" rIns="90000" tIns="45000" bIns="45000" anchor="t">
                            <a:noAutofit/>
                          </wps:bodyPr>
                        </wps:wsp>
                        <wps:wsp>
                          <wps:cNvSpPr/>
                          <wps:spPr>
                            <a:xfrm>
                              <a:off x="2561040" y="176400"/>
                              <a:ext cx="1265040" cy="8488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Befogadóbb, társadalmilag igazságosabb Európa</w:t>
                                </w:r>
                              </w:p>
                            </w:txbxContent>
                          </wps:txbx>
                          <wps:bodyPr lIns="90000" rIns="90000" tIns="45000" bIns="45000" anchor="t">
                            <a:noAutofit/>
                          </wps:bodyPr>
                        </wps:wsp>
                      </wpg:grpSp>
                      <wpg:grpSp>
                        <wpg:cNvGrpSpPr/>
                        <wpg:grpSpPr>
                          <a:xfrm>
                            <a:off x="3610080" y="3390840"/>
                            <a:ext cx="4486320" cy="1929600"/>
                          </a:xfrm>
                        </wpg:grpSpPr>
                        <wps:wsp>
                          <wps:cNvSpPr/>
                          <wps:spPr>
                            <a:xfrm>
                              <a:off x="0" y="0"/>
                              <a:ext cx="3058200" cy="19296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Beruházás az oktatásba, kutatásba és fejlesztésbe az európai tudásalapú gazdaság megvalósítása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külső országoktól való ipari és kereskedelmi függőség csökkentése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Alap 8 induló vállalkozása. A kkv-k mint az innováció mozgatórugói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vállalkozások decentralizálása és a helyi kormányzás erősítése a területi egyenlőtlenségek csökkentése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fenntartható turizmus előmozdítása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digitális gazdaság megteremtése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Törekszenek a zöld gazdaságra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vállalkozások ösztönzése és támogatása a zöld átállás megvalósításában, a „zöld mosás” megelőzése mellett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repülőgépipar bővítése az innovatív technológiák élére </w:t>
                                </w:r>
                              </w:p>
                            </w:txbxContent>
                          </wps:txbx>
                          <wps:bodyPr lIns="90000" rIns="90000" tIns="45000" bIns="45000" anchor="t">
                            <a:noAutofit/>
                          </wps:bodyPr>
                        </wps:wsp>
                        <wps:wsp>
                          <wps:cNvSpPr/>
                          <wps:spPr>
                            <a:xfrm>
                              <a:off x="3069000" y="250920"/>
                              <a:ext cx="141732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Innováció – a növekedés fellendítése</w:t>
                                </w:r>
                              </w:p>
                            </w:txbxContent>
                          </wps:txbx>
                          <wps:bodyPr lIns="90000" rIns="90000" tIns="45000" bIns="45000" anchor="t">
                            <a:noAutofit/>
                          </wps:bodyPr>
                        </wps:wsp>
                      </wpg:grpSp>
                    </wpg:wgp>
                  </a:graphicData>
                </a:graphic>
              </wp:anchor>
            </w:drawing>
          </mc:Choice>
          <mc:Fallback>
            <w:pict>
              <v:group id="shape_0" alt="Forme9" style="position:absolute;margin-left:27.2pt;margin-top:40.7pt;width:637.5pt;height:418.95pt" coordorigin="544,814" coordsize="12750,8379">
                <v:group id="shape_0" style="position:absolute;left:10598;top:3741;width:2615;height:2252">
                  <v:shape id="shape_0" stroked="f" o:allowincell="f" style="position:absolute;left:10755;top:3741;width:1457;height:941;mso-wrap-style:none;v-text-anchor:middle" type="_x0000_t75">
                    <v:imagedata r:id="rId987" o:detectmouseclick="t"/>
                    <v:stroke color="#3465a4" joinstyle="round" endcap="flat"/>
                    <w10:wrap type="topAndBottom"/>
                  </v:shape>
                  <v:rect id="shape_0" path="m0,0l-2147483645,0l-2147483645,-2147483646l0,-2147483646xe" stroked="f" o:allowincell="f" style="position:absolute;left:10598;top:4743;width:2614;height:1249;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Erősebb gazdaság, társadalmi igazságosság és munkahelyek</w:t>
                          </w:r>
                        </w:p>
                      </w:txbxContent>
                    </v:textbox>
                    <v:fill o:detectmouseclick="t" on="false"/>
                    <v:stroke color="#3465a4" joinstyle="round" endcap="flat"/>
                    <w10:wrap type="topAndBottom"/>
                  </v:rect>
                </v:group>
                <v:group id="shape_0" style="position:absolute;left:621;top:814;width:6295;height:2832">
                  <v:rect id="shape_0" path="m0,0l-2147483645,0l-2147483645,-2147483646l0,-2147483646xe" fillcolor="#eeeeee" stroked="f" o:allowincell="f" style="position:absolute;left:621;top:814;width:4619;height:2831;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Tárgyalás a szociális párbeszéden és a kollektív tárgyalásokon alapuló megújított szociális szerződésről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Intézkedések bevezetése a növekvő államadósság ellen az EU-ban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EKB megbízatásának megerősítése és bővítése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Annak biztosítása, hogy a helyreállítási tervek szigorúak, hatékonyak és átláthatóak legyenek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kkv-k támogatása és növelése: kulcsfontosságú az EU talpra állásában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jövőbeli pandémiás felkészültségi intézkedések finanszírozása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egészségügyi szakember létszámhiánya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helyi fogyasztás és termelés előmozdítása és azokba való beruházás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vidéki területek újraértékelése a gazdasági fellendülés érdekében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5184;top:1216;width:1732;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Gazdasági fellendülés</w:t>
                          </w:r>
                        </w:p>
                      </w:txbxContent>
                    </v:textbox>
                    <v:fill o:detectmouseclick="t" type="solid" color2="#5cdc71"/>
                    <v:stroke color="#3465a4" joinstyle="round" endcap="flat"/>
                    <w10:wrap type="topAndBottom"/>
                  </v:rect>
                </v:group>
                <v:group id="shape_0" style="position:absolute;left:600;top:3877;width:7395;height:2420">
                  <v:rect id="shape_0" path="m0,0l-2147483645,0l-2147483645,-2147483646l0,-2147483646xe" fillcolor="#eeeeee" stroked="f" o:allowincell="f" style="position:absolute;left:600;top:3877;width:5701;height:241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Uniós szintű feltétel nélküli alapjövedelem bevezetése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Battle (ifjúsági) munkanélküliség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EU-n belüli jövedelmi különbségek és a szegénység elleni küzdelem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szociális védelmi ellátások bevezetésének lehetőségeinek mérése a gazdasági alapok szilárdságához viszonyítva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hosszú távú egészségügyi ellátás kezelése az idősek biztonságának és méltóságának biztosítása, valamint a nemzedékek közötti cserék ösztönzése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nyugdíjpolitikák és a nyugdíjak koordinálása az EU-ban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szociális biztonságra és védelemre vonatkozó uniós minimumszabályok meghatározása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megfizethető lakhatáshoz való hozzáférés biztosítása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Digitális közös társadalombiztosítási kártya bevezetése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6298;top:4177;width:1696;height:13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Szociális védelem és szociális biztonság</w:t>
                          </w:r>
                        </w:p>
                      </w:txbxContent>
                    </v:textbox>
                    <v:fill o:detectmouseclick="t" type="solid" color2="#5cdc71"/>
                    <v:stroke color="#3465a4" joinstyle="round" endcap="flat"/>
                    <w10:wrap type="topAndBottom"/>
                  </v:rect>
                </v:group>
                <v:group id="shape_0" style="position:absolute;left:544;top:6771;width:5233;height:2004">
                  <v:rect id="shape_0" path="m0,0l-2147483645,0l-2147483645,-2147483646l0,-2147483646xe" fillcolor="#eeeeee" stroked="f" o:allowincell="f" style="position:absolute;left:544;top:6771;width:3760;height:2003;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adócsalás elleni küzdelem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európai adószabályok egységesítése a szociális dömping elkerülése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adópolitika harmonizálása a fiskális unió felé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adóparadicsomok elleni küzdelem minimumadóval az EU-ban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uniós fogyasztás előmozdítása az adózás révén</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Adózás az éghajlatváltozás kezelésére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Méltányos adózás a tisztességes kereskedelem előmozdítása érdekében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4283;top:6934;width:1493;height:1635;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Adózás az inkluzív és méltányos gazdaság érdekében</w:t>
                          </w:r>
                        </w:p>
                      </w:txbxContent>
                    </v:textbox>
                    <v:fill o:detectmouseclick="t" type="solid" color2="#5cdc71"/>
                    <v:stroke color="#3465a4" joinstyle="round" endcap="flat"/>
                    <w10:wrap type="topAndBottom"/>
                  </v:rect>
                </v:group>
                <v:group id="shape_0" style="position:absolute;left:7189;top:1159;width:6025;height:2625">
                  <v:rect id="shape_0" path="m0,0l-2147483645,0l-2147483645,-2147483646l0,-2147483646xe" fillcolor="#eeeeee" stroked="f" o:allowincell="f" style="position:absolute;left:7189;top:1159;width:4019;height:262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Európa szociális dimenziójának kialakítása a szociális jogok európai pillérével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Egyenlő bérezéssel és nemi kvótával elérni a nemek közötti egyenlőséget az iparágakban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fogyatékossággal élő személyek bevonására irányuló erőfeszítések fokozása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egyenlőtlenségek csökkentése és a hajléktalanság elleni küzdelemre irányuló erőfeszítések fokozása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azonosított marginalizált népesség társadalomba való integrálására és a megkülönböztetés valamennyi formájának leküzdésére irányuló erőfeszítések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kijelentkezéshez való jog gyakorlása</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11222;top:1437;width:1991;height:133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Befogadóbb, társadalmilag igazságosabb Európa</w:t>
                          </w:r>
                        </w:p>
                      </w:txbxContent>
                    </v:textbox>
                    <v:fill o:detectmouseclick="t" type="solid" color2="#5cdc71"/>
                    <v:stroke color="#3465a4" joinstyle="round" endcap="flat"/>
                    <w10:wrap type="topAndBottom"/>
                  </v:rect>
                </v:group>
                <v:group id="shape_0" style="position:absolute;left:6229;top:6154;width:7065;height:3039">
                  <v:rect id="shape_0" path="m0,0l-2147483645,0l-2147483645,-2147483646l0,-2147483646xe" fillcolor="#eeeeee" stroked="f" o:allowincell="f" style="position:absolute;left:6229;top:6154;width:4815;height:30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Beruházás az oktatásba, kutatásba és fejlesztésbe az európai tudásalapú gazdaság megvalósítása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külső országoktól való ipari és kereskedelmi függőség csökkentése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Alap 8 induló vállalkozása. A kkv-k mint az innováció mozgatórugói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vállalkozások decentralizálása és a helyi kormányzás erősítése a területi egyenlőtlenségek csökkentése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fenntartható turizmus előmozdítása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digitális gazdaság megteremtése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Törekszenek a zöld gazdaságra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vállalkozások ösztönzése és támogatása a zöld átállás megvalósításában, a „zöld mosás” megelőzése mellett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repülőgépipar bővítése az innovatív technológiák élére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11062;top:6549;width:2231;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Innováció – a növekedés fellendítése</w:t>
                          </w:r>
                        </w:p>
                      </w:txbxContent>
                    </v:textbox>
                    <v:fill o:detectmouseclick="t" type="solid" color2="#5cdc71"/>
                    <v:stroke color="#3465a4" joinstyle="round" endcap="flat"/>
                    <w10:wrap type="topAndBottom"/>
                  </v:rect>
                </v:group>
              </v:group>
            </w:pict>
          </mc:Fallback>
        </mc:AlternateContent>
      </w:r>
    </w:p>
    <w:p>
      <w:pPr>
        <w:pStyle w:val="Normal"/>
        <w:jc w:val="left"/>
        <w:rPr/>
      </w:pPr>
      <w:r>
        <w:rPr/>
      </w:r>
    </w:p>
    <w:p>
      <w:pPr>
        <w:pStyle w:val="Normal"/>
        <w:jc w:val="left"/>
        <w:rPr/>
      </w:pPr>
      <w:r>
        <w:rPr/>
        <mc:AlternateContent>
          <mc:Choice Requires="wps">
            <w:drawing>
              <wp:anchor behindDoc="0" distT="0" distB="0" distL="0" distR="0" simplePos="0" locked="0" layoutInCell="0" allowOverlap="1" relativeHeight="103">
                <wp:simplePos x="0" y="0"/>
                <wp:positionH relativeFrom="column">
                  <wp:posOffset>252095</wp:posOffset>
                </wp:positionH>
                <wp:positionV relativeFrom="paragraph">
                  <wp:posOffset>36195</wp:posOffset>
                </wp:positionV>
                <wp:extent cx="8163560" cy="5448935"/>
                <wp:effectExtent l="0" t="0" r="0" b="0"/>
                <wp:wrapTopAndBottom/>
                <wp:docPr id="72" name="Cadre16 – Videó letöltés mp3-ban"/>
                <a:graphic xmlns:a="http://schemas.openxmlformats.org/drawingml/2006/main">
                  <a:graphicData uri="http://schemas.microsoft.com/office/word/2010/wordprocessingShape">
                    <wps:wsp>
                      <wps:cNvSpPr/>
                      <wps:spPr>
                        <a:xfrm>
                          <a:off x="0" y="0"/>
                          <a:ext cx="8163720" cy="544896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Ábra. Az „Erősebb gazdaság, társadalmi igazságosság és munkahelyek” témakör, 2. rész</w:t>
                            </w:r>
                          </w:p>
                        </w:txbxContent>
                      </wps:txbx>
                      <wps:bodyPr lIns="0" rIns="0" tIns="0" bIns="0" anchor="t">
                        <a:noAutofit/>
                      </wps:bodyPr>
                    </wps:wsp>
                  </a:graphicData>
                </a:graphic>
              </wp:anchor>
            </w:drawing>
          </mc:Choice>
          <mc:Fallback>
            <w:pict>
              <v:rect id="shape_0" ID="Cadre16 – Videó letöltés mp3-ban" path="m0,0l-2147483645,0l-2147483645,-2147483646l0,-2147483646xe" fillcolor="white" stroked="f" o:allowincell="f" style="position:absolute;margin-left:19.85pt;margin-top:2.85pt;width:642.75pt;height:429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Ábra. Az „Erősebb gazdaság, társadalmi igazságosság és munkahelyek” témakör, 2. rész</w:t>
                      </w:r>
                    </w:p>
                  </w:txbxContent>
                </v:textbox>
                <w10:wrap type="topAndBottom"/>
              </v:rect>
            </w:pict>
          </mc:Fallback>
        </mc:AlternateContent>
        <mc:AlternateContent>
          <mc:Choice Requires="wpg">
            <w:drawing>
              <wp:anchor behindDoc="0" distT="0" distB="0" distL="0" distR="0" simplePos="0" locked="0" layoutInCell="0" allowOverlap="1" relativeHeight="105">
                <wp:simplePos x="0" y="0"/>
                <wp:positionH relativeFrom="column">
                  <wp:posOffset>196215</wp:posOffset>
                </wp:positionH>
                <wp:positionV relativeFrom="paragraph">
                  <wp:posOffset>476885</wp:posOffset>
                </wp:positionV>
                <wp:extent cx="7986395" cy="5273040"/>
                <wp:effectExtent l="635" t="0" r="0" b="0"/>
                <wp:wrapTopAndBottom/>
                <wp:docPr id="74" name="Forme10"/>
                <a:graphic xmlns:a="http://schemas.openxmlformats.org/drawingml/2006/main">
                  <a:graphicData uri="http://schemas.microsoft.com/office/word/2010/wordprocessingGroup">
                    <wpg:wgp>
                      <wpg:cNvGrpSpPr/>
                      <wpg:grpSpPr>
                        <a:xfrm>
                          <a:off x="0" y="0"/>
                          <a:ext cx="7986240" cy="5272920"/>
                          <a:chOff x="0" y="0"/>
                          <a:chExt cx="7986240" cy="5272920"/>
                        </a:xfrm>
                      </wpg:grpSpPr>
                      <wpg:grpSp>
                        <wpg:cNvGrpSpPr/>
                        <wpg:grpSpPr>
                          <a:xfrm>
                            <a:off x="98280" y="1825560"/>
                            <a:ext cx="1825560" cy="1579320"/>
                          </a:xfrm>
                        </wpg:grpSpPr>
                        <pic:pic xmlns:pic="http://schemas.openxmlformats.org/drawingml/2006/picture">
                          <pic:nvPicPr>
                            <pic:cNvPr id="14" name="" descr=""/>
                            <pic:cNvPicPr/>
                          </pic:nvPicPr>
                          <pic:blipFill>
                            <a:blip r:embed="rId988"/>
                            <a:stretch/>
                          </pic:blipFill>
                          <pic:spPr>
                            <a:xfrm>
                              <a:off x="109440" y="0"/>
                              <a:ext cx="1018440" cy="739080"/>
                            </a:xfrm>
                            <a:prstGeom prst="rect">
                              <a:avLst/>
                            </a:prstGeom>
                            <a:ln w="0">
                              <a:noFill/>
                            </a:ln>
                          </pic:spPr>
                        </pic:pic>
                        <wps:wsp>
                          <wps:cNvSpPr/>
                          <wps:spPr>
                            <a:xfrm>
                              <a:off x="0" y="785520"/>
                              <a:ext cx="1825560" cy="79380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Erősebb gazdaság, társadalmi igazságosság és munkahelyek</w:t>
                                </w:r>
                              </w:p>
                            </w:txbxContent>
                          </wps:txbx>
                          <wps:bodyPr lIns="90000" rIns="90000" tIns="45000" bIns="45000" anchor="t">
                            <a:noAutofit/>
                          </wps:bodyPr>
                        </wps:wsp>
                      </wpg:grpSp>
                      <wpg:grpSp>
                        <wpg:cNvGrpSpPr/>
                        <wpg:grpSpPr>
                          <a:xfrm>
                            <a:off x="0" y="0"/>
                            <a:ext cx="3971880" cy="1929600"/>
                          </a:xfrm>
                        </wpg:grpSpPr>
                        <wps:wsp>
                          <wps:cNvSpPr/>
                          <wps:spPr>
                            <a:xfrm>
                              <a:off x="0" y="337680"/>
                              <a:ext cx="1524600" cy="8488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európai egységes piac további erősítése</w:t>
                                </w:r>
                              </w:p>
                            </w:txbxContent>
                          </wps:txbx>
                          <wps:bodyPr lIns="90000" rIns="90000" tIns="45000" bIns="45000" anchor="t">
                            <a:noAutofit/>
                          </wps:bodyPr>
                        </wps:wsp>
                        <wps:wsp>
                          <wps:cNvSpPr/>
                          <wps:spPr>
                            <a:xfrm>
                              <a:off x="1509480" y="0"/>
                              <a:ext cx="2462400" cy="19296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uniós gazdaságpolitikák fejlesztésének folytatása a gazdasági integráció elmélyítése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helyi ipari ökoszisztémák összekapcsolása Európa-szerte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gyártó cégek visszahozása az EU-ba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Stratégiai autonómia létrehozása a kulcsfontosságú iparágakban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európai vállalatok Európán kívüli székhellyel rendelkező vállalatok általi átvételének megakadályozása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Közlekedési és energiahálózatok létrehozása az EU-ban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Közös adók bevezetése az EU-n belüli egyenlőtlenségek áthidalása érdekében </w:t>
                                </w:r>
                              </w:p>
                            </w:txbxContent>
                          </wps:txbx>
                          <wps:bodyPr lIns="90000" rIns="90000" tIns="45000" bIns="45000" anchor="t">
                            <a:noAutofit/>
                          </wps:bodyPr>
                        </wps:wsp>
                      </wpg:grpSp>
                      <wpg:grpSp>
                        <wpg:cNvGrpSpPr/>
                        <wpg:grpSpPr>
                          <a:xfrm>
                            <a:off x="98280" y="3211920"/>
                            <a:ext cx="5011560" cy="2061360"/>
                          </a:xfrm>
                        </wpg:grpSpPr>
                        <wps:wsp>
                          <wps:cNvSpPr/>
                          <wps:spPr>
                            <a:xfrm>
                              <a:off x="0" y="495360"/>
                              <a:ext cx="202104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jelenlegi gazdasági modell megkérdőjelezése</w:t>
                                </w:r>
                              </w:p>
                            </w:txbxContent>
                          </wps:txbx>
                          <wps:bodyPr lIns="90000" rIns="90000" tIns="45000" bIns="45000" anchor="t">
                            <a:noAutofit/>
                          </wps:bodyPr>
                        </wps:wsp>
                        <wps:wsp>
                          <wps:cNvSpPr/>
                          <wps:spPr>
                            <a:xfrm>
                              <a:off x="1988280" y="0"/>
                              <a:ext cx="3023280" cy="20613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európai iparágak nyersanyag- és feldolgozottáru-ellátási forrásainak diverzifikálása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gazdasági modellen belüli GDP-intézkedések kiegészítésére szolgáló egyéb mutatók beillesztése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Harmadik szektorbeli szervezetek bevonása a szociális jóléttel és a területi kohézióval kapcsolatos programok végrehajtására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Szén-dioxid-hitelkártya-rendszer bevezetése a légi közlekedésben, és felhívni a figyelmet arra, hogy a különböző közlekedési módok között hogyan különböznek a szénlábnyomok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Liberalizálja a gazdaságot, csökkentse a bürokráciát és az alacsonyabb és közepes osztályok adóit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 gazdasági kormányzási modelljének reformja egy inkluzív és méltányos európai jólét elérése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Elmozdulás a körforgásos gazdaság felé </w:t>
                                </w:r>
                              </w:p>
                            </w:txbxContent>
                          </wps:txbx>
                          <wps:bodyPr lIns="90000" rIns="90000" tIns="45000" bIns="45000" anchor="t">
                            <a:noAutofit/>
                          </wps:bodyPr>
                        </wps:wsp>
                      </wpg:grpSp>
                      <wpg:grpSp>
                        <wpg:cNvGrpSpPr/>
                        <wpg:grpSpPr>
                          <a:xfrm>
                            <a:off x="4455720" y="1883520"/>
                            <a:ext cx="3530520" cy="1931040"/>
                          </a:xfrm>
                        </wpg:grpSpPr>
                        <wps:wsp>
                          <wps:cNvSpPr/>
                          <wps:spPr>
                            <a:xfrm>
                              <a:off x="0" y="126720"/>
                              <a:ext cx="109908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Növelje a munkahelyeket</w:t>
                                </w:r>
                              </w:p>
                            </w:txbxContent>
                          </wps:txbx>
                          <wps:bodyPr lIns="90000" rIns="90000" tIns="45000" bIns="45000" anchor="t">
                            <a:noAutofit/>
                          </wps:bodyPr>
                        </wps:wsp>
                        <wps:wsp>
                          <wps:cNvSpPr/>
                          <wps:spPr>
                            <a:xfrm>
                              <a:off x="1149480" y="0"/>
                              <a:ext cx="2381400" cy="19310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munkahelyhez vezető út megkönnyítése az EU-ban, különösen a belépő szintű ifjúsági munkanélküliség elleni küzdelem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egyetemi képesítések hozzáigazítása a munkaerőpiachoz a diákok foglalkoztathatóságának javítása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szakképzett munkaerő hiányának kezelése a munkaerőpiac digitalizálása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Vezesse be a „”ex working" (munkarész az irodai rész távolról)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fiatalok ösztönzése manuális és kézműves munkák folytatására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adó- és munkaügyi politikák egyszerűsítése az EU-ban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fiatal mezőgazdasági termelők támogatása és a bevált gyakorlatok megosztásának ösztönzése </w:t>
                                </w:r>
                              </w:p>
                            </w:txbxContent>
                          </wps:txbx>
                          <wps:bodyPr lIns="90000" rIns="90000" tIns="45000" bIns="45000" anchor="t">
                            <a:noAutofit/>
                          </wps:bodyPr>
                        </wps:wsp>
                      </wpg:grpSp>
                    </wpg:wgp>
                  </a:graphicData>
                </a:graphic>
              </wp:anchor>
            </w:drawing>
          </mc:Choice>
          <mc:Fallback>
            <w:pict>
              <v:group id="shape_0" alt="Forme10" style="position:absolute;margin-left:15.45pt;margin-top:37.55pt;width:628.85pt;height:415.25pt" coordorigin="309,751" coordsize="12577,8305">
                <v:group id="shape_0" style="position:absolute;left:464;top:3626;width:2875;height:2487">
                  <v:shape id="shape_0" stroked="f" o:allowincell="f" style="position:absolute;left:636;top:3626;width:1603;height:1163;mso-wrap-style:none;v-text-anchor:middle" type="_x0000_t75">
                    <v:imagedata r:id="rId987" o:detectmouseclick="t"/>
                    <v:stroke color="#3465a4" joinstyle="round" endcap="flat"/>
                    <w10:wrap type="topAndBottom"/>
                  </v:shape>
                  <v:rect id="shape_0" path="m0,0l-2147483645,0l-2147483645,-2147483646l0,-2147483646xe" stroked="f" o:allowincell="f" style="position:absolute;left:464;top:4863;width:2874;height:1249;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Erősebb gazdaság, társadalmi igazságosság és munkahelyek</w:t>
                          </w:r>
                        </w:p>
                      </w:txbxContent>
                    </v:textbox>
                    <v:fill o:detectmouseclick="t" on="false"/>
                    <v:stroke color="#3465a4" joinstyle="round" endcap="flat"/>
                    <w10:wrap type="topAndBottom"/>
                  </v:rect>
                </v:group>
                <v:group id="shape_0" style="position:absolute;left:309;top:751;width:6255;height:3039">
                  <v:rect id="shape_0" path="m0,0l-2147483645,0l-2147483645,-2147483646l0,-2147483646xe" fillcolor="#a3238e" stroked="t" o:allowincell="f" style="position:absolute;left:309;top:1283;width:2400;height:133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európai egységes piac további erősítése</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2686;top:751;width:3877;height:30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uniós gazdaságpolitikák fejlesztésének folytatása a gazdasági integráció elmélyítése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helyi ipari ökoszisztémák összekapcsolása Európa-szerte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gyártó cégek visszahozása az EU-ba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Stratégiai autonómia létrehozása a kulcsfontosságú iparágakban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európai vállalatok Európán kívüli székhellyel rendelkező vállalatok általi átvételének megakadályozása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Közlekedési és energiahálózatok létrehozása az EU-ban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Közös adók bevezetése az EU-n belüli egyenlőtlenségek áthidalása érdekében </w:t>
                          </w:r>
                        </w:p>
                      </w:txbxContent>
                    </v:textbox>
                    <v:fill o:detectmouseclick="t" type="solid" color2="#111111"/>
                    <v:stroke color="#3465a4" joinstyle="round" endcap="flat"/>
                    <w10:wrap type="topAndBottom"/>
                  </v:rect>
                </v:group>
                <v:group id="shape_0" style="position:absolute;left:464;top:5809;width:7892;height:3246">
                  <v:rect id="shape_0" path="m0,0l-2147483645,0l-2147483645,-2147483646l0,-2147483646xe" fillcolor="#a3238e" stroked="t" o:allowincell="f" style="position:absolute;left:464;top:6589;width:3182;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jelenlegi gazdasági modell megkérdőjelezése</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595;top:5809;width:4760;height:3245;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európai iparágak nyersanyag- és feldolgozottáru-ellátási forrásainak diverzifikálása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gazdasági modellen belüli GDP-intézkedések kiegészítésére szolgáló egyéb mutatók beillesztése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Harmadik szektorbeli szervezetek bevonása a szociális jóléttel és a területi kohézióval kapcsolatos programok végrehajtására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Szén-dioxid-hitelkártya-rendszer bevezetése a légi közlekedésben, és felhívni a figyelmet arra, hogy a különböző közlekedési módok között hogyan különböznek a szénlábnyomok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Liberalizálja a gazdaságot, csökkentse a bürokráciát és az alacsonyabb és közepes osztályok adóit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 gazdasági kormányzási modelljének reformja egy inkluzív és méltányos európai jólét elérése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Elmozdulás a körforgásos gazdaság felé </w:t>
                          </w:r>
                        </w:p>
                      </w:txbxContent>
                    </v:textbox>
                    <v:fill o:detectmouseclick="t" type="solid" color2="#111111"/>
                    <v:stroke color="#3465a4" joinstyle="round" endcap="flat"/>
                    <w10:wrap type="topAndBottom"/>
                  </v:rect>
                </v:group>
                <v:group id="shape_0" style="position:absolute;left:7326;top:3717;width:5560;height:3041">
                  <v:rect id="shape_0" path="m0,0l-2147483645,0l-2147483645,-2147483646l0,-2147483646xe" fillcolor="#a3238e" stroked="t" o:allowincell="f" style="position:absolute;left:7326;top:3917;width:1730;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Növelje a munkahelyeket</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136;top:3717;width:3749;height:304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munkahelyhez vezető út megkönnyítése az EU-ban, különösen a belépő szintű ifjúsági munkanélküliség elleni küzdelem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egyetemi képesítések hozzáigazítása a munkaerőpiachoz a diákok foglalkoztathatóságának javítása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szakképzett munkaerő hiányának kezelése a munkaerőpiac digitalizálása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Vezesse be a „”ex working" (munkarész az irodai rész távolról)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fiatalok ösztönzése manuális és kézműves munkák folytatására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adó- és munkaügyi politikák egyszerűsítése az EU-ban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fiatal mezőgazdasági termelők támogatása és a bevált gyakorlatok megosztásának ösztönzése </w:t>
                          </w:r>
                        </w:p>
                      </w:txbxContent>
                    </v:textbox>
                    <v:fill o:detectmouseclick="t" type="solid" color2="#111111"/>
                    <v:stroke color="#3465a4" joinstyle="round" endcap="flat"/>
                    <w10:wrap type="topAndBottom"/>
                  </v:rect>
                </v:group>
              </v:group>
            </w:pict>
          </mc:Fallback>
        </mc:AlternateContent>
      </w:r>
    </w:p>
    <w:p>
      <w:pPr>
        <w:sectPr>
          <w:headerReference w:type="default" r:id="rId989"/>
          <w:footerReference w:type="default" r:id="rId990"/>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Normal"/>
        <w:jc w:val="left"/>
        <w:rPr/>
      </w:pPr>
      <w:r>
        <w:rPr/>
        <w:drawing>
          <wp:anchor behindDoc="0" distT="0" distB="0" distL="0" distR="0" simplePos="0" locked="0" layoutInCell="0" allowOverlap="1" relativeHeight="106">
            <wp:simplePos x="0" y="0"/>
            <wp:positionH relativeFrom="column">
              <wp:align>center</wp:align>
            </wp:positionH>
            <wp:positionV relativeFrom="paragraph">
              <wp:posOffset>635</wp:posOffset>
            </wp:positionV>
            <wp:extent cx="2970530" cy="2000885"/>
            <wp:effectExtent l="0" t="0" r="0" b="0"/>
            <wp:wrapSquare wrapText="largest"/>
            <wp:docPr id="75" name="Kép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Kép34" descr=""/>
                    <pic:cNvPicPr>
                      <a:picLocks noChangeAspect="1" noChangeArrowheads="1"/>
                    </pic:cNvPicPr>
                  </pic:nvPicPr>
                  <pic:blipFill>
                    <a:blip r:embed="rId991"/>
                    <a:stretch>
                      <a:fillRect/>
                    </a:stretch>
                  </pic:blipFill>
                  <pic:spPr bwMode="auto">
                    <a:xfrm>
                      <a:off x="0" y="0"/>
                      <a:ext cx="2970530" cy="2000885"/>
                    </a:xfrm>
                    <a:prstGeom prst="rect">
                      <a:avLst/>
                    </a:prstGeom>
                  </pic:spPr>
                </pic:pic>
              </a:graphicData>
            </a:graphic>
          </wp:anchor>
        </w:drawing>
      </w:r>
    </w:p>
    <w:p>
      <w:pPr>
        <w:pStyle w:val="Titre1"/>
        <w:numPr>
          <w:ilvl w:val="0"/>
          <w:numId w:val="1"/>
        </w:numPr>
        <w:rPr/>
      </w:pPr>
      <w:bookmarkStart w:id="55" w:name="__RefHeading___Toc86433_2514204080"/>
      <w:bookmarkEnd w:id="55"/>
      <w:r>
        <w:rPr/>
        <w:t>5. Az EU a világban</w:t>
      </w:r>
    </w:p>
    <w:p>
      <w:pPr>
        <w:pStyle w:val="Normal"/>
        <w:jc w:val="left"/>
        <w:rPr/>
      </w:pPr>
      <w:r>
        <w:rPr/>
        <w:t xml:space="preserve">Az EU témájában a világban közzétett ötletek a kül- és biztonságpolitikához kapcsolódó különböző témákat fednek le, a kereskedelemtől és a puha hatalom különböző egyéb szempontjaitól kezdve a védelemig. Összességében a leggyakrabban visszatérő témák szükségessé teszik az EU erőteljesebb jelenlétét a globális politikai színtéren: szomszédságpolitikájában, valamint például az afrikai, csendes-óceáni és latin-amerikai országokkal fenntartott kapcsolatokban. A platform résztvevői úgy vélik, hogy az EU-nak merészebbnek kell lennie mind a puha, mind a kemény hatalom gyakorlásában. A platform megalakulása óta ez a téma összesen 3 695 hozzászólást, azaz 1448 ötletet, 1 768 hozzászólást és 479 eseményt eredményezett. A különböző ötletek a következő témák szerint csoportosíthatók: </w:t>
      </w:r>
    </w:p>
    <w:p>
      <w:pPr>
        <w:pStyle w:val="Normal"/>
        <w:jc w:val="left"/>
        <w:rPr/>
      </w:pPr>
      <w:r>
        <w:rPr/>
      </w:r>
    </w:p>
    <w:p>
      <w:pPr>
        <w:pStyle w:val="Normal"/>
        <w:jc w:val="left"/>
        <w:rPr/>
      </w:pPr>
      <w:r>
        <w:rPr/>
      </w:r>
    </w:p>
    <w:p>
      <w:pPr>
        <w:pStyle w:val="P68B1DB1Normal4"/>
        <w:jc w:val="left"/>
        <w:rPr>
          <w:b/>
          <w:b/>
        </w:rPr>
      </w:pPr>
      <w:r>
        <w:rPr/>
        <w:t xml:space="preserve">• </w:t>
      </w:r>
      <w:r>
        <w:rPr/>
        <w:t xml:space="preserve">Az EU külpolitikájának általános célkitűzései </w:t>
      </w:r>
    </w:p>
    <w:p>
      <w:pPr>
        <w:pStyle w:val="P68B1DB1Normal4"/>
        <w:jc w:val="left"/>
        <w:rPr>
          <w:b/>
          <w:b/>
        </w:rPr>
      </w:pPr>
      <w:r>
        <w:rPr/>
        <w:t xml:space="preserve">• </w:t>
      </w:r>
      <w:r>
        <w:rPr/>
        <w:t xml:space="preserve">Védelmi és fegyveres erők </w:t>
      </w:r>
    </w:p>
    <w:p>
      <w:pPr>
        <w:pStyle w:val="P68B1DB1Normal4"/>
        <w:jc w:val="left"/>
        <w:rPr>
          <w:b/>
          <w:b/>
        </w:rPr>
      </w:pPr>
      <w:r>
        <w:rPr/>
        <w:t xml:space="preserve">• </w:t>
      </w:r>
      <w:r>
        <w:rPr/>
        <w:t xml:space="preserve">Döntéshozatal </w:t>
      </w:r>
    </w:p>
    <w:p>
      <w:pPr>
        <w:pStyle w:val="P68B1DB1Normal4"/>
        <w:jc w:val="left"/>
        <w:rPr>
          <w:b/>
          <w:b/>
        </w:rPr>
      </w:pPr>
      <w:r>
        <w:rPr/>
        <w:t xml:space="preserve">• </w:t>
      </w:r>
      <w:r>
        <w:rPr/>
        <w:t xml:space="preserve">Szomszédságpolitika és a másokkal fenntartott kapcsolatok </w:t>
      </w:r>
    </w:p>
    <w:p>
      <w:pPr>
        <w:pStyle w:val="P68B1DB1Normal4"/>
        <w:jc w:val="left"/>
        <w:rPr>
          <w:b/>
          <w:b/>
        </w:rPr>
      </w:pPr>
      <w:r>
        <w:rPr/>
        <w:t xml:space="preserve">• </w:t>
      </w:r>
      <w:r>
        <w:rPr/>
        <w:t xml:space="preserve">Bővítés </w:t>
      </w:r>
    </w:p>
    <w:p>
      <w:pPr>
        <w:pStyle w:val="P68B1DB1Normal4"/>
        <w:jc w:val="left"/>
        <w:rPr>
          <w:b/>
          <w:b/>
        </w:rPr>
      </w:pPr>
      <w:r>
        <w:rPr/>
        <w:t xml:space="preserve">• </w:t>
      </w:r>
      <w:r>
        <w:rPr/>
        <w:t xml:space="preserve">Kereskedelempolitika </w:t>
      </w:r>
    </w:p>
    <w:p>
      <w:pPr>
        <w:pStyle w:val="Normal"/>
        <w:jc w:val="left"/>
        <w:rPr>
          <w:b/>
          <w:b/>
        </w:rPr>
      </w:pPr>
      <w:r>
        <w:br w:type="column"/>
      </w:r>
      <w:r>
        <w:rPr>
          <w:b/>
        </w:rPr>
      </w:r>
    </w:p>
    <w:p>
      <w:pPr>
        <w:pStyle w:val="Titre2"/>
        <w:numPr>
          <w:ilvl w:val="1"/>
          <w:numId w:val="1"/>
        </w:numPr>
        <w:pBdr>
          <w:top w:val="single" w:sz="2" w:space="3" w:color="000000"/>
          <w:left w:val="single" w:sz="2" w:space="3" w:color="000000"/>
          <w:bottom w:val="single" w:sz="2" w:space="3" w:color="000000"/>
          <w:right w:val="single" w:sz="2" w:space="3" w:color="000000"/>
        </w:pBdr>
        <w:jc w:val="left"/>
        <w:rPr/>
      </w:pPr>
      <w:bookmarkStart w:id="56" w:name="__RefHeading___Toc86435_2514204080"/>
      <w:bookmarkEnd w:id="56"/>
      <w:r>
        <w:rPr/>
        <w:t xml:space="preserve">Események </w:t>
      </w:r>
    </w:p>
    <w:p>
      <w:pPr>
        <w:pStyle w:val="Normal"/>
        <w:pBdr>
          <w:top w:val="single" w:sz="2" w:space="3" w:color="000000"/>
          <w:left w:val="single" w:sz="2" w:space="3" w:color="000000"/>
          <w:bottom w:val="single" w:sz="2" w:space="3" w:color="000000"/>
          <w:right w:val="single" w:sz="2" w:space="3" w:color="000000"/>
        </w:pBdr>
        <w:jc w:val="left"/>
        <w:rPr/>
      </w:pPr>
      <w:r>
        <w:rPr/>
        <w:t xml:space="preserve">Az EU keretében a világ témájában a közelmúltban szervezett eseményeket nagyban befolyásolta a radikálisan eltérő geopolitikai környezet, amelyet Oroszország Ukrajna megszállása határoz meg. </w:t>
      </w:r>
    </w:p>
    <w:p>
      <w:pPr>
        <w:pStyle w:val="Normal"/>
        <w:pBdr>
          <w:top w:val="single" w:sz="2" w:space="3" w:color="000000"/>
          <w:left w:val="single" w:sz="2" w:space="3" w:color="000000"/>
          <w:bottom w:val="single" w:sz="2" w:space="3" w:color="000000"/>
          <w:right w:val="single" w:sz="2" w:space="3" w:color="000000"/>
        </w:pBdr>
        <w:jc w:val="left"/>
        <w:rPr/>
      </w:pPr>
      <w:r>
        <w:rPr/>
        <w:t>A konfliktus kitörése több esemény megszervezéséhez vezetett az EU szerepéről, valamint az Ukrajnával és Oroszországgal fennálló gazdasági és diplomáciai kapcsolatairól. Ez volt a helyzet egy németországi, 64 fős online rendezvényen (lásd az</w:t>
      </w:r>
      <w:hyperlink r:id="rId992">
        <w:r>
          <w:rPr>
            <w:rStyle w:val="LienInternet"/>
          </w:rPr>
          <w:t xml:space="preserve"> </w:t>
        </w:r>
      </w:hyperlink>
      <w:hyperlink r:id="rId993">
        <w:r>
          <w:rPr>
            <w:rStyle w:val="LienInternet"/>
          </w:rPr>
          <w:t>eseményt</w:t>
        </w:r>
      </w:hyperlink>
      <w:r>
        <w:rPr/>
        <w:t xml:space="preserve">), ahol a résztvevők két uniós képviselőt kérdeztek meg többek között az EU jelenlegi konfliktussal kapcsolatos külpolitikai álláspontjáról és az Oroszország elleni uniós szankciók hatásairól. Egy másik franciaországi online rendezvényen a résztvevők eszmecserét folytattak egy uniós képviselővel arról, hogy miként lehetne csökkenteni az EU orosz gázellátástól való függőségét (lásd az </w:t>
      </w:r>
      <w:hyperlink r:id="rId994">
        <w:r>
          <w:rPr>
            <w:rStyle w:val="LienInternet"/>
          </w:rPr>
          <w:t>eseményt</w:t>
        </w:r>
      </w:hyperlink>
      <w:r>
        <w:rPr/>
        <w:t>). A háború újra felkeltette érdeklődését olyan témák iránt is, mint a közös védelem és az EU bővítése, amelyeket néhány eseményen megvitattak. Például egy lengyelországi munkaértekezlet különösen az EU bővítésének előmozdításának szükségességét tárgyalta (lásd az</w:t>
      </w:r>
      <w:hyperlink r:id="rId995">
        <w:r>
          <w:rPr>
            <w:rStyle w:val="LienInternet"/>
          </w:rPr>
          <w:t xml:space="preserve"> </w:t>
        </w:r>
      </w:hyperlink>
      <w:hyperlink r:id="rId996">
        <w:r>
          <w:rPr>
            <w:rStyle w:val="LienInternet"/>
          </w:rPr>
          <w:t>eseményt</w:t>
        </w:r>
      </w:hyperlink>
      <w:r>
        <w:rPr/>
        <w:t xml:space="preserve">). </w:t>
      </w:r>
    </w:p>
    <w:p>
      <w:pPr>
        <w:pStyle w:val="Normal"/>
        <w:pBdr>
          <w:top w:val="single" w:sz="2" w:space="3" w:color="000000"/>
          <w:left w:val="single" w:sz="2" w:space="3" w:color="000000"/>
          <w:bottom w:val="single" w:sz="2" w:space="3" w:color="000000"/>
          <w:right w:val="single" w:sz="2" w:space="3" w:color="000000"/>
        </w:pBdr>
        <w:jc w:val="left"/>
        <w:rPr/>
      </w:pPr>
      <w:r>
        <w:rPr/>
        <w:t>Más rendezvényeket is szerveztek, például az Európa jövőjéről szóló konferencia (lásd az</w:t>
      </w:r>
      <w:hyperlink r:id="rId997">
        <w:r>
          <w:rPr>
            <w:rStyle w:val="LienInternet"/>
          </w:rPr>
          <w:t xml:space="preserve"> </w:t>
        </w:r>
      </w:hyperlink>
      <w:hyperlink r:id="rId998">
        <w:r>
          <w:rPr>
            <w:rStyle w:val="LienInternet"/>
          </w:rPr>
          <w:t>eseményt)</w:t>
        </w:r>
      </w:hyperlink>
      <w:r>
        <w:rPr/>
        <w:t xml:space="preserve"> részeként Spanyolországban a migrációval, a rasszizmussal és az EU és Afrika közötti kapcsolatokkal foglalkozó fórumot szerveztek. </w:t>
      </w:r>
    </w:p>
    <w:p>
      <w:pPr>
        <w:pStyle w:val="Normal"/>
        <w:jc w:val="left"/>
        <w:rPr/>
      </w:pPr>
      <w:r>
        <w:rPr/>
      </w:r>
    </w:p>
    <w:p>
      <w:pPr>
        <w:pStyle w:val="Normal"/>
        <w:jc w:val="left"/>
        <w:rPr/>
      </w:pPr>
      <w:r>
        <w:rPr/>
      </w:r>
      <w:r>
        <w:br w:type="page"/>
      </w:r>
    </w:p>
    <w:p>
      <w:pPr>
        <w:pStyle w:val="Titre2"/>
        <w:numPr>
          <w:ilvl w:val="1"/>
          <w:numId w:val="1"/>
        </w:numPr>
        <w:jc w:val="left"/>
        <w:rPr/>
      </w:pPr>
      <w:bookmarkStart w:id="57" w:name="__RefHeading___Toc86437_2514204080"/>
      <w:bookmarkEnd w:id="57"/>
      <w:r>
        <w:rPr/>
        <w:t>Az EU külpolitikájának általános célkitűzései</w:t>
      </w:r>
    </w:p>
    <w:p>
      <w:pPr>
        <w:pStyle w:val="Normal"/>
        <w:jc w:val="left"/>
        <w:rPr/>
      </w:pPr>
      <w:r>
        <w:rPr/>
        <w:t>Az EU keretében a világ témájában tett számos hozzájárulás azt szeretné, ha az EU megerősítené globális szereplőként betöltött szerepét és hozzájáruljon a globális multilateralizmushoz, valamint védje meg a demokráciát és használja puha hatalmát a tekintélyelvűség világméretű terjedése ellen (lásd például az</w:t>
      </w:r>
      <w:hyperlink r:id="rId999">
        <w:r>
          <w:rPr>
            <w:rStyle w:val="LienInternet"/>
          </w:rPr>
          <w:t xml:space="preserve"> </w:t>
        </w:r>
      </w:hyperlink>
      <w:hyperlink r:id="rId1000">
        <w:r>
          <w:rPr>
            <w:rStyle w:val="LienInternet"/>
          </w:rPr>
          <w:t>ötletet</w:t>
        </w:r>
      </w:hyperlink>
      <w:r>
        <w:rPr/>
        <w:t>). Ezeknek az elképzeléseknek a többsége egy egységesebb EU-ra törekszik a globális kihívásokkal szemben, mint például az emberi jogok megsértése és az éghajlatváltozás (lásd például az</w:t>
      </w:r>
      <w:hyperlink r:id="rId1001">
        <w:r>
          <w:rPr>
            <w:rStyle w:val="LienInternet"/>
          </w:rPr>
          <w:t xml:space="preserve"> </w:t>
        </w:r>
      </w:hyperlink>
      <w:hyperlink r:id="rId1002">
        <w:r>
          <w:rPr>
            <w:rStyle w:val="LienInternet"/>
          </w:rPr>
          <w:t>ötletet</w:t>
        </w:r>
      </w:hyperlink>
      <w:r>
        <w:rPr/>
        <w:t xml:space="preserve">). </w:t>
      </w:r>
    </w:p>
    <w:p>
      <w:pPr>
        <w:pStyle w:val="Normal"/>
        <w:jc w:val="left"/>
        <w:rPr/>
      </w:pPr>
      <w:r>
        <w:rPr/>
        <w:t xml:space="preserve">Az EU világviszonylatban betöltött szerepéről szóló megbeszéléseket különösen az afgán és az ukrán válság jellemezte. A hozzászólók hangsúlyozták annak a geopolitikai változásnak a fontosságát, amelyet az Egyesült Államok egyre növekvő kivonulása váltott ki a külügyekből és a konfliktusokból. Sok hozzászóló úgy véli, hogy a tálibok hatalomhoz való visszatérése kudarcot vall a Nyugat számára, és annak a jele, hogy itt az ideje, hogy az EU – az Egyesült Államokkal való stratégiai szövetségétől függetlenül – betöltse saját szerepét a külpolitikai kérdésekben (lásd például az </w:t>
      </w:r>
      <w:hyperlink r:id="rId1003">
        <w:r>
          <w:rPr>
            <w:rStyle w:val="LienInternet"/>
          </w:rPr>
          <w:t>ötletet</w:t>
        </w:r>
      </w:hyperlink>
      <w:r>
        <w:rPr/>
        <w:t>). A külpolitika egységes megközelítésére irányuló ismétlődő felhívás több esemény tárgyát képezte (lásd például az</w:t>
      </w:r>
      <w:hyperlink r:id="rId1004">
        <w:r>
          <w:rPr>
            <w:rStyle w:val="LienInternet"/>
          </w:rPr>
          <w:t xml:space="preserve"> </w:t>
        </w:r>
      </w:hyperlink>
      <w:hyperlink r:id="rId1005">
        <w:r>
          <w:rPr>
            <w:rStyle w:val="LienInternet"/>
          </w:rPr>
          <w:t>eseményt</w:t>
        </w:r>
      </w:hyperlink>
      <w:r>
        <w:rPr/>
        <w:t>). Ami az ukrán-orosz határon kialakult súlyos válságot illeti, felszólítjuk az EU-t, hogy segítse Ukrajnát (lásd például az</w:t>
      </w:r>
      <w:hyperlink r:id="rId1006">
        <w:r>
          <w:rPr>
            <w:rStyle w:val="LienInternet"/>
          </w:rPr>
          <w:t xml:space="preserve"> </w:t>
        </w:r>
      </w:hyperlink>
      <w:hyperlink r:id="rId1007">
        <w:r>
          <w:rPr>
            <w:rStyle w:val="LienInternet"/>
          </w:rPr>
          <w:t>ötletet</w:t>
        </w:r>
      </w:hyperlink>
      <w:r>
        <w:rPr/>
        <w:t xml:space="preserve">), és egységesen lépjen fel Oroszország katonai fenyegetéseivel szemben, hogy ne ismételje meg a múlt hibáit, amikor egy megosztott EU túl sok teret hagyott a külföldi hatalmaknak, különösen az Egyesült Államoknak a katonai válságok kezelésében (lásd az </w:t>
      </w:r>
      <w:hyperlink r:id="rId1008">
        <w:r>
          <w:rPr>
            <w:rStyle w:val="LienInternet"/>
          </w:rPr>
          <w:t>ötlet példáját)</w:t>
        </w:r>
      </w:hyperlink>
      <w:r>
        <w:rPr/>
        <w:t xml:space="preserve">. Ami az Egyesült Államok szerepét illeti, függetlenül az ukrán válságról alkotott véleményüktől, egyes hozzájárulások az EU fő szövetségese iránti bizalmatlanság érzését mutatják (lásd az </w:t>
      </w:r>
      <w:hyperlink r:id="rId1009">
        <w:r>
          <w:rPr>
            <w:rStyle w:val="LienInternet"/>
          </w:rPr>
          <w:t>ötletet</w:t>
        </w:r>
      </w:hyperlink>
      <w:r>
        <w:rPr/>
        <w:t xml:space="preserve">). </w:t>
      </w:r>
    </w:p>
    <w:p>
      <w:pPr>
        <w:pStyle w:val="Normal"/>
        <w:jc w:val="left"/>
        <w:rPr/>
      </w:pPr>
      <w:r>
        <w:rPr/>
        <w:t xml:space="preserve">A hozzászólók azon a véleményen vannak, hogy az EU szerepe változik az éghajlati vészhelyzet, a változó gazdasági és geopolitikai hatalmi egyensúly, a multilateralizmussal és a Covid19 elleni globális küzdelemmel kapcsolatos növekvő aggodalmak közepette (lásd például az </w:t>
      </w:r>
      <w:hyperlink r:id="rId1010">
        <w:r>
          <w:rPr>
            <w:rStyle w:val="LienInternet"/>
          </w:rPr>
          <w:t>eseményt,</w:t>
        </w:r>
      </w:hyperlink>
      <w:r>
        <w:rPr/>
        <w:t xml:space="preserve"> lásd például az </w:t>
      </w:r>
      <w:hyperlink r:id="rId1011">
        <w:r>
          <w:rPr>
            <w:rStyle w:val="LienInternet"/>
          </w:rPr>
          <w:t>ötletet)</w:t>
        </w:r>
      </w:hyperlink>
      <w:r>
        <w:rPr/>
        <w:t>. Ezért több hozzászóló is azon a véleményen van, hogy az EU-nak merészebbnek kell lennie mind a puha, mind a kemény hatalom gyakorlásában (lásd például az</w:t>
      </w:r>
      <w:hyperlink r:id="rId1012">
        <w:r>
          <w:rPr>
            <w:rStyle w:val="LienInternet"/>
          </w:rPr>
          <w:t xml:space="preserve"> </w:t>
        </w:r>
      </w:hyperlink>
      <w:hyperlink r:id="rId1013">
        <w:r>
          <w:rPr>
            <w:rStyle w:val="LienInternet"/>
          </w:rPr>
          <w:t xml:space="preserve">ötletet </w:t>
        </w:r>
      </w:hyperlink>
      <w:r>
        <w:rPr/>
        <w:t>és az</w:t>
      </w:r>
      <w:hyperlink r:id="rId1014">
        <w:r>
          <w:rPr>
            <w:rStyle w:val="LienInternet"/>
          </w:rPr>
          <w:t xml:space="preserve"> </w:t>
        </w:r>
      </w:hyperlink>
      <w:hyperlink r:id="rId1015">
        <w:r>
          <w:rPr>
            <w:rStyle w:val="LienInternet"/>
          </w:rPr>
          <w:t>ötletet)</w:t>
        </w:r>
      </w:hyperlink>
      <w:r>
        <w:rPr/>
        <w:t xml:space="preserve">. </w:t>
      </w:r>
    </w:p>
    <w:p>
      <w:pPr>
        <w:pStyle w:val="Normal"/>
        <w:jc w:val="left"/>
        <w:rPr/>
      </w:pPr>
      <w:r>
        <w:rPr/>
        <w:t>Ami az emberi jogok védelmét illeti, e témán belül az egyik legelfogadottabb elképzelés azt javasolja, hogy közös kül- és biztonságpolitikára van szükség az európaiak biztonságának garantálása érdekében, miközben előmozdítják a demokráciát, az emberi jogokat, a jogállamiságot és a környezetvédelmet a szomszédságában és globálisan (lásd az</w:t>
      </w:r>
      <w:hyperlink r:id="rId1016">
        <w:r>
          <w:rPr>
            <w:rStyle w:val="LienInternet"/>
          </w:rPr>
          <w:t xml:space="preserve"> </w:t>
        </w:r>
      </w:hyperlink>
      <w:hyperlink r:id="rId1017">
        <w:r>
          <w:rPr>
            <w:rStyle w:val="LienInternet"/>
          </w:rPr>
          <w:t>ötletet)</w:t>
        </w:r>
      </w:hyperlink>
      <w:r>
        <w:rPr/>
        <w:t xml:space="preserve">. Egy másik elképzelés az emberi jogok védelmének fokozását javasolja az EU által aláírt külkereskedelmi megállapodások záradékaiban (lásd az </w:t>
      </w:r>
      <w:hyperlink r:id="rId1018">
        <w:r>
          <w:rPr>
            <w:rStyle w:val="LienInternet"/>
          </w:rPr>
          <w:t>ötletet)</w:t>
        </w:r>
      </w:hyperlink>
      <w:r>
        <w:rPr/>
        <w:t>. Számos ötlet támogatja a feminista uniós külpolitikát, egyrészt abban az értelemben, hogy az EU-nak világszerte határozottan meg kell védenie a nők jogait (lásd az</w:t>
      </w:r>
      <w:hyperlink r:id="rId1019">
        <w:r>
          <w:rPr>
            <w:rStyle w:val="LienInternet"/>
          </w:rPr>
          <w:t xml:space="preserve"> ötletet</w:t>
        </w:r>
      </w:hyperlink>
      <w:r>
        <w:rPr/>
        <w:t>), másrészt a pozitív békén és kulturális érzékenységen alapuló megközelítés révén (lásd az</w:t>
      </w:r>
      <w:hyperlink r:id="rId1020">
        <w:r>
          <w:rPr>
            <w:rStyle w:val="LienInternet"/>
          </w:rPr>
          <w:t xml:space="preserve"> </w:t>
        </w:r>
      </w:hyperlink>
      <w:hyperlink r:id="rId1021">
        <w:r>
          <w:rPr>
            <w:rStyle w:val="LienInternet"/>
          </w:rPr>
          <w:t>ötletet</w:t>
        </w:r>
      </w:hyperlink>
      <w:r>
        <w:rPr/>
        <w:t xml:space="preserve">). </w:t>
      </w:r>
    </w:p>
    <w:p>
      <w:pPr>
        <w:pStyle w:val="Normal"/>
        <w:jc w:val="left"/>
        <w:rPr/>
      </w:pPr>
      <w:r>
        <w:rPr/>
        <w:t xml:space="preserve">A hozzászólók ezért a tagállamok közötti szorosabb együttműködésre, valamint a tagállamok közötti nemzetközi szintű verseny megszüntetésének szükségességére szólítanak fel (lásd az </w:t>
      </w:r>
      <w:hyperlink r:id="rId1022">
        <w:r>
          <w:rPr>
            <w:rStyle w:val="LienInternet"/>
          </w:rPr>
          <w:t>ötletet</w:t>
        </w:r>
      </w:hyperlink>
      <w:r>
        <w:rPr/>
        <w:t>). Ehhez kapcsolódik egy olyan közös európai fegyverkiviteli rendszerre irányuló felhívás, amely szigorú szabályokat tartalmaz annak biztosítása érdekében, hogy az EU-ban gyártott fegyverek ne táplálják a konfliktusokat világszerte, és ne vezessenek az emberi jogok megsértéséhez (lásd az</w:t>
      </w:r>
      <w:hyperlink r:id="rId1023">
        <w:r>
          <w:rPr>
            <w:rStyle w:val="LienInternet"/>
          </w:rPr>
          <w:t xml:space="preserve"> </w:t>
        </w:r>
      </w:hyperlink>
      <w:hyperlink r:id="rId1024">
        <w:r>
          <w:rPr>
            <w:rStyle w:val="LienInternet"/>
          </w:rPr>
          <w:t>ötletet</w:t>
        </w:r>
      </w:hyperlink>
      <w:r>
        <w:rPr/>
        <w:t xml:space="preserve">). </w:t>
      </w:r>
    </w:p>
    <w:p>
      <w:pPr>
        <w:pStyle w:val="Normal"/>
        <w:jc w:val="left"/>
        <w:rPr/>
      </w:pPr>
      <w:r>
        <w:rPr/>
        <w:t>Míg a legtöbb ötlet egységesebb és integráltabb EU-ra szólít fel, megerősítve az EU szerepét a különböző multilaterális intézményekkel való interakcióra nyitott globális jog- és igazságszolgáltatási hatalomként mind globális, mind regionális szinten (lásd az</w:t>
      </w:r>
      <w:hyperlink r:id="rId1025">
        <w:r>
          <w:rPr>
            <w:rStyle w:val="LienInternet"/>
          </w:rPr>
          <w:t xml:space="preserve"> </w:t>
        </w:r>
      </w:hyperlink>
      <w:hyperlink r:id="rId1026">
        <w:r>
          <w:rPr>
            <w:rStyle w:val="LienInternet"/>
          </w:rPr>
          <w:t xml:space="preserve">ötletet </w:t>
        </w:r>
      </w:hyperlink>
      <w:r>
        <w:rPr/>
        <w:t>és az</w:t>
      </w:r>
      <w:hyperlink r:id="rId1027">
        <w:r>
          <w:rPr>
            <w:rStyle w:val="LienInternet"/>
          </w:rPr>
          <w:t xml:space="preserve"> </w:t>
        </w:r>
      </w:hyperlink>
      <w:hyperlink r:id="rId1028">
        <w:r>
          <w:rPr>
            <w:rStyle w:val="LienInternet"/>
          </w:rPr>
          <w:t>ötletet)</w:t>
        </w:r>
      </w:hyperlink>
      <w:r>
        <w:rPr/>
        <w:t>, mások azt szeretnék, ha az EU az eredetileg tervezett gazdasági szereplőként betöltött szerepére összpontosítana. E tekintetben úgy vélik, hogy az EU-nak nem kellene geopolitikai szereplő szerepét betöltenie, hanem fenn kellene tartania a közös gazdasági piac elsődleges funkcióját. A résztvevők úgy vélik, hogy mivel az EU nem szuverén állam, nem tölthet be politikai szerepet globális szereplőként (lásd például az</w:t>
      </w:r>
      <w:hyperlink r:id="rId1029">
        <w:r>
          <w:rPr>
            <w:rStyle w:val="LienInternet"/>
          </w:rPr>
          <w:t xml:space="preserve"> </w:t>
        </w:r>
      </w:hyperlink>
      <w:hyperlink r:id="rId1030">
        <w:r>
          <w:rPr>
            <w:rStyle w:val="LienInternet"/>
          </w:rPr>
          <w:t>a</w:t>
        </w:r>
      </w:hyperlink>
      <w:r>
        <w:rPr/>
        <w:t>ideát).</w:t>
      </w:r>
    </w:p>
    <w:p>
      <w:pPr>
        <w:pStyle w:val="Normal"/>
        <w:jc w:val="left"/>
        <w:rPr/>
      </w:pPr>
      <w:r>
        <w:rPr/>
      </w:r>
    </w:p>
    <w:p>
      <w:pPr>
        <w:pStyle w:val="Titre2"/>
        <w:numPr>
          <w:ilvl w:val="1"/>
          <w:numId w:val="1"/>
        </w:numPr>
        <w:jc w:val="left"/>
        <w:rPr/>
      </w:pPr>
      <w:bookmarkStart w:id="58" w:name="__RefHeading___Toc86439_2514204080"/>
      <w:bookmarkEnd w:id="58"/>
      <w:r>
        <w:rPr/>
        <w:t>Védelmi és fegyveres erők</w:t>
      </w:r>
    </w:p>
    <w:p>
      <w:pPr>
        <w:pStyle w:val="Normal"/>
        <w:jc w:val="left"/>
        <w:rPr/>
      </w:pPr>
      <w:r>
        <w:rPr/>
        <w:t xml:space="preserve">Visszatérő és sokat tárgyalt altéma, hogy meg kell erősíteni az EU kemény hatalmát (lásd például az </w:t>
      </w:r>
      <w:hyperlink r:id="rId1031">
        <w:r>
          <w:rPr>
            <w:rStyle w:val="LienInternet"/>
          </w:rPr>
          <w:t>eseményt)</w:t>
        </w:r>
      </w:hyperlink>
      <w:r>
        <w:rPr/>
        <w:t>, egyrészt az uniós védelmi költségvetés növelésével (lásd az</w:t>
      </w:r>
      <w:hyperlink r:id="rId1032">
        <w:r>
          <w:rPr>
            <w:rStyle w:val="LienInternet"/>
          </w:rPr>
          <w:t xml:space="preserve"> ötletet</w:t>
        </w:r>
      </w:hyperlink>
      <w:r>
        <w:rPr/>
        <w:t xml:space="preserve">), mind pedig az európai védelmi ipar megerősítésével a stratégiai autonómia elérése érdekében (lásd például az </w:t>
      </w:r>
      <w:hyperlink r:id="rId1033">
        <w:r>
          <w:rPr>
            <w:rStyle w:val="LienInternet"/>
          </w:rPr>
          <w:t>ötletet</w:t>
        </w:r>
      </w:hyperlink>
      <w:r>
        <w:rPr/>
        <w:t>). A hozzászólók emellett egy közös európai hadsereg létrehozását (lásd az</w:t>
      </w:r>
      <w:hyperlink r:id="rId1034">
        <w:r>
          <w:rPr>
            <w:rStyle w:val="LienInternet"/>
          </w:rPr>
          <w:t xml:space="preserve"> ötlet példáját)</w:t>
        </w:r>
      </w:hyperlink>
      <w:r>
        <w:rPr/>
        <w:t xml:space="preserve"> is szorgalmazzák, amely a téma egyik legelfogadottabb elképzelése, vagy a tagállamok fegyveres erőinek uniós szintű integrációja (lásd például az </w:t>
      </w:r>
      <w:hyperlink r:id="rId1035">
        <w:r>
          <w:rPr>
            <w:rStyle w:val="LienInternet"/>
          </w:rPr>
          <w:t>ötletet</w:t>
        </w:r>
      </w:hyperlink>
      <w:r>
        <w:rPr/>
        <w:t xml:space="preserve">). A közös európai katonai politikát támogató meglévő kezdeményezéseket, mint például az EU biztonsági és védelmi stratégiai iránytűjét, néhány közreműködő elismeri. Az egyik különösen azt kéri, hogy fordítsanak nagyobb figyelmet a katonaság szociális dimenziójára (azaz a fegyveres erőken belüli munkakörülményekre, lásd az </w:t>
      </w:r>
      <w:hyperlink r:id="rId1036">
        <w:r>
          <w:rPr>
            <w:rStyle w:val="LienInternet"/>
          </w:rPr>
          <w:t>ötletet)</w:t>
        </w:r>
      </w:hyperlink>
      <w:r>
        <w:rPr/>
        <w:t>. Egyesek azonban szkeptikusabbak, ha nem is teljes mértékben ellenzik a közös európai hadsereg eszméjét. Egyikük azt követeli, hogy ne kövessék az európai hadsereg eszméjét, és kérik, hogy irányítsák az egyes országok katonai beruházásait a NATO-ba (lásd az</w:t>
      </w:r>
      <w:hyperlink r:id="rId1037">
        <w:r>
          <w:rPr>
            <w:rStyle w:val="LienInternet"/>
          </w:rPr>
          <w:t xml:space="preserve"> </w:t>
        </w:r>
      </w:hyperlink>
      <w:hyperlink r:id="rId1038">
        <w:r>
          <w:rPr>
            <w:rStyle w:val="LienInternet"/>
          </w:rPr>
          <w:t>ötletet)</w:t>
        </w:r>
      </w:hyperlink>
      <w:r>
        <w:rPr/>
        <w:t xml:space="preserve">. </w:t>
      </w:r>
    </w:p>
    <w:p>
      <w:pPr>
        <w:pStyle w:val="Normal"/>
        <w:jc w:val="left"/>
        <w:rPr/>
      </w:pPr>
      <w:r>
        <w:rPr/>
        <w:t xml:space="preserve">A hozzászólók azt is javasolják, hogy uniós szinten hozzanak létre szakosodottabb erőket vagy intézményeket, például egy európai nemzeti gárda felállítását vészhelyzetekben, például természeti katasztrófákat követően (lásd például az </w:t>
      </w:r>
      <w:hyperlink r:id="rId1039">
        <w:r>
          <w:rPr>
            <w:rStyle w:val="LienInternet"/>
          </w:rPr>
          <w:t>ötletet)</w:t>
        </w:r>
      </w:hyperlink>
      <w:r>
        <w:rPr/>
        <w:t xml:space="preserve">. Más résztvevők is ki akarják alakítani az európai hírszerző szolgálatot (lásd például az </w:t>
      </w:r>
      <w:hyperlink r:id="rId1040">
        <w:r>
          <w:rPr>
            <w:rStyle w:val="LienInternet"/>
          </w:rPr>
          <w:t>ötletet)</w:t>
        </w:r>
      </w:hyperlink>
      <w:r>
        <w:rPr/>
        <w:t xml:space="preserve">. Néhány hozzászóló az Európai Katonai Akadémia létrehozását is javasolja (lásd az </w:t>
      </w:r>
      <w:hyperlink r:id="rId1041">
        <w:r>
          <w:rPr>
            <w:rStyle w:val="LienInternet"/>
          </w:rPr>
          <w:t>ötlet példáját)</w:t>
        </w:r>
      </w:hyperlink>
      <w:r>
        <w:rPr/>
        <w:t>. Ami a katonai oktatást illeti, az egyik résztvevő javasolja az európai fiatalok katonai alapképzésének létrehozását (lásd az</w:t>
      </w:r>
      <w:hyperlink r:id="rId1042">
        <w:r>
          <w:rPr>
            <w:rStyle w:val="LienInternet"/>
          </w:rPr>
          <w:t xml:space="preserve"> ötletet)</w:t>
        </w:r>
      </w:hyperlink>
      <w:r>
        <w:rPr/>
        <w:t>. Egyes közreműködők számára az EU-USA szövetség érzékelt hanyatlása az uniós tagállamok közötti külpolitikai együttműködést és koordinációt is magában foglalja (lásd például az</w:t>
      </w:r>
      <w:hyperlink r:id="rId1043">
        <w:r>
          <w:rPr>
            <w:rStyle w:val="LienInternet"/>
          </w:rPr>
          <w:t xml:space="preserve"> </w:t>
        </w:r>
      </w:hyperlink>
      <w:hyperlink r:id="rId1044">
        <w:r>
          <w:rPr>
            <w:rStyle w:val="LienInternet"/>
          </w:rPr>
          <w:t>ötletet)</w:t>
        </w:r>
      </w:hyperlink>
      <w:r>
        <w:rPr/>
        <w:t>.</w:t>
      </w:r>
    </w:p>
    <w:p>
      <w:pPr>
        <w:pStyle w:val="Normal"/>
        <w:jc w:val="left"/>
        <w:rPr/>
      </w:pPr>
      <w:r>
        <w:rPr/>
      </w:r>
    </w:p>
    <w:p>
      <w:pPr>
        <w:pStyle w:val="Titre2"/>
        <w:numPr>
          <w:ilvl w:val="1"/>
          <w:numId w:val="1"/>
        </w:numPr>
        <w:jc w:val="left"/>
        <w:rPr/>
      </w:pPr>
      <w:bookmarkStart w:id="59" w:name="__RefHeading___Toc86441_2514204080"/>
      <w:bookmarkEnd w:id="59"/>
      <w:r>
        <w:rPr/>
        <w:t xml:space="preserve">Döntéshozás </w:t>
      </w:r>
    </w:p>
    <w:p>
      <w:pPr>
        <w:pStyle w:val="Normal"/>
        <w:jc w:val="left"/>
        <w:rPr/>
      </w:pPr>
      <w:r>
        <w:rPr/>
        <w:t xml:space="preserve">Az EU döntéshozatali folyamatát gyakran lassúnak és hatástalannak tekintik, amikor egy azonnali kihívásra adandó gyors fellépésről van szó. E probléma megoldása érdekében a résztvevők több ötletet is előmozdítanak az uniós döntéshozatali folyamat reformja érdekében. </w:t>
      </w:r>
    </w:p>
    <w:p>
      <w:pPr>
        <w:pStyle w:val="Normal"/>
        <w:jc w:val="left"/>
        <w:rPr/>
      </w:pPr>
      <w:r>
        <w:rPr/>
        <w:t>A hozzászólók úgy vélik, hogy kulcsfontosságú, hogy az EU a nemzetközi politikai színtéren egyetlen szilárd és egységes entitásként lépjen fel annak érdekében, hogy fenntartsa és tovább erősítse szerepét. Ennek elérése érdekében több hozzájárulás is szükségessé teszi a közös külpolitika szükségességét (lásd az</w:t>
      </w:r>
      <w:hyperlink r:id="rId1045">
        <w:r>
          <w:rPr>
            <w:rStyle w:val="LienInternet"/>
          </w:rPr>
          <w:t xml:space="preserve"> </w:t>
        </w:r>
      </w:hyperlink>
      <w:hyperlink r:id="rId1046">
        <w:r>
          <w:rPr>
            <w:rStyle w:val="LienInternet"/>
          </w:rPr>
          <w:t>ötletet)</w:t>
        </w:r>
      </w:hyperlink>
      <w:r>
        <w:rPr/>
        <w:t>. Az Európai Unió kül- és biztonságpolitikában való szerepének megerősítésére irányuló felhívás szintén témája volt a finn nyilvános konzultációs fórumnak, amely megvitatta Finnország jelenlegi és jövőbeli szerepét Európában és az EU-ban (lásd az</w:t>
      </w:r>
      <w:hyperlink r:id="rId1047">
        <w:r>
          <w:rPr>
            <w:rStyle w:val="LienInternet"/>
          </w:rPr>
          <w:t xml:space="preserve"> </w:t>
        </w:r>
      </w:hyperlink>
      <w:hyperlink r:id="rId1048">
        <w:r>
          <w:rPr>
            <w:rStyle w:val="LienInternet"/>
          </w:rPr>
          <w:t>eseményt)</w:t>
        </w:r>
      </w:hyperlink>
      <w:r>
        <w:rPr/>
        <w:t xml:space="preserve">. </w:t>
      </w:r>
    </w:p>
    <w:p>
      <w:pPr>
        <w:pStyle w:val="Normal"/>
        <w:jc w:val="left"/>
        <w:rPr/>
      </w:pPr>
      <w:r>
        <w:rPr/>
        <w:t xml:space="preserve">Számos hozzászólás az egyhangúsági szabály újragondolására szólít fel. Az egyik gondolatcsoport hangsúlyozza, hogy az egyhangúság szabályán alapuló jelenlegi helyzet lehetővé teszi, hogy egyetlen tagállam blokkolja a közös külpolitikát (lásd például az </w:t>
      </w:r>
      <w:hyperlink r:id="rId1049">
        <w:r>
          <w:rPr>
            <w:rStyle w:val="LienInternet"/>
          </w:rPr>
          <w:t xml:space="preserve">ötletet </w:t>
        </w:r>
      </w:hyperlink>
      <w:r>
        <w:rPr/>
        <w:t xml:space="preserve">és az </w:t>
      </w:r>
      <w:hyperlink r:id="rId1050">
        <w:r>
          <w:rPr>
            <w:rStyle w:val="LienInternet"/>
          </w:rPr>
          <w:t>eseményt)</w:t>
        </w:r>
      </w:hyperlink>
      <w:r>
        <w:rPr/>
        <w:t xml:space="preserve">. Ez problematikusnak tekinthető, mivel megakadályozza, hogy az EU hiteles, stabil és határozott álláspontot képviseljen a világban. Ezért egy kifejezésre juttatott elképzelés szerint az EU-nak el kell mozdulnia az „abszolút” többségi szavazás rendszere felé. Az e témához tartozó egyik legelfogadottabb ötlet részletes leírást ad a tagállamok abszolút többségi szavazási rendszeréről, amelyet az Európai Parlament képviselőinek egyszerű többsége támogat, hogy az EU képes legyen végrehajtó intézkedéseket hozni és valódi, hiteles külpolitikát létrehozni (lásd az </w:t>
      </w:r>
      <w:hyperlink r:id="rId1051">
        <w:r>
          <w:rPr>
            <w:rStyle w:val="LienInternet"/>
          </w:rPr>
          <w:t>ötletet</w:t>
        </w:r>
      </w:hyperlink>
      <w:r>
        <w:rPr/>
        <w:t>). Az európai demokrácia témájában folytatott vitákhoz hasonlóan a minősített többségi szavazás a jelenlegi egyhangúsági szabály alternatívájaként is szerepel (lásd például az</w:t>
      </w:r>
      <w:hyperlink r:id="rId1052">
        <w:r>
          <w:rPr>
            <w:rStyle w:val="LienInternet"/>
          </w:rPr>
          <w:t xml:space="preserve"> </w:t>
        </w:r>
      </w:hyperlink>
      <w:hyperlink r:id="rId1053">
        <w:r>
          <w:rPr>
            <w:rStyle w:val="LienInternet"/>
          </w:rPr>
          <w:t>ötletet</w:t>
        </w:r>
      </w:hyperlink>
      <w:r>
        <w:rPr/>
        <w:t xml:space="preserve">). </w:t>
      </w:r>
    </w:p>
    <w:p>
      <w:pPr>
        <w:pStyle w:val="Normal"/>
        <w:jc w:val="left"/>
        <w:rPr/>
      </w:pPr>
      <w:r>
        <w:rPr/>
        <w:t>Az utolsó altéma az Európai Parlament hatásköreit tárgyalja. Néhány hozzászóló úgy véli, hogy bár az Európai Parlament a kezdetektől fogva támogatta a közös kül- és biztonságpolitika (KKBP) fogalmát, és megpróbálta kiterjeszteni annak hatályát, még mindig csak periférikus szerepet tölt be az EU külpolitikai alakításában. Ezért úgy vélik, hogy alapvető fontosságú, hogy több külpolitikai hatáskört ruházzanak az Európai Parlamentre (lásd az</w:t>
      </w:r>
      <w:hyperlink r:id="rId1054">
        <w:r>
          <w:rPr>
            <w:rStyle w:val="LienInternet"/>
          </w:rPr>
          <w:t xml:space="preserve"> </w:t>
        </w:r>
      </w:hyperlink>
      <w:hyperlink r:id="rId1055">
        <w:r>
          <w:rPr>
            <w:rStyle w:val="LienInternet"/>
          </w:rPr>
          <w:t>ötletet)</w:t>
        </w:r>
      </w:hyperlink>
      <w:r>
        <w:rPr/>
        <w:t>.</w:t>
      </w:r>
    </w:p>
    <w:p>
      <w:pPr>
        <w:pStyle w:val="Normal"/>
        <w:jc w:val="left"/>
        <w:rPr/>
      </w:pPr>
      <w:r>
        <w:rPr/>
      </w:r>
    </w:p>
    <w:p>
      <w:pPr>
        <w:pStyle w:val="Titre2"/>
        <w:numPr>
          <w:ilvl w:val="1"/>
          <w:numId w:val="1"/>
        </w:numPr>
        <w:jc w:val="left"/>
        <w:rPr/>
      </w:pPr>
      <w:bookmarkStart w:id="60" w:name="__RefHeading___Toc86443_2514204080"/>
      <w:bookmarkEnd w:id="60"/>
      <w:r>
        <w:rPr/>
        <w:t xml:space="preserve">Szomszédságpolitika és a másokkal fenntartott kapcsolatok </w:t>
      </w:r>
    </w:p>
    <w:p>
      <w:pPr>
        <w:pStyle w:val="Normal"/>
        <w:jc w:val="left"/>
        <w:rPr/>
      </w:pPr>
      <w:r>
        <w:rPr/>
        <w:t xml:space="preserve">Az elképzelések altémája az EU diplomáciai képviseletét érinti, és széles értelemben véve kérik az uniós intézményeket, hogy láthatóbban képviseljék és védjék érdekeiket a világban (lásd például az </w:t>
      </w:r>
      <w:hyperlink r:id="rId1056">
        <w:r>
          <w:rPr>
            <w:rStyle w:val="LienInternet"/>
          </w:rPr>
          <w:t>ötletet)</w:t>
        </w:r>
      </w:hyperlink>
      <w:r>
        <w:rPr/>
        <w:t>. Ezzel összefüggésben azt javasolják, hogy az uniós tagállamok nagykövetségeit egyetlen uniós nagykövetség váltsa fel, amely valamennyi uniós tagállamot képviselné és egyesítené. Az egyik résztvevő szerint ez az Európai Unió meglévő Külügyi Szolgálatának (EKSZ, lásd az</w:t>
      </w:r>
      <w:hyperlink r:id="rId1057">
        <w:r>
          <w:rPr>
            <w:rStyle w:val="LienInternet"/>
          </w:rPr>
          <w:t xml:space="preserve"> ötletet</w:t>
        </w:r>
      </w:hyperlink>
      <w:r>
        <w:rPr/>
        <w:t>) reformjával érhető el. Ez azt is jelentheti, hogy az EU egységes uniós tagsággal rendelkezik valamennyi nemzetközi intézményben, például a NATO-ban (lásd például az</w:t>
      </w:r>
      <w:hyperlink r:id="rId1058">
        <w:r>
          <w:rPr>
            <w:rStyle w:val="LienInternet"/>
          </w:rPr>
          <w:t xml:space="preserve"> ötletet</w:t>
        </w:r>
      </w:hyperlink>
      <w:r>
        <w:rPr/>
        <w:t xml:space="preserve">), vagy egy egységes és állandó képviseletet az ENSZ Biztonsági Tanácsában (lásd az </w:t>
      </w:r>
      <w:hyperlink r:id="rId1059">
        <w:r>
          <w:rPr>
            <w:rStyle w:val="LienInternet"/>
          </w:rPr>
          <w:t>ötletet</w:t>
        </w:r>
      </w:hyperlink>
      <w:r>
        <w:rPr/>
        <w:t xml:space="preserve">). További ötletek közé tartozik egy közös uniós útlevél létrehozása valamennyi európai polgár számára (lásd az </w:t>
      </w:r>
      <w:hyperlink r:id="rId1060">
        <w:r>
          <w:rPr>
            <w:rStyle w:val="LienInternet"/>
          </w:rPr>
          <w:t>ötlet példáját)</w:t>
        </w:r>
      </w:hyperlink>
      <w:r>
        <w:rPr/>
        <w:t>, valamint az európai zászló és az európai himnusz nemzetközi kontextusban történő szisztematikus használata (lásd az</w:t>
      </w:r>
      <w:hyperlink r:id="rId1061">
        <w:r>
          <w:rPr>
            <w:rStyle w:val="LienInternet"/>
          </w:rPr>
          <w:t xml:space="preserve"> </w:t>
        </w:r>
      </w:hyperlink>
      <w:hyperlink r:id="rId1062">
        <w:r>
          <w:rPr>
            <w:rStyle w:val="LienInternet"/>
          </w:rPr>
          <w:t>ötlet példáját</w:t>
        </w:r>
      </w:hyperlink>
      <w:r>
        <w:rPr/>
        <w:t xml:space="preserve">). </w:t>
      </w:r>
    </w:p>
    <w:p>
      <w:pPr>
        <w:pStyle w:val="Normal"/>
        <w:jc w:val="left"/>
        <w:rPr/>
      </w:pPr>
      <w:r>
        <w:rPr/>
        <w:t>Egy lengyelországi esemény és annak kapcsolódó ötlete (lásd az</w:t>
      </w:r>
      <w:hyperlink r:id="rId1063">
        <w:r>
          <w:rPr>
            <w:rStyle w:val="LienInternet"/>
          </w:rPr>
          <w:t xml:space="preserve"> eseményt </w:t>
        </w:r>
      </w:hyperlink>
      <w:r>
        <w:rPr/>
        <w:t xml:space="preserve">és az </w:t>
      </w:r>
      <w:hyperlink r:id="rId1064">
        <w:r>
          <w:rPr>
            <w:rStyle w:val="LienInternet"/>
          </w:rPr>
          <w:t>ötletet</w:t>
        </w:r>
      </w:hyperlink>
      <w:r>
        <w:rPr/>
        <w:t xml:space="preserve">) megismételte az Egyesült Királyság és az EU közötti kereskedelmi kapcsolatok gazdasági jelentőségét Lengyelország és az egész EU számára, sőt még a brexit után is. Az e témához tartozó hozzájárulások különösen az EU Oroszországgal és Kínával fennálló politikai kapcsolataira vonatkoznak (lásd például az </w:t>
      </w:r>
      <w:hyperlink r:id="rId1065">
        <w:r>
          <w:rPr>
            <w:rStyle w:val="LienInternet"/>
          </w:rPr>
          <w:t>eseményt)</w:t>
        </w:r>
      </w:hyperlink>
      <w:r>
        <w:rPr/>
        <w:t>. A hozzászólók előmozdítják, hogy alapvetően újra kell gondolni az EU külpolitikáját egy merészebb megközelítés alkalmazásával, összhangban a korábbi témákban tárgyaltakkal. Az egyik résztvevő például azt állítja, hogy az EU-nak növelnie kellene tengeri jelenlétét az indiai-csendes-óceáni térségben (lásd az</w:t>
      </w:r>
      <w:hyperlink r:id="rId1066">
        <w:r>
          <w:rPr>
            <w:rStyle w:val="LienInternet"/>
          </w:rPr>
          <w:t xml:space="preserve"> </w:t>
        </w:r>
      </w:hyperlink>
      <w:hyperlink r:id="rId1067">
        <w:r>
          <w:rPr>
            <w:rStyle w:val="LienInternet"/>
          </w:rPr>
          <w:t>ötletet)</w:t>
        </w:r>
      </w:hyperlink>
      <w:r>
        <w:rPr/>
        <w:t>. A platform más közreműködői azonban azt a véleményt vitatják meg, hogy Kínát illetően az EU-nak nemcsak egységesebb és szigorúbb álláspontot kellene kialakítania diplomáciai kapcsolataiban, tekintettel az értékek rendkívül eltérő rendszereire, hanem ki kellene dolgoznia az Európai Unió külföldi beruházási stratégiáját is, hogy ellensúlyozza Kína globális és különösen a fejlődő országokban gyakorolt befolyását (lásd az</w:t>
      </w:r>
      <w:hyperlink r:id="rId1068">
        <w:r>
          <w:rPr>
            <w:rStyle w:val="LienInternet"/>
          </w:rPr>
          <w:t xml:space="preserve"> </w:t>
        </w:r>
      </w:hyperlink>
      <w:hyperlink r:id="rId1069">
        <w:r>
          <w:rPr>
            <w:rStyle w:val="LienInternet"/>
          </w:rPr>
          <w:t>ötletet)</w:t>
        </w:r>
      </w:hyperlink>
      <w:r>
        <w:rPr/>
        <w:t xml:space="preserve">. </w:t>
      </w:r>
    </w:p>
    <w:p>
      <w:pPr>
        <w:pStyle w:val="Normal"/>
        <w:jc w:val="left"/>
        <w:rPr/>
      </w:pPr>
      <w:r>
        <w:rPr/>
        <w:t xml:space="preserve">Az Oroszországgal és a kelet-európai országokkal fenntartott kapcsolatokat illetően a Németország és a balti országok közötti kapcsolatokról szóló vita néhány résztvevője többek között arra szólította fel az EU-t, hogy támogassa a fehérorosz ellenzéket (lásd az </w:t>
      </w:r>
      <w:hyperlink r:id="rId1070">
        <w:r>
          <w:rPr>
            <w:rStyle w:val="LienInternet"/>
          </w:rPr>
          <w:t>eseményt)</w:t>
        </w:r>
      </w:hyperlink>
      <w:r>
        <w:rPr/>
        <w:t xml:space="preserve">. Az egyik résztvevő azt akarja, hogy az EU nagyobb mértékben vegyen részt a szomszédos államokban, például Montenegróban, Bosznia-Hercegovinában és Koszovóban, vagy akár saját tagállamaiban, például Cipruson (lásd az </w:t>
      </w:r>
      <w:hyperlink r:id="rId1071">
        <w:r>
          <w:rPr>
            <w:rStyle w:val="LienInternet"/>
          </w:rPr>
          <w:t>ötletet)</w:t>
        </w:r>
      </w:hyperlink>
      <w:r>
        <w:rPr/>
        <w:t xml:space="preserve"> előforduló politikai feszültségekben. E tekintetben a résztvevő aggodalmát fejezte ki az EU és Törökország, valamint az EU és Szerbia közötti kapcsolat miatt is. Az EU-t arra is ösztönzik, hogy játsszon vezető szerepet az Izrael és Palesztina közötti béketeremtési folyamatban (lásd például az</w:t>
      </w:r>
      <w:hyperlink r:id="rId1072">
        <w:r>
          <w:rPr>
            <w:rStyle w:val="LienInternet"/>
          </w:rPr>
          <w:t xml:space="preserve"> </w:t>
        </w:r>
      </w:hyperlink>
      <w:hyperlink r:id="rId1073">
        <w:r>
          <w:rPr>
            <w:rStyle w:val="LienInternet"/>
          </w:rPr>
          <w:t>ötletet</w:t>
        </w:r>
      </w:hyperlink>
      <w:r>
        <w:rPr/>
        <w:t xml:space="preserve">). </w:t>
      </w:r>
    </w:p>
    <w:p>
      <w:pPr>
        <w:pStyle w:val="Normal"/>
        <w:jc w:val="left"/>
        <w:rPr/>
      </w:pPr>
      <w:r>
        <w:rPr/>
        <w:t>Ami az EU-nak az Európán kívüli országokkal, és különösen az afrikai államokkal fennálló kapcsolatait illeti, a hozzászólók azon a véleményen vannak, hogy megerősített partnerségre és átdolgozott kereskedelmi kapcsolatokra van szükség Afrikával (lásd például az Afrikával való</w:t>
      </w:r>
      <w:hyperlink r:id="rId1074">
        <w:r>
          <w:rPr>
            <w:rStyle w:val="LienInternet"/>
          </w:rPr>
          <w:t xml:space="preserve"> </w:t>
        </w:r>
      </w:hyperlink>
      <w:hyperlink r:id="rId1075">
        <w:r>
          <w:rPr>
            <w:rStyle w:val="LienInternet"/>
          </w:rPr>
          <w:t>együttműködést</w:t>
        </w:r>
      </w:hyperlink>
      <w:r>
        <w:rPr/>
        <w:t>). Más polgárok szorosabb kétoldalú partnerséget szorgalmaznak az egyes tagállamok és az afrikai országok között, többek között a migrációs kérdések kezelése érdekében. Ezt a fajta elképzelést részletesebben a migrációról szóló fejezet tartalmazza. Vannak olyan felhívások is, amelyek a korábbi gyarmati rendszerek gazdasági és politikai örökségének megőrzésétől való eltávolodásra irányulnak (lásd az</w:t>
      </w:r>
      <w:hyperlink r:id="rId1076">
        <w:r>
          <w:rPr>
            <w:rStyle w:val="LienInternet"/>
          </w:rPr>
          <w:t xml:space="preserve"> </w:t>
        </w:r>
      </w:hyperlink>
      <w:hyperlink r:id="rId1077">
        <w:r>
          <w:rPr>
            <w:rStyle w:val="LienInternet"/>
          </w:rPr>
          <w:t>ötletet)</w:t>
        </w:r>
      </w:hyperlink>
      <w:r>
        <w:rPr/>
        <w:t xml:space="preserve">. Az afrikai kontinenshez fűződő kapcsolattal kapcsolatban is az egyik résztvevő sürgeti az EU-t, hogy teljes mértékben ismerje el Szomáliföldet szuverén országként (lásd az </w:t>
      </w:r>
      <w:hyperlink r:id="rId1078">
        <w:r>
          <w:rPr>
            <w:rStyle w:val="LienInternet"/>
          </w:rPr>
          <w:t>ötletet</w:t>
        </w:r>
      </w:hyperlink>
      <w:r>
        <w:rPr/>
        <w:t>). Néhány hozzászóló erősebb partnerséget szorgalmaz az EU és más regionális multilaterális szervezetek, köztük az Afrikai Unió, a Mercosur és az ASEAN között (lásd például az</w:t>
      </w:r>
      <w:hyperlink r:id="rId1079">
        <w:r>
          <w:rPr>
            <w:rStyle w:val="LienInternet"/>
          </w:rPr>
          <w:t xml:space="preserve"> </w:t>
        </w:r>
      </w:hyperlink>
      <w:hyperlink r:id="rId1080">
        <w:r>
          <w:rPr>
            <w:rStyle w:val="LienInternet"/>
          </w:rPr>
          <w:t>ötletet</w:t>
        </w:r>
      </w:hyperlink>
      <w:r>
        <w:rPr/>
        <w:t>).</w:t>
      </w:r>
    </w:p>
    <w:p>
      <w:pPr>
        <w:pStyle w:val="Normal"/>
        <w:jc w:val="left"/>
        <w:rPr/>
      </w:pPr>
      <w:r>
        <w:rPr/>
      </w:r>
    </w:p>
    <w:p>
      <w:pPr>
        <w:pStyle w:val="Titre2"/>
        <w:numPr>
          <w:ilvl w:val="1"/>
          <w:numId w:val="1"/>
        </w:numPr>
        <w:jc w:val="left"/>
        <w:rPr/>
      </w:pPr>
      <w:bookmarkStart w:id="61" w:name="__RefHeading___Toc86445_2514204080"/>
      <w:bookmarkEnd w:id="61"/>
      <w:r>
        <w:rPr/>
        <w:t>Bővítés</w:t>
      </w:r>
    </w:p>
    <w:p>
      <w:pPr>
        <w:pStyle w:val="Normal"/>
        <w:jc w:val="left"/>
        <w:rPr/>
      </w:pPr>
      <w:r>
        <w:rPr/>
        <w:t xml:space="preserve">Visszatérő téma az EU bővítése. A további bővítésre – különösen a Nyugat-Balkánra – vonatkozó elképzeléseket a résztvevők viszonylag nagy számban támogatják. A témán belül az egyik legelfogadottabb hozzászólás az EU további bővítésére és a nyugat-balkáni partnerek integrációjára szólít fel a régió békéjének és stabilitásának biztosítása érdekében (lásd az </w:t>
      </w:r>
      <w:hyperlink r:id="rId1081">
        <w:r>
          <w:rPr>
            <w:rStyle w:val="LienInternet"/>
          </w:rPr>
          <w:t>ötletet)</w:t>
        </w:r>
      </w:hyperlink>
      <w:r>
        <w:rPr/>
        <w:t xml:space="preserve">. Az EU bővítésével és a Nyugat-Balkánnal kapcsolatos kérdéseket megvitató különböző rendezvényeket is szerveztek (lásd például az </w:t>
      </w:r>
      <w:hyperlink r:id="rId1082">
        <w:r>
          <w:rPr>
            <w:rStyle w:val="LienInternet"/>
          </w:rPr>
          <w:t>eseményt)</w:t>
        </w:r>
      </w:hyperlink>
      <w:r>
        <w:rPr/>
        <w:t xml:space="preserve">. Egy németországi ifjúsági rendezvényen a fiatal résztvevők azt követelték, hogy az EU nagyobb mértékben vegyen részt a Nyugat-Balkánon, többek között biztonsági szereplőként (lásd az </w:t>
      </w:r>
      <w:hyperlink r:id="rId1083">
        <w:r>
          <w:rPr>
            <w:rStyle w:val="LienInternet"/>
          </w:rPr>
          <w:t>eseményt</w:t>
        </w:r>
      </w:hyperlink>
      <w:r>
        <w:rPr/>
        <w:t>). Egy magyarországi konferencia rendezvényen (lásd az</w:t>
      </w:r>
      <w:hyperlink r:id="rId1084">
        <w:r>
          <w:rPr>
            <w:rStyle w:val="LienInternet"/>
          </w:rPr>
          <w:t xml:space="preserve"> eseményt)</w:t>
        </w:r>
      </w:hyperlink>
      <w:r>
        <w:rPr/>
        <w:t xml:space="preserve"> határozottan bővítéspárti álláspontot fogadtak el, amelyen több politikus és akadémikus is részt vett, akik hangsúlyozták a nyugat-balkáni bővítés fontosságát az Európai Unió jövője szempontjából. A különböző hozzájárulások az EU bővítésének geopolitikai aspektusára összpontosítanak (lásd az </w:t>
      </w:r>
      <w:hyperlink r:id="rId1085">
        <w:r>
          <w:rPr>
            <w:rStyle w:val="LienInternet"/>
          </w:rPr>
          <w:t>ötletet</w:t>
        </w:r>
      </w:hyperlink>
      <w:r>
        <w:rPr/>
        <w:t xml:space="preserve">), míg mások kiemelik, hogy az uniós csatlakozás kilátásai a gazdasági reformok hajtóerejét és a jogállamiság megerősítését jelentik az uniós tagságot kérő országokban (lásd például az </w:t>
      </w:r>
      <w:hyperlink r:id="rId1086">
        <w:r>
          <w:rPr>
            <w:rStyle w:val="LienInternet"/>
          </w:rPr>
          <w:t>ötletet</w:t>
        </w:r>
      </w:hyperlink>
      <w:r>
        <w:rPr/>
        <w:t xml:space="preserve">). Ami az EU Nyugat-Balkánra való kiterjesztésére vonatkozó igényeket illeti, felszólítunk Koszovó teljes körű elismerésére (lásd például az </w:t>
      </w:r>
      <w:hyperlink r:id="rId1087">
        <w:r>
          <w:rPr>
            <w:rStyle w:val="LienInternet"/>
          </w:rPr>
          <w:t>ötletet</w:t>
        </w:r>
      </w:hyperlink>
      <w:r>
        <w:rPr/>
        <w:t>). Ugyanakkor az az elképzelés, hogy az EU-t Koszovóra is kiterjesszék, számos észrevételt tesz, amelyek különböző okokból határozottan ellenzik ezt a perspektívát. Egy másik résztvevő vízummentes belépést kér az EU-ba a koszovói lakosok számára (lásd az</w:t>
      </w:r>
      <w:hyperlink r:id="rId1088">
        <w:r>
          <w:rPr>
            <w:rStyle w:val="LienInternet"/>
          </w:rPr>
          <w:t xml:space="preserve"> </w:t>
        </w:r>
      </w:hyperlink>
      <w:hyperlink r:id="rId1089">
        <w:r>
          <w:rPr>
            <w:rStyle w:val="LienInternet"/>
          </w:rPr>
          <w:t>ötletet</w:t>
        </w:r>
      </w:hyperlink>
      <w:r>
        <w:rPr/>
        <w:t xml:space="preserve">). </w:t>
      </w:r>
    </w:p>
    <w:p>
      <w:pPr>
        <w:pStyle w:val="Normal"/>
        <w:jc w:val="left"/>
        <w:rPr/>
      </w:pPr>
      <w:r>
        <w:rPr/>
        <w:t>Bár a bővítést támogatóknál ritkábban fordul elő, egyes résztvevők ellenezték az EU további bővítését, hangsúlyozva, hogy a jelenlegi Unión belüli kérdéseket prioritásként kell kezelni (lásd például az</w:t>
      </w:r>
      <w:hyperlink r:id="rId1090">
        <w:r>
          <w:rPr>
            <w:rStyle w:val="LienInternet"/>
          </w:rPr>
          <w:t xml:space="preserve"> ötletet)</w:t>
        </w:r>
      </w:hyperlink>
      <w:r>
        <w:rPr/>
        <w:t>. Az egyik hozzászólás arra kéri az EU-t, hogy ne tekintse Törökországot tagjelölt országnak (lásd</w:t>
      </w:r>
      <w:hyperlink r:id="rId1091">
        <w:r>
          <w:rPr>
            <w:rStyle w:val="LienInternet"/>
          </w:rPr>
          <w:t xml:space="preserve"> </w:t>
        </w:r>
      </w:hyperlink>
      <w:hyperlink r:id="rId1092">
        <w:r>
          <w:rPr>
            <w:rStyle w:val="LienInternet"/>
          </w:rPr>
          <w:t>az ötletet</w:t>
        </w:r>
      </w:hyperlink>
      <w:r>
        <w:rPr/>
        <w:t xml:space="preserve">). Az egyik válaszadó általánosságban bírálja az EU bővítési politikájában megnyilvánuló kétértelműséget (lásd az </w:t>
      </w:r>
      <w:hyperlink r:id="rId1093">
        <w:r>
          <w:rPr>
            <w:rStyle w:val="LienInternet"/>
          </w:rPr>
          <w:t>ötletet</w:t>
        </w:r>
      </w:hyperlink>
      <w:r>
        <w:rPr/>
        <w:t>). Szerinte ez frusztrációt és instabilitást okoz a tagjelölt országokban. Ezért véleménye szerint az EU-nak egyszer és mindenkorra tisztáznia kell a bővítéssel kapcsolatos álláspontját.</w:t>
      </w:r>
    </w:p>
    <w:p>
      <w:pPr>
        <w:pStyle w:val="Normal"/>
        <w:jc w:val="left"/>
        <w:rPr/>
      </w:pPr>
      <w:r>
        <w:rPr/>
      </w:r>
    </w:p>
    <w:p>
      <w:pPr>
        <w:pStyle w:val="Titre2"/>
        <w:numPr>
          <w:ilvl w:val="1"/>
          <w:numId w:val="1"/>
        </w:numPr>
        <w:jc w:val="left"/>
        <w:rPr/>
      </w:pPr>
      <w:bookmarkStart w:id="62" w:name="__RefHeading___Toc86447_2514204080"/>
      <w:bookmarkEnd w:id="62"/>
      <w:r>
        <w:rPr/>
        <w:t>Kereskedelempolitika</w:t>
      </w:r>
    </w:p>
    <w:p>
      <w:pPr>
        <w:pStyle w:val="Normal"/>
        <w:jc w:val="left"/>
        <w:rPr/>
      </w:pPr>
      <w:r>
        <w:rPr/>
        <w:t xml:space="preserve">A kereskedelmi és gazdasági kapcsolatokhoz kapcsolódó ötleteket a résztvevők kevésbé vitatják meg. Az EU és a világ más országai közötti kereskedelmi kapcsolatok és megállapodások megerősítésének témáját azonban gyakran említik az erősebb és aktív globális EU-ra irányuló elképzelések között. </w:t>
      </w:r>
    </w:p>
    <w:p>
      <w:pPr>
        <w:pStyle w:val="Normal"/>
        <w:jc w:val="left"/>
        <w:rPr/>
      </w:pPr>
      <w:r>
        <w:rPr/>
        <w:t xml:space="preserve">Az EU a világban témához tartozó hozzájárulások egy csoportja az uniós értékekkel összhangban fokozni kívánja a kereskedelmi politikákat és meg kívánja reformálni a kereskedelmi megállapodásokat, legyen szó akár az emberi jogok tiszteletben tartásáról, akár a környezetvédelmi normáknak való megfelelésről (lásd például az </w:t>
      </w:r>
      <w:hyperlink r:id="rId1094">
        <w:r>
          <w:rPr>
            <w:rStyle w:val="LienInternet"/>
          </w:rPr>
          <w:t>ötletet</w:t>
        </w:r>
      </w:hyperlink>
      <w:r>
        <w:rPr/>
        <w:t xml:space="preserve">). Egy széles körben elfogadott elképzelés az EU kereskedelem- és beruházáspolitikájának reformjára és a globális multilateralizmus újraindítására szólít fel, amelynek középpontjában a tisztességes munkahelyek teremtése, valamint az alapvető és emberi jogok – többek között a munkavállalók és a szakszervezeti jogok – védelme áll (lásd például az </w:t>
      </w:r>
      <w:hyperlink r:id="rId1095">
        <w:r>
          <w:rPr>
            <w:rStyle w:val="LienInternet"/>
          </w:rPr>
          <w:t>ötletet)</w:t>
        </w:r>
      </w:hyperlink>
      <w:r>
        <w:rPr/>
        <w:t>. Egy német nyelvű munkaértekezleten a résztvevők megvitatták az EU kereskedelempolitikáját és annak hatásait a harmadik világ országaiban, különösen a rossz munkakörülmények, a gyermekmunka és a környezetre gyakorolt negatív hatások, például a textilipar (lásd az</w:t>
      </w:r>
      <w:hyperlink r:id="rId1096">
        <w:r>
          <w:rPr>
            <w:rStyle w:val="LienInternet"/>
          </w:rPr>
          <w:t xml:space="preserve"> </w:t>
        </w:r>
      </w:hyperlink>
      <w:hyperlink r:id="rId1097">
        <w:r>
          <w:rPr>
            <w:rStyle w:val="LienInternet"/>
          </w:rPr>
          <w:t>eseményt)</w:t>
        </w:r>
      </w:hyperlink>
      <w:r>
        <w:rPr/>
        <w:t xml:space="preserve"> tekintetében. </w:t>
      </w:r>
    </w:p>
    <w:p>
      <w:pPr>
        <w:pStyle w:val="Normal"/>
        <w:jc w:val="left"/>
        <w:rPr/>
      </w:pPr>
      <w:r>
        <w:rPr/>
        <w:t xml:space="preserve">Egyes hozzájárulók számára az egészségügyi és éghajlati válság rávilágított a nagymértékben globalizált és egymástól kölcsönösen függő európai gazdaság korlátaira. Az egészségügyi válság idején a maszkok hiánya, a világjárványt követő globális ellátási láncokkal kapcsolatos problémák és a globális kereskedelem környezetre gyakorolt hatása szükségessé tette az újraiparosítást és a helyi termelés növelését (lásd az </w:t>
      </w:r>
      <w:hyperlink r:id="rId1098">
        <w:r>
          <w:rPr>
            <w:rStyle w:val="LienInternet"/>
          </w:rPr>
          <w:t>ötletet)</w:t>
        </w:r>
      </w:hyperlink>
      <w:r>
        <w:rPr/>
        <w:t xml:space="preserve">. E tekintetben számos hozzászóló az uniós tagállamok közötti fokozott koordinációra szólít fel az ellátási láncok kockázatainak kezelése terén (lásd például az </w:t>
      </w:r>
      <w:hyperlink r:id="rId1099">
        <w:r>
          <w:rPr>
            <w:rStyle w:val="LienInternet"/>
          </w:rPr>
          <w:t>ötletet</w:t>
        </w:r>
      </w:hyperlink>
      <w:r>
        <w:rPr/>
        <w:t>). Egy másik résztvevő azt javasolja, hogy hozzanak létre külön intézményt a stratégiai erőforrások ellátási hiányának előrejelzésére és leküzdésére. Ez európai megfigyelőközpont formáját öltheti (lásd az</w:t>
      </w:r>
      <w:hyperlink r:id="rId1100">
        <w:r>
          <w:rPr>
            <w:rStyle w:val="LienInternet"/>
          </w:rPr>
          <w:t xml:space="preserve"> </w:t>
        </w:r>
      </w:hyperlink>
      <w:hyperlink r:id="rId1101">
        <w:r>
          <w:rPr>
            <w:rStyle w:val="LienInternet"/>
          </w:rPr>
          <w:t>ötletet</w:t>
        </w:r>
      </w:hyperlink>
      <w:r>
        <w:rPr/>
        <w:t>).</w:t>
      </w:r>
    </w:p>
    <w:p>
      <w:pPr>
        <w:pStyle w:val="Normal"/>
        <w:jc w:val="left"/>
        <w:rPr/>
      </w:pPr>
      <w:r>
        <w:rPr/>
      </w:r>
    </w:p>
    <w:p>
      <w:pPr>
        <w:pStyle w:val="Titre2"/>
        <w:numPr>
          <w:ilvl w:val="1"/>
          <w:numId w:val="1"/>
        </w:numPr>
        <w:jc w:val="left"/>
        <w:rPr/>
      </w:pPr>
      <w:bookmarkStart w:id="63" w:name="__RefHeading___Toc86449_2514204080"/>
      <w:bookmarkEnd w:id="63"/>
      <w:r>
        <w:rPr/>
        <w:t xml:space="preserve">Új ötletek az elmúlt időszakban (21/02/2022–09/05/2022) </w:t>
      </w:r>
    </w:p>
    <w:p>
      <w:pPr>
        <w:pStyle w:val="Normal"/>
        <w:jc w:val="left"/>
        <w:rPr/>
      </w:pPr>
      <w:r>
        <w:rPr/>
        <w:t xml:space="preserve">A témához kapcsolódó legújabb elképzelések az Ukrajna elleni orosz agressziós háborúval kapcsolatosak, megerősítve a legutóbb közzétett jelentés témáit. </w:t>
      </w:r>
    </w:p>
    <w:p>
      <w:pPr>
        <w:pStyle w:val="Normal"/>
        <w:jc w:val="left"/>
        <w:rPr/>
      </w:pPr>
      <w:r>
        <w:rPr/>
        <w:t xml:space="preserve">Általánosságban új hozzájárulásokra volt szükség az Ukrajna számára nyújtott európai támogatás mellett, de szorgalmazták a konfliktus megszüntetését célzó megoldásokat is (lásd például az </w:t>
      </w:r>
      <w:hyperlink r:id="rId1102">
        <w:r>
          <w:rPr>
            <w:rStyle w:val="LienInternet"/>
          </w:rPr>
          <w:t>ötletet)</w:t>
        </w:r>
      </w:hyperlink>
      <w:r>
        <w:rPr/>
        <w:t xml:space="preserve">. E tekintetben a hozzájárulások néha gyökeresen eltérő álláspontokat tükröztek, a válaszadók többsége üdvözölte az EU közös külpolitikai kezdeményezéseit (lásd az </w:t>
      </w:r>
      <w:hyperlink r:id="rId1103">
        <w:r>
          <w:rPr>
            <w:rStyle w:val="LienInternet"/>
          </w:rPr>
          <w:t>ötlet</w:t>
        </w:r>
      </w:hyperlink>
      <w:r>
        <w:rPr/>
        <w:t>példáját), és néhányan kritizálták őket (lásd például az</w:t>
      </w:r>
      <w:hyperlink r:id="rId1104">
        <w:r>
          <w:rPr>
            <w:rStyle w:val="LienInternet"/>
          </w:rPr>
          <w:t xml:space="preserve"> </w:t>
        </w:r>
      </w:hyperlink>
      <w:hyperlink r:id="rId1105">
        <w:r>
          <w:rPr>
            <w:rStyle w:val="LienInternet"/>
          </w:rPr>
          <w:t>ötletet</w:t>
        </w:r>
      </w:hyperlink>
      <w:r>
        <w:rPr/>
        <w:t xml:space="preserve">). </w:t>
      </w:r>
    </w:p>
    <w:p>
      <w:pPr>
        <w:pStyle w:val="Normal"/>
        <w:jc w:val="left"/>
        <w:rPr/>
      </w:pPr>
      <w:r>
        <w:rPr/>
        <w:t xml:space="preserve">Aggodalmak merültek fel a balti államok orosz geopolitikai törekvéseivel és a nyugat-balkáni orosz befolyással kapcsolatban is (lásd az </w:t>
      </w:r>
      <w:hyperlink r:id="rId1106">
        <w:r>
          <w:rPr>
            <w:rStyle w:val="LienInternet"/>
          </w:rPr>
          <w:t>ötletet)</w:t>
        </w:r>
      </w:hyperlink>
      <w:r>
        <w:rPr/>
        <w:t>. Ezenkívül a NATO szerepét gyakran említették a konfliktussal kapcsolatban (lásd az</w:t>
      </w:r>
      <w:hyperlink r:id="rId1107">
        <w:r>
          <w:rPr>
            <w:rStyle w:val="LienInternet"/>
          </w:rPr>
          <w:t xml:space="preserve"> ötletet)</w:t>
        </w:r>
      </w:hyperlink>
      <w:r>
        <w:rPr/>
        <w:t>. Az Ukrajna, Moldova és Grúzia által Ukrajna orosz agressziójára válaszul benyújtott uniós tagsági kérelmek még gyakoribb vitákat váltottak ki az EU bővítéséről a platformon, egyes résztvevők nyitottabbak az Unió további bővítésére, mások pedig sokkal mérsékeltebb bővítési politikát szorgalmaztak (lásd az</w:t>
      </w:r>
      <w:hyperlink r:id="rId1108">
        <w:r>
          <w:rPr>
            <w:rStyle w:val="LienInternet"/>
          </w:rPr>
          <w:t xml:space="preserve"> </w:t>
        </w:r>
      </w:hyperlink>
      <w:hyperlink r:id="rId1109">
        <w:r>
          <w:rPr>
            <w:rStyle w:val="LienInternet"/>
          </w:rPr>
          <w:t>ötletet)</w:t>
        </w:r>
      </w:hyperlink>
      <w:r>
        <w:rPr/>
        <w:t xml:space="preserve">. </w:t>
      </w:r>
    </w:p>
    <w:p>
      <w:pPr>
        <w:pStyle w:val="Normal"/>
        <w:jc w:val="left"/>
        <w:rPr/>
      </w:pPr>
      <w:r>
        <w:rPr/>
        <w:t xml:space="preserve">A konfliktus még inkább központi kérdéssé tette az EU szerepét az emberi jogok és a demokráciák védelmében világszerte. Különböző közreműködők védték a diplomáciai kapcsolatok fenntartásának fontosságát a világ más demokráciáival, amelyek szuverenitását veszélyeztetik az autokratikus államok, például Tajvan (lásd az </w:t>
      </w:r>
      <w:hyperlink r:id="rId1110">
        <w:r>
          <w:rPr>
            <w:rStyle w:val="LienInternet"/>
          </w:rPr>
          <w:t>ötletet)</w:t>
        </w:r>
      </w:hyperlink>
      <w:r>
        <w:rPr/>
        <w:t xml:space="preserve">. Más hozzászólások inkább az EU és az illiberális államok – például Irán, Kína és Törökország – közötti kapcsolatok jellegét vitatták meg (lásd az </w:t>
      </w:r>
      <w:hyperlink r:id="rId1111">
        <w:r>
          <w:rPr>
            <w:rStyle w:val="LienInternet"/>
          </w:rPr>
          <w:t>ötlet példáját</w:t>
        </w:r>
      </w:hyperlink>
      <w:r>
        <w:rPr/>
        <w:t>), és több párbeszédet és gazdasági együttműködést szorgalmaztak az ilyen államokkal.</w:t>
      </w:r>
    </w:p>
    <w:p>
      <w:pPr>
        <w:pStyle w:val="Normal"/>
        <w:jc w:val="left"/>
        <w:rPr/>
      </w:pPr>
      <w:r>
        <w:rPr/>
      </w:r>
    </w:p>
    <w:p>
      <w:pPr>
        <w:sectPr>
          <w:headerReference w:type="default" r:id="rId1112"/>
          <w:footerReference w:type="default" r:id="rId1113"/>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Normal"/>
        <w:jc w:val="left"/>
        <w:rPr/>
      </w:pPr>
      <w:r>
        <w:rPr/>
      </w:r>
    </w:p>
    <w:p>
      <w:pPr>
        <w:pStyle w:val="Normal"/>
        <w:jc w:val="left"/>
        <w:rPr/>
      </w:pPr>
      <w:r>
        <w:rPr/>
        <mc:AlternateContent>
          <mc:Choice Requires="wps">
            <w:drawing>
              <wp:anchor behindDoc="0" distT="0" distB="0" distL="0" distR="0" simplePos="0" locked="0" layoutInCell="0" allowOverlap="1" relativeHeight="157">
                <wp:simplePos x="0" y="0"/>
                <wp:positionH relativeFrom="column">
                  <wp:posOffset>137795</wp:posOffset>
                </wp:positionH>
                <wp:positionV relativeFrom="paragraph">
                  <wp:posOffset>36830</wp:posOffset>
                </wp:positionV>
                <wp:extent cx="9321800" cy="5109210"/>
                <wp:effectExtent l="0" t="0" r="0" b="0"/>
                <wp:wrapTopAndBottom/>
                <wp:docPr id="76" name="Cadre17"/>
                <a:graphic xmlns:a="http://schemas.openxmlformats.org/drawingml/2006/main">
                  <a:graphicData uri="http://schemas.microsoft.com/office/word/2010/wordprocessingShape">
                    <wps:wsp>
                      <wps:cNvSpPr/>
                      <wps:spPr>
                        <a:xfrm>
                          <a:off x="0" y="0"/>
                          <a:ext cx="9321840" cy="510912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Ábra. Elmetérkép „Az EU a világban” téma 1. rész </w:t>
                            </w:r>
                          </w:p>
                          <w:p>
                            <w:pPr>
                              <w:pStyle w:val="Lgende"/>
                              <w:suppressLineNumbers/>
                              <w:spacing w:before="120" w:after="120"/>
                              <w:jc w:val="left"/>
                              <w:rPr>
                                <w:color w:val="000000"/>
                              </w:rPr>
                            </w:pPr>
                            <w:r>
                              <w:rPr>
                                <w:color w:val="000000"/>
                              </w:rPr>
                            </w:r>
                          </w:p>
                        </w:txbxContent>
                      </wps:txbx>
                      <wps:bodyPr lIns="0" rIns="0" tIns="0" bIns="0" anchor="t">
                        <a:noAutofit/>
                      </wps:bodyPr>
                    </wps:wsp>
                  </a:graphicData>
                </a:graphic>
              </wp:anchor>
            </w:drawing>
          </mc:Choice>
          <mc:Fallback>
            <w:pict>
              <v:rect id="shape_0" ID="Cadre17" path="m0,0l-2147483645,0l-2147483645,-2147483646l0,-2147483646xe" fillcolor="white" stroked="f" o:allowincell="f" style="position:absolute;margin-left:10.85pt;margin-top:2.9pt;width:733.95pt;height:402.2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Ábra. Elmetérkép „Az EU a világban” téma 1. rész </w:t>
                      </w:r>
                    </w:p>
                    <w:p>
                      <w:pPr>
                        <w:pStyle w:val="Lgende"/>
                        <w:suppressLineNumbers/>
                        <w:spacing w:before="120" w:after="120"/>
                        <w:jc w:val="left"/>
                        <w:rPr>
                          <w:color w:val="000000"/>
                        </w:rPr>
                      </w:pPr>
                      <w:r>
                        <w:rPr>
                          <w:color w:val="000000"/>
                        </w:rPr>
                      </w:r>
                    </w:p>
                  </w:txbxContent>
                </v:textbox>
                <w10:wrap type="topAndBottom"/>
              </v:rect>
            </w:pict>
          </mc:Fallback>
        </mc:AlternateContent>
        <mc:AlternateContent>
          <mc:Choice Requires="wpg">
            <w:drawing>
              <wp:anchor behindDoc="0" distT="0" distB="0" distL="0" distR="0" simplePos="0" locked="0" layoutInCell="0" allowOverlap="1" relativeHeight="159">
                <wp:simplePos x="0" y="0"/>
                <wp:positionH relativeFrom="column">
                  <wp:align>center</wp:align>
                </wp:positionH>
                <wp:positionV relativeFrom="paragraph">
                  <wp:posOffset>1496060</wp:posOffset>
                </wp:positionV>
                <wp:extent cx="8463280" cy="4351655"/>
                <wp:effectExtent l="0" t="0" r="0" b="0"/>
                <wp:wrapTopAndBottom/>
                <wp:docPr id="78" name="Forme11"/>
                <a:graphic xmlns:a="http://schemas.openxmlformats.org/drawingml/2006/main">
                  <a:graphicData uri="http://schemas.microsoft.com/office/word/2010/wordprocessingGroup">
                    <wpg:wgp>
                      <wpg:cNvGrpSpPr/>
                      <wpg:grpSpPr>
                        <a:xfrm>
                          <a:off x="0" y="0"/>
                          <a:ext cx="8463240" cy="4351680"/>
                          <a:chOff x="0" y="0"/>
                          <a:chExt cx="8463240" cy="4351680"/>
                        </a:xfrm>
                      </wpg:grpSpPr>
                      <wpg:grpSp>
                        <wpg:cNvGrpSpPr/>
                        <wpg:grpSpPr>
                          <a:xfrm>
                            <a:off x="6714360" y="1872000"/>
                            <a:ext cx="1748880" cy="1055880"/>
                          </a:xfrm>
                        </wpg:grpSpPr>
                        <pic:pic xmlns:pic="http://schemas.openxmlformats.org/drawingml/2006/picture">
                          <pic:nvPicPr>
                            <pic:cNvPr id="15" name="" descr=""/>
                            <pic:cNvPicPr/>
                          </pic:nvPicPr>
                          <pic:blipFill>
                            <a:blip r:embed="rId1114"/>
                            <a:stretch/>
                          </pic:blipFill>
                          <pic:spPr>
                            <a:xfrm>
                              <a:off x="0" y="0"/>
                              <a:ext cx="1311840" cy="826920"/>
                            </a:xfrm>
                            <a:prstGeom prst="rect">
                              <a:avLst/>
                            </a:prstGeom>
                            <a:ln w="0">
                              <a:noFill/>
                            </a:ln>
                          </pic:spPr>
                        </pic:pic>
                        <wps:wsp>
                          <wps:cNvSpPr/>
                          <wps:spPr>
                            <a:xfrm>
                              <a:off x="2520" y="770400"/>
                              <a:ext cx="1746360" cy="28584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EU a világban</w:t>
                                </w:r>
                              </w:p>
                            </w:txbxContent>
                          </wps:txbx>
                          <wps:bodyPr lIns="90000" rIns="90000" tIns="45000" bIns="45000" anchor="t">
                            <a:noAutofit/>
                          </wps:bodyPr>
                        </wps:wsp>
                      </wpg:grpSp>
                      <wpg:grpSp>
                        <wpg:cNvGrpSpPr/>
                        <wpg:grpSpPr>
                          <a:xfrm>
                            <a:off x="162000" y="0"/>
                            <a:ext cx="4901040" cy="1006560"/>
                          </a:xfrm>
                        </wpg:grpSpPr>
                        <wps:wsp>
                          <wps:cNvSpPr/>
                          <wps:spPr>
                            <a:xfrm>
                              <a:off x="0" y="0"/>
                              <a:ext cx="2939400" cy="10065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demokratikus értékek és az emberi jogok előmozdítása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Lépjen fel a nemzetközi szerződéseket megsértő államok ellen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közös külpolitika megerősítése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 stratégiai autonómiájának előmozdítása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 elsődleges közös gazdasági piaci funkciójára való összpontosítás növelése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Közös fellépés az ukrán válságban </w:t>
                                </w:r>
                              </w:p>
                            </w:txbxContent>
                          </wps:txbx>
                          <wps:bodyPr lIns="90000" rIns="90000" tIns="45000" bIns="45000" anchor="t">
                            <a:noAutofit/>
                          </wps:bodyPr>
                        </wps:wsp>
                        <wps:wsp>
                          <wps:cNvSpPr/>
                          <wps:spPr>
                            <a:xfrm>
                              <a:off x="2948760" y="172800"/>
                              <a:ext cx="1951920" cy="4132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EU külpolitikájának általános célkitűzése</w:t>
                                </w:r>
                              </w:p>
                            </w:txbxContent>
                          </wps:txbx>
                          <wps:bodyPr lIns="90000" rIns="90000" tIns="45000" bIns="45000" anchor="t">
                            <a:noAutofit/>
                          </wps:bodyPr>
                        </wps:wsp>
                      </wpg:grpSp>
                      <wpg:grpSp>
                        <wpg:cNvGrpSpPr/>
                        <wpg:grpSpPr>
                          <a:xfrm>
                            <a:off x="0" y="1144440"/>
                            <a:ext cx="4278600" cy="891000"/>
                          </a:xfrm>
                        </wpg:grpSpPr>
                        <wps:wsp>
                          <wps:cNvSpPr/>
                          <wps:spPr>
                            <a:xfrm>
                              <a:off x="0" y="0"/>
                              <a:ext cx="2700720" cy="8910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Európai hadsereg létrehozása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Uniós szinten szakosítottabb erők vagy védelmi intézmények létrehozása; mint például a hírszerző szolgálat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Közös európai fegyveres erők létrehozása nem védelmi célokra, mint például az Európai Nemzeti Gárda </w:t>
                                </w:r>
                              </w:p>
                            </w:txbxContent>
                          </wps:txbx>
                          <wps:bodyPr lIns="90000" rIns="90000" tIns="45000" bIns="45000" anchor="t">
                            <a:noAutofit/>
                          </wps:bodyPr>
                        </wps:wsp>
                        <wps:wsp>
                          <wps:cNvSpPr/>
                          <wps:spPr>
                            <a:xfrm>
                              <a:off x="2684880" y="70200"/>
                              <a:ext cx="1593720" cy="44640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Védelmi és fegyveres erők</w:t>
                                </w:r>
                              </w:p>
                            </w:txbxContent>
                          </wps:txbx>
                          <wps:bodyPr lIns="90000" rIns="90000" tIns="45000" bIns="45000" anchor="t">
                            <a:noAutofit/>
                          </wps:bodyPr>
                        </wps:wsp>
                      </wpg:grpSp>
                      <wpg:grpSp>
                        <wpg:cNvGrpSpPr/>
                        <wpg:grpSpPr>
                          <a:xfrm>
                            <a:off x="3315240" y="3345120"/>
                            <a:ext cx="4201920" cy="1006560"/>
                          </a:xfrm>
                        </wpg:grpSpPr>
                        <wps:wsp>
                          <wps:cNvSpPr/>
                          <wps:spPr>
                            <a:xfrm>
                              <a:off x="0" y="0"/>
                              <a:ext cx="2582640" cy="10065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 mint globális hatalom láthatóságának és befolyásának növelése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tagállamok közötti szorosabb együttműködés előmozdítása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egyhangúsági szabály újragondolása abszolút vagy minősített többségi szavazásra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Több külpolitikai hatáskört ruháznak az Európai Parlamentre </w:t>
                                </w:r>
                              </w:p>
                            </w:txbxContent>
                          </wps:txbx>
                          <wps:bodyPr lIns="90000" rIns="90000" tIns="45000" bIns="45000" anchor="t">
                            <a:noAutofit/>
                          </wps:bodyPr>
                        </wps:wsp>
                        <wps:wsp>
                          <wps:cNvSpPr/>
                          <wps:spPr>
                            <a:xfrm>
                              <a:off x="2558520" y="217800"/>
                              <a:ext cx="1643400" cy="3567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Döntéshozás</w:t>
                                </w:r>
                              </w:p>
                            </w:txbxContent>
                          </wps:txbx>
                          <wps:bodyPr lIns="90000" rIns="90000" tIns="45000" bIns="45000" anchor="t">
                            <a:noAutofit/>
                          </wps:bodyPr>
                        </wps:wsp>
                      </wpg:grpSp>
                    </wpg:wgp>
                  </a:graphicData>
                </a:graphic>
              </wp:anchor>
            </w:drawing>
          </mc:Choice>
          <mc:Fallback>
            <w:pict>
              <v:group id="shape_0" alt="Forme11" style="position:absolute;margin-left:31.05pt;margin-top:117.8pt;width:666.4pt;height:342.65pt" coordorigin="621,2356" coordsize="13328,6853">
                <v:group id="shape_0" style="position:absolute;left:11195;top:5304;width:2754;height:1664">
                  <v:shape id="shape_0" stroked="f" o:allowincell="f" style="position:absolute;left:11195;top:5304;width:2065;height:1301;mso-wrap-style:none;v-text-anchor:middle;mso-position-horizontal:center" type="_x0000_t75">
                    <v:imagedata r:id="rId1114" o:detectmouseclick="t"/>
                    <v:stroke color="#3465a4" joinstyle="round" endcap="flat"/>
                    <w10:wrap type="topAndBottom"/>
                  </v:shape>
                  <v:rect id="shape_0" path="m0,0l-2147483645,0l-2147483645,-2147483646l0,-2147483646xe" stroked="f" o:allowincell="f" style="position:absolute;left:11199;top:6517;width:2749;height:449;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EU a világban</w:t>
                          </w:r>
                        </w:p>
                      </w:txbxContent>
                    </v:textbox>
                    <v:fill o:detectmouseclick="t" on="false"/>
                    <v:stroke color="#3465a4" joinstyle="round" endcap="flat"/>
                    <w10:wrap type="topAndBottom"/>
                  </v:rect>
                </v:group>
                <v:group id="shape_0" style="position:absolute;left:876;top:2356;width:7717;height:1585">
                  <v:rect id="shape_0" path="m0,0l-2147483645,0l-2147483645,-2147483646l0,-2147483646xe" fillcolor="#eeeeee" stroked="f" o:allowincell="f" style="position:absolute;left:876;top:2356;width:4628;height:158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demokratikus értékek és az emberi jogok előmozdítása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Lépjen fel a nemzetközi szerződéseket megsértő államok ellen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közös külpolitika megerősítése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 stratégiai autonómiájának előmozdítása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 elsődleges közös gazdasági piaci funkciójára való összpontosítás növelése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Közös fellépés az ukrán válságban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5520;top:2628;width:3073;height:650;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EU külpolitikájának általános célkitűzése</w:t>
                          </w:r>
                        </w:p>
                      </w:txbxContent>
                    </v:textbox>
                    <v:fill o:detectmouseclick="t" type="solid" color2="#5cdc71"/>
                    <v:stroke color="#3465a4" joinstyle="round" endcap="flat"/>
                    <w10:wrap type="topAndBottom"/>
                  </v:rect>
                </v:group>
                <v:group id="shape_0" style="position:absolute;left:621;top:4158;width:6738;height:1403">
                  <v:rect id="shape_0" path="m0,0l-2147483645,0l-2147483645,-2147483646l0,-2147483646xe" fillcolor="#eeeeee" stroked="f" o:allowincell="f" style="position:absolute;left:621;top:4158;width:4252;height:1402;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Európai hadsereg létrehozása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Uniós szinten szakosítottabb erők vagy védelmi intézmények létrehozása; mint például a hírszerző szolgálat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Közös európai fegyveres erők létrehozása nem védelmi célokra, mint például az Európai Nemzeti Gárda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4849;top:4269;width:2509;height:702;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Védelmi és fegyveres erők</w:t>
                          </w:r>
                        </w:p>
                      </w:txbxContent>
                    </v:textbox>
                    <v:fill o:detectmouseclick="t" type="solid" color2="#5cdc71"/>
                    <v:stroke color="#3465a4" joinstyle="round" endcap="flat"/>
                    <w10:wrap type="topAndBottom"/>
                  </v:rect>
                </v:group>
                <v:group id="shape_0" style="position:absolute;left:5842;top:7624;width:6617;height:1585">
                  <v:rect id="shape_0" path="m0,0l-2147483645,0l-2147483645,-2147483646l0,-2147483646xe" fillcolor="#eeeeee" stroked="f" o:allowincell="f" style="position:absolute;left:5842;top:7624;width:4066;height:158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 mint globális hatalom láthatóságának és befolyásának növelése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tagállamok közötti szorosabb együttműködés előmozdítása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egyhangúsági szabály újragondolása abszolút vagy minősített többségi szavazásra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Több külpolitikai hatáskört ruháznak az Európai Parlamentre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9871;top:7967;width:2587;height:561;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Döntéshozás</w:t>
                          </w:r>
                        </w:p>
                      </w:txbxContent>
                    </v:textbox>
                    <v:fill o:detectmouseclick="t" type="solid" color2="#5cdc71"/>
                    <v:stroke color="#3465a4" joinstyle="round" endcap="flat"/>
                    <w10:wrap type="topAndBottom"/>
                  </v:rect>
                </v:group>
              </v:group>
            </w:pict>
          </mc:Fallback>
        </mc:AlternateContent>
      </w:r>
      <w:r>
        <w:br w:type="page"/>
      </w:r>
    </w:p>
    <w:p>
      <w:pPr>
        <w:pStyle w:val="Normal"/>
        <w:rPr/>
      </w:pPr>
      <w:r>
        <w:rPr/>
      </w:r>
      <w:r>
        <w:br w:type="page"/>
      </w:r>
    </w:p>
    <w:p>
      <w:pPr>
        <w:pStyle w:val="Normal"/>
        <w:rPr/>
      </w:pPr>
      <w:r>
        <w:rPr/>
      </w:r>
    </w:p>
    <w:p>
      <w:pPr>
        <w:pStyle w:val="Normal"/>
        <w:jc w:val="left"/>
        <w:rPr/>
      </w:pPr>
      <w:r>
        <w:rPr/>
        <mc:AlternateContent>
          <mc:Choice Requires="wps">
            <w:drawing>
              <wp:anchor behindDoc="0" distT="0" distB="0" distL="0" distR="0" simplePos="0" locked="0" layoutInCell="0" allowOverlap="1" relativeHeight="107">
                <wp:simplePos x="0" y="0"/>
                <wp:positionH relativeFrom="column">
                  <wp:posOffset>257810</wp:posOffset>
                </wp:positionH>
                <wp:positionV relativeFrom="paragraph">
                  <wp:posOffset>149225</wp:posOffset>
                </wp:positionV>
                <wp:extent cx="8461375" cy="5299710"/>
                <wp:effectExtent l="0" t="0" r="0" b="0"/>
                <wp:wrapTopAndBottom/>
                <wp:docPr id="79" name="Cadre18"/>
                <a:graphic xmlns:a="http://schemas.openxmlformats.org/drawingml/2006/main">
                  <a:graphicData uri="http://schemas.microsoft.com/office/word/2010/wordprocessingShape">
                    <wps:wsp>
                      <wps:cNvSpPr/>
                      <wps:spPr>
                        <a:xfrm>
                          <a:off x="0" y="0"/>
                          <a:ext cx="8461440" cy="5299560"/>
                        </a:xfrm>
                        <a:prstGeom prst="rect">
                          <a:avLst/>
                        </a:prstGeom>
                        <a:solidFill>
                          <a:srgbClr val="ffffff"/>
                        </a:solidFill>
                        <a:ln w="0">
                          <a:noFill/>
                        </a:ln>
                      </wps:spPr>
                      <wps:style>
                        <a:lnRef idx="0"/>
                        <a:fillRef idx="0"/>
                        <a:effectRef idx="0"/>
                        <a:fontRef idx="minor"/>
                      </wps:style>
                      <wps:txbx>
                        <w:txbxContent>
                          <w:p>
                            <w:pPr>
                              <w:pStyle w:val="TableofFigures"/>
                              <w:spacing w:before="120" w:after="120"/>
                              <w:jc w:val="left"/>
                              <w:rPr>
                                <w:color w:val="000000"/>
                              </w:rPr>
                            </w:pPr>
                            <w:r>
                              <w:rPr>
                                <w:color w:val="000000"/>
                              </w:rPr>
                              <w:t>Ábra. Elmetérkép „Az EU a világban” téma 2. rész</w:t>
                            </w:r>
                          </w:p>
                        </w:txbxContent>
                      </wps:txbx>
                      <wps:bodyPr lIns="0" rIns="0" tIns="0" bIns="0" anchor="t">
                        <a:noAutofit/>
                      </wps:bodyPr>
                    </wps:wsp>
                  </a:graphicData>
                </a:graphic>
              </wp:anchor>
            </w:drawing>
          </mc:Choice>
          <mc:Fallback>
            <w:pict>
              <v:rect id="shape_0" ID="Cadre18" path="m0,0l-2147483645,0l-2147483645,-2147483646l0,-2147483646xe" fillcolor="white" stroked="f" o:allowincell="f" style="position:absolute;margin-left:20.3pt;margin-top:11.75pt;width:666.2pt;height:417.25pt;mso-wrap-style:square;v-text-anchor:top">
                <v:fill o:detectmouseclick="t" type="solid" color2="black"/>
                <v:stroke color="#3465a4" joinstyle="round" endcap="flat"/>
                <v:textbox>
                  <w:txbxContent>
                    <w:p>
                      <w:pPr>
                        <w:pStyle w:val="TableofFigures"/>
                        <w:spacing w:before="120" w:after="120"/>
                        <w:jc w:val="left"/>
                        <w:rPr>
                          <w:color w:val="000000"/>
                        </w:rPr>
                      </w:pPr>
                      <w:r>
                        <w:rPr>
                          <w:color w:val="000000"/>
                        </w:rPr>
                        <w:t>Ábra. Elmetérkép „Az EU a világban” téma 2. rész</w:t>
                      </w:r>
                    </w:p>
                  </w:txbxContent>
                </v:textbox>
                <w10:wrap type="topAndBottom"/>
              </v:rect>
            </w:pict>
          </mc:Fallback>
        </mc:AlternateContent>
        <mc:AlternateContent>
          <mc:Choice Requires="wpg">
            <w:drawing>
              <wp:anchor behindDoc="0" distT="0" distB="0" distL="0" distR="0" simplePos="0" locked="0" layoutInCell="0" allowOverlap="1" relativeHeight="109">
                <wp:simplePos x="0" y="0"/>
                <wp:positionH relativeFrom="column">
                  <wp:align>center</wp:align>
                </wp:positionH>
                <wp:positionV relativeFrom="paragraph">
                  <wp:posOffset>633730</wp:posOffset>
                </wp:positionV>
                <wp:extent cx="8460105" cy="4490720"/>
                <wp:effectExtent l="635" t="0" r="0" b="0"/>
                <wp:wrapTopAndBottom/>
                <wp:docPr id="81" name="Forme12"/>
                <a:graphic xmlns:a="http://schemas.openxmlformats.org/drawingml/2006/main">
                  <a:graphicData uri="http://schemas.microsoft.com/office/word/2010/wordprocessingGroup">
                    <wpg:wgp>
                      <wpg:cNvGrpSpPr/>
                      <wpg:grpSpPr>
                        <a:xfrm>
                          <a:off x="0" y="0"/>
                          <a:ext cx="8460000" cy="4490640"/>
                          <a:chOff x="0" y="0"/>
                          <a:chExt cx="8460000" cy="4490640"/>
                        </a:xfrm>
                      </wpg:grpSpPr>
                      <wpg:grpSp>
                        <wpg:cNvGrpSpPr/>
                        <wpg:grpSpPr>
                          <a:xfrm>
                            <a:off x="265320" y="2167200"/>
                            <a:ext cx="1954440" cy="1247760"/>
                          </a:xfrm>
                        </wpg:grpSpPr>
                        <pic:pic xmlns:pic="http://schemas.openxmlformats.org/drawingml/2006/picture">
                          <pic:nvPicPr>
                            <pic:cNvPr id="16" name="" descr=""/>
                            <pic:cNvPicPr/>
                          </pic:nvPicPr>
                          <pic:blipFill>
                            <a:blip r:embed="rId1115"/>
                            <a:stretch/>
                          </pic:blipFill>
                          <pic:spPr>
                            <a:xfrm>
                              <a:off x="0" y="0"/>
                              <a:ext cx="1465560" cy="1035000"/>
                            </a:xfrm>
                            <a:prstGeom prst="rect">
                              <a:avLst/>
                            </a:prstGeom>
                            <a:ln w="0">
                              <a:noFill/>
                            </a:ln>
                          </pic:spPr>
                        </pic:pic>
                        <wps:wsp>
                          <wps:cNvSpPr/>
                          <wps:spPr>
                            <a:xfrm>
                              <a:off x="2520" y="964080"/>
                              <a:ext cx="1951920" cy="28368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EU a világban</w:t>
                                </w:r>
                              </w:p>
                            </w:txbxContent>
                          </wps:txbx>
                          <wps:bodyPr lIns="90000" rIns="90000" tIns="45000" bIns="45000" anchor="t">
                            <a:noAutofit/>
                          </wps:bodyPr>
                        </wps:wsp>
                      </wpg:grpSp>
                      <wpg:grpSp>
                        <wpg:cNvGrpSpPr/>
                        <wpg:grpSpPr>
                          <a:xfrm>
                            <a:off x="0" y="0"/>
                            <a:ext cx="4964400" cy="2152080"/>
                          </a:xfrm>
                        </wpg:grpSpPr>
                        <wps:wsp>
                          <wps:cNvSpPr/>
                          <wps:spPr>
                            <a:xfrm>
                              <a:off x="0" y="568440"/>
                              <a:ext cx="1866960" cy="5770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Szomszédságpolitika és a másokkal fenntartott kapcsolatok</w:t>
                                </w:r>
                              </w:p>
                            </w:txbxContent>
                          </wps:txbx>
                          <wps:bodyPr lIns="90000" rIns="90000" tIns="45000" bIns="45000" anchor="t">
                            <a:noAutofit/>
                          </wps:bodyPr>
                        </wps:wsp>
                        <wps:wsp>
                          <wps:cNvSpPr/>
                          <wps:spPr>
                            <a:xfrm>
                              <a:off x="1878480" y="0"/>
                              <a:ext cx="3086280" cy="21520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tagállamokat képviselő egységes uniós nagykövetség létrehozása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Határozott álláspontot képvisel Oroszországgal és Kínával szemben, védje meg az európai gazdasági partnerségeket ezekkel az országokkal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 külberuházási stratégiájának kidolgozása Kína globális befolyásának ellensúlyozása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Szorosabb partnerségek kialakítása az EU és az afrikai országok, valamint más nem nyugati országok között, többek között olyan szervezeteken keresztül, mint az Afrikai Unió vagy a Mercosur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Erősebb kétoldalú partnerségek ösztönzése a tagállamok és a fejlődő országok között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 egységes képviselete a nemzetközi intézményekben, például a NATO-ban vagy az ENSZ Biztonsági Tanácsában való egységes és állandó képviselet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Vezető szerepet vállal Izrael és Palesztina közötti békeépítésben </w:t>
                                </w:r>
                              </w:p>
                            </w:txbxContent>
                          </wps:txbx>
                          <wps:bodyPr lIns="90000" rIns="90000" tIns="45000" bIns="45000" anchor="t">
                            <a:noAutofit/>
                          </wps:bodyPr>
                        </wps:wsp>
                      </wpg:grpSp>
                      <wpg:grpSp>
                        <wpg:cNvGrpSpPr/>
                        <wpg:grpSpPr>
                          <a:xfrm>
                            <a:off x="4965840" y="1969200"/>
                            <a:ext cx="3494520" cy="1001520"/>
                          </a:xfrm>
                        </wpg:grpSpPr>
                        <wps:wsp>
                          <wps:cNvSpPr/>
                          <wps:spPr>
                            <a:xfrm>
                              <a:off x="0" y="344880"/>
                              <a:ext cx="1580040" cy="2635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Bővítés</w:t>
                                </w:r>
                              </w:p>
                            </w:txbxContent>
                          </wps:txbx>
                          <wps:bodyPr lIns="90000" rIns="90000" tIns="45000" bIns="45000" anchor="t">
                            <a:noAutofit/>
                          </wps:bodyPr>
                        </wps:wsp>
                        <wps:wsp>
                          <wps:cNvSpPr/>
                          <wps:spPr>
                            <a:xfrm>
                              <a:off x="1581120" y="0"/>
                              <a:ext cx="1913400" cy="100152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bővítés folytatása a Nyugat-Balkán felé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Ukrajna, Moldova és Grúzia integrálása az EU-ba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 bővítésének előmozdítása vs. nincs további bővítés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Koszovó elismerése és integrációjának előmozdítása az EU-ban </w:t>
                                </w:r>
                              </w:p>
                            </w:txbxContent>
                          </wps:txbx>
                          <wps:bodyPr lIns="90000" rIns="90000" tIns="45000" bIns="45000" anchor="t">
                            <a:noAutofit/>
                          </wps:bodyPr>
                        </wps:wsp>
                      </wpg:grpSp>
                      <wpg:grpSp>
                        <wpg:cNvGrpSpPr/>
                        <wpg:grpSpPr>
                          <a:xfrm>
                            <a:off x="2620800" y="3211200"/>
                            <a:ext cx="4029120" cy="1279440"/>
                          </a:xfrm>
                        </wpg:grpSpPr>
                        <wps:wsp>
                          <wps:cNvSpPr/>
                          <wps:spPr>
                            <a:xfrm>
                              <a:off x="0" y="520560"/>
                              <a:ext cx="1619280" cy="244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Kereskedelempolitika</w:t>
                                </w:r>
                              </w:p>
                            </w:txbxContent>
                          </wps:txbx>
                          <wps:bodyPr lIns="90000" rIns="90000" tIns="45000" bIns="45000" anchor="t">
                            <a:noAutofit/>
                          </wps:bodyPr>
                        </wps:wsp>
                        <wps:wsp>
                          <wps:cNvSpPr/>
                          <wps:spPr>
                            <a:xfrm>
                              <a:off x="1667880" y="0"/>
                              <a:ext cx="2360880" cy="12794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ellátási lánc válságai során jelentkező erőforráshiányra vonatkozó összehangolt megoldások előrejelzése és megtalálása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kereskedelmi megállapodások előmozdítása az uniós értékekkel összhangban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gazdasági együttműködés és növekedés előmozdítása az EU-n belül és kívül egyaránt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Beruházás a helyi termelésbe és az ipari autonómia növelése</w:t>
                                </w:r>
                              </w:p>
                            </w:txbxContent>
                          </wps:txbx>
                          <wps:bodyPr lIns="90000" rIns="90000" tIns="45000" bIns="45000" anchor="t">
                            <a:noAutofit/>
                          </wps:bodyPr>
                        </wps:wsp>
                      </wpg:grpSp>
                    </wpg:wgp>
                  </a:graphicData>
                </a:graphic>
              </wp:anchor>
            </w:drawing>
          </mc:Choice>
          <mc:Fallback>
            <w:pict>
              <v:group id="shape_0" alt="Forme12" style="position:absolute;margin-left:31.15pt;margin-top:49.9pt;width:666.15pt;height:353.6pt" coordorigin="623,998" coordsize="13323,7072">
                <v:group id="shape_0" style="position:absolute;left:1041;top:4411;width:3078;height:1966">
                  <v:shape id="shape_0" stroked="f" o:allowincell="f" style="position:absolute;left:1041;top:4411;width:2307;height:1629;mso-wrap-style:none;v-text-anchor:middle;mso-position-horizontal:center" type="_x0000_t75">
                    <v:imagedata r:id="rId1114" o:detectmouseclick="t"/>
                    <v:stroke color="#3465a4" joinstyle="round" endcap="flat"/>
                    <w10:wrap type="topAndBottom"/>
                  </v:shape>
                  <v:rect id="shape_0" path="m0,0l-2147483645,0l-2147483645,-2147483646l0,-2147483646xe" stroked="f" o:allowincell="f" style="position:absolute;left:1045;top:5929;width:3073;height:446;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EU a világban</w:t>
                          </w:r>
                        </w:p>
                      </w:txbxContent>
                    </v:textbox>
                    <v:fill o:detectmouseclick="t" on="false"/>
                    <v:stroke color="#3465a4" joinstyle="round" endcap="flat"/>
                    <w10:wrap type="topAndBottom"/>
                  </v:rect>
                </v:group>
                <v:group id="shape_0" style="position:absolute;left:623;top:998;width:7819;height:3389">
                  <v:rect id="shape_0" path="m0,0l-2147483645,0l-2147483645,-2147483646l0,-2147483646xe" fillcolor="#a3238e" stroked="t" o:allowincell="f" style="position:absolute;left:623;top:1893;width:2939;height:90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Szomszédságpolitika és a másokkal fenntartott kapcsolatok</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581;top:998;width:4859;height:338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tagállamokat képviselő egységes uniós nagykövetség létrehozása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Határozott álláspontot képvisel Oroszországgal és Kínával szemben, védje meg az európai gazdasági partnerségeket ezekkel az országokkal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 külberuházási stratégiájának kidolgozása Kína globális befolyásának ellensúlyozása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Szorosabb partnerségek kialakítása az EU és az afrikai országok, valamint más nem nyugati országok között, többek között olyan szervezeteken keresztül, mint az Afrikai Unió vagy a Mercosur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Erősebb kétoldalú partnerségek ösztönzése a tagállamok és a fejlődő országok között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 egységes képviselete a nemzetközi intézményekben, például a NATO-ban vagy az ENSZ Biztonsági Tanácsában való egységes és állandó képviselet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Vezető szerepet vállal Izrael és Palesztina közötti békeépítésben </w:t>
                          </w:r>
                        </w:p>
                      </w:txbxContent>
                    </v:textbox>
                    <v:fill o:detectmouseclick="t" type="solid" color2="#111111"/>
                    <v:stroke color="#3465a4" joinstyle="round" endcap="flat"/>
                    <w10:wrap type="topAndBottom"/>
                  </v:rect>
                </v:group>
                <v:group id="shape_0" style="position:absolute;left:8443;top:4099;width:5503;height:1577">
                  <v:rect id="shape_0" path="m0,0l-2147483645,0l-2147483645,-2147483646l0,-2147483646xe" fillcolor="#a3238e" stroked="t" o:allowincell="f" style="position:absolute;left:8443;top:4642;width:2487;height:41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Bővítés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0933;top:4099;width:3012;height:157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bővítés folytatása a Nyugat-Balkán felé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Ukrajna, Moldova és Grúzia integrálása az EU-ba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 bővítésének előmozdítása vs. nincs további bővítés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Koszovó elismerése és integrációjának előmozdítása az EU-ban </w:t>
                          </w:r>
                        </w:p>
                      </w:txbxContent>
                    </v:textbox>
                    <v:fill o:detectmouseclick="t" type="solid" color2="#111111"/>
                    <v:stroke color="#3465a4" joinstyle="round" endcap="flat"/>
                    <w10:wrap type="topAndBottom"/>
                  </v:rect>
                </v:group>
                <v:group id="shape_0" style="position:absolute;left:4750;top:6055;width:6345;height:2015">
                  <v:rect id="shape_0" path="m0,0l-2147483645,0l-2147483645,-2147483646l0,-2147483646xe" fillcolor="#a3238e" stroked="t" o:allowincell="f" style="position:absolute;left:4750;top:6875;width:2549;height:38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Kereskedelempolitika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377;top:6055;width:3717;height:201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ellátási lánc válságai során jelentkező erőforráshiányra vonatkozó összehangolt megoldások előrejelzése és megtalálása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kereskedelmi megállapodások előmozdítása az uniós értékekkel összhangban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gazdasági együttműködés és növekedés előmozdítása az EU-n belül és kívül egyaránt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Beruházás a helyi termelésbe és az ipari autonómia növelése</w:t>
                          </w:r>
                        </w:p>
                      </w:txbxContent>
                    </v:textbox>
                    <v:fill o:detectmouseclick="t" type="solid" color2="#111111"/>
                    <v:stroke color="#3465a4" joinstyle="round" endcap="flat"/>
                    <w10:wrap type="topAndBottom"/>
                  </v:rect>
                </v:group>
              </v:group>
            </w:pict>
          </mc:Fallback>
        </mc:AlternateContent>
      </w:r>
    </w:p>
    <w:p>
      <w:pPr>
        <w:sectPr>
          <w:headerReference w:type="default" r:id="rId1116"/>
          <w:footerReference w:type="default" r:id="rId1117"/>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Normal"/>
        <w:jc w:val="left"/>
        <w:rPr/>
      </w:pPr>
      <w:r>
        <w:rPr/>
      </w:r>
    </w:p>
    <w:p>
      <w:pPr>
        <w:pStyle w:val="Normal"/>
        <w:jc w:val="left"/>
        <w:rPr/>
      </w:pPr>
      <w:r>
        <w:rPr/>
        <w:drawing>
          <wp:anchor behindDoc="0" distT="0" distB="0" distL="0" distR="0" simplePos="0" locked="0" layoutInCell="0" allowOverlap="1" relativeHeight="110">
            <wp:simplePos x="0" y="0"/>
            <wp:positionH relativeFrom="column">
              <wp:align>center</wp:align>
            </wp:positionH>
            <wp:positionV relativeFrom="paragraph">
              <wp:posOffset>635</wp:posOffset>
            </wp:positionV>
            <wp:extent cx="2970530" cy="2000885"/>
            <wp:effectExtent l="0" t="0" r="0" b="0"/>
            <wp:wrapSquare wrapText="largest"/>
            <wp:docPr id="82" name="Kép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Kép35" descr=""/>
                    <pic:cNvPicPr>
                      <a:picLocks noChangeAspect="1" noChangeArrowheads="1"/>
                    </pic:cNvPicPr>
                  </pic:nvPicPr>
                  <pic:blipFill>
                    <a:blip r:embed="rId1118"/>
                    <a:stretch>
                      <a:fillRect/>
                    </a:stretch>
                  </pic:blipFill>
                  <pic:spPr bwMode="auto">
                    <a:xfrm>
                      <a:off x="0" y="0"/>
                      <a:ext cx="2970530" cy="2000885"/>
                    </a:xfrm>
                    <a:prstGeom prst="rect">
                      <a:avLst/>
                    </a:prstGeom>
                  </pic:spPr>
                </pic:pic>
              </a:graphicData>
            </a:graphic>
          </wp:anchor>
        </w:drawing>
      </w:r>
    </w:p>
    <w:p>
      <w:pPr>
        <w:pStyle w:val="Titre1"/>
        <w:numPr>
          <w:ilvl w:val="0"/>
          <w:numId w:val="1"/>
        </w:numPr>
        <w:rPr/>
      </w:pPr>
      <w:bookmarkStart w:id="64" w:name="__RefHeading___Toc86451_2514204080"/>
      <w:bookmarkEnd w:id="64"/>
      <w:r>
        <w:rPr/>
        <w:t>6. Értékek és jogok, jogállamiság, biztonság</w:t>
      </w:r>
    </w:p>
    <w:p>
      <w:pPr>
        <w:pStyle w:val="Normal"/>
        <w:jc w:val="left"/>
        <w:rPr/>
      </w:pPr>
      <w:r>
        <w:rPr/>
      </w:r>
    </w:p>
    <w:p>
      <w:pPr>
        <w:pStyle w:val="Normal"/>
        <w:jc w:val="left"/>
        <w:rPr/>
      </w:pPr>
      <w:r>
        <w:rPr/>
        <w:t xml:space="preserve">Az értékek és jogok, a jogállamiság és a biztonság témakörben összesen 5351 hozzászólást (1 768 ötlet, 2910 hozzászólás és 673 esemény) generált, és a közreműködők előmozdították a különböző jogokkal és szabadságokkal, például az LMBTIQ-jogokkal és a nemek közötti egyenlőséggel, valamint a fogyatékossággal élő személyek befogadásával kapcsolatos elképzeléseket, és megvitatták az európai értékek mint irányadó elv fogalmát. A platformon megjelenő vélemények sokféleségét tükrözve más közreműködők a konzervatívabb nézetek tiszteletben tartására szólítottak fel, amelyek gyakran kapcsolódnak a vallási értékek védelméhez. E téma másik jelentős témája a jogállamiság fenntartásának és védelmének szükségességét tárgyalja az EU-n belüli illiberális demokráciák felemelkedésének veszélyeiről, valamint az EU demokratikus értékei megerősítésének szükségességéről. A legutóbbi bejegyzések megvitatták az ukrajnai háborút és annak szükségességét, hogy az EU növelje katonai képességeit. A hozzájárulások a következő témákra terjednek ki: </w:t>
      </w:r>
    </w:p>
    <w:p>
      <w:pPr>
        <w:pStyle w:val="P68B1DB1Normal4"/>
        <w:jc w:val="left"/>
        <w:rPr>
          <w:b/>
          <w:b/>
        </w:rPr>
      </w:pPr>
      <w:r>
        <w:rPr/>
        <w:t xml:space="preserve">• </w:t>
      </w:r>
      <w:r>
        <w:rPr/>
        <w:t xml:space="preserve">Jogok és szabadságok </w:t>
      </w:r>
    </w:p>
    <w:p>
      <w:pPr>
        <w:pStyle w:val="P68B1DB1Normal4"/>
        <w:jc w:val="left"/>
        <w:rPr>
          <w:b/>
          <w:b/>
        </w:rPr>
      </w:pPr>
      <w:r>
        <w:rPr/>
        <w:t xml:space="preserve">• </w:t>
      </w:r>
      <w:r>
        <w:rPr/>
        <w:t xml:space="preserve">Befogadó társadalom </w:t>
      </w:r>
    </w:p>
    <w:p>
      <w:pPr>
        <w:pStyle w:val="P68B1DB1Normal4"/>
        <w:jc w:val="left"/>
        <w:rPr>
          <w:b/>
          <w:b/>
        </w:rPr>
      </w:pPr>
      <w:r>
        <w:rPr/>
        <w:t xml:space="preserve">• </w:t>
      </w:r>
      <w:r>
        <w:rPr/>
        <w:t xml:space="preserve">A jogállamiság védelme </w:t>
      </w:r>
    </w:p>
    <w:p>
      <w:pPr>
        <w:pStyle w:val="P68B1DB1Normal4"/>
        <w:jc w:val="left"/>
        <w:rPr>
          <w:b/>
          <w:b/>
        </w:rPr>
      </w:pPr>
      <w:r>
        <w:rPr/>
        <w:t xml:space="preserve">• </w:t>
      </w:r>
      <w:r>
        <w:rPr/>
        <w:t xml:space="preserve">Biztonság </w:t>
      </w:r>
    </w:p>
    <w:p>
      <w:pPr>
        <w:pStyle w:val="P68B1DB1Normal4"/>
        <w:jc w:val="left"/>
        <w:rPr>
          <w:b/>
          <w:b/>
        </w:rPr>
      </w:pPr>
      <w:r>
        <w:rPr/>
        <w:t xml:space="preserve">• </w:t>
      </w:r>
      <w:r>
        <w:rPr/>
        <w:t xml:space="preserve">Uniós értékek </w:t>
      </w:r>
    </w:p>
    <w:p>
      <w:pPr>
        <w:pStyle w:val="P68B1DB1Normal4"/>
        <w:jc w:val="left"/>
        <w:rPr>
          <w:b/>
          <w:b/>
        </w:rPr>
      </w:pPr>
      <w:r>
        <w:rPr/>
        <w:t xml:space="preserve">• </w:t>
      </w:r>
      <w:r>
        <w:rPr/>
        <w:t xml:space="preserve">Lobbizás és korrupció </w:t>
      </w:r>
    </w:p>
    <w:p>
      <w:pPr>
        <w:pStyle w:val="Titre2"/>
        <w:numPr>
          <w:ilvl w:val="1"/>
          <w:numId w:val="1"/>
        </w:numPr>
        <w:pBdr>
          <w:top w:val="single" w:sz="2" w:space="3" w:color="000000"/>
          <w:left w:val="single" w:sz="2" w:space="3" w:color="000000"/>
          <w:bottom w:val="single" w:sz="2" w:space="3" w:color="000000"/>
          <w:right w:val="single" w:sz="2" w:space="3" w:color="000000"/>
        </w:pBdr>
        <w:jc w:val="left"/>
        <w:rPr/>
      </w:pPr>
      <w:bookmarkStart w:id="65" w:name="__RefHeading___Toc86453_2514204080"/>
      <w:bookmarkEnd w:id="65"/>
      <w:r>
        <w:rPr/>
        <w:t xml:space="preserve">Események </w:t>
      </w:r>
    </w:p>
    <w:p>
      <w:pPr>
        <w:pStyle w:val="Normal"/>
        <w:pBdr>
          <w:top w:val="single" w:sz="2" w:space="3" w:color="000000"/>
          <w:left w:val="single" w:sz="2" w:space="3" w:color="000000"/>
          <w:bottom w:val="single" w:sz="2" w:space="3" w:color="000000"/>
          <w:right w:val="single" w:sz="2" w:space="3" w:color="000000"/>
        </w:pBdr>
        <w:jc w:val="left"/>
        <w:rPr/>
      </w:pPr>
      <w:r>
        <w:rPr/>
        <w:t xml:space="preserve">Az értékek, a jogok, a jogállamiság és a biztonság témájával kapcsolatban egy franciaországi kerekasztal-rendezvényen (lásd az </w:t>
      </w:r>
      <w:hyperlink r:id="rId1119">
        <w:r>
          <w:rPr>
            <w:rStyle w:val="LienInternet"/>
          </w:rPr>
          <w:t>eseményt)</w:t>
        </w:r>
      </w:hyperlink>
      <w:r>
        <w:rPr/>
        <w:t xml:space="preserve"> megvitatták az uniós értékeket, és az EU kulturális és nyelvi sokszínűségéből eredő kihívásokkal egy német konferencián is foglalkoztak, amelyet a német-dán határvidéki kisebbségekkel együttműködésben szerveztek, különös tekintettel a kisebbségek társadalmi értékére és relevanciájára (lásd az </w:t>
      </w:r>
      <w:hyperlink r:id="rId1120">
        <w:r>
          <w:rPr>
            <w:rStyle w:val="LienInternet"/>
          </w:rPr>
          <w:t>eseményt</w:t>
        </w:r>
      </w:hyperlink>
      <w:r>
        <w:rPr/>
        <w:t xml:space="preserve">). </w:t>
      </w:r>
    </w:p>
    <w:p>
      <w:pPr>
        <w:pStyle w:val="Normal"/>
        <w:pBdr>
          <w:top w:val="single" w:sz="2" w:space="3" w:color="000000"/>
          <w:left w:val="single" w:sz="2" w:space="3" w:color="000000"/>
          <w:bottom w:val="single" w:sz="2" w:space="3" w:color="000000"/>
          <w:right w:val="single" w:sz="2" w:space="3" w:color="000000"/>
        </w:pBdr>
        <w:jc w:val="left"/>
        <w:rPr/>
      </w:pPr>
      <w:r>
        <w:rPr/>
        <w:t xml:space="preserve">Az inkluzív társadalom, a nemek közötti egyenlőség, a rasszizmus elleni küzdelem (lásd az </w:t>
      </w:r>
      <w:hyperlink r:id="rId1121">
        <w:r>
          <w:rPr>
            <w:rStyle w:val="LienInternet"/>
          </w:rPr>
          <w:t>eseményt</w:t>
        </w:r>
      </w:hyperlink>
      <w:r>
        <w:rPr/>
        <w:t>) és az LGTBIQ elleni fóbia-politikák voltak a téma keretében szervezett rendezvények leggyakoribb témái, különösen Görögországban, Olaszországban, Franciaországban és Belgiumban. Dániában az értékekkel és jogokkal kapcsolatos rendezvények elsősorban utazási műhelytalálkozók formájában valósultak meg, hogy az ország számos középiskolájában részt vegyenek a fiatalokkal (lásd az</w:t>
      </w:r>
      <w:hyperlink r:id="rId1122">
        <w:r>
          <w:rPr>
            <w:rStyle w:val="LienInternet"/>
          </w:rPr>
          <w:t xml:space="preserve"> </w:t>
        </w:r>
      </w:hyperlink>
      <w:hyperlink r:id="rId1123">
        <w:r>
          <w:rPr>
            <w:rStyle w:val="LienInternet"/>
          </w:rPr>
          <w:t>eseményt</w:t>
        </w:r>
      </w:hyperlink>
      <w:r>
        <w:rPr/>
        <w:t xml:space="preserve">). </w:t>
      </w:r>
    </w:p>
    <w:p>
      <w:pPr>
        <w:pStyle w:val="Normal"/>
        <w:pBdr>
          <w:top w:val="single" w:sz="2" w:space="3" w:color="000000"/>
          <w:left w:val="single" w:sz="2" w:space="3" w:color="000000"/>
          <w:bottom w:val="single" w:sz="2" w:space="3" w:color="000000"/>
          <w:right w:val="single" w:sz="2" w:space="3" w:color="000000"/>
        </w:pBdr>
        <w:jc w:val="left"/>
        <w:rPr/>
      </w:pPr>
      <w:r>
        <w:rPr/>
        <w:t xml:space="preserve">A nemi alapú megkülönböztetést és erőszakot széles körben megvitatták egy online rendezvényen, amely a kiváltó okokat, a megelőzést és a visszaélésekre adott válaszokat érintette (lásd az </w:t>
      </w:r>
      <w:hyperlink r:id="rId1124">
        <w:r>
          <w:rPr>
            <w:rStyle w:val="LienInternet"/>
          </w:rPr>
          <w:t>eseményt</w:t>
        </w:r>
      </w:hyperlink>
      <w:r>
        <w:rPr/>
        <w:t xml:space="preserve">). A nők jogainak nemzetközi napja alkalmából rendezvényt szerveztek a nemek közötti egyenlőség előmozdítását célzó szakpolitikai intézkedések megvitatására (lásd például egy </w:t>
      </w:r>
      <w:hyperlink r:id="rId1125">
        <w:r>
          <w:rPr>
            <w:rStyle w:val="LienInternet"/>
          </w:rPr>
          <w:t>rendezvényt)</w:t>
        </w:r>
      </w:hyperlink>
      <w:r>
        <w:rPr/>
        <w:t>. Míg egy diákrendezvény foglalkozott a családon belüli erőszakkal és a nemi alapú erőszakkal (lásd az</w:t>
      </w:r>
      <w:hyperlink r:id="rId1126">
        <w:r>
          <w:rPr>
            <w:rStyle w:val="LienInternet"/>
          </w:rPr>
          <w:t xml:space="preserve"> </w:t>
        </w:r>
      </w:hyperlink>
      <w:hyperlink r:id="rId1127">
        <w:r>
          <w:rPr>
            <w:rStyle w:val="LienInternet"/>
          </w:rPr>
          <w:t>eseményt)</w:t>
        </w:r>
      </w:hyperlink>
      <w:r>
        <w:rPr/>
        <w:t xml:space="preserve">. </w:t>
      </w:r>
    </w:p>
    <w:p>
      <w:pPr>
        <w:pStyle w:val="Normal"/>
        <w:pBdr>
          <w:top w:val="single" w:sz="2" w:space="3" w:color="000000"/>
          <w:left w:val="single" w:sz="2" w:space="3" w:color="000000"/>
          <w:bottom w:val="single" w:sz="2" w:space="3" w:color="000000"/>
          <w:right w:val="single" w:sz="2" w:space="3" w:color="000000"/>
        </w:pBdr>
        <w:jc w:val="left"/>
        <w:rPr/>
      </w:pPr>
      <w:r>
        <w:rPr/>
        <w:t xml:space="preserve">A közelmúltban néhány esemény a biztonsággal és a védelemmel kapcsolatos kérdéseket tárgyalt, amelyek az ukrajnai orosz inváziót érintették. Az egyik esemény különösen az ukrajnai háborúnak az EU biztonságára és védelmére gyakorolt hatásait tárgyalta (lásd az </w:t>
      </w:r>
      <w:hyperlink r:id="rId1128">
        <w:r>
          <w:rPr>
            <w:rStyle w:val="LienInternet"/>
          </w:rPr>
          <w:t>eseményt</w:t>
        </w:r>
      </w:hyperlink>
      <w:r>
        <w:rPr/>
        <w:t>), a másik pedig a stratégiai autonómia elérésének kilátásait (lásd az</w:t>
      </w:r>
      <w:hyperlink r:id="rId1129">
        <w:r>
          <w:rPr>
            <w:rStyle w:val="LienInternet"/>
          </w:rPr>
          <w:t xml:space="preserve"> </w:t>
        </w:r>
      </w:hyperlink>
      <w:hyperlink r:id="rId1130">
        <w:r>
          <w:rPr>
            <w:rStyle w:val="LienInternet"/>
          </w:rPr>
          <w:t>eseményt)</w:t>
        </w:r>
      </w:hyperlink>
      <w:r>
        <w:rPr/>
        <w:t xml:space="preserve"> vizsgálta.</w:t>
      </w:r>
    </w:p>
    <w:p>
      <w:pPr>
        <w:pStyle w:val="Normal"/>
        <w:jc w:val="left"/>
        <w:rPr/>
      </w:pPr>
      <w:r>
        <w:rPr/>
      </w:r>
    </w:p>
    <w:p>
      <w:pPr>
        <w:pStyle w:val="Normal"/>
        <w:jc w:val="left"/>
        <w:rPr/>
      </w:pPr>
      <w:r>
        <w:rPr/>
      </w:r>
    </w:p>
    <w:p>
      <w:pPr>
        <w:pStyle w:val="Normal"/>
        <w:jc w:val="left"/>
        <w:rPr/>
      </w:pPr>
      <w:r>
        <w:rPr/>
      </w:r>
      <w:r>
        <w:br w:type="page"/>
      </w:r>
    </w:p>
    <w:p>
      <w:pPr>
        <w:pStyle w:val="Titre2"/>
        <w:numPr>
          <w:ilvl w:val="1"/>
          <w:numId w:val="1"/>
        </w:numPr>
        <w:jc w:val="left"/>
        <w:rPr/>
      </w:pPr>
      <w:bookmarkStart w:id="66" w:name="__RefHeading___Toc86455_2514204080"/>
      <w:bookmarkEnd w:id="66"/>
      <w:r>
        <w:rPr/>
        <w:t>Jogok és szabadságok</w:t>
      </w:r>
    </w:p>
    <w:p>
      <w:pPr>
        <w:pStyle w:val="Normal"/>
        <w:jc w:val="left"/>
        <w:rPr/>
      </w:pPr>
      <w:r>
        <w:rPr/>
        <w:t xml:space="preserve">A jogok és szabadságok témája méretét tekintve jelentős, különösen a hozzájárulók által előadott jogok és szabadságok sokféle típusa miatt. </w:t>
      </w:r>
    </w:p>
    <w:p>
      <w:pPr>
        <w:pStyle w:val="Normal"/>
        <w:jc w:val="left"/>
        <w:rPr/>
      </w:pPr>
      <w:r>
        <w:rPr/>
        <w:t xml:space="preserve">A jogokkal és szabadságokkal kapcsolatos elképzelések nagy csoportja általában az emberi jogok és szabadságok védelmét tárgyalja (lásd például egy </w:t>
      </w:r>
      <w:hyperlink r:id="rId1131">
        <w:r>
          <w:rPr>
            <w:rStyle w:val="LienInternet"/>
          </w:rPr>
          <w:t>ötletet)</w:t>
        </w:r>
      </w:hyperlink>
      <w:r>
        <w:rPr/>
        <w:t xml:space="preserve">. E témában az egyik leginkább támogatott ötlet azt javasolja, hogy erősítsék meg a különböző emberi jogi eszközök érvényesíthetőségét az uniós jogrendszerben (lásd az </w:t>
      </w:r>
      <w:hyperlink r:id="rId1132">
        <w:r>
          <w:rPr>
            <w:rStyle w:val="LienInternet"/>
          </w:rPr>
          <w:t>ötletet)</w:t>
        </w:r>
      </w:hyperlink>
      <w:r>
        <w:rPr/>
        <w:t>, míg mások úgy vélik, hogy az emberi jogok aktualizálására van szükség, hogy megfeleljen a mai és jövőbeli társadalmi realitásoknak (lásd például az</w:t>
      </w:r>
      <w:hyperlink r:id="rId1133">
        <w:r>
          <w:rPr>
            <w:rStyle w:val="LienInternet"/>
          </w:rPr>
          <w:t xml:space="preserve"> </w:t>
        </w:r>
      </w:hyperlink>
      <w:hyperlink r:id="rId1134">
        <w:r>
          <w:rPr>
            <w:rStyle w:val="LienInternet"/>
          </w:rPr>
          <w:t>ötletet</w:t>
        </w:r>
      </w:hyperlink>
      <w:r>
        <w:rPr/>
        <w:t xml:space="preserve">). </w:t>
      </w:r>
    </w:p>
    <w:p>
      <w:pPr>
        <w:pStyle w:val="Normal"/>
        <w:jc w:val="left"/>
        <w:rPr/>
      </w:pPr>
      <w:r>
        <w:rPr/>
        <w:t>Az emberi jogok különböző fajtáit érintik: gazdasági, társadalmi, kulturális, polgári és politikai jogokat. Néhány résztvevő felhívja a figyelmet az európai határokon elkövetett emberi jogi jogsértésekre, amelyekhez egyes hozzájárulók az embercsempészeket elítélik (lásd például egy</w:t>
      </w:r>
      <w:hyperlink r:id="rId1135">
        <w:r>
          <w:rPr>
            <w:rStyle w:val="LienInternet"/>
          </w:rPr>
          <w:t xml:space="preserve"> </w:t>
        </w:r>
      </w:hyperlink>
      <w:hyperlink r:id="rId1136">
        <w:r>
          <w:rPr>
            <w:rStyle w:val="LienInternet"/>
          </w:rPr>
          <w:t>ötletet</w:t>
        </w:r>
      </w:hyperlink>
      <w:r>
        <w:rPr/>
        <w:t xml:space="preserve">). </w:t>
      </w:r>
    </w:p>
    <w:p>
      <w:pPr>
        <w:pStyle w:val="Normal"/>
        <w:jc w:val="left"/>
        <w:rPr/>
      </w:pPr>
      <w:r>
        <w:rPr/>
        <w:t xml:space="preserve">A civil és politikai jogok nagy mértékben jelen vannak ebben a témában a platformon, mivel a hozzászólások között a magánélethez és a véleménynyilvánítás szabadságához való jog a leginkább jelen van (lásd például egy </w:t>
      </w:r>
      <w:hyperlink r:id="rId1137">
        <w:r>
          <w:rPr>
            <w:rStyle w:val="LienInternet"/>
          </w:rPr>
          <w:t>ötletet)</w:t>
        </w:r>
      </w:hyperlink>
      <w:r>
        <w:rPr/>
        <w:t xml:space="preserve">. A megkülönböztetéstől való mentességről szóló hozzászólások a befogadó társadalom külön témájába csoportosulnak, mivel azok méretüket tekintve jelentősek. </w:t>
      </w:r>
    </w:p>
    <w:p>
      <w:pPr>
        <w:pStyle w:val="Normal"/>
        <w:jc w:val="left"/>
        <w:rPr/>
      </w:pPr>
      <w:r>
        <w:rPr/>
        <w:t xml:space="preserve">Változó társadalmunk fényében a hozzájárulások széles köre a digitális átalakulással összefüggésben a jogokkal és szabadságokkal kapcsolatos kérdésekre összpontosít, különös tekintettel a magánélethez való jogra. Ezt az altémát a digitális transzformáció témájában is tárgyalják. Az EU általános adatvédelmi rendelete kulcsfontosságú annak megakadályozásához, hogy a vállalatok személyes adatokat értékesítsenek (lásd az </w:t>
      </w:r>
      <w:hyperlink r:id="rId1138">
        <w:r>
          <w:rPr>
            <w:rStyle w:val="LienInternet"/>
          </w:rPr>
          <w:t>ötletet</w:t>
        </w:r>
      </w:hyperlink>
      <w:r>
        <w:rPr/>
        <w:t xml:space="preserve">). Általánosságban elmondható, hogy jobb jogszabályokra és eszközökre van szükség az internettel és a közösségi médiával kapcsolatos adatvédelmi aggályok, valamint az összes új technológia kezelése érdekében (lásd az </w:t>
      </w:r>
      <w:hyperlink r:id="rId1139">
        <w:r>
          <w:rPr>
            <w:rStyle w:val="LienInternet"/>
          </w:rPr>
          <w:t>ötletet</w:t>
        </w:r>
      </w:hyperlink>
      <w:r>
        <w:rPr/>
        <w:t xml:space="preserve">). A biometrikus adatok megfigyelésre (lásd az </w:t>
      </w:r>
      <w:hyperlink r:id="rId1140">
        <w:r>
          <w:rPr>
            <w:rStyle w:val="LienInternet"/>
          </w:rPr>
          <w:t>ötletet)</w:t>
        </w:r>
      </w:hyperlink>
      <w:r>
        <w:rPr/>
        <w:t xml:space="preserve"> való felhasználására, valamint a személyes adatok általánosabb gyűjtésére és megosztására vonatkozó korlátozásokra szólít fel (lásd például egy </w:t>
      </w:r>
      <w:hyperlink r:id="rId1141">
        <w:r>
          <w:rPr>
            <w:rStyle w:val="LienInternet"/>
          </w:rPr>
          <w:t>ötletet</w:t>
        </w:r>
      </w:hyperlink>
      <w:r>
        <w:rPr/>
        <w:t>). A hozzászólók megjegyzik, hogy a digitális megfigyelés a személyes adatoknak a technológiai óriások általi gyűjtése révén jelentős veszélyt jelent a polgárok méltóságára, autonómiájára és magánéletére. Ennek megfelelően fokozott szabályozást és adatvédelmi intézkedéseket szorgalmaznak (lásd az</w:t>
      </w:r>
      <w:hyperlink r:id="rId1142">
        <w:r>
          <w:rPr>
            <w:rStyle w:val="LienInternet"/>
          </w:rPr>
          <w:t xml:space="preserve"> ötletet)</w:t>
        </w:r>
      </w:hyperlink>
      <w:r>
        <w:rPr/>
        <w:t>. Ez annak fényében is felmerült, hogy a mesterséges intelligenciára vonatkozóan fokozott szabályozásra van szükség (lásd az</w:t>
      </w:r>
      <w:hyperlink r:id="rId1143">
        <w:r>
          <w:rPr>
            <w:rStyle w:val="LienInternet"/>
          </w:rPr>
          <w:t xml:space="preserve"> </w:t>
        </w:r>
      </w:hyperlink>
      <w:hyperlink r:id="rId1144">
        <w:r>
          <w:rPr>
            <w:rStyle w:val="LienInternet"/>
          </w:rPr>
          <w:t>ötletet)</w:t>
        </w:r>
      </w:hyperlink>
      <w:r>
        <w:rPr/>
        <w:t xml:space="preserve">. </w:t>
      </w:r>
    </w:p>
    <w:p>
      <w:pPr>
        <w:pStyle w:val="Normal"/>
        <w:jc w:val="left"/>
        <w:rPr/>
      </w:pPr>
      <w:r>
        <w:rPr/>
        <w:t>Egy másik gondolatcsoport a véleménynyilvánítás szabadságát és ennek a szabadságnak a korlátait tárgyalja. Ami a sajtóval és a közösségi médiával kapcsolatos véleménynyilvánítás szabadságát illeti, néhány hozzászóló aggodalmának adott hangot azzal kapcsolatban, hogy ezek veszélybe kerülnek, és a tartalmakat eltávolítják a platformokról (lásd például az</w:t>
      </w:r>
      <w:hyperlink r:id="rId1145">
        <w:r>
          <w:rPr>
            <w:rStyle w:val="LienInternet"/>
          </w:rPr>
          <w:t xml:space="preserve"> </w:t>
        </w:r>
      </w:hyperlink>
      <w:hyperlink r:id="rId1146">
        <w:r>
          <w:rPr>
            <w:rStyle w:val="LienInternet"/>
          </w:rPr>
          <w:t>ötletet)</w:t>
        </w:r>
      </w:hyperlink>
      <w:r>
        <w:rPr/>
        <w:t xml:space="preserve">. </w:t>
      </w:r>
    </w:p>
    <w:p>
      <w:pPr>
        <w:pStyle w:val="Normal"/>
        <w:jc w:val="left"/>
        <w:rPr/>
      </w:pPr>
      <w:r>
        <w:rPr/>
        <w:t xml:space="preserve">Mások foglalkoznak a véleménynyilvánítás szabadságának korlátaival, például azzal, hogy milyen mértékben kell szabályozni az online tartalmakat, és hogy ez milyen hatással van a szólásszabadságra, és egyes polgárok támogatják az egységes európai digitális keret létrehozását (lásd az </w:t>
      </w:r>
      <w:hyperlink r:id="rId1147">
        <w:r>
          <w:rPr>
            <w:rStyle w:val="LienInternet"/>
          </w:rPr>
          <w:t>eseményt</w:t>
        </w:r>
      </w:hyperlink>
      <w:r>
        <w:rPr/>
        <w:t xml:space="preserve">). Az álhírek például veszélyt jelentenek az alapvető demokratikus értékekre (lásd az </w:t>
      </w:r>
      <w:hyperlink r:id="rId1148">
        <w:r>
          <w:rPr>
            <w:rStyle w:val="LienInternet"/>
          </w:rPr>
          <w:t>eseményt</w:t>
        </w:r>
      </w:hyperlink>
      <w:r>
        <w:rPr/>
        <w:t xml:space="preserve">). A gyűlöletbeszéd gyakran felvetett fogalma rámutat arra, hogy foglalkozni kell ezzel a kérdéssel, és növelni kell a gyűlöletbeszéd (például egy </w:t>
      </w:r>
      <w:hyperlink r:id="rId1149">
        <w:r>
          <w:rPr>
            <w:rStyle w:val="LienInternet"/>
          </w:rPr>
          <w:t xml:space="preserve">ötlet </w:t>
        </w:r>
      </w:hyperlink>
      <w:r>
        <w:rPr/>
        <w:t xml:space="preserve">és </w:t>
      </w:r>
      <w:hyperlink r:id="rId1150">
        <w:r>
          <w:rPr>
            <w:rStyle w:val="LienInternet"/>
          </w:rPr>
          <w:t>esemény</w:t>
        </w:r>
      </w:hyperlink>
      <w:r>
        <w:rPr/>
        <w:t>) és a gyűlölet-bűncselekmények (lásd az</w:t>
      </w:r>
      <w:hyperlink r:id="rId1151">
        <w:r>
          <w:rPr>
            <w:rStyle w:val="LienInternet"/>
          </w:rPr>
          <w:t xml:space="preserve"> </w:t>
        </w:r>
      </w:hyperlink>
      <w:hyperlink r:id="rId1152">
        <w:r>
          <w:rPr>
            <w:rStyle w:val="LienInternet"/>
          </w:rPr>
          <w:t>eseményt</w:t>
        </w:r>
      </w:hyperlink>
      <w:r>
        <w:rPr/>
        <w:t xml:space="preserve">) áldozatainak védelmét. </w:t>
      </w:r>
    </w:p>
    <w:p>
      <w:pPr>
        <w:pStyle w:val="Normal"/>
        <w:jc w:val="left"/>
        <w:rPr/>
      </w:pPr>
      <w:r>
        <w:rPr/>
        <w:t xml:space="preserve">Az altéma az erősebb gazdaság, a társadalmi igazságosság és a munkahelyek témájában is felvetett gazdasági és szociális jogokra vonatkozik, mint például a lakhatáshoz való jog (lásd például az </w:t>
      </w:r>
      <w:hyperlink r:id="rId1153">
        <w:r>
          <w:rPr>
            <w:rStyle w:val="LienInternet"/>
          </w:rPr>
          <w:t>ötletet</w:t>
        </w:r>
      </w:hyperlink>
      <w:r>
        <w:rPr/>
        <w:t>), a munka és a magánélet közötti egyensúly biztosítása (lásd az</w:t>
      </w:r>
      <w:hyperlink r:id="rId1154">
        <w:r>
          <w:rPr>
            <w:rStyle w:val="LienInternet"/>
          </w:rPr>
          <w:t xml:space="preserve"> </w:t>
        </w:r>
      </w:hyperlink>
      <w:hyperlink r:id="rId1155">
        <w:r>
          <w:rPr>
            <w:rStyle w:val="LienInternet"/>
          </w:rPr>
          <w:t>esemény</w:t>
        </w:r>
      </w:hyperlink>
      <w:r>
        <w:rPr/>
        <w:t>példáját), az élelmezési célú szociális biztonság (lásd az</w:t>
      </w:r>
      <w:hyperlink r:id="rId1156">
        <w:r>
          <w:rPr>
            <w:rStyle w:val="LienInternet"/>
          </w:rPr>
          <w:t xml:space="preserve"> </w:t>
        </w:r>
      </w:hyperlink>
      <w:hyperlink r:id="rId1157">
        <w:r>
          <w:rPr>
            <w:rStyle w:val="LienInternet"/>
          </w:rPr>
          <w:t>ötletet</w:t>
        </w:r>
      </w:hyperlink>
      <w:r>
        <w:rPr/>
        <w:t xml:space="preserve">), stb. Néhány közreműködő kéri az emberi jogok naprakésszé tételét e tekintetben (lásd az </w:t>
      </w:r>
      <w:hyperlink r:id="rId1158">
        <w:r>
          <w:rPr>
            <w:rStyle w:val="LienInternet"/>
          </w:rPr>
          <w:t>ötletet)</w:t>
        </w:r>
      </w:hyperlink>
      <w:r>
        <w:rPr/>
        <w:t>, vagy akár a szociális jogokat is érvényesíthetővé teszi (lásd az</w:t>
      </w:r>
      <w:hyperlink r:id="rId1159">
        <w:r>
          <w:rPr>
            <w:rStyle w:val="LienInternet"/>
          </w:rPr>
          <w:t xml:space="preserve"> </w:t>
        </w:r>
      </w:hyperlink>
      <w:hyperlink r:id="rId1160">
        <w:r>
          <w:rPr>
            <w:rStyle w:val="LienInternet"/>
          </w:rPr>
          <w:t>ötletet</w:t>
        </w:r>
      </w:hyperlink>
      <w:r>
        <w:rPr/>
        <w:t xml:space="preserve">). </w:t>
      </w:r>
    </w:p>
    <w:p>
      <w:pPr>
        <w:pStyle w:val="Normal"/>
        <w:jc w:val="left"/>
        <w:rPr/>
      </w:pPr>
      <w:r>
        <w:rPr/>
        <w:t>A lakosság egy adott szegmensének jogai szempontjából számos ötlet támogatja a gyermekek jogait, és jelzi, hogy a jogszabályokban és szakpolitikákban növelni kell a gyermekvédelmet (lásd például egy</w:t>
      </w:r>
      <w:hyperlink r:id="rId1161">
        <w:r>
          <w:rPr>
            <w:rStyle w:val="LienInternet"/>
          </w:rPr>
          <w:t xml:space="preserve"> </w:t>
        </w:r>
      </w:hyperlink>
      <w:hyperlink r:id="rId1162">
        <w:r>
          <w:rPr>
            <w:rStyle w:val="LienInternet"/>
          </w:rPr>
          <w:t>ötletet)</w:t>
        </w:r>
      </w:hyperlink>
      <w:r>
        <w:rPr/>
        <w:t xml:space="preserve">. </w:t>
      </w:r>
    </w:p>
    <w:p>
      <w:pPr>
        <w:pStyle w:val="Normal"/>
        <w:jc w:val="left"/>
        <w:rPr/>
      </w:pPr>
      <w:r>
        <w:rPr/>
        <w:t xml:space="preserve">A kulturális, vallási és nyelvi sokszínűség tiszteletben tartásához való alapvető jog fényében a platformon széles körben elfogadott elképzelés az a kérés, hogy az Európai Unió ismerje el az eszperantót mint az európai polgárok nyelvét (lásd például egy </w:t>
      </w:r>
      <w:hyperlink r:id="rId1163">
        <w:r>
          <w:rPr>
            <w:rStyle w:val="LienInternet"/>
          </w:rPr>
          <w:t>ötletet</w:t>
        </w:r>
      </w:hyperlink>
      <w:r>
        <w:rPr/>
        <w:t xml:space="preserve">). </w:t>
      </w:r>
    </w:p>
    <w:p>
      <w:pPr>
        <w:pStyle w:val="Normal"/>
        <w:jc w:val="left"/>
        <w:rPr/>
      </w:pPr>
      <w:r>
        <w:rPr/>
        <w:t>A hozzájárulások egy másik csoportja hangsúlyozza, hogy amint a világjárvány hatásai lehetővé teszik, fel kell függeszteni a Covid19-intézkedéseket a normalitáshoz való visszatérés és a polgárok szabadságainak helyreállítása érdekében (lásd az</w:t>
      </w:r>
      <w:hyperlink r:id="rId1164">
        <w:r>
          <w:rPr>
            <w:rStyle w:val="LienInternet"/>
          </w:rPr>
          <w:t xml:space="preserve"> ötletet)</w:t>
        </w:r>
      </w:hyperlink>
      <w:r>
        <w:rPr/>
        <w:t xml:space="preserve">. E tekintetben felszólítunk arra is, hogy kerüljék el az olyan polgárokkal szembeni hátrányos megkülönböztetést, akik úgy döntöttek, hogy nem oltják be őket, vagy rendszeresen vizsgáznak az alapvető létesítményekhez való hozzáférés érdekében (lásd például egy </w:t>
      </w:r>
      <w:hyperlink r:id="rId1165">
        <w:r>
          <w:rPr>
            <w:rStyle w:val="LienInternet"/>
          </w:rPr>
          <w:t>ötletet</w:t>
        </w:r>
      </w:hyperlink>
      <w:r>
        <w:rPr/>
        <w:t xml:space="preserve">). A Covid19-oltással kapcsolatos kérdésekkel részletesebben az egészségügy témakörében foglalkoznak. </w:t>
      </w:r>
    </w:p>
    <w:p>
      <w:pPr>
        <w:pStyle w:val="Normal"/>
        <w:jc w:val="left"/>
        <w:rPr/>
      </w:pPr>
      <w:r>
        <w:rPr/>
        <w:t xml:space="preserve">Egyes hozzászólások arra szólítják fel az EU-t, hogy vállaljon vezető szerepet az állatok jogainak védelmében (lásd az </w:t>
      </w:r>
      <w:hyperlink r:id="rId1166">
        <w:r>
          <w:rPr>
            <w:rStyle w:val="LienInternet"/>
          </w:rPr>
          <w:t>ötletet)</w:t>
        </w:r>
      </w:hyperlink>
      <w:r>
        <w:rPr/>
        <w:t>, például egy „állati engedély” (lásd az</w:t>
      </w:r>
      <w:hyperlink r:id="rId1167">
        <w:r>
          <w:rPr>
            <w:rStyle w:val="LienInternet"/>
          </w:rPr>
          <w:t xml:space="preserve"> ötletet)</w:t>
        </w:r>
      </w:hyperlink>
      <w:r>
        <w:rPr/>
        <w:t xml:space="preserve"> bevezetésével. A hozzászólók úgy vélik, hogy bár az uniós szerződések az állatokat érző lényekként ismerik el, a mezőgazdasági és húsiparban még mindig léteznek visszaélésszerű és kegyetlen kezelések (lásd például egy</w:t>
      </w:r>
      <w:hyperlink r:id="rId1168">
        <w:r>
          <w:rPr>
            <w:rStyle w:val="LienInternet"/>
          </w:rPr>
          <w:t xml:space="preserve"> </w:t>
        </w:r>
      </w:hyperlink>
      <w:hyperlink r:id="rId1169">
        <w:r>
          <w:rPr>
            <w:rStyle w:val="LienInternet"/>
          </w:rPr>
          <w:t>ötletet</w:t>
        </w:r>
      </w:hyperlink>
      <w:r>
        <w:rPr/>
        <w:t xml:space="preserve">). </w:t>
      </w:r>
    </w:p>
    <w:p>
      <w:pPr>
        <w:pStyle w:val="Normal"/>
        <w:jc w:val="left"/>
        <w:rPr/>
      </w:pPr>
      <w:r>
        <w:rPr/>
        <w:t xml:space="preserve">Mások kifejezetten az igazságszolgáltatási kérdésekre és az EU-n belüli mobilitás következményeire összpontosítanak, megvitatva a folyamatok megkönnyítésének szükségességét, például az öröklés kezelésével (lásd az ötletet), a halállal (lásd az </w:t>
      </w:r>
      <w:hyperlink r:id="rId1170">
        <w:r>
          <w:rPr>
            <w:rStyle w:val="LienInternet"/>
          </w:rPr>
          <w:t>ötletet</w:t>
        </w:r>
      </w:hyperlink>
      <w:r>
        <w:rPr/>
        <w:t xml:space="preserve">) kapcsolatban, és </w:t>
      </w:r>
      <w:hyperlink r:id="rId1171">
        <w:r>
          <w:rPr>
            <w:rStyle w:val="LienInternet"/>
          </w:rPr>
          <w:t>azt</w:t>
        </w:r>
      </w:hyperlink>
      <w:r>
        <w:rPr/>
        <w:t xml:space="preserve">javasolva, hogy a házassági vagyonjogi rendszerekről és a bejegyzett élettársi kapcsolatokról szóló tagállami nyilvántartásokat össze kell kapcsolni (lásd az </w:t>
      </w:r>
      <w:hyperlink r:id="rId1172">
        <w:r>
          <w:rPr>
            <w:rStyle w:val="LienInternet"/>
          </w:rPr>
          <w:t>ötletet)</w:t>
        </w:r>
      </w:hyperlink>
      <w:r>
        <w:rPr/>
        <w:t>. Egy nyílt fórum webináriumán a résztvevők megvitatták a büntetőeljárások eljárási jogait az EU-ban (lásd az</w:t>
      </w:r>
      <w:hyperlink r:id="rId1173">
        <w:r>
          <w:rPr>
            <w:rStyle w:val="LienInternet"/>
          </w:rPr>
          <w:t xml:space="preserve"> </w:t>
        </w:r>
      </w:hyperlink>
      <w:hyperlink r:id="rId1174">
        <w:r>
          <w:rPr>
            <w:rStyle w:val="LienInternet"/>
          </w:rPr>
          <w:t>eseményt)</w:t>
        </w:r>
      </w:hyperlink>
      <w:r>
        <w:rPr/>
        <w:t xml:space="preserve">. </w:t>
      </w:r>
    </w:p>
    <w:p>
      <w:pPr>
        <w:pStyle w:val="Normal"/>
        <w:jc w:val="left"/>
        <w:rPr/>
      </w:pPr>
      <w:r>
        <w:rPr/>
        <w:t xml:space="preserve">Különböző résztvevők támogatják a kannabisz öngyógyításának jogát (lásd egy </w:t>
      </w:r>
      <w:hyperlink r:id="rId1175">
        <w:r>
          <w:rPr>
            <w:rStyle w:val="LienInternet"/>
          </w:rPr>
          <w:t>ötlet példáját)</w:t>
        </w:r>
      </w:hyperlink>
      <w:r>
        <w:rPr/>
        <w:t xml:space="preserve">, és szélesebb körben megvitatják a kábítószerek dekriminalizációját és legalizálását (lásd egy </w:t>
      </w:r>
      <w:hyperlink r:id="rId1176">
        <w:r>
          <w:rPr>
            <w:rStyle w:val="LienInternet"/>
          </w:rPr>
          <w:t>ötlet példáját)</w:t>
        </w:r>
      </w:hyperlink>
      <w:r>
        <w:rPr/>
        <w:t xml:space="preserve">. Ezzel a kérdéssel az egészségügy témakörében is foglalkozunk. </w:t>
      </w:r>
    </w:p>
    <w:p>
      <w:pPr>
        <w:pStyle w:val="Normal"/>
        <w:jc w:val="left"/>
        <w:rPr/>
      </w:pPr>
      <w:r>
        <w:rPr/>
        <w:t>Egyes polgárok azt javasolják, hogy a készpénzfizetési lehetőségeket demokratikus jogként ismerjék el (lásd egy</w:t>
      </w:r>
      <w:hyperlink r:id="rId1177">
        <w:r>
          <w:rPr>
            <w:rStyle w:val="LienInternet"/>
          </w:rPr>
          <w:t xml:space="preserve"> </w:t>
        </w:r>
      </w:hyperlink>
      <w:hyperlink r:id="rId1178">
        <w:r>
          <w:rPr>
            <w:rStyle w:val="LienInternet"/>
          </w:rPr>
          <w:t>ötlet példáját)</w:t>
        </w:r>
      </w:hyperlink>
      <w:r>
        <w:rPr/>
        <w:t>.</w:t>
      </w:r>
    </w:p>
    <w:p>
      <w:pPr>
        <w:pStyle w:val="Normal"/>
        <w:jc w:val="left"/>
        <w:rPr/>
      </w:pPr>
      <w:r>
        <w:rPr/>
      </w:r>
    </w:p>
    <w:p>
      <w:pPr>
        <w:pStyle w:val="Titre2"/>
        <w:numPr>
          <w:ilvl w:val="1"/>
          <w:numId w:val="1"/>
        </w:numPr>
        <w:jc w:val="left"/>
        <w:rPr/>
      </w:pPr>
      <w:bookmarkStart w:id="67" w:name="__RefHeading___Toc86457_2514204080"/>
      <w:bookmarkEnd w:id="67"/>
      <w:r>
        <w:rPr/>
        <w:t>Befogadó társadalom</w:t>
      </w:r>
    </w:p>
    <w:p>
      <w:pPr>
        <w:pStyle w:val="Corpsdetexte"/>
        <w:spacing w:lineRule="auto" w:line="240" w:before="57" w:after="57"/>
        <w:jc w:val="left"/>
        <w:rPr/>
      </w:pPr>
      <w:r>
        <w:rPr/>
        <w:t xml:space="preserve">A különböző hozzájárulások nagyobb erőfeszítéseket tesznek egy befogadó társadalom megteremtése érdekében, amely olyan kérdésekkel foglalkozik, mint a szabadság, a megkülönböztetés és az egyenlőség. Az e témához tartozó hozzájárulások domináns ága a nemek közötti egyenlőséggel kapcsolatos elképzelések köré összpontosul, beleértve egy erősen támogatott elképzelést (lásd egy </w:t>
      </w:r>
      <w:hyperlink r:id="rId1179">
        <w:r>
          <w:rPr>
            <w:rStyle w:val="LienInternet"/>
          </w:rPr>
          <w:t>esemény ötletét és példáját)</w:t>
        </w:r>
      </w:hyperlink>
      <w:r>
        <w:rPr/>
        <w:t xml:space="preserve">, valamint a nők szerepvállalásának növelését (lásd az </w:t>
      </w:r>
      <w:hyperlink r:id="rId1180">
        <w:r>
          <w:rPr>
            <w:rStyle w:val="LienInternet"/>
          </w:rPr>
          <w:t>eseményt</w:t>
        </w:r>
      </w:hyperlink>
      <w:r>
        <w:rPr/>
        <w:t xml:space="preserve">). A kapcsolódó javaslatok közé tartozik a nők számának növelése a politikai és gazdasági döntéshozók körében (lásd például egy </w:t>
      </w:r>
      <w:hyperlink r:id="rId1181">
        <w:r>
          <w:rPr>
            <w:rStyle w:val="LienInternet"/>
          </w:rPr>
          <w:t>ötletet</w:t>
        </w:r>
      </w:hyperlink>
      <w:r>
        <w:rPr/>
        <w:t xml:space="preserve">). A nemek közötti egyenlőséget széles körben tárgyalják az egyenlő díjazás elérése (lásd egy </w:t>
      </w:r>
      <w:hyperlink r:id="rId1182">
        <w:r>
          <w:rPr>
            <w:rStyle w:val="LienInternet"/>
          </w:rPr>
          <w:t>ötlet példáját</w:t>
        </w:r>
      </w:hyperlink>
      <w:r>
        <w:rPr/>
        <w:t>), valamint a gyermekkori nevelés (lásd az</w:t>
      </w:r>
      <w:hyperlink r:id="rId1183">
        <w:r>
          <w:rPr>
            <w:rStyle w:val="LienInternet"/>
          </w:rPr>
          <w:t xml:space="preserve"> </w:t>
        </w:r>
      </w:hyperlink>
      <w:hyperlink r:id="rId1184">
        <w:r>
          <w:rPr>
            <w:rStyle w:val="LienInternet"/>
          </w:rPr>
          <w:t>ötletet)</w:t>
        </w:r>
      </w:hyperlink>
      <w:r>
        <w:rPr/>
        <w:t xml:space="preserve"> tekintetében is. Más témákban is szerepel az a felhívás, hogy a nemek közötti egyenlőtlenség enyhítése érdekében a hagyományosan férfiak által domináltabb ágazatokban, például a STEM-ágazatban a nemek közötti egyenlőséget kell alkalmazni. </w:t>
      </w:r>
    </w:p>
    <w:p>
      <w:pPr>
        <w:pStyle w:val="Corpsdetexte"/>
        <w:spacing w:lineRule="auto" w:line="240" w:before="57" w:after="57"/>
        <w:jc w:val="left"/>
        <w:rPr/>
      </w:pPr>
      <w:r>
        <w:rPr/>
        <w:t xml:space="preserve">Ami a szexuális és reproduktív jogokat illeti, a polgárok megosztottak. A hozzászólások egy csoportja hangsúlyozza a szexuális és reproduktív egészség és jogok fontosságát a nemek közötti egyenlőség megvalósításának és a nemi alapú erőszak felszámolásának alapvető eszközeként, beleértve a megszakításhoz való jogot is (lásd például egy </w:t>
      </w:r>
      <w:hyperlink r:id="rId1185">
        <w:r>
          <w:rPr>
            <w:rStyle w:val="LienInternet"/>
          </w:rPr>
          <w:t>ötletet</w:t>
        </w:r>
      </w:hyperlink>
      <w:r>
        <w:rPr/>
        <w:t xml:space="preserve">). Ezzel szemben más hozzájárulások az emberi embriók elpusztítását elősegítő uniós kutatás, fejlesztési támogatás és közegészségügy területén a finanszírozás leállításával támogatják a méltóság és az élethez való jog védelmét (lásd az </w:t>
      </w:r>
      <w:hyperlink r:id="rId1186">
        <w:r>
          <w:rPr>
            <w:rStyle w:val="LienInternet"/>
          </w:rPr>
          <w:t>ötletet)</w:t>
        </w:r>
      </w:hyperlink>
      <w:r>
        <w:rPr/>
        <w:t xml:space="preserve">. Az abortusz témáján túl a szexuális és reproduktív jogokkal kapcsolatos ötletek megvitatják a nemi alapú erőszak (lásd egy </w:t>
      </w:r>
      <w:hyperlink r:id="rId1187">
        <w:r>
          <w:rPr>
            <w:rStyle w:val="LienInternet"/>
          </w:rPr>
          <w:t xml:space="preserve">ötlet </w:t>
        </w:r>
      </w:hyperlink>
      <w:r>
        <w:rPr/>
        <w:t xml:space="preserve">és </w:t>
      </w:r>
      <w:hyperlink r:id="rId1188">
        <w:r>
          <w:rPr>
            <w:rStyle w:val="LienInternet"/>
          </w:rPr>
          <w:t>esemény példáját) elleni hatékony intézkedések végrehajtásának szükségességét, és javasolják a férfiak sztereotípiáinak kezelését (lásd az ötletet)</w:t>
        </w:r>
      </w:hyperlink>
      <w:r>
        <w:rPr/>
        <w:t>, valamint az online bosszúpornó és zaklatás elleni fellépést (lásd az</w:t>
      </w:r>
      <w:hyperlink r:id="rId1189">
        <w:r>
          <w:rPr>
            <w:rStyle w:val="LienInternet"/>
          </w:rPr>
          <w:t xml:space="preserve"> </w:t>
        </w:r>
      </w:hyperlink>
      <w:hyperlink r:id="rId1190">
        <w:r>
          <w:rPr>
            <w:rStyle w:val="LienInternet"/>
          </w:rPr>
          <w:t>eseményt)</w:t>
        </w:r>
      </w:hyperlink>
      <w:r>
        <w:rPr/>
        <w:t xml:space="preserve">. </w:t>
      </w:r>
    </w:p>
    <w:p>
      <w:pPr>
        <w:pStyle w:val="Corpsdetexte"/>
        <w:spacing w:lineRule="auto" w:line="240" w:before="57" w:after="57"/>
        <w:jc w:val="left"/>
        <w:rPr/>
      </w:pPr>
      <w:r>
        <w:rPr/>
        <w:t>Egy másik téma, amely számos észrevételt tett, az, hogy tovább kell ösztönözni a fogyatékossággal élő személyek, például a 21. triszómia által érintett személyek befogadását (lásd az</w:t>
      </w:r>
      <w:hyperlink r:id="rId1191">
        <w:r>
          <w:rPr>
            <w:rStyle w:val="LienInternet"/>
          </w:rPr>
          <w:t xml:space="preserve"> ötletet</w:t>
        </w:r>
      </w:hyperlink>
      <w:r>
        <w:rPr/>
        <w:t xml:space="preserve">). A hozzászólók azt kérik, hogy a fogyatékossággal élő személyeket integrálják a nemzeti alkotmányokba (lásd az </w:t>
      </w:r>
      <w:hyperlink r:id="rId1192">
        <w:r>
          <w:rPr>
            <w:rStyle w:val="LienInternet"/>
          </w:rPr>
          <w:t xml:space="preserve">ötletet </w:t>
        </w:r>
      </w:hyperlink>
      <w:r>
        <w:rPr/>
        <w:t xml:space="preserve">és az </w:t>
      </w:r>
      <w:hyperlink r:id="rId1193">
        <w:r>
          <w:rPr>
            <w:rStyle w:val="LienInternet"/>
          </w:rPr>
          <w:t>eseményt</w:t>
        </w:r>
      </w:hyperlink>
      <w:r>
        <w:rPr/>
        <w:t>), valamint a fogyatékossággal élő személyek foglalkoztatását ösztönző politikákat (lásd az</w:t>
      </w:r>
      <w:hyperlink r:id="rId1194">
        <w:r>
          <w:rPr>
            <w:rStyle w:val="LienInternet"/>
          </w:rPr>
          <w:t xml:space="preserve"> ötletet</w:t>
        </w:r>
      </w:hyperlink>
      <w:r>
        <w:rPr/>
        <w:t xml:space="preserve">) és a fogyatékossággal kapcsolatos tudatossággal kapcsolatos képzést valamennyi munkavállaló számára (lásd az </w:t>
      </w:r>
      <w:hyperlink r:id="rId1195">
        <w:r>
          <w:rPr>
            <w:rStyle w:val="LienInternet"/>
          </w:rPr>
          <w:t>ötletet</w:t>
        </w:r>
      </w:hyperlink>
      <w:r>
        <w:rPr/>
        <w:t>). Hasonlóképpen egy ötlet támogatja a tanárok képzését a fogyatékossággal élő tanulók osztályokba való integrálásával kapcsolatban (lásd az</w:t>
      </w:r>
      <w:hyperlink r:id="rId1196">
        <w:r>
          <w:rPr>
            <w:rStyle w:val="LienInternet"/>
          </w:rPr>
          <w:t xml:space="preserve"> </w:t>
        </w:r>
      </w:hyperlink>
      <w:hyperlink r:id="rId1197">
        <w:r>
          <w:rPr>
            <w:rStyle w:val="LienInternet"/>
          </w:rPr>
          <w:t>ötletet)</w:t>
        </w:r>
      </w:hyperlink>
      <w:r>
        <w:rPr/>
        <w:t xml:space="preserve">. További javaslatok a következők: i. a fogyatékossággal élő személyek előtt álló akadályok felszámolása a termékek és szolgáltatások hozzáférhetőbbé tétele révén (lásd az </w:t>
      </w:r>
      <w:hyperlink r:id="rId1198">
        <w:r>
          <w:rPr>
            <w:rStyle w:val="LienInternet"/>
          </w:rPr>
          <w:t xml:space="preserve">ötletet </w:t>
        </w:r>
      </w:hyperlink>
      <w:r>
        <w:rPr/>
        <w:t xml:space="preserve">és az </w:t>
      </w:r>
      <w:hyperlink r:id="rId1199">
        <w:r>
          <w:rPr>
            <w:rStyle w:val="LienInternet"/>
          </w:rPr>
          <w:t>eseményt</w:t>
        </w:r>
      </w:hyperlink>
      <w:r>
        <w:rPr/>
        <w:t xml:space="preserve">), ii. emberi jogaik megfelelő védelme (lásd az </w:t>
      </w:r>
      <w:hyperlink r:id="rId1200">
        <w:r>
          <w:rPr>
            <w:rStyle w:val="LienInternet"/>
          </w:rPr>
          <w:t>ötletet</w:t>
        </w:r>
      </w:hyperlink>
      <w:r>
        <w:rPr/>
        <w:t xml:space="preserve">) és iii. a mentális fogyatékossággal élő személyekkel szembeni megkülönböztetés elleni küzdelem (lásd az </w:t>
      </w:r>
      <w:hyperlink r:id="rId1201">
        <w:r>
          <w:rPr>
            <w:rStyle w:val="LienInternet"/>
          </w:rPr>
          <w:t>ötletet)</w:t>
        </w:r>
      </w:hyperlink>
      <w:r>
        <w:rPr/>
        <w:t>. Egy erősen kommentált esemény, amelynek résztvevői jóváhagyják a megjegyzést, hasonlóképpen felszólít a Down-szindrómás emberek támogatására és jogalkotási kezdeményezések támogatására (lásd az</w:t>
      </w:r>
      <w:hyperlink r:id="rId1202">
        <w:r>
          <w:rPr>
            <w:rStyle w:val="LienInternet"/>
          </w:rPr>
          <w:t xml:space="preserve"> </w:t>
        </w:r>
      </w:hyperlink>
      <w:hyperlink r:id="rId1203">
        <w:r>
          <w:rPr>
            <w:rStyle w:val="LienInternet"/>
          </w:rPr>
          <w:t>eseményt)</w:t>
        </w:r>
      </w:hyperlink>
      <w:r>
        <w:rPr/>
        <w:t xml:space="preserve"> annak érdekében, hogy növeljék láthatóságukat és részvételüket a társadalom minden szintjén (lásd az</w:t>
      </w:r>
      <w:hyperlink r:id="rId1204">
        <w:r>
          <w:rPr>
            <w:rStyle w:val="LienInternet"/>
          </w:rPr>
          <w:t xml:space="preserve"> </w:t>
        </w:r>
      </w:hyperlink>
      <w:hyperlink r:id="rId1205">
        <w:r>
          <w:rPr>
            <w:rStyle w:val="LienInternet"/>
          </w:rPr>
          <w:t>ötletet)</w:t>
        </w:r>
      </w:hyperlink>
      <w:r>
        <w:rPr/>
        <w:t xml:space="preserve">. </w:t>
      </w:r>
    </w:p>
    <w:p>
      <w:pPr>
        <w:pStyle w:val="Corpsdetexte"/>
        <w:spacing w:lineRule="auto" w:line="240" w:before="57" w:after="57"/>
        <w:jc w:val="left"/>
        <w:rPr/>
      </w:pPr>
      <w:r>
        <w:rPr/>
        <w:t xml:space="preserve">Néhány hozzászóló úgy véli, hogy egyes tagállamokban támadás éri a nők, az LMBTIQ-személyek és az emberi jogok jogait (lásd például egy </w:t>
      </w:r>
      <w:hyperlink r:id="rId1206">
        <w:r>
          <w:rPr>
            <w:rStyle w:val="LienInternet"/>
          </w:rPr>
          <w:t xml:space="preserve">ötletet </w:t>
        </w:r>
      </w:hyperlink>
      <w:r>
        <w:rPr/>
        <w:t>és</w:t>
      </w:r>
      <w:hyperlink r:id="rId1207">
        <w:r>
          <w:rPr>
            <w:rStyle w:val="LienInternet"/>
          </w:rPr>
          <w:t xml:space="preserve"> </w:t>
        </w:r>
      </w:hyperlink>
      <w:hyperlink r:id="rId1208">
        <w:r>
          <w:rPr>
            <w:rStyle w:val="LienInternet"/>
          </w:rPr>
          <w:t>ötletet</w:t>
        </w:r>
      </w:hyperlink>
      <w:r>
        <w:rPr/>
        <w:t>). Az alábbiak szerint számos résztvevő kéri az LMBTIQ-személyek védelmét és az azonos neműek házasságának elismerését az EU tagállamaiban (lásd például az</w:t>
      </w:r>
      <w:hyperlink r:id="rId1209">
        <w:r>
          <w:rPr>
            <w:rStyle w:val="LienInternet"/>
          </w:rPr>
          <w:t xml:space="preserve"> ötletet és az ötletet</w:t>
        </w:r>
      </w:hyperlink>
      <w:hyperlink r:id="rId1210">
        <w:r>
          <w:rPr>
            <w:rStyle w:val="LienInternet"/>
          </w:rPr>
          <w:t>)</w:t>
        </w:r>
      </w:hyperlink>
      <w:r>
        <w:rPr/>
        <w:t xml:space="preserve">, valamint az LMBTIQ-személyek szülőségének engedélyezését (lásd az </w:t>
      </w:r>
      <w:hyperlink r:id="rId1211">
        <w:r>
          <w:rPr>
            <w:rStyle w:val="LienInternet"/>
          </w:rPr>
          <w:t>ötletet)</w:t>
        </w:r>
      </w:hyperlink>
      <w:r>
        <w:rPr/>
        <w:t xml:space="preserve">. Az egyik munkaértekezlet az LMBTIQ-személyek jogainak különböző témákba való integrálásával foglalkozott (lásd az </w:t>
      </w:r>
      <w:hyperlink r:id="rId1212">
        <w:r>
          <w:rPr>
            <w:rStyle w:val="LienInternet"/>
          </w:rPr>
          <w:t>eseményt)</w:t>
        </w:r>
      </w:hyperlink>
      <w:r>
        <w:rPr/>
        <w:t>. Egy másik ötlet a többszörös megkülönböztetés, azaz a két vagy több alapon történő megkülönböztetés fogalmának bevezetését és konkrét intézkedések meghozatalát javasolja (lásd az</w:t>
      </w:r>
      <w:hyperlink r:id="rId1213">
        <w:r>
          <w:rPr>
            <w:rStyle w:val="LienInternet"/>
          </w:rPr>
          <w:t xml:space="preserve"> </w:t>
        </w:r>
      </w:hyperlink>
      <w:hyperlink r:id="rId1214">
        <w:r>
          <w:rPr>
            <w:rStyle w:val="LienInternet"/>
          </w:rPr>
          <w:t>ötletet)</w:t>
        </w:r>
      </w:hyperlink>
      <w:r>
        <w:rPr/>
        <w:t xml:space="preserve">. </w:t>
      </w:r>
    </w:p>
    <w:p>
      <w:pPr>
        <w:pStyle w:val="Corpsdetexte"/>
        <w:spacing w:lineRule="auto" w:line="240" w:before="57" w:after="57"/>
        <w:jc w:val="left"/>
        <w:rPr/>
      </w:pPr>
      <w:r>
        <w:rPr/>
        <w:t xml:space="preserve">Tekintettel az elöregedő európai társadalmakra, felhívásokat terjesztettek a platform elé az elöregedő európai társadalmak ellen (lásd az </w:t>
      </w:r>
      <w:hyperlink r:id="rId1215">
        <w:r>
          <w:rPr>
            <w:rStyle w:val="LienInternet"/>
          </w:rPr>
          <w:t>ötletet</w:t>
        </w:r>
      </w:hyperlink>
      <w:r>
        <w:rPr/>
        <w:t>). Egy eseményt is tartottak, hogy megvizsgálják a demográfiai változásoknak a társadalom szerkezeti alapjaira gyakorolt következményeit (lásd az</w:t>
      </w:r>
      <w:hyperlink r:id="rId1216">
        <w:r>
          <w:rPr>
            <w:rStyle w:val="LienInternet"/>
          </w:rPr>
          <w:t xml:space="preserve"> </w:t>
        </w:r>
      </w:hyperlink>
      <w:hyperlink r:id="rId1217">
        <w:r>
          <w:rPr>
            <w:rStyle w:val="LienInternet"/>
          </w:rPr>
          <w:t>eseményt)</w:t>
        </w:r>
      </w:hyperlink>
      <w:r>
        <w:rPr/>
        <w:t xml:space="preserve">. </w:t>
      </w:r>
    </w:p>
    <w:p>
      <w:pPr>
        <w:pStyle w:val="Corpsdetexte"/>
        <w:spacing w:lineRule="auto" w:line="240" w:before="57" w:after="57"/>
        <w:jc w:val="left"/>
        <w:rPr/>
      </w:pPr>
      <w:r>
        <w:rPr/>
        <w:t xml:space="preserve">Néhány esemény felhívta a figyelmet a nemzeti és etnikai kisebbségek jogainak kérdésére (lásd egy </w:t>
      </w:r>
      <w:hyperlink r:id="rId1218">
        <w:r>
          <w:rPr>
            <w:rStyle w:val="LienInternet"/>
          </w:rPr>
          <w:t xml:space="preserve">ötlet </w:t>
        </w:r>
      </w:hyperlink>
      <w:r>
        <w:rPr/>
        <w:t xml:space="preserve">és </w:t>
      </w:r>
      <w:hyperlink r:id="rId1219">
        <w:r>
          <w:rPr>
            <w:rStyle w:val="LienInternet"/>
          </w:rPr>
          <w:t>esemény példáját)</w:t>
        </w:r>
      </w:hyperlink>
      <w:r>
        <w:rPr/>
        <w:t>, beleértve a roma közösséget (lásd például egy</w:t>
      </w:r>
      <w:hyperlink r:id="rId1220">
        <w:r>
          <w:rPr>
            <w:rStyle w:val="LienInternet"/>
          </w:rPr>
          <w:t xml:space="preserve"> </w:t>
        </w:r>
      </w:hyperlink>
      <w:hyperlink r:id="rId1221">
        <w:r>
          <w:rPr>
            <w:rStyle w:val="LienInternet"/>
          </w:rPr>
          <w:t>ötlet,</w:t>
        </w:r>
      </w:hyperlink>
      <w:hyperlink r:id="rId1222">
        <w:r>
          <w:rPr>
            <w:rStyle w:val="LienInternet"/>
          </w:rPr>
          <w:t xml:space="preserve"> esemény és esemény </w:t>
        </w:r>
      </w:hyperlink>
      <w:r>
        <w:rPr/>
        <w:t xml:space="preserve"> </w:t>
      </w:r>
      <w:hyperlink r:id="rId1223">
        <w:r>
          <w:rPr>
            <w:rStyle w:val="LienInternet"/>
          </w:rPr>
          <w:t>példáját)</w:t>
        </w:r>
      </w:hyperlink>
      <w:r>
        <w:rPr/>
        <w:t>. Ugyanebből a megfontolásból uniós szabályozásra van szükség az európai kisebbségek nyelvi jogainak biztosítása érdekében (lásd például egy</w:t>
      </w:r>
      <w:hyperlink r:id="rId1224">
        <w:r>
          <w:rPr>
            <w:rStyle w:val="LienInternet"/>
          </w:rPr>
          <w:t xml:space="preserve"> </w:t>
        </w:r>
      </w:hyperlink>
      <w:hyperlink r:id="rId1225">
        <w:r>
          <w:rPr>
            <w:rStyle w:val="LienInternet"/>
          </w:rPr>
          <w:t>ötletet)</w:t>
        </w:r>
      </w:hyperlink>
      <w:r>
        <w:rPr/>
        <w:t>. Egy erősen támogatott ötlet arra szólít fel, hogy a katalánt az EU hivatalos nyelvévé tegyék (lásd</w:t>
      </w:r>
      <w:hyperlink r:id="rId1226">
        <w:r>
          <w:rPr>
            <w:rStyle w:val="LienInternet"/>
          </w:rPr>
          <w:t xml:space="preserve"> </w:t>
        </w:r>
      </w:hyperlink>
      <w:hyperlink r:id="rId1227">
        <w:r>
          <w:rPr>
            <w:rStyle w:val="LienInternet"/>
          </w:rPr>
          <w:t>az ötletet)</w:t>
        </w:r>
      </w:hyperlink>
      <w:r>
        <w:rPr/>
        <w:t xml:space="preserve">. </w:t>
      </w:r>
    </w:p>
    <w:p>
      <w:pPr>
        <w:pStyle w:val="Corpsdetexte"/>
        <w:spacing w:lineRule="auto" w:line="240" w:before="57" w:after="57"/>
        <w:jc w:val="left"/>
        <w:rPr/>
      </w:pPr>
      <w:r>
        <w:rPr/>
        <w:t>A Bizottságban megvitatták az inkluzív kommunikációs reflexiókat, és a résztvevők megjegyezték, hogy az európai polgároknak szabadon kellene megünnepelniük a vallási ünnepeket annak elkerülése érdekében, hogy az európai polgárok fordítottan hátrányos megkülönböztetésnek érezzék magukat (lásd az</w:t>
      </w:r>
      <w:hyperlink r:id="rId1228">
        <w:r>
          <w:rPr>
            <w:rStyle w:val="LienInternet"/>
          </w:rPr>
          <w:t xml:space="preserve"> </w:t>
        </w:r>
      </w:hyperlink>
      <w:hyperlink r:id="rId1229">
        <w:r>
          <w:rPr>
            <w:rStyle w:val="LienInternet"/>
          </w:rPr>
          <w:t>ötletet</w:t>
        </w:r>
      </w:hyperlink>
      <w:r>
        <w:rPr/>
        <w:t>, az</w:t>
      </w:r>
      <w:hyperlink r:id="rId1230">
        <w:r>
          <w:rPr>
            <w:rStyle w:val="LienInternet"/>
          </w:rPr>
          <w:t xml:space="preserve"> </w:t>
        </w:r>
      </w:hyperlink>
      <w:hyperlink r:id="rId1231">
        <w:r>
          <w:rPr>
            <w:rStyle w:val="LienInternet"/>
          </w:rPr>
          <w:t xml:space="preserve">ötletet </w:t>
        </w:r>
      </w:hyperlink>
      <w:r>
        <w:rPr/>
        <w:t>és az</w:t>
      </w:r>
      <w:hyperlink r:id="rId1232">
        <w:r>
          <w:rPr>
            <w:rStyle w:val="LienInternet"/>
          </w:rPr>
          <w:t xml:space="preserve"> </w:t>
        </w:r>
      </w:hyperlink>
      <w:hyperlink r:id="rId1233">
        <w:r>
          <w:rPr>
            <w:rStyle w:val="LienInternet"/>
          </w:rPr>
          <w:t>eseményt)</w:t>
        </w:r>
      </w:hyperlink>
      <w:r>
        <w:rPr/>
        <w:t xml:space="preserve">. </w:t>
      </w:r>
    </w:p>
    <w:p>
      <w:pPr>
        <w:pStyle w:val="Corpsdetexte"/>
        <w:spacing w:lineRule="auto" w:line="240" w:before="57" w:after="57"/>
        <w:jc w:val="left"/>
        <w:rPr/>
      </w:pPr>
      <w:r>
        <w:rPr/>
        <w:t>A sokszínű és befogadó Európa kilátásaival kapcsolatban a hozzászólók megvitatják a sikeres integrációs politikák szükségességét, mivel egyesek rámutatnak arra, hogy a hatékony bevándorlási integrációs politikák végrehajtásának elmulasztása feszültségeket és kapcsolódó biztonsági kockázatokat teremt az európai társadalmakban (lásd az</w:t>
      </w:r>
      <w:hyperlink r:id="rId1234">
        <w:r>
          <w:rPr>
            <w:rStyle w:val="LienInternet"/>
          </w:rPr>
          <w:t xml:space="preserve"> </w:t>
        </w:r>
      </w:hyperlink>
      <w:hyperlink r:id="rId1235">
        <w:r>
          <w:rPr>
            <w:rStyle w:val="LienInternet"/>
          </w:rPr>
          <w:t>ötletet</w:t>
        </w:r>
      </w:hyperlink>
      <w:r>
        <w:rPr/>
        <w:t>).</w:t>
      </w:r>
    </w:p>
    <w:p>
      <w:pPr>
        <w:pStyle w:val="Normal"/>
        <w:jc w:val="left"/>
        <w:rPr/>
      </w:pPr>
      <w:r>
        <w:rPr/>
      </w:r>
    </w:p>
    <w:p>
      <w:pPr>
        <w:pStyle w:val="Titre2"/>
        <w:numPr>
          <w:ilvl w:val="1"/>
          <w:numId w:val="1"/>
        </w:numPr>
        <w:jc w:val="left"/>
        <w:rPr/>
      </w:pPr>
      <w:bookmarkStart w:id="68" w:name="__RefHeading___Toc86459_2514204080"/>
      <w:bookmarkEnd w:id="68"/>
      <w:r>
        <w:rPr/>
        <w:t>A jogállamiság védelme</w:t>
      </w:r>
    </w:p>
    <w:p>
      <w:pPr>
        <w:pStyle w:val="Normal"/>
        <w:jc w:val="left"/>
        <w:rPr/>
      </w:pPr>
      <w:r>
        <w:rPr/>
        <w:t>A jogállamiság fenntartásának és a demokratikus értékek tiszteletben tartásának szükségessége gyakran visszatérő téma (lásd egy</w:t>
      </w:r>
      <w:hyperlink r:id="rId1236">
        <w:r>
          <w:rPr>
            <w:rStyle w:val="LienInternet"/>
          </w:rPr>
          <w:t xml:space="preserve"> ötlet példáját)</w:t>
        </w:r>
      </w:hyperlink>
      <w:r>
        <w:rPr/>
        <w:t xml:space="preserve">. A hozzájárulások elismerik, hogy ezek alkotják az Európai Unió alapját (lásd az </w:t>
      </w:r>
      <w:hyperlink r:id="rId1237">
        <w:r>
          <w:rPr>
            <w:rStyle w:val="LienInternet"/>
          </w:rPr>
          <w:t xml:space="preserve">ötletet </w:t>
        </w:r>
      </w:hyperlink>
      <w:r>
        <w:rPr/>
        <w:t>és</w:t>
      </w:r>
      <w:hyperlink r:id="rId1238">
        <w:r>
          <w:rPr>
            <w:rStyle w:val="LienInternet"/>
          </w:rPr>
          <w:t xml:space="preserve"> az ötletet)</w:t>
        </w:r>
      </w:hyperlink>
      <w:r>
        <w:rPr/>
        <w:t xml:space="preserve">. Míg a legtöbb hozzájárulás a jogállamisággal kapcsolatos belső szempontokat vet fel, a külső vonatkozásokra is kitérnek, és felszólítják az EU-t, hogy szigorúbb álláspontot alakítson ki a harmadik országokkal, például Oroszországgal és Kínával szemben. </w:t>
      </w:r>
    </w:p>
    <w:p>
      <w:pPr>
        <w:pStyle w:val="Normal"/>
        <w:jc w:val="left"/>
        <w:rPr/>
      </w:pPr>
      <w:r>
        <w:rPr/>
        <w:t xml:space="preserve">A téma egyik leginkább támogatott ötlete a demokráciával, a jogállamisággal és az alapvető jogokkal kapcsolatos felülvizsgálati mechanizmus létrehozására szólít fel (lásd az </w:t>
      </w:r>
      <w:hyperlink r:id="rId1239">
        <w:r>
          <w:rPr>
            <w:rStyle w:val="LienInternet"/>
          </w:rPr>
          <w:t>ötletet</w:t>
        </w:r>
      </w:hyperlink>
      <w:r>
        <w:rPr/>
        <w:t xml:space="preserve">). Kiemeli továbbá a jogállamiság fontosságát a belső piac működése szempontjából (lásd az </w:t>
      </w:r>
      <w:hyperlink r:id="rId1240">
        <w:r>
          <w:rPr>
            <w:rStyle w:val="LienInternet"/>
          </w:rPr>
          <w:t>ötletet</w:t>
        </w:r>
      </w:hyperlink>
      <w:r>
        <w:rPr/>
        <w:t>). Következésképpen az értékeinek és intézményeinek védelmére vonatkozó közös elképzelést széles körben megosztják a platformon (lásd például egy</w:t>
      </w:r>
      <w:hyperlink r:id="rId1241">
        <w:r>
          <w:rPr>
            <w:rStyle w:val="LienInternet"/>
          </w:rPr>
          <w:t xml:space="preserve"> </w:t>
        </w:r>
      </w:hyperlink>
      <w:hyperlink r:id="rId1242">
        <w:r>
          <w:rPr>
            <w:rStyle w:val="LienInternet"/>
          </w:rPr>
          <w:t>ötletet)</w:t>
        </w:r>
      </w:hyperlink>
      <w:r>
        <w:rPr/>
        <w:t xml:space="preserve">. </w:t>
      </w:r>
    </w:p>
    <w:p>
      <w:pPr>
        <w:pStyle w:val="Normal"/>
        <w:jc w:val="left"/>
        <w:rPr/>
      </w:pPr>
      <w:r>
        <w:rPr/>
        <w:t xml:space="preserve">Sok résztvevő aggodalmát fejezi ki az EU értékeinek és a jogállamiságnak az EU-n belüli tiszteletben tartása miatt (lásd az </w:t>
      </w:r>
      <w:hyperlink r:id="rId1243">
        <w:r>
          <w:rPr>
            <w:rStyle w:val="LienInternet"/>
          </w:rPr>
          <w:t xml:space="preserve">ötlet </w:t>
        </w:r>
      </w:hyperlink>
      <w:r>
        <w:rPr/>
        <w:t xml:space="preserve"> </w:t>
      </w:r>
      <w:hyperlink r:id="rId1244">
        <w:r>
          <w:rPr>
            <w:rStyle w:val="LienInternet"/>
          </w:rPr>
          <w:t>és az ötlet példáját)</w:t>
        </w:r>
      </w:hyperlink>
      <w:r>
        <w:rPr/>
        <w:t>, néhányan kifejezetten megemlítik Magyarországot (lásd az</w:t>
      </w:r>
      <w:hyperlink r:id="rId1245">
        <w:r>
          <w:rPr>
            <w:rStyle w:val="LienInternet"/>
          </w:rPr>
          <w:t xml:space="preserve"> ötlet</w:t>
        </w:r>
      </w:hyperlink>
      <w:r>
        <w:rPr/>
        <w:t>példáját) és Lengyelországot (lásd az</w:t>
      </w:r>
      <w:hyperlink r:id="rId1246">
        <w:r>
          <w:rPr>
            <w:rStyle w:val="LienInternet"/>
          </w:rPr>
          <w:t xml:space="preserve"> </w:t>
        </w:r>
      </w:hyperlink>
      <w:hyperlink r:id="rId1247">
        <w:r>
          <w:rPr>
            <w:rStyle w:val="LienInternet"/>
          </w:rPr>
          <w:t xml:space="preserve">ötlet </w:t>
        </w:r>
      </w:hyperlink>
      <w:hyperlink r:id="rId1248">
        <w:r>
          <w:rPr>
            <w:rStyle w:val="LienInternet"/>
          </w:rPr>
          <w:t xml:space="preserve"> </w:t>
        </w:r>
      </w:hyperlink>
      <w:hyperlink r:id="rId1249">
        <w:r>
          <w:rPr>
            <w:rStyle w:val="LienInternet"/>
          </w:rPr>
          <w:t>és az ötlet példáját)</w:t>
        </w:r>
      </w:hyperlink>
      <w:r>
        <w:rPr/>
        <w:t>. Egy erősen támogatott elképzelés kiemeli, hogy a demokráciát és a jogállamiságot minden tagállamnak tiszteletben kell tartania anélkül, hogy kettős mércét alkalmazna (lásd az</w:t>
      </w:r>
      <w:hyperlink r:id="rId1250">
        <w:r>
          <w:rPr>
            <w:rStyle w:val="LienInternet"/>
          </w:rPr>
          <w:t xml:space="preserve"> </w:t>
        </w:r>
      </w:hyperlink>
      <w:hyperlink r:id="rId1251">
        <w:r>
          <w:rPr>
            <w:rStyle w:val="LienInternet"/>
          </w:rPr>
          <w:t>ötletet</w:t>
        </w:r>
      </w:hyperlink>
      <w:r>
        <w:rPr/>
        <w:t xml:space="preserve">). </w:t>
      </w:r>
    </w:p>
    <w:p>
      <w:pPr>
        <w:pStyle w:val="Normal"/>
        <w:jc w:val="left"/>
        <w:rPr/>
      </w:pPr>
      <w:r>
        <w:rPr/>
        <w:t xml:space="preserve">A jogállamiságot fenyegető ezen vélt fenyegetések fényében a hozzászólók különböző stratégiákat javasolnak a jogsértések leküzdésére: i. az országoknak nyújtott támogatások csökkentése, ii. szavazati joguk visszavonása a Tanácsban (lásd az </w:t>
      </w:r>
      <w:hyperlink r:id="rId1252">
        <w:r>
          <w:rPr>
            <w:rStyle w:val="LienInternet"/>
          </w:rPr>
          <w:t>ötlet</w:t>
        </w:r>
      </w:hyperlink>
      <w:r>
        <w:rPr/>
        <w:t xml:space="preserve">példáját), iii. a jogállamisághoz kapcsolódó költségvetési védelmi mechanizmusok alkalmazása (lásd az </w:t>
      </w:r>
      <w:hyperlink r:id="rId1253">
        <w:r>
          <w:rPr>
            <w:rStyle w:val="LienInternet"/>
          </w:rPr>
          <w:t>ötletet</w:t>
        </w:r>
      </w:hyperlink>
      <w:r>
        <w:rPr/>
        <w:t xml:space="preserve">); iv. a 7. cikk felülvizsgálata annak érdekében, hogy könnyebb legyen szankcionálni az uniós értékeket megsértő kormányokat (lásd az </w:t>
      </w:r>
      <w:hyperlink r:id="rId1254">
        <w:r>
          <w:rPr>
            <w:rStyle w:val="LienInternet"/>
          </w:rPr>
          <w:t>ötletet)</w:t>
        </w:r>
      </w:hyperlink>
      <w:r>
        <w:rPr/>
        <w:t xml:space="preserve">; v. egy olyan mechanizmus bevezetését, amelynek révén a tagállamok kiutasíthatók, ha megsértik a demokratikus jogállamiságot (lásd az </w:t>
      </w:r>
      <w:hyperlink r:id="rId1255">
        <w:r>
          <w:rPr>
            <w:rStyle w:val="LienInternet"/>
          </w:rPr>
          <w:t>ötletet)</w:t>
        </w:r>
      </w:hyperlink>
      <w:r>
        <w:rPr/>
        <w:t>, és vi. a demokrácia és a jogállamiság EU-n belüli védelme érdekében az Európai Unió Bíróságához hasonló megfigyelőt telepítenek (lásd az</w:t>
      </w:r>
      <w:hyperlink r:id="rId1256">
        <w:r>
          <w:rPr>
            <w:rStyle w:val="LienInternet"/>
          </w:rPr>
          <w:t xml:space="preserve"> </w:t>
        </w:r>
      </w:hyperlink>
      <w:hyperlink r:id="rId1257">
        <w:r>
          <w:rPr>
            <w:rStyle w:val="LienInternet"/>
          </w:rPr>
          <w:t>ötletet</w:t>
        </w:r>
      </w:hyperlink>
      <w:r>
        <w:rPr/>
        <w:t xml:space="preserve">). </w:t>
      </w:r>
    </w:p>
    <w:p>
      <w:pPr>
        <w:pStyle w:val="Normal"/>
        <w:jc w:val="left"/>
        <w:rPr/>
      </w:pPr>
      <w:r>
        <w:rPr/>
        <w:t xml:space="preserve">A többi uniós érték mellett a jogállamiság biztosítására irányuló számos ötletet is javasolnak. Néhányan azt javasolják, hogy támogassák a civil társadalmi szervezeteket a demokratikus jogállamiság megerősítésének és fenntartásának eszközeként (lásd az </w:t>
      </w:r>
      <w:hyperlink r:id="rId1258">
        <w:r>
          <w:rPr>
            <w:rStyle w:val="LienInternet"/>
          </w:rPr>
          <w:t xml:space="preserve">ötletet </w:t>
        </w:r>
      </w:hyperlink>
      <w:r>
        <w:rPr/>
        <w:t xml:space="preserve">és az </w:t>
      </w:r>
      <w:hyperlink r:id="rId1259">
        <w:r>
          <w:rPr>
            <w:rStyle w:val="LienInternet"/>
          </w:rPr>
          <w:t>ötletet</w:t>
        </w:r>
      </w:hyperlink>
      <w:r>
        <w:rPr/>
        <w:t xml:space="preserve">). Egy hozzászóló felvetett egy kapcsolódó ötletet egy olyan uniós civil társadalmi stratégia végrehajtására vonatkozóan, amelynek célja a civil társadalmi szervezetek szabad működése és az európai értékek megőrzéséhez való hozzájárulás (lásd az </w:t>
      </w:r>
      <w:hyperlink r:id="rId1260">
        <w:r>
          <w:rPr>
            <w:rStyle w:val="LienInternet"/>
          </w:rPr>
          <w:t>ötletet</w:t>
        </w:r>
      </w:hyperlink>
      <w:r>
        <w:rPr/>
        <w:t xml:space="preserve">). </w:t>
      </w:r>
    </w:p>
    <w:p>
      <w:pPr>
        <w:pStyle w:val="Normal"/>
        <w:jc w:val="left"/>
        <w:rPr/>
      </w:pPr>
      <w:r>
        <w:rPr/>
        <w:t xml:space="preserve">Mindazonáltal a legelterjedtebb elképzelés az egyhangúsági szabály megszüntetésére szólít fel annak biztosítása érdekében, hogy azok a tagállamok, amelyek nincsenek összhangban a jogállamisággal, ne akadályozhassák meg a döntéshozatalt az EU-ban (lásd például egy </w:t>
      </w:r>
      <w:hyperlink r:id="rId1261">
        <w:r>
          <w:rPr>
            <w:rStyle w:val="LienInternet"/>
          </w:rPr>
          <w:t>ötletet</w:t>
        </w:r>
      </w:hyperlink>
      <w:r>
        <w:rPr/>
        <w:t xml:space="preserve">). </w:t>
      </w:r>
    </w:p>
    <w:p>
      <w:pPr>
        <w:pStyle w:val="Normal"/>
        <w:jc w:val="left"/>
        <w:rPr/>
      </w:pPr>
      <w:r>
        <w:rPr/>
        <w:t>A sajtó és a tömegtájékoztatás szabadságának védelme összefügg a jogállamiság és az uniós értékek védelmével. Ez volt a téma egy részvételi munkaértekezleten, és az, hogy növelni kell az átláthatóságot a médiapluralizmus számára, és biztosítani kell az újságírók nagyobb védelmét, kulcsfontosságúak voltak (lásd az</w:t>
      </w:r>
      <w:hyperlink r:id="rId1262">
        <w:r>
          <w:rPr>
            <w:rStyle w:val="LienInternet"/>
          </w:rPr>
          <w:t xml:space="preserve"> eseményt)</w:t>
        </w:r>
      </w:hyperlink>
      <w:r>
        <w:rPr/>
        <w:t xml:space="preserve">. Támogatja továbbá a fokozott átláthatóságot és a polgárok nagyobb mértékű bevonását az uniós döntéshozatali folyamatba (lásd az </w:t>
      </w:r>
      <w:hyperlink r:id="rId1263">
        <w:r>
          <w:rPr>
            <w:rStyle w:val="LienInternet"/>
          </w:rPr>
          <w:t>ötletet</w:t>
        </w:r>
      </w:hyperlink>
      <w:r>
        <w:rPr/>
        <w:t xml:space="preserve">). </w:t>
      </w:r>
    </w:p>
    <w:p>
      <w:pPr>
        <w:pStyle w:val="Normal"/>
        <w:jc w:val="left"/>
        <w:rPr/>
      </w:pPr>
      <w:r>
        <w:rPr/>
        <w:t xml:space="preserve">Míg az eszmék domináns része a jogállamiság megsértésével kapcsolatos aggályokra utal, egy másik gondolatcsoport más nézőpontból indul ki, ahol az EU tekintélyelvű módon érinti a tagállamok alkotmányait (lásd például az </w:t>
      </w:r>
      <w:hyperlink r:id="rId1264">
        <w:r>
          <w:rPr>
            <w:rStyle w:val="LienInternet"/>
          </w:rPr>
          <w:t>ötletet)</w:t>
        </w:r>
      </w:hyperlink>
      <w:r>
        <w:rPr/>
        <w:t xml:space="preserve">. Néhány felhívás arra irányul, hogy vizsgálja felül az Európai Bíróság hatáskörét a nemzeti alkotmányos joghatóságokkal való összeütközések megelőzésére vonatkozóan a platformon (lásd például az </w:t>
      </w:r>
      <w:hyperlink r:id="rId1265">
        <w:r>
          <w:rPr>
            <w:rStyle w:val="LienInternet"/>
          </w:rPr>
          <w:t xml:space="preserve">ötletet </w:t>
        </w:r>
      </w:hyperlink>
      <w:r>
        <w:rPr/>
        <w:t xml:space="preserve">és az </w:t>
      </w:r>
      <w:hyperlink r:id="rId1266">
        <w:r>
          <w:rPr>
            <w:rStyle w:val="LienInternet"/>
          </w:rPr>
          <w:t>eseményt</w:t>
        </w:r>
      </w:hyperlink>
      <w:r>
        <w:rPr/>
        <w:t xml:space="preserve">). Például az egyik résztvevő úgy véli, hogy amíg a népi szuverenitást tiszteletben tartják, a demokrácia uralkodik (lásd az </w:t>
      </w:r>
      <w:hyperlink r:id="rId1267">
        <w:r>
          <w:rPr>
            <w:rStyle w:val="LienInternet"/>
          </w:rPr>
          <w:t>ötletet</w:t>
        </w:r>
      </w:hyperlink>
      <w:r>
        <w:rPr/>
        <w:t>). Hasonlóképpen mások azzal érvelnek, hogy a vétójogot a Szerződések által biztosított politikai eszközként érvényesítik, és hogy a tagállamok előjoga a határok védelme, valamint a keresztény vallás, a kultúra és a homogén társadalom megőrzése (lásd az</w:t>
      </w:r>
      <w:hyperlink r:id="rId1268">
        <w:r>
          <w:rPr>
            <w:rStyle w:val="LienInternet"/>
          </w:rPr>
          <w:t xml:space="preserve"> </w:t>
        </w:r>
      </w:hyperlink>
      <w:hyperlink r:id="rId1269">
        <w:r>
          <w:rPr>
            <w:rStyle w:val="LienInternet"/>
          </w:rPr>
          <w:t>ötletet)</w:t>
        </w:r>
      </w:hyperlink>
      <w:r>
        <w:rPr/>
        <w:t>.</w:t>
      </w:r>
    </w:p>
    <w:p>
      <w:pPr>
        <w:pStyle w:val="Normal"/>
        <w:jc w:val="left"/>
        <w:rPr/>
      </w:pPr>
      <w:r>
        <w:rPr/>
      </w:r>
    </w:p>
    <w:p>
      <w:pPr>
        <w:pStyle w:val="Titre2"/>
        <w:numPr>
          <w:ilvl w:val="1"/>
          <w:numId w:val="1"/>
        </w:numPr>
        <w:jc w:val="left"/>
        <w:rPr/>
      </w:pPr>
      <w:bookmarkStart w:id="69" w:name="__RefHeading___Toc86461_2514204080"/>
      <w:bookmarkEnd w:id="69"/>
      <w:r>
        <w:rPr/>
        <w:t>Biztonság</w:t>
      </w:r>
    </w:p>
    <w:p>
      <w:pPr>
        <w:pStyle w:val="Corpsdetexte"/>
        <w:jc w:val="left"/>
        <w:rPr/>
      </w:pPr>
      <w:r>
        <w:rPr/>
        <w:t xml:space="preserve">A biztonság kérdését széles körben tárgyalják más témákban, mint például az EU a világban, ezért ritkábban fordul elő témaként az értékek és jogok, a jogállamiság és a biztonság témájában. Mindazonáltal a témával kapcsolatban jelenleg az egyik leginkább kommentált elképzelés az EU hadseregének létrehozására irányuló javaslat (lásd az </w:t>
      </w:r>
      <w:hyperlink r:id="rId1270">
        <w:r>
          <w:rPr>
            <w:rStyle w:val="LienInternet"/>
          </w:rPr>
          <w:t>ötletet)</w:t>
        </w:r>
      </w:hyperlink>
      <w:r>
        <w:rPr/>
        <w:t xml:space="preserve">, hogy a tagállamokat jobban megvédjék az ellenséges külföldi szereplőkkel szemben (lásd például az </w:t>
      </w:r>
      <w:hyperlink r:id="rId1271">
        <w:r>
          <w:rPr>
            <w:rStyle w:val="LienInternet"/>
          </w:rPr>
          <w:t>eseményt)</w:t>
        </w:r>
      </w:hyperlink>
      <w:r>
        <w:rPr/>
        <w:t>. A résztvevők továbbá azzal érvelnek, hogy az uniós biztonság központosítása előnyös lenne mind a költségek, mind pedig a nemzeti hadseregek Európa-szerte csökkenő jelentőségére tekintettel, mivel az európai polgárok gyengébb hűséget tanúsítanak saját államuk védelmében (lásd az</w:t>
      </w:r>
      <w:hyperlink r:id="rId1272">
        <w:r>
          <w:rPr>
            <w:rStyle w:val="LienInternet"/>
          </w:rPr>
          <w:t xml:space="preserve"> ötletet)</w:t>
        </w:r>
      </w:hyperlink>
      <w:r>
        <w:rPr/>
        <w:t>. Ezen elképzelések megjegyzéseiben azonban mások megkérdőjelezték ezt a javaslatot, főként a politikai következményekkel, valamint az uniós védelem és a honvédelem közötti kapcsolattal kapcsolatban. Ezért a résztvevő támogatja a nemzeti hadseregek integrációját és interoperabilitását (lásd az</w:t>
      </w:r>
      <w:hyperlink r:id="rId1273">
        <w:r>
          <w:rPr>
            <w:rStyle w:val="LienInternet"/>
          </w:rPr>
          <w:t xml:space="preserve"> </w:t>
        </w:r>
      </w:hyperlink>
      <w:hyperlink r:id="rId1274">
        <w:r>
          <w:rPr>
            <w:rStyle w:val="LienInternet"/>
          </w:rPr>
          <w:t>ötletet</w:t>
        </w:r>
      </w:hyperlink>
      <w:r>
        <w:rPr/>
        <w:t xml:space="preserve">). </w:t>
      </w:r>
    </w:p>
    <w:p>
      <w:pPr>
        <w:pStyle w:val="Corpsdetexte"/>
        <w:spacing w:lineRule="auto" w:line="240" w:before="57" w:after="57"/>
        <w:jc w:val="left"/>
        <w:rPr/>
      </w:pPr>
      <w:r>
        <w:rPr/>
        <w:t>A hozzászólók megvitatják a külpolitika jövőjét és azt is, hogy miként lehet megváltoztatni Európa nemzetközi szerepét (lásd az</w:t>
      </w:r>
      <w:hyperlink r:id="rId1275">
        <w:r>
          <w:rPr>
            <w:rStyle w:val="LienInternet"/>
          </w:rPr>
          <w:t xml:space="preserve"> </w:t>
        </w:r>
      </w:hyperlink>
      <w:hyperlink r:id="rId1276">
        <w:r>
          <w:rPr>
            <w:rStyle w:val="LienInternet"/>
          </w:rPr>
          <w:t>eseményt</w:t>
        </w:r>
      </w:hyperlink>
      <w:r>
        <w:rPr/>
        <w:t>), és arra is felhívja az EU-t, hogy a migrációs válságtól az afganisztáni migrációs válságon át az ázsiai-csendes-óceáni térségben Kínával szembeni fenyegetésig (lásd az</w:t>
      </w:r>
      <w:hyperlink r:id="rId1277">
        <w:r>
          <w:rPr>
            <w:rStyle w:val="LienInternet"/>
          </w:rPr>
          <w:t xml:space="preserve"> ötletet</w:t>
        </w:r>
      </w:hyperlink>
      <w:r>
        <w:rPr/>
        <w:t xml:space="preserve">) gondolja át biztonsági céljaival kapcsolatos prioritásait. Tekintettel az értékpapírosítás alatt álló nem hagyományos militarista kihívásokra, például a terrorizmusra, a bűnszervezetek tevékenységeire és a szabályozatlan bevándorlásra, az egyik résztvevő azzal érvel, hogy ezek nem oldhatók meg kizárólag hagyományos katonai stratégiákkal, mivel diplomácia, közvetítés és társadalmi kohézió révén létrehozott biztonsági intézkedéseket igényelnek (lásd az </w:t>
      </w:r>
      <w:hyperlink r:id="rId1278">
        <w:r>
          <w:rPr>
            <w:rStyle w:val="LienInternet"/>
          </w:rPr>
          <w:t>ötletet</w:t>
        </w:r>
      </w:hyperlink>
      <w:r>
        <w:rPr/>
        <w:t xml:space="preserve">). Az energiabiztonság (lásd az </w:t>
      </w:r>
      <w:hyperlink r:id="rId1279">
        <w:r>
          <w:rPr>
            <w:rStyle w:val="LienInternet"/>
          </w:rPr>
          <w:t>ötletet</w:t>
        </w:r>
      </w:hyperlink>
      <w:r>
        <w:rPr/>
        <w:t xml:space="preserve">) és az Európai Unió geopolitikai védelmi képességeinek növelése érdekében a függőség csökkentésére irányuló célkitűzés fontos példa (lásd az </w:t>
      </w:r>
      <w:hyperlink r:id="rId1280">
        <w:r>
          <w:rPr>
            <w:rStyle w:val="LienInternet"/>
          </w:rPr>
          <w:t>ötletet)</w:t>
        </w:r>
      </w:hyperlink>
      <w:r>
        <w:rPr/>
        <w:t xml:space="preserve">. A platformon zajló viták során a védelmi stratégiákat előmozdító pacifisták egymás mellé helyezésére is sor került azok ellen, akik azzal érveltek, hogy amikor szuperhatalmakkal, például Kínával és Oroszországgal szembesülnek, szükség van a militarizált biztonságra (lásd az </w:t>
      </w:r>
      <w:hyperlink r:id="rId1281">
        <w:r>
          <w:rPr>
            <w:rStyle w:val="LienInternet"/>
          </w:rPr>
          <w:t>ötletet</w:t>
        </w:r>
      </w:hyperlink>
      <w:r>
        <w:rPr/>
        <w:t>). Egyes résztvevők azon a véleményen vannak, hogy az EU-nak nem kellene védelmi kérdésekkel foglalkoznia, és hogy jobb, ha a tagállamok a NATO támogatásával védekeznek (lásd az</w:t>
      </w:r>
      <w:hyperlink r:id="rId1282">
        <w:r>
          <w:rPr>
            <w:rStyle w:val="LienInternet"/>
          </w:rPr>
          <w:t xml:space="preserve"> </w:t>
        </w:r>
      </w:hyperlink>
      <w:hyperlink r:id="rId1283">
        <w:r>
          <w:rPr>
            <w:rStyle w:val="LienInternet"/>
          </w:rPr>
          <w:t>ötletet)</w:t>
        </w:r>
      </w:hyperlink>
      <w:r>
        <w:rPr/>
        <w:t xml:space="preserve">. </w:t>
      </w:r>
    </w:p>
    <w:p>
      <w:pPr>
        <w:pStyle w:val="Corpsdetexte"/>
        <w:spacing w:lineRule="auto" w:line="240" w:before="57" w:after="57"/>
        <w:jc w:val="left"/>
        <w:rPr/>
      </w:pPr>
      <w:r>
        <w:rPr/>
        <w:t>A platformon széles körben elterjedtek az Oroszországgal kapcsolatos biztonsági aggályok, például a félretájékoztatás veszélye, Oroszország befolyása és befolyása az európai országok felé (lásd az</w:t>
      </w:r>
      <w:hyperlink r:id="rId1284">
        <w:r>
          <w:rPr>
            <w:rStyle w:val="LienInternet"/>
          </w:rPr>
          <w:t xml:space="preserve"> ötletet </w:t>
        </w:r>
      </w:hyperlink>
      <w:r>
        <w:rPr/>
        <w:t>és az</w:t>
      </w:r>
      <w:hyperlink r:id="rId1285">
        <w:r>
          <w:rPr>
            <w:rStyle w:val="LienInternet"/>
          </w:rPr>
          <w:t xml:space="preserve"> eseményt)</w:t>
        </w:r>
      </w:hyperlink>
      <w:r>
        <w:rPr/>
        <w:t>, valamint a közös politikák kidolgozásának szükségességét kifejező nézetek (lásd az</w:t>
      </w:r>
      <w:hyperlink r:id="rId1286">
        <w:r>
          <w:rPr>
            <w:rStyle w:val="LienInternet"/>
          </w:rPr>
          <w:t xml:space="preserve"> </w:t>
        </w:r>
      </w:hyperlink>
      <w:hyperlink r:id="rId1287">
        <w:r>
          <w:rPr>
            <w:rStyle w:val="LienInternet"/>
          </w:rPr>
          <w:t>ötletet</w:t>
        </w:r>
      </w:hyperlink>
      <w:r>
        <w:rPr/>
        <w:t xml:space="preserve">). </w:t>
      </w:r>
    </w:p>
    <w:p>
      <w:pPr>
        <w:pStyle w:val="Corpsdetexte"/>
        <w:spacing w:lineRule="auto" w:line="240" w:before="57" w:after="57"/>
        <w:jc w:val="left"/>
        <w:rPr/>
      </w:pPr>
      <w:r>
        <w:rPr/>
        <w:t xml:space="preserve">Az EU belső biztonságát vitatva néhány hozzászóló felveti a különböző típusú fenyegetések, például a kibertámadások elleni küzdelem szükségességét a kiberbiztonság fokozott koordinációja révén (lásd az </w:t>
      </w:r>
      <w:hyperlink r:id="rId1288">
        <w:r>
          <w:rPr>
            <w:rStyle w:val="LienInternet"/>
          </w:rPr>
          <w:t>ötletet</w:t>
        </w:r>
      </w:hyperlink>
      <w:r>
        <w:rPr/>
        <w:t xml:space="preserve">) és a terrorizmus többféle formáját koordinált terrorizmusellenes programokkal (lásd például az </w:t>
      </w:r>
      <w:hyperlink r:id="rId1289">
        <w:r>
          <w:rPr>
            <w:rStyle w:val="LienInternet"/>
          </w:rPr>
          <w:t>eseményt</w:t>
        </w:r>
      </w:hyperlink>
      <w:r>
        <w:rPr/>
        <w:t>). Emellett kiemelik az európai társadalmak radikalizálódása és polarizációja megelőzésének fontosságát, például egy radikalizálódástudatossági hálózat létrehozásával a bevált gyakorlatok megosztása érdekében (lásd az</w:t>
      </w:r>
      <w:hyperlink r:id="rId1290">
        <w:r>
          <w:rPr>
            <w:rStyle w:val="LienInternet"/>
          </w:rPr>
          <w:t xml:space="preserve"> </w:t>
        </w:r>
      </w:hyperlink>
      <w:hyperlink r:id="rId1291">
        <w:r>
          <w:rPr>
            <w:rStyle w:val="LienInternet"/>
          </w:rPr>
          <w:t xml:space="preserve">ötletet </w:t>
        </w:r>
      </w:hyperlink>
      <w:r>
        <w:rPr/>
        <w:t>és az</w:t>
      </w:r>
      <w:hyperlink r:id="rId1292">
        <w:r>
          <w:rPr>
            <w:rStyle w:val="LienInternet"/>
          </w:rPr>
          <w:t xml:space="preserve"> </w:t>
        </w:r>
      </w:hyperlink>
      <w:hyperlink r:id="rId1293">
        <w:r>
          <w:rPr>
            <w:rStyle w:val="LienInternet"/>
          </w:rPr>
          <w:t>ötletet</w:t>
        </w:r>
      </w:hyperlink>
      <w:r>
        <w:rPr/>
        <w:t xml:space="preserve">). </w:t>
      </w:r>
    </w:p>
    <w:p>
      <w:pPr>
        <w:pStyle w:val="Corpsdetexte"/>
        <w:spacing w:lineRule="auto" w:line="240" w:before="57" w:after="57"/>
        <w:jc w:val="left"/>
        <w:rPr/>
      </w:pPr>
      <w:r>
        <w:rPr/>
        <w:t xml:space="preserve">A rendőri erők uniós koordinációt is javasolnak a tagállamok közötti egyenlőség és egységes munka biztosítása érdekében (lásd az </w:t>
      </w:r>
      <w:hyperlink r:id="rId1294">
        <w:r>
          <w:rPr>
            <w:rStyle w:val="LienInternet"/>
          </w:rPr>
          <w:t>ötletet)</w:t>
        </w:r>
      </w:hyperlink>
      <w:r>
        <w:rPr/>
        <w:t xml:space="preserve">. E tekintetben a résztvevők egy katonai és rendőrségi Erasmus program bevezetését javasolták az EU iránti hűség megszilárdítása és a bevált gyakorlatok megosztásának megkönnyítése érdekében (lásd az </w:t>
      </w:r>
      <w:hyperlink r:id="rId1295">
        <w:r>
          <w:rPr>
            <w:rStyle w:val="LienInternet"/>
          </w:rPr>
          <w:t xml:space="preserve">ötletet </w:t>
        </w:r>
      </w:hyperlink>
      <w:r>
        <w:rPr/>
        <w:t xml:space="preserve">és az </w:t>
      </w:r>
      <w:hyperlink r:id="rId1296">
        <w:r>
          <w:rPr>
            <w:rStyle w:val="LienInternet"/>
          </w:rPr>
          <w:t>ötletet</w:t>
        </w:r>
      </w:hyperlink>
      <w:r>
        <w:rPr/>
        <w:t xml:space="preserve">). Hasonló elképzeléseket vitatnak meg az EU a világban című témakörben is. </w:t>
      </w:r>
    </w:p>
    <w:p>
      <w:pPr>
        <w:pStyle w:val="Corpsdetexte"/>
        <w:spacing w:lineRule="auto" w:line="240" w:before="57" w:after="57"/>
        <w:jc w:val="left"/>
        <w:rPr/>
      </w:pPr>
      <w:r>
        <w:rPr/>
        <w:t xml:space="preserve">Az ötletek utolsó elemeként a platformon több felhívás is szerepel, hogy megkönnyítsék a büntetőeljárást és a bűnüldözést a nemzeti határokon átnyúlóan (lásd az </w:t>
      </w:r>
      <w:hyperlink r:id="rId1297">
        <w:r>
          <w:rPr>
            <w:rStyle w:val="LienInternet"/>
          </w:rPr>
          <w:t xml:space="preserve">ötletet </w:t>
        </w:r>
      </w:hyperlink>
      <w:r>
        <w:rPr/>
        <w:t xml:space="preserve">és az </w:t>
      </w:r>
      <w:hyperlink r:id="rId1298">
        <w:r>
          <w:rPr>
            <w:rStyle w:val="LienInternet"/>
          </w:rPr>
          <w:t>ötletet</w:t>
        </w:r>
      </w:hyperlink>
      <w:r>
        <w:rPr/>
        <w:t>), például egy egységes büntető törvénykönyv elfogadásával (lásd az</w:t>
      </w:r>
      <w:hyperlink r:id="rId1299">
        <w:r>
          <w:rPr>
            <w:rStyle w:val="LienInternet"/>
          </w:rPr>
          <w:t xml:space="preserve"> ötletet)</w:t>
        </w:r>
      </w:hyperlink>
      <w:r>
        <w:rPr/>
        <w:t>. Tekintettel az EU-n belüli szabad mozgásra, egyes polgárok támogatják egy olyan európai ügynökség létrehozását, amely erősíti a tagállamok közötti együttműködést a terrorizmus és a szervezett bűnözés elleni küzdelem terén (lásd az</w:t>
      </w:r>
      <w:hyperlink r:id="rId1300">
        <w:r>
          <w:rPr>
            <w:rStyle w:val="LienInternet"/>
          </w:rPr>
          <w:t xml:space="preserve"> ötletet </w:t>
        </w:r>
      </w:hyperlink>
      <w:r>
        <w:rPr/>
        <w:t>és az</w:t>
      </w:r>
      <w:hyperlink r:id="rId1301">
        <w:r>
          <w:rPr>
            <w:rStyle w:val="LienInternet"/>
          </w:rPr>
          <w:t xml:space="preserve"> ötletet)</w:t>
        </w:r>
      </w:hyperlink>
      <w:r>
        <w:rPr/>
        <w:t xml:space="preserve">. Egy résztvevő azt is megjegyzi, hogy milyen veszélyt jelent a fegyverek illegális értékesítése (lásd </w:t>
      </w:r>
      <w:hyperlink r:id="rId1302">
        <w:r>
          <w:rPr>
            <w:rStyle w:val="LienInternet"/>
          </w:rPr>
          <w:t>az ötletet)</w:t>
        </w:r>
      </w:hyperlink>
      <w:r>
        <w:rPr/>
        <w:t>. Az Europol – a nemzetközi bűnözés és a terrorizmus elleni küzdelemmel foglalkozó, már meglévő európai ügynökség – megerősítését is tervezi néhány résztvevő (lásd az</w:t>
      </w:r>
      <w:hyperlink r:id="rId1303">
        <w:r>
          <w:rPr>
            <w:rStyle w:val="LienInternet"/>
          </w:rPr>
          <w:t xml:space="preserve"> </w:t>
        </w:r>
      </w:hyperlink>
      <w:hyperlink r:id="rId1304">
        <w:r>
          <w:rPr>
            <w:rStyle w:val="LienInternet"/>
          </w:rPr>
          <w:t>ötletet)</w:t>
        </w:r>
      </w:hyperlink>
      <w:r>
        <w:rPr/>
        <w:t>.</w:t>
      </w:r>
    </w:p>
    <w:p>
      <w:pPr>
        <w:pStyle w:val="Normal"/>
        <w:jc w:val="left"/>
        <w:rPr/>
      </w:pPr>
      <w:r>
        <w:rPr/>
      </w:r>
    </w:p>
    <w:p>
      <w:pPr>
        <w:pStyle w:val="Titre2"/>
        <w:numPr>
          <w:ilvl w:val="1"/>
          <w:numId w:val="1"/>
        </w:numPr>
        <w:jc w:val="left"/>
        <w:rPr/>
      </w:pPr>
      <w:bookmarkStart w:id="70" w:name="__RefHeading___Toc86463_2514204080"/>
      <w:bookmarkEnd w:id="70"/>
      <w:r>
        <w:rPr/>
        <w:t>Az EU értékei</w:t>
      </w:r>
    </w:p>
    <w:p>
      <w:pPr>
        <w:pStyle w:val="Corpsdetexte"/>
        <w:jc w:val="left"/>
        <w:rPr/>
      </w:pPr>
      <w:r>
        <w:rPr/>
        <w:t>Az európai értékek fenntartásának fontosságát és központi szerepét gyakran megismétlik a platformon (lásd egy</w:t>
      </w:r>
      <w:hyperlink r:id="rId1305">
        <w:r>
          <w:rPr>
            <w:rStyle w:val="LienInternet"/>
          </w:rPr>
          <w:t xml:space="preserve"> ötlet példáját)</w:t>
        </w:r>
      </w:hyperlink>
      <w:r>
        <w:rPr/>
        <w:t xml:space="preserve">. A platform egy csoportja megvitatja, hogy mit jelent európainak lenni, és milyen értékeket kell az EU-nak megtestesítenie és népszerűsítenie (lásd például az </w:t>
      </w:r>
      <w:hyperlink r:id="rId1306">
        <w:r>
          <w:rPr>
            <w:rStyle w:val="LienInternet"/>
          </w:rPr>
          <w:t xml:space="preserve">ötletet </w:t>
        </w:r>
      </w:hyperlink>
      <w:r>
        <w:rPr/>
        <w:t>és az</w:t>
      </w:r>
      <w:hyperlink r:id="rId1307">
        <w:r>
          <w:rPr>
            <w:rStyle w:val="LienInternet"/>
          </w:rPr>
          <w:t xml:space="preserve"> eseményt)</w:t>
        </w:r>
      </w:hyperlink>
      <w:r>
        <w:rPr/>
        <w:t>. Több polgár is megemlíti többek között az emberi méltóság, a szabadság, az egyenlőség, a demokrácia, a jogállamiság, az emberi jogok, a pluralizmus, az igazságszolgáltatás, a szolidaritás (lásd az</w:t>
      </w:r>
      <w:hyperlink r:id="rId1308">
        <w:r>
          <w:rPr>
            <w:rStyle w:val="LienInternet"/>
          </w:rPr>
          <w:t xml:space="preserve"> eseményt</w:t>
        </w:r>
      </w:hyperlink>
      <w:r>
        <w:rPr/>
        <w:t>) és a nemek közötti egyenlőség elveit, mint az Európai Unió értékrendszerét, és úgy véli, hogy ezeknek kell vezérelniük az Unió politikáit. Mint ilyen, erősen jóváhagyott javaslat magában foglalja a demokráciával, a jogállamisággal és az alapvető jogokkal kapcsolatos felülvizsgálati mechanizmus bevezetését az EU-ban (lásd az</w:t>
      </w:r>
      <w:hyperlink r:id="rId1309">
        <w:r>
          <w:rPr>
            <w:rStyle w:val="LienInternet"/>
          </w:rPr>
          <w:t xml:space="preserve"> </w:t>
        </w:r>
      </w:hyperlink>
      <w:hyperlink r:id="rId1310">
        <w:r>
          <w:rPr>
            <w:rStyle w:val="LienInternet"/>
          </w:rPr>
          <w:t>ötletet)</w:t>
        </w:r>
      </w:hyperlink>
      <w:r>
        <w:rPr/>
        <w:t xml:space="preserve">. </w:t>
      </w:r>
    </w:p>
    <w:p>
      <w:pPr>
        <w:pStyle w:val="Corpsdetexte"/>
        <w:spacing w:lineRule="auto" w:line="240" w:before="57" w:after="57"/>
        <w:jc w:val="left"/>
        <w:rPr/>
      </w:pPr>
      <w:r>
        <w:rPr/>
        <w:t>A polgárok az egyes tagállamokat jellemző közös gyökerekre és heterogén sajátosságokra is hivatkoznak (lásd például egy</w:t>
      </w:r>
      <w:hyperlink r:id="rId1311">
        <w:r>
          <w:rPr>
            <w:rStyle w:val="LienInternet"/>
          </w:rPr>
          <w:t xml:space="preserve"> </w:t>
        </w:r>
      </w:hyperlink>
      <w:hyperlink r:id="rId1312">
        <w:r>
          <w:rPr>
            <w:rStyle w:val="LienInternet"/>
          </w:rPr>
          <w:t xml:space="preserve">ötletet </w:t>
        </w:r>
      </w:hyperlink>
      <w:r>
        <w:rPr/>
        <w:t>és</w:t>
      </w:r>
      <w:hyperlink r:id="rId1313">
        <w:r>
          <w:rPr>
            <w:rStyle w:val="LienInternet"/>
          </w:rPr>
          <w:t xml:space="preserve"> </w:t>
        </w:r>
      </w:hyperlink>
      <w:hyperlink r:id="rId1314">
        <w:r>
          <w:rPr>
            <w:rStyle w:val="LienInternet"/>
          </w:rPr>
          <w:t>ötletet</w:t>
        </w:r>
      </w:hyperlink>
      <w:r>
        <w:rPr/>
        <w:t xml:space="preserve">). </w:t>
      </w:r>
    </w:p>
    <w:p>
      <w:pPr>
        <w:pStyle w:val="Corpsdetexte"/>
        <w:spacing w:lineRule="auto" w:line="240" w:before="57" w:after="57"/>
        <w:jc w:val="left"/>
        <w:rPr/>
      </w:pPr>
      <w:r>
        <w:rPr/>
        <w:t>Néhány hozzászóló azt is megvitatja, hogy szükség van-e egy európai alkotmányra, amelynek egyértelműen meg kell határoznia azokat az alapvető európai értékeket, amelyeket az EU-ban tiszteletben kell tartani (lásd például egy</w:t>
      </w:r>
      <w:hyperlink r:id="rId1315">
        <w:r>
          <w:rPr>
            <w:rStyle w:val="LienInternet"/>
          </w:rPr>
          <w:t xml:space="preserve"> </w:t>
        </w:r>
      </w:hyperlink>
      <w:hyperlink r:id="rId1316">
        <w:r>
          <w:rPr>
            <w:rStyle w:val="LienInternet"/>
          </w:rPr>
          <w:t>ötletet</w:t>
        </w:r>
      </w:hyperlink>
      <w:r>
        <w:rPr/>
        <w:t xml:space="preserve">). </w:t>
      </w:r>
    </w:p>
    <w:p>
      <w:pPr>
        <w:pStyle w:val="Corpsdetexte"/>
        <w:spacing w:lineRule="auto" w:line="240" w:before="57" w:after="57"/>
        <w:jc w:val="left"/>
        <w:rPr/>
      </w:pPr>
      <w:r>
        <w:rPr/>
        <w:t>A viták egy része a vallás és a vallási értékek európai helyére összpontosít, a keresztény értékek szerepéről és védelmük szükségességéről (lásd az</w:t>
      </w:r>
      <w:hyperlink r:id="rId1317">
        <w:r>
          <w:rPr>
            <w:rStyle w:val="LienInternet"/>
          </w:rPr>
          <w:t xml:space="preserve"> </w:t>
        </w:r>
      </w:hyperlink>
      <w:hyperlink r:id="rId1318">
        <w:r>
          <w:rPr>
            <w:rStyle w:val="LienInternet"/>
          </w:rPr>
          <w:t xml:space="preserve">ötletet </w:t>
        </w:r>
      </w:hyperlink>
      <w:r>
        <w:rPr/>
        <w:t>és az</w:t>
      </w:r>
      <w:hyperlink r:id="rId1319">
        <w:r>
          <w:rPr>
            <w:rStyle w:val="LienInternet"/>
          </w:rPr>
          <w:t xml:space="preserve"> </w:t>
        </w:r>
      </w:hyperlink>
      <w:hyperlink r:id="rId1320">
        <w:r>
          <w:rPr>
            <w:rStyle w:val="LienInternet"/>
          </w:rPr>
          <w:t>eseményt)</w:t>
        </w:r>
      </w:hyperlink>
      <w:r>
        <w:rPr/>
        <w:t xml:space="preserve">, de felszólít az európai kulturális és vallási sokszínűség tiszteletben tartására is (lásd az </w:t>
      </w:r>
      <w:hyperlink r:id="rId1321">
        <w:r>
          <w:rPr>
            <w:rStyle w:val="LienInternet"/>
          </w:rPr>
          <w:t>ötletet)</w:t>
        </w:r>
      </w:hyperlink>
      <w:r>
        <w:rPr/>
        <w:t xml:space="preserve">. A kereszténység kapcsán egy esemény azt vizsgálta, hogy a kelet-európai országok hogyan egyeztetik össze a nyilvános vallási megnyilvánulásokat a más vallásokkal és meggyőződésekkel szembeni toleranciával (lásd az </w:t>
      </w:r>
      <w:hyperlink r:id="rId1322">
        <w:r>
          <w:rPr>
            <w:rStyle w:val="LienInternet"/>
          </w:rPr>
          <w:t>eseményt</w:t>
        </w:r>
      </w:hyperlink>
      <w:r>
        <w:rPr/>
        <w:t>). A vallás és annak jelentősége a mai Európai Unióban megvitatásra került egy vallásközi találkozón Dublinban (lásd az</w:t>
      </w:r>
      <w:hyperlink r:id="rId1323">
        <w:r>
          <w:rPr>
            <w:rStyle w:val="LienInternet"/>
          </w:rPr>
          <w:t xml:space="preserve"> </w:t>
        </w:r>
      </w:hyperlink>
      <w:hyperlink r:id="rId1324">
        <w:r>
          <w:rPr>
            <w:rStyle w:val="LienInternet"/>
          </w:rPr>
          <w:t>eseményt)</w:t>
        </w:r>
      </w:hyperlink>
      <w:r>
        <w:rPr/>
        <w:t>. Ugyanezzel a megjegyzéssel a résztvevők azzal érvelnek, hogy az egyre inkább megosztó etikai kérdésekkel vallásközi párbeszédek és interkulturális perspektívák révén kell foglalkozni (lásd egy</w:t>
      </w:r>
      <w:hyperlink r:id="rId1325">
        <w:r>
          <w:rPr>
            <w:rStyle w:val="LienInternet"/>
          </w:rPr>
          <w:t xml:space="preserve"> </w:t>
        </w:r>
      </w:hyperlink>
      <w:hyperlink r:id="rId1326">
        <w:r>
          <w:rPr>
            <w:rStyle w:val="LienInternet"/>
          </w:rPr>
          <w:t>ötlet példáját</w:t>
        </w:r>
      </w:hyperlink>
      <w:r>
        <w:rPr/>
        <w:t xml:space="preserve">). </w:t>
      </w:r>
    </w:p>
    <w:p>
      <w:pPr>
        <w:pStyle w:val="Corpsdetexte"/>
        <w:spacing w:lineRule="auto" w:line="240" w:before="57" w:after="57"/>
        <w:jc w:val="left"/>
        <w:rPr/>
      </w:pPr>
      <w:r>
        <w:rPr/>
        <w:t>A legutóbbi bejegyzések felvetették az antiszemitizmus kérdését is, amely számos országban nagy fenyegetést jelent a zsidó közösségek polgáraira, ahol a támadások és az erőszak fokozódott (lásd az</w:t>
      </w:r>
      <w:hyperlink r:id="rId1327">
        <w:r>
          <w:rPr>
            <w:rStyle w:val="LienInternet"/>
          </w:rPr>
          <w:t xml:space="preserve"> </w:t>
        </w:r>
      </w:hyperlink>
      <w:hyperlink r:id="rId1328">
        <w:r>
          <w:rPr>
            <w:rStyle w:val="LienInternet"/>
          </w:rPr>
          <w:t>ötletet</w:t>
        </w:r>
      </w:hyperlink>
      <w:r>
        <w:rPr/>
        <w:t>).</w:t>
      </w:r>
    </w:p>
    <w:p>
      <w:pPr>
        <w:pStyle w:val="Normal"/>
        <w:jc w:val="left"/>
        <w:rPr/>
      </w:pPr>
      <w:r>
        <w:rPr/>
      </w:r>
    </w:p>
    <w:p>
      <w:pPr>
        <w:pStyle w:val="Titre2"/>
        <w:numPr>
          <w:ilvl w:val="1"/>
          <w:numId w:val="1"/>
        </w:numPr>
        <w:jc w:val="left"/>
        <w:rPr/>
      </w:pPr>
      <w:bookmarkStart w:id="71" w:name="__RefHeading___Toc86465_2514204080"/>
      <w:bookmarkEnd w:id="71"/>
      <w:r>
        <w:rPr/>
        <w:t>Lobbizás és korrupció</w:t>
      </w:r>
    </w:p>
    <w:p>
      <w:pPr>
        <w:pStyle w:val="Corpsdetexte"/>
        <w:jc w:val="left"/>
        <w:rPr/>
      </w:pPr>
      <w:r>
        <w:rPr/>
        <w:t>Az „európai demokrácia” témához hasonlóan néhány közreműködő is a lobbitevékenységgel és a korrupcióval kapcsolatos kérdésekre összpontosított. Vannak javaslatok a magánérdekek általi lobbizás szabályozásának és átláthatóságának fokozására (lásd az</w:t>
      </w:r>
      <w:hyperlink r:id="rId1329">
        <w:r>
          <w:rPr>
            <w:rStyle w:val="LienInternet"/>
          </w:rPr>
          <w:t xml:space="preserve"> ötletet</w:t>
        </w:r>
      </w:hyperlink>
      <w:r>
        <w:rPr/>
        <w:t>), valamint az uniós politikára gyakorolt hatásának korlátozására (lásd például egy</w:t>
      </w:r>
      <w:hyperlink r:id="rId1330">
        <w:r>
          <w:rPr>
            <w:rStyle w:val="LienInternet"/>
          </w:rPr>
          <w:t xml:space="preserve"> ötletet)</w:t>
        </w:r>
      </w:hyperlink>
      <w:r>
        <w:rPr/>
        <w:t xml:space="preserve">. Más résztvevők megvitatták, hogyan lehet kezelni az uniós intézményeken belüli korrupciót, az uniós források felhasználását és a visszaélést bejelentő személyek védelmét (lásd például egy </w:t>
      </w:r>
      <w:hyperlink r:id="rId1331">
        <w:r>
          <w:rPr>
            <w:rStyle w:val="LienInternet"/>
          </w:rPr>
          <w:t>ötletet)</w:t>
        </w:r>
      </w:hyperlink>
      <w:r>
        <w:rPr/>
        <w:t>. Az egyik résztvevő javasolta egy Igazság és Megbékélés Bizottság létrehozását az uniós szerződések uniós tisztviselők általi állítólagos megsértésének kezelésére (lásd az</w:t>
      </w:r>
      <w:hyperlink r:id="rId1332">
        <w:r>
          <w:rPr>
            <w:rStyle w:val="LienInternet"/>
          </w:rPr>
          <w:t xml:space="preserve"> </w:t>
        </w:r>
      </w:hyperlink>
      <w:hyperlink r:id="rId1333">
        <w:r>
          <w:rPr>
            <w:rStyle w:val="LienInternet"/>
          </w:rPr>
          <w:t>ötletet)</w:t>
        </w:r>
      </w:hyperlink>
      <w:r>
        <w:rPr/>
        <w:t xml:space="preserve">. </w:t>
      </w:r>
    </w:p>
    <w:p>
      <w:pPr>
        <w:pStyle w:val="Corpsdetexte"/>
        <w:spacing w:lineRule="auto" w:line="240" w:before="57" w:after="57"/>
        <w:jc w:val="left"/>
        <w:rPr/>
      </w:pPr>
      <w:r>
        <w:rPr/>
        <w:t xml:space="preserve">A korrupció uniós intézmények szintjén történő kezelése mellett az EU-nak ellenőriznie kell a nemzeti közigazgatások pártatlanságát a részrehajlás és az önkényesség (lásd az </w:t>
      </w:r>
      <w:hyperlink r:id="rId1334">
        <w:r>
          <w:rPr>
            <w:rStyle w:val="LienInternet"/>
          </w:rPr>
          <w:t xml:space="preserve">ötletet </w:t>
        </w:r>
      </w:hyperlink>
      <w:r>
        <w:rPr/>
        <w:t xml:space="preserve">és az </w:t>
      </w:r>
      <w:hyperlink r:id="rId1335">
        <w:r>
          <w:rPr>
            <w:rStyle w:val="LienInternet"/>
          </w:rPr>
          <w:t>eseményt)</w:t>
        </w:r>
      </w:hyperlink>
      <w:r>
        <w:rPr/>
        <w:t xml:space="preserve"> vagy az igazságügyi korrupció elleni küzdelem (lásd az </w:t>
      </w:r>
      <w:hyperlink r:id="rId1336">
        <w:r>
          <w:rPr>
            <w:rStyle w:val="LienInternet"/>
          </w:rPr>
          <w:t>ötletet)</w:t>
        </w:r>
      </w:hyperlink>
      <w:r>
        <w:rPr/>
        <w:t xml:space="preserve"> érdekében. A hozzászólók arra kérik az EU-t, hogy lépjen fel a tagállamokban az adókikerülés és a korrupció ellen (lásd például egy </w:t>
      </w:r>
      <w:hyperlink r:id="rId1337">
        <w:r>
          <w:rPr>
            <w:rStyle w:val="LienInternet"/>
          </w:rPr>
          <w:t>ötletet)</w:t>
        </w:r>
      </w:hyperlink>
      <w:r>
        <w:rPr/>
        <w:t>. Emellett egyes hozzászólók felháborodásának adtak hangot amiatt, hogy nem folytathatnak tisztességes bírósági eljárásokat (lásd az</w:t>
      </w:r>
      <w:hyperlink r:id="rId1338">
        <w:r>
          <w:rPr>
            <w:rStyle w:val="LienInternet"/>
          </w:rPr>
          <w:t xml:space="preserve"> </w:t>
        </w:r>
      </w:hyperlink>
      <w:hyperlink r:id="rId1339">
        <w:r>
          <w:rPr>
            <w:rStyle w:val="LienInternet"/>
          </w:rPr>
          <w:t>ötletet)</w:t>
        </w:r>
      </w:hyperlink>
      <w:r>
        <w:rPr/>
        <w:t>.</w:t>
      </w:r>
    </w:p>
    <w:p>
      <w:pPr>
        <w:pStyle w:val="Normal"/>
        <w:jc w:val="left"/>
        <w:rPr/>
      </w:pPr>
      <w:r>
        <w:rPr/>
      </w:r>
    </w:p>
    <w:p>
      <w:pPr>
        <w:pStyle w:val="Titre2"/>
        <w:numPr>
          <w:ilvl w:val="1"/>
          <w:numId w:val="1"/>
        </w:numPr>
        <w:jc w:val="left"/>
        <w:rPr/>
      </w:pPr>
      <w:bookmarkStart w:id="72" w:name="__RefHeading___Toc86467_2514204080"/>
      <w:bookmarkEnd w:id="72"/>
      <w:r>
        <w:rPr/>
        <w:t>Új ötletek az elmúlt időszakban (21/02/2022–09/05/2022)</w:t>
      </w:r>
    </w:p>
    <w:p>
      <w:pPr>
        <w:pStyle w:val="Corpsdetexte"/>
        <w:jc w:val="left"/>
        <w:rPr/>
      </w:pPr>
      <w:r>
        <w:rPr/>
        <w:t xml:space="preserve">Az új ötletek egyre inkább a biztonság és a határvédelem kérdéseit vitatták meg. A védelem témáját nemcsak az európai hadsereg létrehozása (lásd egy </w:t>
      </w:r>
      <w:hyperlink r:id="rId1340">
        <w:r>
          <w:rPr>
            <w:rStyle w:val="LienInternet"/>
          </w:rPr>
          <w:t>ötlet példáját)</w:t>
        </w:r>
      </w:hyperlink>
      <w:r>
        <w:rPr/>
        <w:t xml:space="preserve"> illetően vitatták meg, hanem az ukrajnai orosz invázió kapcsán is, számos felhívással Európa demokratikus értékeinek megerősítésére (lásd az </w:t>
      </w:r>
      <w:hyperlink r:id="rId1341">
        <w:r>
          <w:rPr>
            <w:rStyle w:val="LienInternet"/>
          </w:rPr>
          <w:t>ötletet</w:t>
        </w:r>
      </w:hyperlink>
      <w:r>
        <w:rPr/>
        <w:t>) és Ukrajna támogatására. Ezért egyes résztvevők az EU védelmi rendszerének kiterjesztését szorgalmazták (lásd például egy</w:t>
      </w:r>
      <w:hyperlink r:id="rId1342">
        <w:r>
          <w:rPr>
            <w:rStyle w:val="LienInternet"/>
          </w:rPr>
          <w:t xml:space="preserve"> ötletet)</w:t>
        </w:r>
      </w:hyperlink>
      <w:r>
        <w:rPr/>
        <w:t>. Ukrajna uniós tagságát is megvitatták (lásd az</w:t>
      </w:r>
      <w:hyperlink r:id="rId1343">
        <w:r>
          <w:rPr>
            <w:rStyle w:val="LienInternet"/>
          </w:rPr>
          <w:t xml:space="preserve"> </w:t>
        </w:r>
      </w:hyperlink>
      <w:hyperlink r:id="rId1344">
        <w:r>
          <w:rPr>
            <w:rStyle w:val="LienInternet"/>
          </w:rPr>
          <w:t>ötletet)</w:t>
        </w:r>
      </w:hyperlink>
      <w:r>
        <w:rPr/>
        <w:t xml:space="preserve">. </w:t>
      </w:r>
    </w:p>
    <w:p>
      <w:pPr>
        <w:pStyle w:val="Corpsdetexte"/>
        <w:jc w:val="left"/>
        <w:rPr/>
      </w:pPr>
      <w:r>
        <w:rPr/>
        <w:t xml:space="preserve">Emellett a hozzászólások a legutóbbi közzétett jelentésben felvetett témákra és altémákra terjedtek ki. </w:t>
      </w:r>
    </w:p>
    <w:p>
      <w:pPr>
        <w:pStyle w:val="Corpsdetexte"/>
        <w:jc w:val="left"/>
        <w:rPr/>
      </w:pPr>
      <w:r>
        <w:rPr/>
        <w:t xml:space="preserve">Az LMBTIQ-személyek jogai (lásd egy </w:t>
      </w:r>
      <w:hyperlink r:id="rId1345">
        <w:r>
          <w:rPr>
            <w:rStyle w:val="LienInternet"/>
          </w:rPr>
          <w:t>ötlet példáját)</w:t>
        </w:r>
      </w:hyperlink>
      <w:r>
        <w:rPr/>
        <w:t xml:space="preserve">, a nemek közötti egyenlőség (lásd egy </w:t>
      </w:r>
      <w:hyperlink r:id="rId1346">
        <w:r>
          <w:rPr>
            <w:rStyle w:val="LienInternet"/>
          </w:rPr>
          <w:t>ötlet példáját)</w:t>
        </w:r>
      </w:hyperlink>
      <w:r>
        <w:rPr/>
        <w:t xml:space="preserve">, a fogyatékossággal élő személyekkel szembeni megkülönböztetés (lásd az </w:t>
      </w:r>
      <w:hyperlink r:id="rId1347">
        <w:r>
          <w:rPr>
            <w:rStyle w:val="LienInternet"/>
          </w:rPr>
          <w:t>ötletet)</w:t>
        </w:r>
      </w:hyperlink>
      <w:r>
        <w:rPr/>
        <w:t xml:space="preserve"> </w:t>
      </w:r>
      <w:hyperlink r:id="rId1348">
        <w:r>
          <w:rPr>
            <w:rStyle w:val="LienInternet"/>
          </w:rPr>
          <w:t xml:space="preserve"> és a kisebbségek (lásd az eseményt)</w:t>
        </w:r>
      </w:hyperlink>
      <w:r>
        <w:rPr/>
        <w:t xml:space="preserve"> gyakran merültek fel a platformon az uniós értékek mellett benyújtott ötletekben (lásd egy</w:t>
      </w:r>
      <w:hyperlink r:id="rId1349">
        <w:r>
          <w:rPr>
            <w:rStyle w:val="LienInternet"/>
          </w:rPr>
          <w:t xml:space="preserve"> </w:t>
        </w:r>
      </w:hyperlink>
      <w:hyperlink r:id="rId1350">
        <w:r>
          <w:rPr>
            <w:rStyle w:val="LienInternet"/>
          </w:rPr>
          <w:t>ötlet példáját)</w:t>
        </w:r>
      </w:hyperlink>
      <w:r>
        <w:rPr/>
        <w:t xml:space="preserve">. </w:t>
      </w:r>
    </w:p>
    <w:p>
      <w:pPr>
        <w:pStyle w:val="Corpsdetexte"/>
        <w:jc w:val="left"/>
        <w:rPr/>
      </w:pPr>
      <w:r>
        <w:rPr/>
        <w:t>A jogok és a polgári szabadságjogok témájában néhány résztvevő a véleménynyilvánítás szabadságának fokozottabb tiszteletben tartására szólított fel, és javaslatot tett a független médiamegjelenítés megkönnyítésére (lásd például egy</w:t>
      </w:r>
      <w:hyperlink r:id="rId1351">
        <w:r>
          <w:rPr>
            <w:rStyle w:val="LienInternet"/>
          </w:rPr>
          <w:t xml:space="preserve"> </w:t>
        </w:r>
      </w:hyperlink>
      <w:hyperlink r:id="rId1352">
        <w:r>
          <w:rPr>
            <w:rStyle w:val="LienInternet"/>
          </w:rPr>
          <w:t>ötletet</w:t>
        </w:r>
      </w:hyperlink>
      <w:r>
        <w:rPr/>
        <w:t>). Egy másik hozzászólás a fegyverviselés nagyobb szabadságát szorgalmazta (lásd</w:t>
      </w:r>
      <w:hyperlink r:id="rId1353">
        <w:r>
          <w:rPr>
            <w:rStyle w:val="LienInternet"/>
          </w:rPr>
          <w:t xml:space="preserve"> </w:t>
        </w:r>
      </w:hyperlink>
      <w:hyperlink r:id="rId1354">
        <w:r>
          <w:rPr>
            <w:rStyle w:val="LienInternet"/>
          </w:rPr>
          <w:t>az ötletet)</w:t>
        </w:r>
      </w:hyperlink>
      <w:r>
        <w:rPr/>
        <w:t xml:space="preserve">. </w:t>
      </w:r>
    </w:p>
    <w:p>
      <w:pPr>
        <w:pStyle w:val="Corpsdetexte"/>
        <w:jc w:val="left"/>
        <w:rPr/>
      </w:pPr>
      <w:r>
        <w:rPr/>
        <w:t xml:space="preserve">Ami a szociális jogokat illeti, a demográfia témáját is megvitatták, és a családok jobb támogatására irányuló politikák bevezetésére szólítottak fel (lásd az </w:t>
      </w:r>
      <w:hyperlink r:id="rId1355">
        <w:r>
          <w:rPr>
            <w:rStyle w:val="LienInternet"/>
          </w:rPr>
          <w:t>ötletet)</w:t>
        </w:r>
      </w:hyperlink>
      <w:r>
        <w:rPr/>
        <w:t>. Egy ötlet azt is hangsúlyozta, hogy hatékony politikákat kell kidolgozni a hajléktalanság elleni küzdelem érdekében (lásd</w:t>
      </w:r>
      <w:hyperlink r:id="rId1356">
        <w:r>
          <w:rPr>
            <w:rStyle w:val="LienInternet"/>
          </w:rPr>
          <w:t xml:space="preserve"> </w:t>
        </w:r>
      </w:hyperlink>
      <w:hyperlink r:id="rId1357">
        <w:r>
          <w:rPr>
            <w:rStyle w:val="LienInternet"/>
          </w:rPr>
          <w:t>az ötletet)</w:t>
        </w:r>
      </w:hyperlink>
      <w:r>
        <w:rPr/>
        <w:t xml:space="preserve">. </w:t>
      </w:r>
    </w:p>
    <w:p>
      <w:pPr>
        <w:pStyle w:val="Corpsdetexte"/>
        <w:jc w:val="left"/>
        <w:rPr/>
      </w:pPr>
      <w:r>
        <w:rPr/>
        <w:t>Az igazságszolgáltatás és a bűnüldözés témáját (lásd például az</w:t>
      </w:r>
      <w:hyperlink r:id="rId1358">
        <w:r>
          <w:rPr>
            <w:rStyle w:val="LienInternet"/>
          </w:rPr>
          <w:t xml:space="preserve"> ötletet)</w:t>
        </w:r>
      </w:hyperlink>
      <w:r>
        <w:rPr/>
        <w:t xml:space="preserve"> nagyrészt megvitatták. Az igazságszolgáltatással kapcsolatban a résztvevők megvitatták az adókijátszással és a szociális dömpinggel kapcsolatos kérdéseket (lásd az </w:t>
      </w:r>
      <w:hyperlink r:id="rId1359">
        <w:r>
          <w:rPr>
            <w:rStyle w:val="LienInternet"/>
          </w:rPr>
          <w:t>ötletet</w:t>
        </w:r>
      </w:hyperlink>
      <w:r>
        <w:rPr/>
        <w:t>), valamint az igazságszolgáltatási rendszerek hibás működését, valamint az európai igazságszolgáltatási rendszerek integrálására irányuló előrehaladott javaslatokat, beleértve annak lehetőségét is, hogy egy büntetést egy másik uniós országban töltsenek le (lásd az</w:t>
      </w:r>
      <w:hyperlink r:id="rId1360">
        <w:r>
          <w:rPr>
            <w:rStyle w:val="LienInternet"/>
          </w:rPr>
          <w:t xml:space="preserve"> </w:t>
        </w:r>
      </w:hyperlink>
      <w:hyperlink r:id="rId1361">
        <w:r>
          <w:rPr>
            <w:rStyle w:val="LienInternet"/>
          </w:rPr>
          <w:t>ötletet</w:t>
        </w:r>
      </w:hyperlink>
      <w:r>
        <w:rPr/>
        <w:t>).</w:t>
      </w:r>
    </w:p>
    <w:p>
      <w:pPr>
        <w:pStyle w:val="Normal"/>
        <w:jc w:val="left"/>
        <w:rPr/>
      </w:pPr>
      <w:r>
        <w:rPr/>
      </w:r>
    </w:p>
    <w:p>
      <w:pPr>
        <w:sectPr>
          <w:headerReference w:type="default" r:id="rId1362"/>
          <w:footerReference w:type="default" r:id="rId1363"/>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Normal"/>
        <w:jc w:val="left"/>
        <w:rPr/>
      </w:pPr>
      <w:r>
        <w:rPr/>
      </w:r>
      <w:r>
        <w:br w:type="page"/>
      </w:r>
    </w:p>
    <w:p>
      <w:pPr>
        <w:pStyle w:val="Normal"/>
        <w:rPr/>
      </w:pPr>
      <w:r>
        <w:rPr/>
        <mc:AlternateContent>
          <mc:Choice Requires="wps">
            <w:drawing>
              <wp:anchor behindDoc="0" distT="0" distB="0" distL="0" distR="0" simplePos="0" locked="0" layoutInCell="0" allowOverlap="1" relativeHeight="111">
                <wp:simplePos x="0" y="0"/>
                <wp:positionH relativeFrom="column">
                  <wp:posOffset>0</wp:posOffset>
                </wp:positionH>
                <wp:positionV relativeFrom="paragraph">
                  <wp:posOffset>60960</wp:posOffset>
                </wp:positionV>
                <wp:extent cx="8644890" cy="5241925"/>
                <wp:effectExtent l="0" t="0" r="0" b="0"/>
                <wp:wrapTopAndBottom/>
                <wp:docPr id="83" name="Cadre19 – Videó letöltés mp3-ban"/>
                <a:graphic xmlns:a="http://schemas.openxmlformats.org/drawingml/2006/main">
                  <a:graphicData uri="http://schemas.microsoft.com/office/word/2010/wordprocessingShape">
                    <wps:wsp>
                      <wps:cNvSpPr/>
                      <wps:spPr>
                        <a:xfrm>
                          <a:off x="0" y="0"/>
                          <a:ext cx="8645040" cy="524196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 </w:t>
                            </w:r>
                            <w:r>
                              <w:rPr>
                                <w:color w:val="000000"/>
                              </w:rPr>
                              <w:t xml:space="preserve">Ábra. Elmetérkép témája Értékek és jogok, jogállamiság, biztonság, 1. rész </w:t>
                            </w:r>
                          </w:p>
                        </w:txbxContent>
                      </wps:txbx>
                      <wps:bodyPr lIns="0" rIns="0" tIns="0" bIns="0" anchor="t">
                        <a:noAutofit/>
                      </wps:bodyPr>
                    </wps:wsp>
                  </a:graphicData>
                </a:graphic>
              </wp:anchor>
            </w:drawing>
          </mc:Choice>
          <mc:Fallback>
            <w:pict>
              <v:rect id="shape_0" ID="Cadre19 – Videó letöltés mp3-ban" path="m0,0l-2147483645,0l-2147483645,-2147483646l0,-2147483646xe" fillcolor="white" stroked="f" o:allowincell="f" style="position:absolute;margin-left:0pt;margin-top:4.8pt;width:680.65pt;height:412.7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 </w:t>
                      </w:r>
                      <w:r>
                        <w:rPr>
                          <w:color w:val="000000"/>
                        </w:rPr>
                        <w:t xml:space="preserve">Ábra. Elmetérkép témája Értékek és jogok, jogállamiság, biztonság, 1. rész </w:t>
                      </w:r>
                    </w:p>
                  </w:txbxContent>
                </v:textbox>
                <w10:wrap type="topAndBottom"/>
              </v:rect>
            </w:pict>
          </mc:Fallback>
        </mc:AlternateContent>
        <mc:AlternateContent>
          <mc:Choice Requires="wpg">
            <w:drawing>
              <wp:anchor behindDoc="0" distT="0" distB="0" distL="0" distR="0" simplePos="0" locked="0" layoutInCell="0" allowOverlap="1" relativeHeight="113">
                <wp:simplePos x="0" y="0"/>
                <wp:positionH relativeFrom="column">
                  <wp:align>center</wp:align>
                </wp:positionH>
                <wp:positionV relativeFrom="paragraph">
                  <wp:posOffset>635</wp:posOffset>
                </wp:positionV>
                <wp:extent cx="8644255" cy="5066030"/>
                <wp:effectExtent l="0" t="635" r="0" b="0"/>
                <wp:wrapTopAndBottom/>
                <wp:docPr id="85" name="Forme13"/>
                <a:graphic xmlns:a="http://schemas.openxmlformats.org/drawingml/2006/main">
                  <a:graphicData uri="http://schemas.microsoft.com/office/word/2010/wordprocessingGroup">
                    <wpg:wgp>
                      <wpg:cNvGrpSpPr/>
                      <wpg:grpSpPr>
                        <a:xfrm>
                          <a:off x="0" y="0"/>
                          <a:ext cx="8644320" cy="5065920"/>
                          <a:chOff x="0" y="0"/>
                          <a:chExt cx="8644320" cy="5065920"/>
                        </a:xfrm>
                      </wpg:grpSpPr>
                      <wpg:grpSp>
                        <wpg:cNvGrpSpPr/>
                        <wpg:grpSpPr>
                          <a:xfrm>
                            <a:off x="7311960" y="1668960"/>
                            <a:ext cx="1332360" cy="1971720"/>
                          </a:xfrm>
                        </wpg:grpSpPr>
                        <pic:pic xmlns:pic="http://schemas.openxmlformats.org/drawingml/2006/picture">
                          <pic:nvPicPr>
                            <pic:cNvPr id="17" name="" descr=""/>
                            <pic:cNvPicPr/>
                          </pic:nvPicPr>
                          <pic:blipFill>
                            <a:blip r:embed="rId1364"/>
                            <a:stretch/>
                          </pic:blipFill>
                          <pic:spPr>
                            <a:xfrm>
                              <a:off x="9720" y="0"/>
                              <a:ext cx="970200" cy="850320"/>
                            </a:xfrm>
                            <a:prstGeom prst="rect">
                              <a:avLst/>
                            </a:prstGeom>
                            <a:ln w="0">
                              <a:noFill/>
                            </a:ln>
                          </pic:spPr>
                        </pic:pic>
                        <wps:wsp>
                          <wps:cNvSpPr/>
                          <wps:spPr>
                            <a:xfrm>
                              <a:off x="0" y="944640"/>
                              <a:ext cx="1332360" cy="102672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Értékek és jogok, jogállamiság, biztonság</w:t>
                                </w:r>
                              </w:p>
                            </w:txbxContent>
                          </wps:txbx>
                          <wps:bodyPr lIns="90000" rIns="90000" tIns="45000" bIns="45000" anchor="t">
                            <a:noAutofit/>
                          </wps:bodyPr>
                        </wps:wsp>
                      </wpg:grpSp>
                      <wpg:grpSp>
                        <wpg:cNvGrpSpPr/>
                        <wpg:grpSpPr>
                          <a:xfrm>
                            <a:off x="0" y="733320"/>
                            <a:ext cx="5264640" cy="2325240"/>
                          </a:xfrm>
                        </wpg:grpSpPr>
                        <wps:wsp>
                          <wps:cNvSpPr/>
                          <wps:spPr>
                            <a:xfrm>
                              <a:off x="0" y="0"/>
                              <a:ext cx="3766680" cy="23252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emberi jogok és szabadságok védelme és védelme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emberi jogi eszközök érvényesíthetőségének megerősítése az uniós jogrendben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magánélet és a személyes adatok védelme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biometrikus adatok felügyeleti célú felhasználásának korlátozása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lelkiismereti szabadság és a véleménynyilvánítás szabadságának fenntartása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gyűlöletbeszéd és a gyűlölet-bűncselekmények elleni küzdelem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sajtó és a média szabadságának biztosítása a félretájékoztatás elleni küzdelem mellett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Gazdasági és szociális jogok biztosítása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gyermekek jogainak érvényesítése a politikai döntéshozatalban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állatok jogainak védelme, valamint a visszaélésszerű és kegyetlen gyakorlatok eltörlése az intenzív állattenyésztésben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COVlD-19 intézkedések fényében biztosítják a szabad mozgáshoz való jogot és megakadályozzák a hátrányos megkülönböztetést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készpénzfizetéshez való jog biztosítása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választójogok egységesítése a tagállamokban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Legalizálja a kannabiszt </w:t>
                                </w:r>
                              </w:p>
                            </w:txbxContent>
                          </wps:txbx>
                          <wps:bodyPr lIns="90000" rIns="90000" tIns="45000" bIns="45000" anchor="t">
                            <a:noAutofit/>
                          </wps:bodyPr>
                        </wps:wsp>
                        <wps:wsp>
                          <wps:cNvSpPr/>
                          <wps:spPr>
                            <a:xfrm>
                              <a:off x="3768120" y="412200"/>
                              <a:ext cx="1496520" cy="5727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Jogok és szabadságok</w:t>
                                </w:r>
                              </w:p>
                            </w:txbxContent>
                          </wps:txbx>
                          <wps:bodyPr lIns="90000" rIns="90000" tIns="45000" bIns="45000" anchor="t">
                            <a:noAutofit/>
                          </wps:bodyPr>
                        </wps:wsp>
                      </wpg:grpSp>
                      <wpg:grpSp>
                        <wpg:cNvGrpSpPr/>
                        <wpg:grpSpPr>
                          <a:xfrm>
                            <a:off x="5541480" y="0"/>
                            <a:ext cx="2613600" cy="1402200"/>
                          </a:xfrm>
                        </wpg:grpSpPr>
                        <wps:wsp>
                          <wps:cNvSpPr/>
                          <wps:spPr>
                            <a:xfrm>
                              <a:off x="0" y="261000"/>
                              <a:ext cx="2502000" cy="1141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korrupció elleni küzdelem nemzeti és uniós szinten, valamint a lobbitevékenységekre vonatkozó szabályozás megerősítése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uniós döntéshozatali folyamat átláthatóbbá és elszámoltathatóbbá tétele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adókikerülés elleni fellépés a tagállamokban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Ellenszenv és önkényesség a nemzeti közigazgatásokban </w:t>
                                </w:r>
                              </w:p>
                            </w:txbxContent>
                          </wps:txbx>
                          <wps:bodyPr lIns="90000" rIns="90000" tIns="45000" bIns="45000" anchor="t">
                            <a:noAutofit/>
                          </wps:bodyPr>
                        </wps:wsp>
                        <wps:wsp>
                          <wps:cNvSpPr/>
                          <wps:spPr>
                            <a:xfrm>
                              <a:off x="34560" y="0"/>
                              <a:ext cx="257940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Lobbizás és korrupció</w:t>
                                </w:r>
                              </w:p>
                            </w:txbxContent>
                          </wps:txbx>
                          <wps:bodyPr lIns="90000" rIns="90000" tIns="45000" bIns="45000" anchor="t">
                            <a:noAutofit/>
                          </wps:bodyPr>
                        </wps:wsp>
                      </wpg:grpSp>
                      <wpg:grpSp>
                        <wpg:cNvGrpSpPr/>
                        <wpg:grpSpPr>
                          <a:xfrm>
                            <a:off x="4163760" y="2858040"/>
                            <a:ext cx="2873520" cy="2207880"/>
                          </a:xfrm>
                        </wpg:grpSpPr>
                        <wps:wsp>
                          <wps:cNvSpPr/>
                          <wps:spPr>
                            <a:xfrm>
                              <a:off x="128880" y="0"/>
                              <a:ext cx="248652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Befogadó társadalom</w:t>
                                </w:r>
                              </w:p>
                            </w:txbxContent>
                          </wps:txbx>
                          <wps:bodyPr lIns="90000" rIns="90000" tIns="45000" bIns="45000" anchor="t">
                            <a:noAutofit/>
                          </wps:bodyPr>
                        </wps:wsp>
                        <wps:wsp>
                          <wps:cNvSpPr/>
                          <wps:spPr>
                            <a:xfrm>
                              <a:off x="0" y="278280"/>
                              <a:ext cx="2873520" cy="19296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megkülönböztetéstől való mentesség biztosítása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nemek közötti egyenlőség megvalósítása és a nők képviseletének megerősítése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fogyatékossággal élő személyek befogadásának növelése az akadályok felszámolásával és a megkülönböztetés elleni küzdelemmel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LMBTQ-személyek jogainak védelme és az azonos neműek házasságának elismerése a tagállamokban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Anti ageizmus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kisebbségek, például a roma népesség befogadására irányuló stratégiák előmozdítása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szexuális és reproduktív jogok erősítése az abortusz elleni küzdelemmel szemben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migrációval kapcsolatban: hatékony integrációs politikák biztosítása és a félretájékoztatás elleni küzdelem </w:t>
                                </w:r>
                              </w:p>
                            </w:txbxContent>
                          </wps:txbx>
                          <wps:bodyPr lIns="90000" rIns="90000" tIns="45000" bIns="45000" anchor="t">
                            <a:noAutofit/>
                          </wps:bodyPr>
                        </wps:wsp>
                      </wpg:grpSp>
                    </wpg:wgp>
                  </a:graphicData>
                </a:graphic>
              </wp:anchor>
            </w:drawing>
          </mc:Choice>
          <mc:Fallback>
            <w:pict>
              <v:group id="shape_0" alt="Forme13" style="position:absolute;margin-left:23.9pt;margin-top:0.05pt;width:680.65pt;height:398.9pt" coordorigin="478,1" coordsize="13613,7978">
                <v:group id="shape_0" style="position:absolute;left:11993;top:2629;width:2098;height:3105">
                  <v:shape id="shape_0" stroked="f" o:allowincell="f" style="position:absolute;left:12008;top:2629;width:1527;height:1338;mso-wrap-style:none;v-text-anchor:middle;mso-position-horizontal:center" type="_x0000_t75">
                    <v:imagedata r:id="rId1364" o:detectmouseclick="t"/>
                    <v:stroke color="#3465a4" joinstyle="round" endcap="flat"/>
                    <w10:wrap type="topAndBottom"/>
                  </v:shape>
                  <v:rect id="shape_0" path="m0,0l-2147483645,0l-2147483645,-2147483646l0,-2147483646xe" stroked="f" o:allowincell="f" style="position:absolute;left:11993;top:4117;width:2097;height:1616;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Értékek és jogok, jogállamiság, biztonság</w:t>
                          </w:r>
                        </w:p>
                      </w:txbxContent>
                    </v:textbox>
                    <v:fill o:detectmouseclick="t" on="false"/>
                    <v:stroke color="#3465a4" joinstyle="round" endcap="flat"/>
                    <w10:wrap type="topAndBottom"/>
                  </v:rect>
                </v:group>
                <v:group id="shape_0" style="position:absolute;left:478;top:1156;width:8291;height:3662">
                  <v:rect id="shape_0" path="m0,0l-2147483645,0l-2147483645,-2147483646l0,-2147483646xe" fillcolor="#eeeeee" stroked="f" o:allowincell="f" style="position:absolute;left:478;top:1156;width:5931;height:3661;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emberi jogok és szabadságok védelme és védelme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emberi jogi eszközök érvényesíthetőségének megerősítése az uniós jogrendben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magánélet és a személyes adatok védelme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biometrikus adatok felügyeleti célú felhasználásának korlátozása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lelkiismereti szabadság és a véleménynyilvánítás szabadságának fenntartása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gyűlöletbeszéd és a gyűlölet-bűncselekmények elleni küzdelem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sajtó és a média szabadságának biztosítása a félretájékoztatás elleni küzdelem mellett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Gazdasági és szociális jogok biztosítása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gyermekek jogainak érvényesítése a politikai döntéshozatalban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állatok jogainak védelme, valamint a visszaélésszerű és kegyetlen gyakorlatok eltörlése az intenzív állattenyésztésben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COVlD-19 intézkedések fényében biztosítják a szabad mozgáshoz való jogot és megakadályozzák a hátrányos megkülönböztetést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készpénzfizetéshez való jog biztosítása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választójogok egységesítése a tagállamokban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Legalizálja a kannabiszt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6412;top:1805;width:2356;height:901;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Jogok és szabadságok</w:t>
                          </w:r>
                        </w:p>
                      </w:txbxContent>
                    </v:textbox>
                    <v:fill o:detectmouseclick="t" type="solid" color2="#5cdc71"/>
                    <v:stroke color="#3465a4" joinstyle="round" endcap="flat"/>
                    <w10:wrap type="topAndBottom"/>
                  </v:rect>
                </v:group>
                <v:group id="shape_0" style="position:absolute;left:9205;top:1;width:4117;height:2208">
                  <v:rect id="shape_0" path="m0,0l-2147483645,0l-2147483645,-2147483646l0,-2147483646xe" fillcolor="#eeeeee" stroked="f" o:allowincell="f" style="position:absolute;left:9205;top:412;width:3939;height:179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korrupció elleni küzdelem nemzeti és uniós szinten, valamint a lobbitevékenységekre vonatkozó szabályozás megerősítése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uniós döntéshozatali folyamat átláthatóbbá és elszámoltathatóbbá tétele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adókikerülés elleni fellépés a tagállamokban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Ellenszenv és önkényesség a nemzeti közigazgatásokban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9259;top:1;width:4061;height:43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Lobbizás és korrupció</w:t>
                          </w:r>
                        </w:p>
                      </w:txbxContent>
                    </v:textbox>
                    <v:fill o:detectmouseclick="t" type="solid" color2="#5cdc71"/>
                    <v:stroke color="#3465a4" joinstyle="round" endcap="flat"/>
                    <w10:wrap type="topAndBottom"/>
                  </v:rect>
                </v:group>
                <v:group id="shape_0" style="position:absolute;left:7035;top:4502;width:4525;height:3477">
                  <v:rect id="shape_0" path="m0,0l-2147483645,0l-2147483645,-2147483646l0,-2147483646xe" fillcolor="#a3238e" stroked="t" o:allowincell="f" style="position:absolute;left:7238;top:4502;width:3915;height:43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Befogadó társadalom</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035;top:4940;width:4524;height:303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megkülönböztetéstől való mentesség biztosítása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nemek közötti egyenlőség megvalósítása és a nők képviseletének megerősítése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fogyatékossággal élő személyek befogadásának növelése az akadályok felszámolásával és a megkülönböztetés elleni küzdelemmel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LMBTQ-személyek jogainak védelme és az azonos neműek házasságának elismerése a tagállamokban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Anti ageizmus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kisebbségek, például a roma népesség befogadására irányuló stratégiák előmozdítása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szexuális és reproduktív jogok erősítése az abortusz elleni küzdelemmel szemben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migrációval kapcsolatban: hatékony integrációs politikák biztosítása és a félretájékoztatás elleni küzdelem </w:t>
                          </w:r>
                        </w:p>
                      </w:txbxContent>
                    </v:textbox>
                    <v:fill o:detectmouseclick="t" type="solid" color2="#111111"/>
                    <v:stroke color="#3465a4" joinstyle="round" endcap="flat"/>
                    <w10:wrap type="topAndBottom"/>
                  </v:rect>
                </v:group>
              </v:group>
            </w:pict>
          </mc:Fallback>
        </mc:AlternateContent>
      </w:r>
    </w:p>
    <w:p>
      <w:pPr>
        <w:pStyle w:val="Normal"/>
        <w:jc w:val="left"/>
        <w:rPr/>
      </w:pPr>
      <w:r>
        <w:rPr/>
        <mc:AlternateContent>
          <mc:Choice Requires="wps">
            <w:drawing>
              <wp:anchor behindDoc="0" distT="0" distB="0" distL="0" distR="0" simplePos="0" locked="0" layoutInCell="0" allowOverlap="1" relativeHeight="114">
                <wp:simplePos x="0" y="0"/>
                <wp:positionH relativeFrom="column">
                  <wp:posOffset>635</wp:posOffset>
                </wp:positionH>
                <wp:positionV relativeFrom="paragraph">
                  <wp:posOffset>72390</wp:posOffset>
                </wp:positionV>
                <wp:extent cx="8805545" cy="5313045"/>
                <wp:effectExtent l="0" t="0" r="0" b="0"/>
                <wp:wrapTopAndBottom/>
                <wp:docPr id="86" name="Cadre20"/>
                <a:graphic xmlns:a="http://schemas.openxmlformats.org/drawingml/2006/main">
                  <a:graphicData uri="http://schemas.microsoft.com/office/word/2010/wordprocessingShape">
                    <wps:wsp>
                      <wps:cNvSpPr/>
                      <wps:spPr>
                        <a:xfrm>
                          <a:off x="0" y="0"/>
                          <a:ext cx="8805600" cy="531288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Ábra. Elmetérkép témája Értékek és jogok, jogállamiság, biztonság, 2. rész </w:t>
                            </w:r>
                          </w:p>
                        </w:txbxContent>
                      </wps:txbx>
                      <wps:bodyPr lIns="0" rIns="0" tIns="0" bIns="0" anchor="t">
                        <a:noAutofit/>
                      </wps:bodyPr>
                    </wps:wsp>
                  </a:graphicData>
                </a:graphic>
              </wp:anchor>
            </w:drawing>
          </mc:Choice>
          <mc:Fallback>
            <w:pict>
              <v:rect id="shape_0" ID="Cadre20" path="m0,0l-2147483645,0l-2147483645,-2147483646l0,-2147483646xe" fillcolor="white" stroked="f" o:allowincell="f" style="position:absolute;margin-left:0.05pt;margin-top:5.7pt;width:693.3pt;height:418.3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Ábra. Elmetérkép témája Értékek és jogok, jogállamiság, biztonság, 2. rész </w:t>
                      </w:r>
                    </w:p>
                  </w:txbxContent>
                </v:textbox>
                <w10:wrap type="topAndBottom"/>
              </v:rect>
            </w:pict>
          </mc:Fallback>
        </mc:AlternateContent>
        <mc:AlternateContent>
          <mc:Choice Requires="wpg">
            <w:drawing>
              <wp:anchor behindDoc="0" distT="0" distB="0" distL="0" distR="0" simplePos="0" locked="0" layoutInCell="0" allowOverlap="1" relativeHeight="116">
                <wp:simplePos x="0" y="0"/>
                <wp:positionH relativeFrom="column">
                  <wp:posOffset>701040</wp:posOffset>
                </wp:positionH>
                <wp:positionV relativeFrom="paragraph">
                  <wp:posOffset>487045</wp:posOffset>
                </wp:positionV>
                <wp:extent cx="7700645" cy="5088255"/>
                <wp:effectExtent l="0" t="0" r="0" b="0"/>
                <wp:wrapTopAndBottom/>
                <wp:docPr id="88" name="Forme14"/>
                <a:graphic xmlns:a="http://schemas.openxmlformats.org/drawingml/2006/main">
                  <a:graphicData uri="http://schemas.microsoft.com/office/word/2010/wordprocessingGroup">
                    <wpg:wgp>
                      <wpg:cNvGrpSpPr/>
                      <wpg:grpSpPr>
                        <a:xfrm>
                          <a:off x="0" y="0"/>
                          <a:ext cx="7700760" cy="5088240"/>
                          <a:chOff x="0" y="0"/>
                          <a:chExt cx="7700760" cy="5088240"/>
                        </a:xfrm>
                      </wpg:grpSpPr>
                      <wpg:grpSp>
                        <wpg:cNvGrpSpPr/>
                        <wpg:grpSpPr>
                          <a:xfrm>
                            <a:off x="0" y="1947600"/>
                            <a:ext cx="1277640" cy="1929240"/>
                          </a:xfrm>
                        </wpg:grpSpPr>
                        <pic:pic xmlns:pic="http://schemas.openxmlformats.org/drawingml/2006/picture">
                          <pic:nvPicPr>
                            <pic:cNvPr id="18" name="" descr=""/>
                            <pic:cNvPicPr/>
                          </pic:nvPicPr>
                          <pic:blipFill>
                            <a:blip r:embed="rId1365"/>
                            <a:stretch/>
                          </pic:blipFill>
                          <pic:spPr>
                            <a:xfrm>
                              <a:off x="8280" y="0"/>
                              <a:ext cx="930960" cy="812880"/>
                            </a:xfrm>
                            <a:prstGeom prst="rect">
                              <a:avLst/>
                            </a:prstGeom>
                            <a:ln w="0">
                              <a:noFill/>
                            </a:ln>
                          </pic:spPr>
                        </pic:pic>
                        <wps:wsp>
                          <wps:cNvSpPr/>
                          <wps:spPr>
                            <a:xfrm>
                              <a:off x="0" y="902160"/>
                              <a:ext cx="1277640" cy="102672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Értékek és jogok, jogállamiság, biztonság</w:t>
                                </w:r>
                              </w:p>
                            </w:txbxContent>
                          </wps:txbx>
                          <wps:bodyPr lIns="90000" rIns="90000" tIns="45000" bIns="45000" anchor="t">
                            <a:noAutofit/>
                          </wps:bodyPr>
                        </wps:wsp>
                      </wpg:grpSp>
                      <wpg:grpSp>
                        <wpg:cNvGrpSpPr/>
                        <wpg:grpSpPr>
                          <a:xfrm>
                            <a:off x="191160" y="0"/>
                            <a:ext cx="4532760" cy="2192760"/>
                          </a:xfrm>
                        </wpg:grpSpPr>
                        <wps:wsp>
                          <wps:cNvSpPr/>
                          <wps:spPr>
                            <a:xfrm>
                              <a:off x="0" y="208800"/>
                              <a:ext cx="92772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Biztonság</w:t>
                                </w:r>
                              </w:p>
                            </w:txbxContent>
                          </wps:txbx>
                          <wps:bodyPr lIns="90000" rIns="90000" tIns="45000" bIns="45000" anchor="t">
                            <a:noAutofit/>
                          </wps:bodyPr>
                        </wps:wsp>
                        <wps:wsp>
                          <wps:cNvSpPr/>
                          <wps:spPr>
                            <a:xfrm>
                              <a:off x="896040" y="0"/>
                              <a:ext cx="3636720" cy="21927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európai védelmi hadsereg létrehozása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szervezett bűnözés és a terrorizmus elleni küzdelem európai ügynökségének létrehozása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Integrálja és interoperábilissá teszi a nemzeti hadseregeket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Európai Rendőrségi Erő felállítása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Kemény álláspontot képviseljen Oroszországgal szemben a dezinformációval és a katonai fenyegetésekkel szemben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nem katonai biztonsági kihívások, például a kibertámadások és a radikalizálódás kezelése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fegyverek illegális értékesítése elleni küzdelem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határokon átnyúló büntetőeljárások megkönnyítése az EU-n belül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Katonai és diplomáciai eszközökkel támogatja Ukrajnát Oroszország agressziójának fényében</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uniós határvédelem megerősítése </w:t>
                                </w:r>
                              </w:p>
                            </w:txbxContent>
                          </wps:txbx>
                          <wps:bodyPr lIns="90000" rIns="90000" tIns="45000" bIns="45000" anchor="t">
                            <a:noAutofit/>
                          </wps:bodyPr>
                        </wps:wsp>
                      </wpg:grpSp>
                      <wpg:grpSp>
                        <wpg:cNvGrpSpPr/>
                        <wpg:grpSpPr>
                          <a:xfrm>
                            <a:off x="1391760" y="3093840"/>
                            <a:ext cx="2929320" cy="1994400"/>
                          </a:xfrm>
                        </wpg:grpSpPr>
                        <wps:wsp>
                          <wps:cNvSpPr/>
                          <wps:spPr>
                            <a:xfrm>
                              <a:off x="528480" y="0"/>
                              <a:ext cx="1302480" cy="28080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EU értékei</w:t>
                                </w:r>
                              </w:p>
                            </w:txbxContent>
                          </wps:txbx>
                          <wps:bodyPr lIns="90000" rIns="90000" tIns="45000" bIns="45000" anchor="t">
                            <a:noAutofit/>
                          </wps:bodyPr>
                        </wps:wsp>
                        <wps:wsp>
                          <wps:cNvSpPr/>
                          <wps:spPr>
                            <a:xfrm>
                              <a:off x="0" y="281880"/>
                              <a:ext cx="2929320" cy="171252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Vitára van szükség a vallás helyéről az európai társadalmakban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Megelőző intézkedések elfogadása a radikalizálódás és a polarizáció ellen az európai társadalmakban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európai alkotmányban tiszteletben tartandó alapvető európai értékek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Hagyja, hogy az Európai Unió értékrendszere vezérelje a szakpolitikákat: emberi jogok, szabadság, egyenlőség, demokrácia stb.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vallások közötti párbeszédek és az interkulturális perspektíva megosztása révén a megosztó etikai kérdések bevonása </w:t>
                                </w:r>
                              </w:p>
                            </w:txbxContent>
                          </wps:txbx>
                          <wps:bodyPr lIns="90000" rIns="90000" tIns="45000" bIns="45000" anchor="t">
                            <a:noAutofit/>
                          </wps:bodyPr>
                        </wps:wsp>
                      </wpg:grpSp>
                      <wpg:grpSp>
                        <wpg:cNvGrpSpPr/>
                        <wpg:grpSpPr>
                          <a:xfrm>
                            <a:off x="3079080" y="2108160"/>
                            <a:ext cx="4621680" cy="2062440"/>
                          </a:xfrm>
                        </wpg:grpSpPr>
                        <wps:wsp>
                          <wps:cNvSpPr/>
                          <wps:spPr>
                            <a:xfrm>
                              <a:off x="0" y="249480"/>
                              <a:ext cx="2030760" cy="3859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jogállamiság védelme</w:t>
                                </w:r>
                              </w:p>
                            </w:txbxContent>
                          </wps:txbx>
                          <wps:bodyPr lIns="90000" rIns="90000" tIns="45000" bIns="45000" anchor="t">
                            <a:noAutofit/>
                          </wps:bodyPr>
                        </wps:wsp>
                        <wps:wsp>
                          <wps:cNvSpPr/>
                          <wps:spPr>
                            <a:xfrm>
                              <a:off x="2032200" y="0"/>
                              <a:ext cx="2589480" cy="20624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Közös jövőkép kialakítása és a jogállamiság belső védelmére irányuló intézmény létrehozása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demokratikusabb döntéshozatalhoz szükséges egyhangúság megszüntetése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Annak biztosítása, hogy a tagállamok fenntartsák a demokratikus jogállamiságot, és büntető intézkedéseket hozzanak a demokratikus elvek megsértése esetén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Nevezze ki az Európai Bíróságot a demokrácia és a jogállamiság őreként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civil társadalmi szervezetek támogatása a demokratikus jogállamiság megerősítésének egyik módjaként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 értékeinek és jogállamiságának külső védelme Oroszország és Kína ellenzékével szemben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uniós szkeptikusok felszólítanak az európai jog és az uniós apparátus eltörlésére </w:t>
                                </w:r>
                              </w:p>
                            </w:txbxContent>
                          </wps:txbx>
                          <wps:bodyPr lIns="90000" rIns="90000" tIns="45000" bIns="45000" anchor="t">
                            <a:noAutofit/>
                          </wps:bodyPr>
                        </wps:wsp>
                      </wpg:grpSp>
                    </wpg:wgp>
                  </a:graphicData>
                </a:graphic>
              </wp:anchor>
            </w:drawing>
          </mc:Choice>
          <mc:Fallback>
            <w:pict>
              <v:group id="shape_0" alt="Forme14" style="position:absolute;margin-left:55.2pt;margin-top:38.35pt;width:606.35pt;height:400.65pt" coordorigin="1104,767" coordsize="12127,8013">
                <v:group id="shape_0" style="position:absolute;left:1104;top:3834;width:2012;height:3038">
                  <v:shape id="shape_0" stroked="f" o:allowincell="f" style="position:absolute;left:1117;top:3834;width:1465;height:1279;mso-wrap-style:none;v-text-anchor:middle" type="_x0000_t75">
                    <v:imagedata r:id="rId1364" o:detectmouseclick="t"/>
                    <v:stroke color="#3465a4" joinstyle="round" endcap="flat"/>
                    <w10:wrap type="topAndBottom"/>
                  </v:shape>
                  <v:rect id="shape_0" path="m0,0l-2147483645,0l-2147483645,-2147483646l0,-2147483646xe" stroked="f" o:allowincell="f" style="position:absolute;left:1104;top:5255;width:2011;height:1616;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Értékek és jogok, jogállamiság, biztonság</w:t>
                          </w:r>
                        </w:p>
                      </w:txbxContent>
                    </v:textbox>
                    <v:fill o:detectmouseclick="t" on="false"/>
                    <v:stroke color="#3465a4" joinstyle="round" endcap="flat"/>
                    <w10:wrap type="topAndBottom"/>
                  </v:rect>
                </v:group>
                <v:group id="shape_0" style="position:absolute;left:1405;top:767;width:7138;height:3453">
                  <v:rect id="shape_0" path="m0,0l-2147483645,0l-2147483645,-2147483646l0,-2147483646xe" fillcolor="#a3238e" stroked="t" o:allowincell="f" style="position:absolute;left:1405;top:1096;width:1460;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Biztonság</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2816;top:767;width:5726;height:345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európai védelmi hadsereg létrehozása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szervezett bűnözés és a terrorizmus elleni küzdelem európai ügynökségének létrehozása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Integrálja és interoperábilissá teszi a nemzeti hadseregeket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Európai Rendőrségi Erő felállítása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Kemény álláspontot képviseljen Oroszországgal szemben a dezinformációval és a katonai fenyegetésekkel szemben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nem katonai biztonsági kihívások, például a kibertámadások és a radikalizálódás kezelése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fegyverek illegális értékesítése elleni küzdelem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határokon átnyúló büntetőeljárások megkönnyítése az EU-n belül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Katonai és diplomáciai eszközökkel támogatja Ukrajnát Oroszország agressziójának fényében</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uniós határvédelem megerősítése </w:t>
                          </w:r>
                        </w:p>
                      </w:txbxContent>
                    </v:textbox>
                    <v:fill o:detectmouseclick="t" type="solid" color2="#111111"/>
                    <v:stroke color="#3465a4" joinstyle="round" endcap="flat"/>
                    <w10:wrap type="topAndBottom"/>
                  </v:rect>
                </v:group>
                <v:group id="shape_0" style="position:absolute;left:3296;top:5639;width:4613;height:3141">
                  <v:rect id="shape_0" path="m0,0l-2147483645,0l-2147483645,-2147483646l0,-2147483646xe" fillcolor="#a3238e" stroked="t" o:allowincell="f" style="position:absolute;left:4128;top:5639;width:2050;height:441;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EU értékei</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296;top:6083;width:4612;height:269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Vitára van szükség a vallás helyéről az európai társadalmakban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Megelőző intézkedések elfogadása a radikalizálódás és a polarizáció ellen az európai társadalmakban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európai alkotmányban tiszteletben tartandó alapvető európai értékek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Hagyja, hogy az Európai Unió értékrendszere vezérelje a szakpolitikákat: emberi jogok, szabadság, egyenlőség, demokrácia stb.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vallások közötti párbeszédek és az interkulturális perspektíva megosztása révén a megosztó etikai kérdések bevonása </w:t>
                          </w:r>
                        </w:p>
                      </w:txbxContent>
                    </v:textbox>
                    <v:fill o:detectmouseclick="t" type="solid" color2="#111111"/>
                    <v:stroke color="#3465a4" joinstyle="round" endcap="flat"/>
                    <w10:wrap type="topAndBottom"/>
                  </v:rect>
                </v:group>
                <v:group id="shape_0" style="position:absolute;left:5953;top:4087;width:7278;height:3248">
                  <v:rect id="shape_0" path="m0,0l-2147483645,0l-2147483645,-2147483646l0,-2147483646xe" fillcolor="#a3238e" stroked="t" o:allowincell="f" style="position:absolute;left:5953;top:4480;width:3197;height:60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jogállamiság védelme</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153;top:4087;width:4077;height:324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Közös jövőkép kialakítása és a jogállamiság belső védelmére irányuló intézmény létrehozása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demokratikusabb döntéshozatalhoz szükséges egyhangúság megszüntetése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Annak biztosítása, hogy a tagállamok fenntartsák a demokratikus jogállamiságot, és büntető intézkedéseket hozzanak a demokratikus elvek megsértése esetén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Nevezze ki az Európai Bíróságot a demokrácia és a jogállamiság őreként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civil társadalmi szervezetek támogatása a demokratikus jogállamiság megerősítésének egyik módjaként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 értékeinek és jogállamiságának külső védelme Oroszország és Kína ellenzékével szemben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uniós szkeptikusok felszólítanak az európai jog és az uniós apparátus eltörlésére </w:t>
                          </w:r>
                        </w:p>
                      </w:txbxContent>
                    </v:textbox>
                    <v:fill o:detectmouseclick="t" type="solid" color2="#111111"/>
                    <v:stroke color="#3465a4" joinstyle="round" endcap="flat"/>
                    <w10:wrap type="topAndBottom"/>
                  </v:rect>
                </v:group>
              </v:group>
            </w:pict>
          </mc:Fallback>
        </mc:AlternateContent>
      </w:r>
    </w:p>
    <w:p>
      <w:pPr>
        <w:sectPr>
          <w:headerReference w:type="default" r:id="rId1366"/>
          <w:footerReference w:type="default" r:id="rId1367"/>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Normal"/>
        <w:jc w:val="left"/>
        <w:rPr/>
      </w:pPr>
      <w:r>
        <w:rPr/>
      </w:r>
    </w:p>
    <w:p>
      <w:pPr>
        <w:pStyle w:val="Normal"/>
        <w:jc w:val="left"/>
        <w:rPr/>
      </w:pPr>
      <w:r>
        <w:rPr/>
        <w:drawing>
          <wp:anchor behindDoc="0" distT="0" distB="0" distL="0" distR="0" simplePos="0" locked="0" layoutInCell="0" allowOverlap="1" relativeHeight="123">
            <wp:simplePos x="0" y="0"/>
            <wp:positionH relativeFrom="column">
              <wp:align>center</wp:align>
            </wp:positionH>
            <wp:positionV relativeFrom="paragraph">
              <wp:posOffset>635</wp:posOffset>
            </wp:positionV>
            <wp:extent cx="2970530" cy="1993900"/>
            <wp:effectExtent l="0" t="0" r="0" b="0"/>
            <wp:wrapSquare wrapText="largest"/>
            <wp:docPr id="89" name="Kép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Kép36" descr=""/>
                    <pic:cNvPicPr>
                      <a:picLocks noChangeAspect="1" noChangeArrowheads="1"/>
                    </pic:cNvPicPr>
                  </pic:nvPicPr>
                  <pic:blipFill>
                    <a:blip r:embed="rId1368"/>
                    <a:stretch>
                      <a:fillRect/>
                    </a:stretch>
                  </pic:blipFill>
                  <pic:spPr bwMode="auto">
                    <a:xfrm>
                      <a:off x="0" y="0"/>
                      <a:ext cx="2970530" cy="1993900"/>
                    </a:xfrm>
                    <a:prstGeom prst="rect">
                      <a:avLst/>
                    </a:prstGeom>
                  </pic:spPr>
                </pic:pic>
              </a:graphicData>
            </a:graphic>
          </wp:anchor>
        </w:drawing>
      </w:r>
    </w:p>
    <w:p>
      <w:pPr>
        <w:pStyle w:val="Titre1"/>
        <w:numPr>
          <w:ilvl w:val="0"/>
          <w:numId w:val="1"/>
        </w:numPr>
        <w:rPr/>
      </w:pPr>
      <w:bookmarkStart w:id="73" w:name="__RefHeading___Toc86469_2514204080"/>
      <w:bookmarkEnd w:id="73"/>
      <w:r>
        <w:rPr/>
        <w:t>7. Digitális transzformáció</w:t>
      </w:r>
    </w:p>
    <w:p>
      <w:pPr>
        <w:pStyle w:val="Normal"/>
        <w:jc w:val="left"/>
        <w:rPr/>
      </w:pPr>
      <w:r>
        <w:rPr/>
      </w:r>
    </w:p>
    <w:p>
      <w:pPr>
        <w:pStyle w:val="Corpsdetexte"/>
        <w:jc w:val="left"/>
        <w:rPr/>
      </w:pPr>
      <w:r>
        <w:rPr/>
        <w:t xml:space="preserve">A digitális átalakulás témája 1072 ötletet, 1184 hozzászólást és 390 eseményt generált, így összesen 2646 hozzászólás érkezett. A hozzájárulások általánosságban hangsúlyozzák a digitális átalakulás szükségességét a jövő gazdasága, az együttműködés, az egészségügy és az élet más területei tekintetében. Ugyanakkor a digitális átalakulással kapcsolatos számos kihívásra is rávilágítottak, például az etikai megfontolásokra, a növekvő digitális szakadékra, a GDPR hiányosságaira és a kiberfenyegetésekre. Ezzel kapcsolatban a válaszadók a leggyakrabban előforduló témákban kijelentették, hogy nemcsak a digitális oktatásba és a digitális készségek fejlesztésébe kell beruházni, hanem be kell ruházni a digitális innovációba, és el kell mozdulni a digitálisan szuverén Európa felé. A különböző ötletek a következő témák szerint csoportosíthatók: </w:t>
      </w:r>
    </w:p>
    <w:p>
      <w:pPr>
        <w:pStyle w:val="Corpsdetexte"/>
        <w:spacing w:lineRule="auto" w:line="240" w:before="57" w:after="57"/>
        <w:jc w:val="left"/>
        <w:rPr/>
      </w:pPr>
      <w:r>
        <w:rPr/>
        <w:t xml:space="preserve">• </w:t>
      </w:r>
      <w:r>
        <w:rPr>
          <w:b/>
        </w:rPr>
        <w:t xml:space="preserve">Oktatás és képzés: digitális készségek </w:t>
      </w:r>
    </w:p>
    <w:p>
      <w:pPr>
        <w:pStyle w:val="Corpsdetexte"/>
        <w:spacing w:lineRule="auto" w:line="240" w:before="57" w:after="57"/>
        <w:jc w:val="left"/>
        <w:rPr/>
      </w:pPr>
      <w:r>
        <w:rPr/>
        <w:t xml:space="preserve">• </w:t>
      </w:r>
      <w:r>
        <w:rPr>
          <w:b/>
        </w:rPr>
        <w:t xml:space="preserve">Digitális szuverenitás és etika </w:t>
      </w:r>
    </w:p>
    <w:p>
      <w:pPr>
        <w:pStyle w:val="Corpsdetexte"/>
        <w:spacing w:lineRule="auto" w:line="240" w:before="57" w:after="57"/>
        <w:jc w:val="left"/>
        <w:rPr/>
      </w:pPr>
      <w:r>
        <w:rPr/>
        <w:t xml:space="preserve">• </w:t>
      </w:r>
      <w:r>
        <w:rPr>
          <w:b/>
        </w:rPr>
        <w:t xml:space="preserve">A társadalom általános digitalizációja </w:t>
      </w:r>
    </w:p>
    <w:p>
      <w:pPr>
        <w:pStyle w:val="Corpsdetexte"/>
        <w:spacing w:lineRule="auto" w:line="240" w:before="57" w:after="57"/>
        <w:jc w:val="left"/>
        <w:rPr/>
      </w:pPr>
      <w:r>
        <w:rPr/>
        <w:t xml:space="preserve">• </w:t>
      </w:r>
      <w:r>
        <w:rPr>
          <w:b/>
        </w:rPr>
        <w:t xml:space="preserve">Európai digitális eszközök: a közszolgáltatások digitalizálása </w:t>
      </w:r>
    </w:p>
    <w:p>
      <w:pPr>
        <w:pStyle w:val="Corpsdetexte"/>
        <w:spacing w:lineRule="auto" w:line="240" w:before="57" w:after="57"/>
        <w:jc w:val="left"/>
        <w:rPr/>
      </w:pPr>
      <w:r>
        <w:rPr/>
        <w:t xml:space="preserve">• </w:t>
      </w:r>
      <w:r>
        <w:rPr>
          <w:b/>
        </w:rPr>
        <w:t xml:space="preserve">Digitális adatok </w:t>
      </w:r>
    </w:p>
    <w:p>
      <w:pPr>
        <w:pStyle w:val="Corpsdetexte"/>
        <w:spacing w:lineRule="auto" w:line="240" w:before="57" w:after="57"/>
        <w:jc w:val="left"/>
        <w:rPr/>
      </w:pPr>
      <w:r>
        <w:rPr/>
        <w:t xml:space="preserve">• </w:t>
      </w:r>
      <w:r>
        <w:rPr>
          <w:b/>
        </w:rPr>
        <w:t xml:space="preserve">Kiberbiztonság </w:t>
      </w:r>
    </w:p>
    <w:p>
      <w:pPr>
        <w:pStyle w:val="Corpsdetexte"/>
        <w:spacing w:lineRule="auto" w:line="240" w:before="57" w:after="57"/>
        <w:jc w:val="left"/>
        <w:rPr/>
      </w:pPr>
      <w:r>
        <w:rPr/>
        <w:t xml:space="preserve">• </w:t>
      </w:r>
      <w:r>
        <w:rPr>
          <w:b/>
        </w:rPr>
        <w:t xml:space="preserve">Digitális jogok és befogadás </w:t>
      </w:r>
    </w:p>
    <w:p>
      <w:pPr>
        <w:pStyle w:val="Corpsdetexte"/>
        <w:spacing w:lineRule="auto" w:line="240" w:before="57" w:after="57"/>
        <w:jc w:val="left"/>
        <w:rPr/>
      </w:pPr>
      <w:r>
        <w:rPr/>
        <w:t xml:space="preserve">• </w:t>
      </w:r>
      <w:r>
        <w:rPr>
          <w:b/>
        </w:rPr>
        <w:t xml:space="preserve">Szennyezés, fenntarthatóság és tartósság </w:t>
      </w:r>
    </w:p>
    <w:p>
      <w:pPr>
        <w:pStyle w:val="P68B1DB1Corpsdetexte12"/>
        <w:spacing w:lineRule="auto" w:line="240" w:before="57" w:after="57"/>
        <w:jc w:val="left"/>
        <w:rPr>
          <w:b/>
          <w:b/>
        </w:rPr>
      </w:pPr>
      <w:r>
        <w:rPr/>
        <w:t xml:space="preserve">• </w:t>
      </w:r>
      <w:r>
        <w:rPr/>
        <w:t xml:space="preserve">A gazdaság digitalizációja </w:t>
      </w:r>
    </w:p>
    <w:p>
      <w:pPr>
        <w:pStyle w:val="Corpsdetexte"/>
        <w:spacing w:lineRule="auto" w:line="240" w:before="57" w:after="57"/>
        <w:jc w:val="left"/>
        <w:rPr/>
      </w:pPr>
      <w:r>
        <w:rPr/>
        <w:t xml:space="preserve">• </w:t>
      </w:r>
      <w:r>
        <w:rPr>
          <w:b/>
        </w:rPr>
        <w:t xml:space="preserve">Digitális egészség </w:t>
      </w:r>
    </w:p>
    <w:p>
      <w:pPr>
        <w:pStyle w:val="Corpsdetexte"/>
        <w:spacing w:lineRule="auto" w:line="240" w:before="57" w:after="57"/>
        <w:jc w:val="left"/>
        <w:rPr/>
      </w:pPr>
      <w:r>
        <w:rPr/>
      </w:r>
    </w:p>
    <w:p>
      <w:pPr>
        <w:pStyle w:val="Normal"/>
        <w:jc w:val="left"/>
        <w:rPr/>
      </w:pPr>
      <w:r>
        <w:rPr/>
      </w:r>
      <w:r>
        <w:br w:type="page"/>
      </w:r>
    </w:p>
    <w:p>
      <w:pPr>
        <w:pStyle w:val="Titre2"/>
        <w:numPr>
          <w:ilvl w:val="1"/>
          <w:numId w:val="1"/>
        </w:numPr>
        <w:pBdr>
          <w:top w:val="single" w:sz="2" w:space="3" w:color="000000"/>
          <w:left w:val="single" w:sz="2" w:space="3" w:color="000000"/>
          <w:bottom w:val="single" w:sz="2" w:space="3" w:color="000000"/>
          <w:right w:val="single" w:sz="2" w:space="3" w:color="000000"/>
        </w:pBdr>
        <w:jc w:val="left"/>
        <w:rPr/>
      </w:pPr>
      <w:bookmarkStart w:id="74" w:name="__RefHeading___Toc86471_2514204080"/>
      <w:bookmarkEnd w:id="74"/>
      <w:r>
        <w:rPr/>
        <w:t>Események</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t xml:space="preserve">A digitális átalakulás témájában a közelmúltban szervezett események tükrözték a méltányos és kiegyensúlyozott uniós digitális átalakulás megteremtéséről szóló vitát. Egy svédországi rendezvényen a középiskolás diákok megvitatták a modern elektronikus berendezések iskolai hiányát, az új technológiák megértésének alacsony szintjét az idősek körében, valamint a nagysebességű internetkapcsolat szükségességét az EU-ban mindenütt (lásd az </w:t>
      </w:r>
      <w:hyperlink r:id="rId1369">
        <w:r>
          <w:rPr>
            <w:rStyle w:val="LienInternet"/>
          </w:rPr>
          <w:t>eseményt</w:t>
        </w:r>
      </w:hyperlink>
      <w:r>
        <w:rPr/>
        <w:t xml:space="preserve">). </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t>A helyi egyetem által szervezett workshop Pécsett a mesterséges intelligencia szabályozásával és használatával kapcsolatos etikai dilemmákat tárgyalta. A munkaértekezlet egy kezdeti brainstorming ülésből állt, amelyet az ötletek bemutatása és azok konkrétabb javaslatokba való átültetése követett (lásd az</w:t>
      </w:r>
      <w:hyperlink r:id="rId1370">
        <w:r>
          <w:rPr>
            <w:rStyle w:val="LienInternet"/>
          </w:rPr>
          <w:t xml:space="preserve"> </w:t>
        </w:r>
      </w:hyperlink>
      <w:hyperlink r:id="rId1371">
        <w:r>
          <w:rPr>
            <w:rStyle w:val="LienInternet"/>
          </w:rPr>
          <w:t>eseményt</w:t>
        </w:r>
      </w:hyperlink>
      <w:r>
        <w:rPr/>
        <w:t xml:space="preserve">). </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rPr/>
      </w:pPr>
      <w:r>
        <w:rPr/>
        <w:t xml:space="preserve">Bretagne francia régiójában a digitális szakadéknak szentelt eseményt szerveztek (lásd az </w:t>
      </w:r>
      <w:hyperlink r:id="rId1372">
        <w:r>
          <w:rPr>
            <w:rStyle w:val="LienInternet"/>
          </w:rPr>
          <w:t>eseményt</w:t>
        </w:r>
      </w:hyperlink>
      <w:r>
        <w:rPr/>
        <w:t xml:space="preserve">), míg az ukrajnai orosz invázió témája az európai digitális szuverenitásról szóló vita középpontjában állt, amelyre Agen francia városában került sor „Digitális: a világ legrosszabb és legjobbjai (lásd az </w:t>
      </w:r>
      <w:hyperlink r:id="rId1373">
        <w:r>
          <w:rPr>
            <w:rStyle w:val="LienInternet"/>
          </w:rPr>
          <w:t>eseményt</w:t>
        </w:r>
      </w:hyperlink>
      <w:r>
        <w:rPr/>
        <w:t>).</w:t>
      </w:r>
    </w:p>
    <w:p>
      <w:pPr>
        <w:pStyle w:val="Normal"/>
        <w:jc w:val="left"/>
        <w:rPr/>
      </w:pPr>
      <w:r>
        <w:rPr/>
      </w:r>
    </w:p>
    <w:p>
      <w:pPr>
        <w:pStyle w:val="Titre2"/>
        <w:numPr>
          <w:ilvl w:val="1"/>
          <w:numId w:val="1"/>
        </w:numPr>
        <w:jc w:val="left"/>
        <w:rPr/>
      </w:pPr>
      <w:bookmarkStart w:id="75" w:name="__RefHeading___Toc86473_2514204080"/>
      <w:bookmarkEnd w:id="75"/>
      <w:r>
        <w:rPr/>
        <w:t>Oktatás és képzés: digitális készségek</w:t>
      </w:r>
    </w:p>
    <w:p>
      <w:pPr>
        <w:pStyle w:val="Normal"/>
        <w:jc w:val="left"/>
        <w:rPr/>
      </w:pPr>
      <w:r>
        <w:rPr/>
        <w:t xml:space="preserve">A digitális átalakulás témájában a platform egyik visszatérő ötletcsoportja az, hogy biztosítani kell az uniós polgárok számára a növekedéshez és a sikerhez szükséges készségeket és eszközöket az egyre inkább digitális világban. A platformon számos ötlet támogatja az EU egészére kiterjedő átfogó digitális jártassági erőfeszítéseket valamennyi uniós országban, mivel a digitális készségek fejlesztését és előmozdítását a gazdaság kiemelt prioritásának tekintik (lásd például az </w:t>
      </w:r>
      <w:hyperlink r:id="rId1374">
        <w:r>
          <w:rPr>
            <w:rStyle w:val="LienInternet"/>
          </w:rPr>
          <w:t>ötletet)</w:t>
        </w:r>
      </w:hyperlink>
      <w:r>
        <w:rPr/>
        <w:t xml:space="preserve">. A résztvevők különösen megemlítik, hogy valamennyi uniós tagállamban fejleszteni kell a fiatalok digitális készségeit a foglalkoztathatóságuk javítása érdekében (lásd például az </w:t>
      </w:r>
      <w:hyperlink r:id="rId1375">
        <w:r>
          <w:rPr>
            <w:rStyle w:val="LienInternet"/>
          </w:rPr>
          <w:t>ötletet</w:t>
        </w:r>
      </w:hyperlink>
      <w:r>
        <w:rPr/>
        <w:t xml:space="preserve">). A digitális készségek fejlesztése és a digitalizált társadalom navigálási képességének megteremtése nemcsak gazdasági előnyökkel jár, hanem egyre inkább előfeltétele az oktatáshoz, a kultúrához és a fontos közszolgáltatásokhoz való szélesebb körű hozzáférés biztosításának (lásd például az </w:t>
      </w:r>
      <w:hyperlink r:id="rId1376">
        <w:r>
          <w:rPr>
            <w:rStyle w:val="LienInternet"/>
          </w:rPr>
          <w:t>ötletet)</w:t>
        </w:r>
      </w:hyperlink>
      <w:r>
        <w:rPr/>
        <w:t xml:space="preserve">. Az ötletek azt sugallják, hogy az általános iskola szintjén kell elkezdeni és folytatni az oktatási pályát (lásd az </w:t>
      </w:r>
      <w:hyperlink r:id="rId1377">
        <w:r>
          <w:rPr>
            <w:rStyle w:val="LienInternet"/>
          </w:rPr>
          <w:t xml:space="preserve">ötlet </w:t>
        </w:r>
      </w:hyperlink>
      <w:r>
        <w:rPr/>
        <w:t xml:space="preserve">és az </w:t>
      </w:r>
      <w:hyperlink r:id="rId1378">
        <w:r>
          <w:rPr>
            <w:rStyle w:val="LienInternet"/>
          </w:rPr>
          <w:t>esemény példáját)</w:t>
        </w:r>
      </w:hyperlink>
      <w:r>
        <w:rPr/>
        <w:t xml:space="preserve">, beleértve az idős lakosságot is (lásd az </w:t>
      </w:r>
      <w:hyperlink r:id="rId1379">
        <w:r>
          <w:rPr>
            <w:rStyle w:val="LienInternet"/>
          </w:rPr>
          <w:t>esemény példáját,</w:t>
        </w:r>
      </w:hyperlink>
      <w:r>
        <w:rPr/>
        <w:t xml:space="preserve"> az </w:t>
      </w:r>
      <w:hyperlink r:id="rId1380">
        <w:r>
          <w:rPr>
            <w:rStyle w:val="LienInternet"/>
          </w:rPr>
          <w:t>ötlet példáját)</w:t>
        </w:r>
      </w:hyperlink>
      <w:r>
        <w:rPr/>
        <w:t xml:space="preserve">. Egy hozzászóló hivatkozik az uniós készségfejlesztési programra és a 2021–2027-es időszakra szóló digitális oktatási cselekvési tervre, és kéri annak felgyorsítását a digitális készségek tekintetében, különösen a Covid19-világjárvány fényében (lásd az </w:t>
      </w:r>
      <w:hyperlink r:id="rId1381">
        <w:r>
          <w:rPr>
            <w:rStyle w:val="LienInternet"/>
          </w:rPr>
          <w:t>ötletet</w:t>
        </w:r>
      </w:hyperlink>
      <w:r>
        <w:rPr/>
        <w:t xml:space="preserve">). A digitális készségekre vonatkozó képzés mellett felhívásokat fogalmaznak meg az internet jelentette veszélyekről szóló képzésre, például a mély hamis videókra és az online csalás megelőzésére szolgáló módszerekre (lásd például az </w:t>
      </w:r>
      <w:hyperlink r:id="rId1382">
        <w:r>
          <w:rPr>
            <w:rStyle w:val="LienInternet"/>
          </w:rPr>
          <w:t>ötletet)</w:t>
        </w:r>
      </w:hyperlink>
      <w:r>
        <w:rPr/>
        <w:t>. Néhány hozzászóló szerint a digitális oktatásra vonatkozó uniós jogszabályokra van szükség a kiskorúak virtuális térben való védelme és a magas színvonalú oktatás biztosítása érdekében (lásd az</w:t>
      </w:r>
      <w:hyperlink r:id="rId1383">
        <w:r>
          <w:rPr>
            <w:rStyle w:val="LienInternet"/>
          </w:rPr>
          <w:t xml:space="preserve"> </w:t>
        </w:r>
      </w:hyperlink>
      <w:hyperlink r:id="rId1384">
        <w:r>
          <w:rPr>
            <w:rStyle w:val="LienInternet"/>
          </w:rPr>
          <w:t>ötletet)</w:t>
        </w:r>
      </w:hyperlink>
      <w:r>
        <w:rPr/>
        <w:t xml:space="preserve">. </w:t>
      </w:r>
    </w:p>
    <w:p>
      <w:pPr>
        <w:pStyle w:val="Normal"/>
        <w:jc w:val="left"/>
        <w:rPr/>
      </w:pPr>
      <w:r>
        <w:rPr/>
        <w:t xml:space="preserve">Az oktatás, a kultúra, az ifjúság és a sport témakörében is megvitatott téma, az e-tanulás az egészségügyi válsággal összefüggésben visszatérő témává vált a hozzájárulások között, amelyek közös felhívást tesznek szükségessé az oktatás digitalizálásának fellendítésére irányuló beruházásokra és erőfeszítésekre (lásd például az </w:t>
      </w:r>
      <w:hyperlink r:id="rId1385">
        <w:r>
          <w:rPr>
            <w:rStyle w:val="LienInternet"/>
          </w:rPr>
          <w:t>ötletet</w:t>
        </w:r>
      </w:hyperlink>
      <w:r>
        <w:rPr/>
        <w:t xml:space="preserve">). A hardverinfrastruktúrán túl a hozzászólók azt javasolják, hogy hozzanak létre egy egységes európai távoktatási platformot (lásd az </w:t>
      </w:r>
      <w:hyperlink r:id="rId1386">
        <w:r>
          <w:rPr>
            <w:rStyle w:val="LienInternet"/>
          </w:rPr>
          <w:t xml:space="preserve">ötletet </w:t>
        </w:r>
      </w:hyperlink>
      <w:r>
        <w:rPr/>
        <w:t xml:space="preserve">és az </w:t>
      </w:r>
      <w:hyperlink r:id="rId1387">
        <w:r>
          <w:rPr>
            <w:rStyle w:val="LienInternet"/>
          </w:rPr>
          <w:t>ötletet</w:t>
        </w:r>
      </w:hyperlink>
      <w:r>
        <w:rPr/>
        <w:t>), virtuális és magával ragadó pedagógiai eszközök kifejlesztését (lásd az</w:t>
      </w:r>
      <w:hyperlink r:id="rId1388">
        <w:r>
          <w:rPr>
            <w:rStyle w:val="LienInternet"/>
          </w:rPr>
          <w:t xml:space="preserve"> </w:t>
        </w:r>
      </w:hyperlink>
      <w:hyperlink r:id="rId1389">
        <w:r>
          <w:rPr>
            <w:rStyle w:val="LienInternet"/>
          </w:rPr>
          <w:t>ötletet)</w:t>
        </w:r>
      </w:hyperlink>
      <w:r>
        <w:rPr/>
        <w:t xml:space="preserve"> vagy az online digitális tanúsítványok közös internetes portálját (lásd például az </w:t>
      </w:r>
      <w:hyperlink r:id="rId1390">
        <w:r>
          <w:rPr>
            <w:rStyle w:val="LienInternet"/>
          </w:rPr>
          <w:t>ötletet</w:t>
        </w:r>
      </w:hyperlink>
      <w:r>
        <w:rPr/>
        <w:t xml:space="preserve">). Ezzel összefüggésben a hozzászólók azt is javasolják, hogy a tudományos pályát (lásd például az </w:t>
      </w:r>
      <w:hyperlink r:id="rId1391">
        <w:r>
          <w:rPr>
            <w:rStyle w:val="LienInternet"/>
          </w:rPr>
          <w:t xml:space="preserve">ötletet </w:t>
        </w:r>
      </w:hyperlink>
      <w:r>
        <w:rPr/>
        <w:t xml:space="preserve">és az </w:t>
      </w:r>
      <w:hyperlink r:id="rId1392">
        <w:r>
          <w:rPr>
            <w:rStyle w:val="LienInternet"/>
          </w:rPr>
          <w:t>eseményt</w:t>
        </w:r>
      </w:hyperlink>
      <w:r>
        <w:rPr/>
        <w:t xml:space="preserve">) és a fiatal diákoknak szóló tudományos kutatási programok fejlesztését, a digitális és innovációs beruházások további előmozdítását (lásd az </w:t>
      </w:r>
      <w:hyperlink r:id="rId1393">
        <w:r>
          <w:rPr>
            <w:rStyle w:val="LienInternet"/>
          </w:rPr>
          <w:t>ötletet</w:t>
        </w:r>
      </w:hyperlink>
      <w:r>
        <w:rPr/>
        <w:t>) javasolják.</w:t>
      </w:r>
    </w:p>
    <w:p>
      <w:pPr>
        <w:pStyle w:val="Normal"/>
        <w:jc w:val="left"/>
        <w:rPr/>
      </w:pPr>
      <w:r>
        <w:rPr/>
      </w:r>
    </w:p>
    <w:p>
      <w:pPr>
        <w:pStyle w:val="Titre2"/>
        <w:numPr>
          <w:ilvl w:val="1"/>
          <w:numId w:val="1"/>
        </w:numPr>
        <w:jc w:val="left"/>
        <w:rPr/>
      </w:pPr>
      <w:bookmarkStart w:id="76" w:name="__RefHeading___Toc86475_2514204080"/>
      <w:bookmarkEnd w:id="76"/>
      <w:r>
        <w:rPr/>
        <w:t>Digitális szuverenitás és etika</w:t>
      </w:r>
    </w:p>
    <w:p>
      <w:pPr>
        <w:pStyle w:val="Normal"/>
        <w:jc w:val="left"/>
        <w:rPr/>
      </w:pPr>
      <w:r>
        <w:rPr/>
        <w:t>A digitális szuverenitás témája gyakran fordul elő, és a nyílt forráskódú szoftverekbe való beruházásra vonatkozó számos ötlet, különösen, nagyszámú jóváhagyást kapott. A platformon benyújtott, a digitális szuverenitás erősítésére irányuló elképzelések Európa stratégiai függetlenségére összpontosítanak a hardverek, a szoftverek és a közösségi média platformok tekintetében, számos felhívással a szoftverek rezilienciájának és függetlenségének érvényesítésére és előmozdítására, valamint az innovációs beruházásokra (lásd például az</w:t>
      </w:r>
      <w:hyperlink r:id="rId1394">
        <w:r>
          <w:rPr>
            <w:rStyle w:val="LienInternet"/>
          </w:rPr>
          <w:t xml:space="preserve"> ötletet </w:t>
        </w:r>
      </w:hyperlink>
      <w:r>
        <w:rPr/>
        <w:t xml:space="preserve">és az </w:t>
      </w:r>
      <w:hyperlink r:id="rId1395">
        <w:r>
          <w:rPr>
            <w:rStyle w:val="LienInternet"/>
          </w:rPr>
          <w:t>ötletet</w:t>
        </w:r>
      </w:hyperlink>
      <w:r>
        <w:rPr/>
        <w:t xml:space="preserve">). Számos ötlet az európai nyílt forráskódú szoftverekbe való beruházásra szólít fel egalitárius okokból és a tagállamok közötti fokozott együttműködés érdekében (lásd például egy erősen támogatott </w:t>
      </w:r>
      <w:hyperlink r:id="rId1396">
        <w:r>
          <w:rPr>
            <w:rStyle w:val="LienInternet"/>
          </w:rPr>
          <w:t>ötlet</w:t>
        </w:r>
      </w:hyperlink>
      <w:r>
        <w:rPr/>
        <w:t xml:space="preserve">példáját), ugyanakkor nagyobb digitális autonómiát is igényel (lásd például az </w:t>
      </w:r>
      <w:hyperlink r:id="rId1397">
        <w:r>
          <w:rPr>
            <w:rStyle w:val="LienInternet"/>
          </w:rPr>
          <w:t>ötletet</w:t>
        </w:r>
      </w:hyperlink>
      <w:r>
        <w:rPr/>
        <w:t>). Az ötletek altémája magában foglalja az EU digitális fejlesztésének és gyártásának előmozdítását, a webipar monopóliumaival kapcsolatos fellépést (lásd az</w:t>
      </w:r>
      <w:hyperlink r:id="rId1398">
        <w:r>
          <w:rPr>
            <w:rStyle w:val="LienInternet"/>
          </w:rPr>
          <w:t xml:space="preserve"> ötletet </w:t>
        </w:r>
      </w:hyperlink>
      <w:r>
        <w:rPr/>
        <w:t>és az</w:t>
      </w:r>
      <w:hyperlink r:id="rId1399">
        <w:r>
          <w:rPr>
            <w:rStyle w:val="LienInternet"/>
          </w:rPr>
          <w:t xml:space="preserve"> ötletet)</w:t>
        </w:r>
      </w:hyperlink>
      <w:r>
        <w:rPr/>
        <w:t xml:space="preserve"> más szereplőkkel, például az Egyesült Államokkal vagy Kínával szemben. Más témákhoz hasonlóan a közreműködők is előmozdítják az Európa tulajdonában lévő és vezető digitális médiaplatformok, például egy európai streaming platform elképzelését (lásd például az </w:t>
      </w:r>
      <w:hyperlink r:id="rId1400">
        <w:r>
          <w:rPr>
            <w:rStyle w:val="LienInternet"/>
          </w:rPr>
          <w:t>ötletet</w:t>
        </w:r>
      </w:hyperlink>
      <w:r>
        <w:rPr/>
        <w:t xml:space="preserve">). Ezzel kapcsolatban egy hozzászóló azt tárgyalja, hogy a digitális szolgáltatásokról szóló jogszabálynak és a digitális piacokról szóló jogszabálynak tovább kell lépnie az EU-n kívüli digitális óriások hegemóniás helyzetének megfékezése érdekében. Az EU digitális szuverenitásának ösztönzése érdekében a hozzájáruló az innováció ösztönzésére szólít fel, többek között az egész Európára kiterjedő, nagy potenciállal rendelkező induló vállalkozásokba és egy szuverén felhőbe való beruházás révén (lásd az </w:t>
      </w:r>
      <w:hyperlink r:id="rId1401">
        <w:r>
          <w:rPr>
            <w:rStyle w:val="LienInternet"/>
          </w:rPr>
          <w:t>ötletet</w:t>
        </w:r>
      </w:hyperlink>
      <w:r>
        <w:rPr/>
        <w:t>). Az Európai Unió digitális területen való stratégiai autonómiájára és az európai digitalizációs modellre vonatkozó felhívás szintén egyike a Németország-Olaszország-Európa Megfigyelőközpont által szervezett civil részvételi program és fórum (lásd az</w:t>
      </w:r>
      <w:hyperlink r:id="rId1402">
        <w:r>
          <w:rPr>
            <w:rStyle w:val="LienInternet"/>
          </w:rPr>
          <w:t xml:space="preserve"> </w:t>
        </w:r>
      </w:hyperlink>
      <w:hyperlink r:id="rId1403">
        <w:r>
          <w:rPr>
            <w:rStyle w:val="LienInternet"/>
          </w:rPr>
          <w:t>eseményt)</w:t>
        </w:r>
      </w:hyperlink>
      <w:r>
        <w:rPr/>
        <w:t xml:space="preserve"> által előterjesztett ötleteknek. </w:t>
      </w:r>
    </w:p>
    <w:p>
      <w:pPr>
        <w:pStyle w:val="Normal"/>
        <w:jc w:val="left"/>
        <w:rPr/>
      </w:pPr>
      <w:r>
        <w:rPr/>
        <w:t xml:space="preserve">A digitális szoftverekkel kapcsolatos szuverenitás mellett más közreműködők kifejezetten előmozdítják annak szükségességét, hogy az EU a hardverek tekintetében szuverenitást érjen el (lásd az </w:t>
      </w:r>
      <w:hyperlink r:id="rId1404">
        <w:r>
          <w:rPr>
            <w:rStyle w:val="LienInternet"/>
          </w:rPr>
          <w:t>eseményt</w:t>
        </w:r>
      </w:hyperlink>
      <w:r>
        <w:rPr/>
        <w:t xml:space="preserve">). Például az egyik legelfogadottabb ötlet azt javasolja, hogy fejlesszék és népszerűsítsék Európa saját forgácsgyártását (lásd az </w:t>
      </w:r>
      <w:hyperlink r:id="rId1405">
        <w:r>
          <w:rPr>
            <w:rStyle w:val="LienInternet"/>
          </w:rPr>
          <w:t>ötletet)</w:t>
        </w:r>
      </w:hyperlink>
      <w:r>
        <w:rPr/>
        <w:t xml:space="preserve">, egy másik ötlet pedig kifejezetten megemlíti a speciális fémektől való függőséget (lásd az </w:t>
      </w:r>
      <w:hyperlink r:id="rId1406">
        <w:r>
          <w:rPr>
            <w:rStyle w:val="LienInternet"/>
          </w:rPr>
          <w:t>ötletet</w:t>
        </w:r>
      </w:hyperlink>
      <w:r>
        <w:rPr/>
        <w:t>). Egy hozzászóló leírja a teljes egészében az EU-ban gyártott Sovereign and Green European SmartPhone-t (lásd</w:t>
      </w:r>
      <w:hyperlink r:id="rId1407">
        <w:r>
          <w:rPr>
            <w:rStyle w:val="LienInternet"/>
          </w:rPr>
          <w:t xml:space="preserve"> </w:t>
        </w:r>
      </w:hyperlink>
      <w:hyperlink r:id="rId1408">
        <w:r>
          <w:rPr>
            <w:rStyle w:val="LienInternet"/>
          </w:rPr>
          <w:t>az ötletet)</w:t>
        </w:r>
      </w:hyperlink>
      <w:r>
        <w:rPr/>
        <w:t xml:space="preserve">. </w:t>
      </w:r>
    </w:p>
    <w:p>
      <w:pPr>
        <w:pStyle w:val="Normal"/>
        <w:jc w:val="left"/>
        <w:rPr/>
      </w:pPr>
      <w:r>
        <w:rPr/>
        <w:t xml:space="preserve">A digitális szuverenitásra irányuló felhívások központi eleme az innovációba és a kutatásba való beruházás szükségessége, és számos említést tesz az európai digitális innovációs központokról (lásd például az </w:t>
      </w:r>
      <w:hyperlink r:id="rId1409">
        <w:r>
          <w:rPr>
            <w:rStyle w:val="LienInternet"/>
          </w:rPr>
          <w:t>ötletet)</w:t>
        </w:r>
      </w:hyperlink>
      <w:r>
        <w:rPr/>
        <w:t>. Annak érdekében, hogy a digitális szuverenitás és a fenntarthatóság központi szerepet kapjon az európai digitális politikában, az egyik hozzászóló azt javasolja, hogy az uniós finanszírozást szorosan kapcsolják össze a digitális, fenntartható átalakulási projektekkel és az európai digitális szabadkereskedelmi övezetekkel (lásd az</w:t>
      </w:r>
      <w:hyperlink r:id="rId1410">
        <w:r>
          <w:rPr>
            <w:rStyle w:val="LienInternet"/>
          </w:rPr>
          <w:t xml:space="preserve"> </w:t>
        </w:r>
      </w:hyperlink>
      <w:hyperlink r:id="rId1411">
        <w:r>
          <w:rPr>
            <w:rStyle w:val="LienInternet"/>
          </w:rPr>
          <w:t>ötletet)</w:t>
        </w:r>
      </w:hyperlink>
      <w:r>
        <w:rPr/>
        <w:t xml:space="preserve">. </w:t>
      </w:r>
    </w:p>
    <w:p>
      <w:pPr>
        <w:pStyle w:val="Normal"/>
        <w:jc w:val="left"/>
        <w:rPr/>
      </w:pPr>
      <w:r>
        <w:rPr/>
        <w:t>Az ötletek egy további ága nagy hangsúlyt fektet az etikai szempontokra. A hozzászólók konkrétan azt szeretnék elérni, hogy az EU digitális szuverenitása teljes mértékben összhangban legyen az európai értékekkel, normákkal, átláthatósággal és etikával (lásd például az</w:t>
      </w:r>
      <w:hyperlink r:id="rId1412">
        <w:r>
          <w:rPr>
            <w:rStyle w:val="LienInternet"/>
          </w:rPr>
          <w:t xml:space="preserve"> </w:t>
        </w:r>
      </w:hyperlink>
      <w:hyperlink r:id="rId1413">
        <w:r>
          <w:rPr>
            <w:rStyle w:val="LienInternet"/>
          </w:rPr>
          <w:t>ötletet)</w:t>
        </w:r>
      </w:hyperlink>
      <w:r>
        <w:rPr/>
        <w:t xml:space="preserve">. A hozzászólók szerint az EU-nak élen kell járnia a digitalizáció, valamint a tudományos és technológiai jogszabályok terén is (lásd az </w:t>
      </w:r>
      <w:hyperlink r:id="rId1414">
        <w:r>
          <w:rPr>
            <w:rStyle w:val="LienInternet"/>
          </w:rPr>
          <w:t>ötletet</w:t>
        </w:r>
      </w:hyperlink>
      <w:r>
        <w:rPr/>
        <w:t xml:space="preserve">). Emellett az e témában leginkább támogatott elképzelés az emberi jogokon alapuló, tisztességes digitalizációt igényel, beleértve a munkaügyi és szakszervezeti jogokat (lásd az </w:t>
      </w:r>
      <w:hyperlink r:id="rId1415">
        <w:r>
          <w:rPr>
            <w:rStyle w:val="LienInternet"/>
          </w:rPr>
          <w:t>ötletet)</w:t>
        </w:r>
      </w:hyperlink>
      <w:r>
        <w:rPr/>
        <w:t>, valamint a véleménynyilvánítás szabadságának a gyűlöletbeszéd formáival és az álhírek terjedésével szembeni fellépésekkel történő védelmére irányuló felhívást (lásd az</w:t>
      </w:r>
      <w:hyperlink r:id="rId1416">
        <w:r>
          <w:rPr>
            <w:rStyle w:val="LienInternet"/>
          </w:rPr>
          <w:t xml:space="preserve"> </w:t>
        </w:r>
      </w:hyperlink>
      <w:hyperlink r:id="rId1417">
        <w:r>
          <w:rPr>
            <w:rStyle w:val="LienInternet"/>
          </w:rPr>
          <w:t>eseményt</w:t>
        </w:r>
      </w:hyperlink>
      <w:r>
        <w:rPr/>
        <w:t>).</w:t>
      </w:r>
    </w:p>
    <w:p>
      <w:pPr>
        <w:pStyle w:val="Normal"/>
        <w:jc w:val="left"/>
        <w:rPr/>
      </w:pPr>
      <w:r>
        <w:rPr/>
      </w:r>
    </w:p>
    <w:p>
      <w:pPr>
        <w:pStyle w:val="Titre2"/>
        <w:numPr>
          <w:ilvl w:val="1"/>
          <w:numId w:val="1"/>
        </w:numPr>
        <w:jc w:val="left"/>
        <w:rPr/>
      </w:pPr>
      <w:bookmarkStart w:id="77" w:name="__RefHeading___Toc86477_2514204080"/>
      <w:bookmarkEnd w:id="77"/>
      <w:r>
        <w:rPr/>
        <w:t>A társadalom általános digitalizációja</w:t>
      </w:r>
    </w:p>
    <w:p>
      <w:pPr>
        <w:pStyle w:val="Normal"/>
        <w:jc w:val="left"/>
        <w:rPr/>
      </w:pPr>
      <w:r>
        <w:rPr/>
        <w:t xml:space="preserve">A digitális átalakulás témájával kapcsolatos hozzájárulások átfogó hajtóereje az uniós társadalom számos területének fokozott digitalizációja, a szükséges innovációs erőfeszítésekkel együtt. E tekintetben a hozzászólók a digitális évtizedre hivatkoznak, és felszólítanak a tagállamok előrehaladásának szoros nyomon követésére (lásd például az </w:t>
      </w:r>
      <w:hyperlink r:id="rId1418">
        <w:r>
          <w:rPr>
            <w:rStyle w:val="LienInternet"/>
          </w:rPr>
          <w:t>ötletet</w:t>
        </w:r>
      </w:hyperlink>
      <w:r>
        <w:rPr/>
        <w:t xml:space="preserve">). Számos résztvevő javasolja továbbá az uniós tömegközlekedés digitalizálására vonatkozó elképzeléseket tartalmazó digitális átállást egy közös elektronikus közlekedési bérlettel (lásd az </w:t>
      </w:r>
      <w:hyperlink r:id="rId1419">
        <w:r>
          <w:rPr>
            <w:rStyle w:val="LienInternet"/>
          </w:rPr>
          <w:t>ötletet)</w:t>
        </w:r>
      </w:hyperlink>
      <w:r>
        <w:rPr/>
        <w:t xml:space="preserve">. Mások a mezőgazdasággal (lásd például az </w:t>
      </w:r>
      <w:hyperlink r:id="rId1420">
        <w:r>
          <w:rPr>
            <w:rStyle w:val="LienInternet"/>
          </w:rPr>
          <w:t>eseményt)</w:t>
        </w:r>
      </w:hyperlink>
      <w:r>
        <w:rPr/>
        <w:t xml:space="preserve"> kapcsolatos digitalizációról, az igazságszolgáltatásról az EU-ban (lásd például az </w:t>
      </w:r>
      <w:hyperlink r:id="rId1421">
        <w:r>
          <w:rPr>
            <w:rStyle w:val="LienInternet"/>
          </w:rPr>
          <w:t>eseményt)</w:t>
        </w:r>
      </w:hyperlink>
      <w:r>
        <w:rPr/>
        <w:t xml:space="preserve"> vagy a fenntarthatóbb, környezetbarátabb gazdaság megvalósításának keretében (lásd például az</w:t>
      </w:r>
      <w:hyperlink r:id="rId1422">
        <w:r>
          <w:rPr>
            <w:rStyle w:val="LienInternet"/>
          </w:rPr>
          <w:t xml:space="preserve"> </w:t>
        </w:r>
      </w:hyperlink>
      <w:hyperlink r:id="rId1423">
        <w:r>
          <w:rPr>
            <w:rStyle w:val="LienInternet"/>
          </w:rPr>
          <w:t>eseményt)</w:t>
        </w:r>
      </w:hyperlink>
      <w:r>
        <w:rPr/>
        <w:t xml:space="preserve"> foglalkoznak. </w:t>
      </w:r>
    </w:p>
    <w:p>
      <w:pPr>
        <w:pStyle w:val="Normal"/>
        <w:jc w:val="left"/>
        <w:rPr/>
      </w:pPr>
      <w:r>
        <w:rPr/>
        <w:t>Az altéma a digitális szavazáshoz kapcsolódik, ahol a platformon több közreműködő rámutat az elektronikus szavazás és az elektronikus aláírás előnyeire (lásd az</w:t>
      </w:r>
      <w:hyperlink r:id="rId1424">
        <w:r>
          <w:rPr>
            <w:rStyle w:val="LienInternet"/>
          </w:rPr>
          <w:t xml:space="preserve"> ötletet)</w:t>
        </w:r>
      </w:hyperlink>
      <w:r>
        <w:rPr/>
        <w:t xml:space="preserve">, különösen a világjárvány összefüggésében (lásd az </w:t>
      </w:r>
      <w:hyperlink r:id="rId1425">
        <w:r>
          <w:rPr>
            <w:rStyle w:val="LienInternet"/>
          </w:rPr>
          <w:t>ötletet)</w:t>
        </w:r>
      </w:hyperlink>
      <w:r>
        <w:rPr/>
        <w:t xml:space="preserve">. Ezt a kérdést a hatékonyság, a biztonság és az innováció, nem pedig a demokrácia erősítése szempontjából vizsgálták. Az észrevételekben azonban vannak olyan ellentétes nézetek, amelyek az elektronikus szavazás számos hátrányára utalnak. A válaszadók azt javasolják, hogy a blokklánc-technológia alkalmazását vagy Európa saját, nagymértékben titkosított levelezőrendszerének létrehozását javasolják, ami az EU-n belüli digitális szavazás biztonságának garantálására szolgál. </w:t>
      </w:r>
    </w:p>
    <w:p>
      <w:pPr>
        <w:pStyle w:val="Normal"/>
        <w:jc w:val="left"/>
        <w:rPr/>
      </w:pPr>
      <w:r>
        <w:rPr/>
        <w:t>Ami különösen a digitális innovációt illeti, a platformon benyújtott, a digitális növekedéssel kapcsolatos elképzelések mindenekelőtt az EU szerepét támogatják a mesterséges intelligencia (MI) eszközeinek továbbfejlesztésében. Az együttműködésre irányuló összehangolt erőfeszítésekre vonatkozó felhívást egy európai mesterségesintelligencia-kutatási osztály (lásd az</w:t>
      </w:r>
      <w:hyperlink r:id="rId1426">
        <w:r>
          <w:rPr>
            <w:rStyle w:val="LienInternet"/>
          </w:rPr>
          <w:t xml:space="preserve"> ötletet)</w:t>
        </w:r>
      </w:hyperlink>
      <w:r>
        <w:rPr/>
        <w:t xml:space="preserve"> ötletében fejezi ki. Egyes közreműködők számára a mesterséges intelligencia az EU gazdasági növekedésének és jólétének alapvető eleme (lásd például az</w:t>
      </w:r>
      <w:hyperlink r:id="rId1427">
        <w:r>
          <w:rPr>
            <w:rStyle w:val="LienInternet"/>
          </w:rPr>
          <w:t xml:space="preserve"> </w:t>
        </w:r>
      </w:hyperlink>
      <w:hyperlink r:id="rId1428">
        <w:r>
          <w:rPr>
            <w:rStyle w:val="LienInternet"/>
          </w:rPr>
          <w:t>ötletet</w:t>
        </w:r>
      </w:hyperlink>
      <w:r>
        <w:rPr/>
        <w:t xml:space="preserve">). </w:t>
      </w:r>
    </w:p>
    <w:p>
      <w:pPr>
        <w:pStyle w:val="Normal"/>
        <w:jc w:val="left"/>
        <w:rPr/>
      </w:pPr>
      <w:r>
        <w:rPr/>
        <w:t xml:space="preserve">A jelenlegi mesterségesintelligencia-lehetőségek és algoritmikus döntéshozatali rendszerek fokozott tervezésére és szabályozására vonatkozó közös felhívást említenek a kockázatok minimalizálása, a biztonság és a hozzáférhetőség javítása érdekében (lásd például az </w:t>
      </w:r>
      <w:hyperlink r:id="rId1429">
        <w:r>
          <w:rPr>
            <w:rStyle w:val="LienInternet"/>
          </w:rPr>
          <w:t>ötletet,</w:t>
        </w:r>
      </w:hyperlink>
      <w:r>
        <w:rPr/>
        <w:t xml:space="preserve"> lásd az </w:t>
      </w:r>
      <w:hyperlink r:id="rId1430">
        <w:r>
          <w:rPr>
            <w:rStyle w:val="LienInternet"/>
          </w:rPr>
          <w:t>esemény példáját)</w:t>
        </w:r>
      </w:hyperlink>
      <w:r>
        <w:rPr/>
        <w:t>. A mesterségesintelligencia-technológiákkal kapcsolatos kockázatok minimalizálása (lásd például az</w:t>
      </w:r>
      <w:hyperlink r:id="rId1431">
        <w:r>
          <w:rPr>
            <w:rStyle w:val="LienInternet"/>
          </w:rPr>
          <w:t xml:space="preserve"> </w:t>
        </w:r>
      </w:hyperlink>
      <w:hyperlink r:id="rId1432">
        <w:r>
          <w:rPr>
            <w:rStyle w:val="LienInternet"/>
          </w:rPr>
          <w:t>eseményt)</w:t>
        </w:r>
      </w:hyperlink>
      <w:r>
        <w:rPr/>
        <w:t xml:space="preserve"> és az alapvető jogok tiszteletben tartása érdekében jogalkotási intézkedésre van szükség. Ez utóbbira példa a mesterséges intelligencia tiltott felhasználásainak, például az algoritmikus munkavállalók megfigyelésének jegyzékbe vétele (lásd az </w:t>
      </w:r>
      <w:hyperlink r:id="rId1433">
        <w:r>
          <w:rPr>
            <w:rStyle w:val="LienInternet"/>
          </w:rPr>
          <w:t>eseményt</w:t>
        </w:r>
      </w:hyperlink>
      <w:r>
        <w:rPr/>
        <w:t>). A témán belül egy sokat támogatott ötlet egy etikus mesterséges intelligenciát tárgyal, és jogszabályt javasol a mesterséges intelligencia kockázatainak korlátozására, az adatok felhasználásának szabályozására és az egyenlőtlenségek elkerülésére (lásd az</w:t>
      </w:r>
      <w:hyperlink r:id="rId1434">
        <w:r>
          <w:rPr>
            <w:rStyle w:val="LienInternet"/>
          </w:rPr>
          <w:t xml:space="preserve"> </w:t>
        </w:r>
      </w:hyperlink>
      <w:hyperlink r:id="rId1435">
        <w:r>
          <w:rPr>
            <w:rStyle w:val="LienInternet"/>
          </w:rPr>
          <w:t>ötletet</w:t>
        </w:r>
      </w:hyperlink>
      <w:r>
        <w:rPr/>
        <w:t xml:space="preserve">). </w:t>
      </w:r>
    </w:p>
    <w:p>
      <w:pPr>
        <w:pStyle w:val="Normal"/>
        <w:jc w:val="left"/>
        <w:rPr/>
      </w:pPr>
      <w:r>
        <w:rPr/>
        <w:t xml:space="preserve">Mindazonáltal egyes közreműködők rámutatnak a mesterséges intelligencia előnyeire, például az állami szektor vagy a sürgősségi orvosi szolgáltatások számára (lásd például az </w:t>
      </w:r>
      <w:hyperlink r:id="rId1436">
        <w:r>
          <w:rPr>
            <w:rStyle w:val="LienInternet"/>
          </w:rPr>
          <w:t>ötletet</w:t>
        </w:r>
      </w:hyperlink>
      <w:r>
        <w:rPr/>
        <w:t>). Más közreműködők azonban bizonytalanabbak, és kiemelik annak jövőbeli kockázatát, hogy az emberi agynál jobb mesterséges intelligenciát hozzanak létre (lásd például az</w:t>
      </w:r>
      <w:hyperlink r:id="rId1437">
        <w:r>
          <w:rPr>
            <w:rStyle w:val="LienInternet"/>
          </w:rPr>
          <w:t xml:space="preserve"> </w:t>
        </w:r>
      </w:hyperlink>
      <w:hyperlink r:id="rId1438">
        <w:r>
          <w:rPr>
            <w:rStyle w:val="LienInternet"/>
          </w:rPr>
          <w:t>ötletet</w:t>
        </w:r>
      </w:hyperlink>
      <w:r>
        <w:rPr/>
        <w:t xml:space="preserve">). </w:t>
      </w:r>
    </w:p>
    <w:p>
      <w:pPr>
        <w:pStyle w:val="Normal"/>
        <w:jc w:val="left"/>
        <w:rPr/>
      </w:pPr>
      <w:r>
        <w:rPr/>
        <w:t>Egy másik, erősen támogatott ötlet azt tárgyalja, hogy biztosítani kell, hogy a főbb közösségi finanszírozási platformok valamennyi tagállamból elérhetők legyenek (lásd az</w:t>
      </w:r>
      <w:hyperlink r:id="rId1439">
        <w:r>
          <w:rPr>
            <w:rStyle w:val="LienInternet"/>
          </w:rPr>
          <w:t xml:space="preserve"> </w:t>
        </w:r>
      </w:hyperlink>
      <w:hyperlink r:id="rId1440">
        <w:r>
          <w:rPr>
            <w:rStyle w:val="LienInternet"/>
          </w:rPr>
          <w:t>ötletet)</w:t>
        </w:r>
      </w:hyperlink>
      <w:r>
        <w:rPr/>
        <w:t xml:space="preserve">. </w:t>
      </w:r>
    </w:p>
    <w:p>
      <w:pPr>
        <w:pStyle w:val="Normal"/>
        <w:jc w:val="left"/>
        <w:rPr/>
      </w:pPr>
      <w:r>
        <w:rPr/>
        <w:t xml:space="preserve">Néhány ötlet kitér a társadalom digitalizációjának (potenciális) hátrányaira is, például a kevésbé digitálisan tudatos emberek kizárására, a környezeti nyomásra, a dehumanizációra, a robotizációra, valamint az egyének fokozott nyomon követésére és felügyeletére (lásd például az </w:t>
      </w:r>
      <w:hyperlink r:id="rId1441">
        <w:r>
          <w:rPr>
            <w:rStyle w:val="LienInternet"/>
          </w:rPr>
          <w:t xml:space="preserve">ötletet </w:t>
        </w:r>
      </w:hyperlink>
      <w:r>
        <w:rPr/>
        <w:t xml:space="preserve">és az </w:t>
      </w:r>
      <w:hyperlink r:id="rId1442">
        <w:r>
          <w:rPr>
            <w:rStyle w:val="LienInternet"/>
          </w:rPr>
          <w:t>ötletet)</w:t>
        </w:r>
      </w:hyperlink>
      <w:r>
        <w:rPr/>
        <w:t>. A hozzászólók azt szeretnék, ha kivizsgálnák a digitalizáció e negatív következményeit. Ehhez kapcsolódóan egyes hozzájárulások azt kívánják, hogy a jogszabályokat a társadalom fokozódó digitalizációjának fényében aktualizálják (lásd például az</w:t>
      </w:r>
      <w:hyperlink r:id="rId1443">
        <w:r>
          <w:rPr>
            <w:rStyle w:val="LienInternet"/>
          </w:rPr>
          <w:t xml:space="preserve"> </w:t>
        </w:r>
      </w:hyperlink>
      <w:hyperlink r:id="rId1444">
        <w:r>
          <w:rPr>
            <w:rStyle w:val="LienInternet"/>
          </w:rPr>
          <w:t>ötletet</w:t>
        </w:r>
      </w:hyperlink>
      <w:r>
        <w:rPr/>
        <w:t>).</w:t>
      </w:r>
    </w:p>
    <w:p>
      <w:pPr>
        <w:pStyle w:val="Normal"/>
        <w:jc w:val="left"/>
        <w:rPr/>
      </w:pPr>
      <w:r>
        <w:rPr/>
      </w:r>
    </w:p>
    <w:p>
      <w:pPr>
        <w:pStyle w:val="Titre2"/>
        <w:numPr>
          <w:ilvl w:val="1"/>
          <w:numId w:val="1"/>
        </w:numPr>
        <w:jc w:val="left"/>
        <w:rPr/>
      </w:pPr>
      <w:bookmarkStart w:id="78" w:name="__RefHeading___Toc86479_2514204080"/>
      <w:bookmarkEnd w:id="78"/>
      <w:r>
        <w:rPr/>
        <w:t>Európai digitális eszközök – a közszféra digitalizálása</w:t>
      </w:r>
    </w:p>
    <w:p>
      <w:pPr>
        <w:pStyle w:val="Normal"/>
        <w:jc w:val="left"/>
        <w:rPr/>
      </w:pPr>
      <w:r>
        <w:rPr/>
        <w:t xml:space="preserve">Számos hozzászóló javasolja a kormányzás és a közszféra digitalizálását az EU-n belül az interoperabilitás és az e-kormányzás lehetővé tétele érdekében (lásd például az </w:t>
      </w:r>
      <w:hyperlink r:id="rId1445">
        <w:r>
          <w:rPr>
            <w:rStyle w:val="LienInternet"/>
          </w:rPr>
          <w:t xml:space="preserve">ötletet </w:t>
        </w:r>
      </w:hyperlink>
      <w:r>
        <w:rPr/>
        <w:t xml:space="preserve">és az </w:t>
      </w:r>
      <w:hyperlink r:id="rId1446">
        <w:r>
          <w:rPr>
            <w:rStyle w:val="LienInternet"/>
          </w:rPr>
          <w:t>ötletet,</w:t>
        </w:r>
      </w:hyperlink>
      <w:r>
        <w:rPr/>
        <w:t xml:space="preserve"> lásd az </w:t>
      </w:r>
      <w:hyperlink r:id="rId1447">
        <w:r>
          <w:rPr>
            <w:rStyle w:val="LienInternet"/>
          </w:rPr>
          <w:t>eseményt</w:t>
        </w:r>
      </w:hyperlink>
      <w:r>
        <w:rPr/>
        <w:t xml:space="preserve">). A polgárok számos konkrét technológiai és digitális eszközt javasolnak az európai polgárok számára. Az EU digitális egységesítésének altémája széles körben megvitatásra kerül (lásd az </w:t>
      </w:r>
      <w:hyperlink r:id="rId1448">
        <w:r>
          <w:rPr>
            <w:rStyle w:val="LienInternet"/>
          </w:rPr>
          <w:t>ötletet) azzal</w:t>
        </w:r>
      </w:hyperlink>
      <w:r>
        <w:rPr/>
        <w:t xml:space="preserve"> a felhívással, hogy európai szinten nagyobb harmonizációra van szükség a közös digitális eszközök elfogadása révén: például egy célzott európai szociális hálózat a közvélemény kifejezésére (lásd az </w:t>
      </w:r>
      <w:hyperlink r:id="rId1449">
        <w:r>
          <w:rPr>
            <w:rStyle w:val="LienInternet"/>
          </w:rPr>
          <w:t>ötletet)</w:t>
        </w:r>
      </w:hyperlink>
      <w:r>
        <w:rPr/>
        <w:t xml:space="preserve"> például egy olyan keret létrehozásával, amely minden uniós országot segít az informatikai projektekben való együttműködésben. Ezt az elképzelést továbbfejlesztik, és számos javaslatot tesznek valamennyi olyan digitális portálra, amely a polgárok szerepvállalását és a mindennapi élet azonosítását szolgálja (lásd az</w:t>
      </w:r>
      <w:hyperlink r:id="rId1450">
        <w:r>
          <w:rPr>
            <w:rStyle w:val="LienInternet"/>
          </w:rPr>
          <w:t xml:space="preserve"> </w:t>
        </w:r>
      </w:hyperlink>
      <w:hyperlink r:id="rId1451">
        <w:r>
          <w:rPr>
            <w:rStyle w:val="LienInternet"/>
          </w:rPr>
          <w:t>ötletet</w:t>
        </w:r>
      </w:hyperlink>
      <w:r>
        <w:rPr/>
        <w:t xml:space="preserve">). </w:t>
      </w:r>
    </w:p>
    <w:p>
      <w:pPr>
        <w:pStyle w:val="Normal"/>
        <w:jc w:val="left"/>
        <w:rPr/>
      </w:pPr>
      <w:r>
        <w:rPr/>
        <w:t>Az ötletek széles köre a digitális polgárság megteremtését tárgyalja a digitális azonosító (lásd például az</w:t>
      </w:r>
      <w:hyperlink r:id="rId1452">
        <w:r>
          <w:rPr>
            <w:rStyle w:val="LienInternet"/>
          </w:rPr>
          <w:t xml:space="preserve"> ötletet és az ötletet</w:t>
        </w:r>
      </w:hyperlink>
      <w:hyperlink r:id="rId1453">
        <w:r>
          <w:rPr>
            <w:rStyle w:val="LienInternet"/>
          </w:rPr>
          <w:t>)</w:t>
        </w:r>
      </w:hyperlink>
      <w:r>
        <w:rPr/>
        <w:t xml:space="preserve"> vagy a rendkívül biztonságos (EU) azonosítási rendszerek révén történő európai szintű azonosításra irányuló ötletekkel, például ujjlenyomatkód használatával (lásd például az </w:t>
      </w:r>
      <w:hyperlink r:id="rId1454">
        <w:r>
          <w:rPr>
            <w:rStyle w:val="LienInternet"/>
          </w:rPr>
          <w:t>ötletet</w:t>
        </w:r>
      </w:hyperlink>
      <w:r>
        <w:rPr/>
        <w:t>). Hasonlóképpen, a hozzászólók egy európai digitális pénztárcát javasolnak, amely minden papíralapú dokumentumot digitális dokumentumokkal helyettesít (lásd az</w:t>
      </w:r>
      <w:hyperlink r:id="rId1455">
        <w:r>
          <w:rPr>
            <w:rStyle w:val="LienInternet"/>
          </w:rPr>
          <w:t xml:space="preserve"> </w:t>
        </w:r>
      </w:hyperlink>
      <w:hyperlink r:id="rId1456">
        <w:r>
          <w:rPr>
            <w:rStyle w:val="LienInternet"/>
          </w:rPr>
          <w:t>ötletet</w:t>
        </w:r>
      </w:hyperlink>
      <w:r>
        <w:rPr/>
        <w:t xml:space="preserve">). </w:t>
      </w:r>
    </w:p>
    <w:p>
      <w:pPr>
        <w:pStyle w:val="Normal"/>
        <w:jc w:val="left"/>
        <w:rPr/>
      </w:pPr>
      <w:r>
        <w:rPr/>
        <w:t xml:space="preserve">A hozzájárulások másik kategóriája az európai e-szolgáltatásokra összpontosít: például a közszolgáltatásokhoz való hozzáférést biztosító egységes európai aláírási azonosító szolgáltatóval (lásd az </w:t>
      </w:r>
      <w:hyperlink r:id="rId1457">
        <w:r>
          <w:rPr>
            <w:rStyle w:val="LienInternet"/>
          </w:rPr>
          <w:t>ötletet</w:t>
        </w:r>
      </w:hyperlink>
      <w:r>
        <w:rPr/>
        <w:t xml:space="preserve">) a szabványok harmonizálásának és egy európai szintű egységes hitelesítési fiók létrehozásának szükségessége (lásd az </w:t>
      </w:r>
      <w:hyperlink r:id="rId1458">
        <w:r>
          <w:rPr>
            <w:rStyle w:val="LienInternet"/>
          </w:rPr>
          <w:t>ötletet)</w:t>
        </w:r>
      </w:hyperlink>
      <w:r>
        <w:rPr/>
        <w:t xml:space="preserve">. Hasonlóképpen javaslat született egy „digitális uniós határokon átnyúló szolgáltatási kártya” bevezetésére a határokon átnyúló régiókban élő polgárok köz- és sürgősségi szolgáltatásokhoz való hozzáférésének egyszerűsítése érdekében (lásd az </w:t>
      </w:r>
      <w:hyperlink r:id="rId1459">
        <w:r>
          <w:rPr>
            <w:rStyle w:val="LienInternet"/>
          </w:rPr>
          <w:t>ötletet</w:t>
        </w:r>
      </w:hyperlink>
      <w:r>
        <w:rPr/>
        <w:t>). Az eseményeken szintén megvitatták a digitális eszközök és szolgáltatások, például az EU digitális identitásának fejlesztését, az európai alkalmazás létrehozását vagy a digitális európai útlevél bevezetését (lásd például az</w:t>
      </w:r>
      <w:hyperlink r:id="rId1460">
        <w:r>
          <w:rPr>
            <w:rStyle w:val="LienInternet"/>
          </w:rPr>
          <w:t xml:space="preserve"> </w:t>
        </w:r>
      </w:hyperlink>
      <w:hyperlink r:id="rId1461">
        <w:r>
          <w:rPr>
            <w:rStyle w:val="LienInternet"/>
          </w:rPr>
          <w:t>eseményt</w:t>
        </w:r>
      </w:hyperlink>
      <w:r>
        <w:rPr/>
        <w:t>).</w:t>
      </w:r>
    </w:p>
    <w:p>
      <w:pPr>
        <w:pStyle w:val="Normal"/>
        <w:jc w:val="left"/>
        <w:rPr/>
      </w:pPr>
      <w:r>
        <w:rPr/>
      </w:r>
    </w:p>
    <w:p>
      <w:pPr>
        <w:pStyle w:val="Titre2"/>
        <w:numPr>
          <w:ilvl w:val="1"/>
          <w:numId w:val="1"/>
        </w:numPr>
        <w:jc w:val="left"/>
        <w:rPr/>
      </w:pPr>
      <w:bookmarkStart w:id="79" w:name="__RefHeading___Toc86481_2514204080"/>
      <w:bookmarkEnd w:id="79"/>
      <w:r>
        <w:rPr/>
        <w:t>Digitális adatok</w:t>
      </w:r>
    </w:p>
    <w:p>
      <w:pPr>
        <w:pStyle w:val="Normal"/>
        <w:jc w:val="left"/>
        <w:rPr/>
      </w:pPr>
      <w:r>
        <w:rPr/>
        <w:t xml:space="preserve">A digitális adatok témáját illetően a hozzászólók hangsúlyozzák az eddig elért eredményeket, megemlítve, hogy az EU vezető szerepet tölt be az egyének védelme terén a digitális világban. Mindazonáltal további javításra van szükség ezen a területen (lásd az </w:t>
      </w:r>
      <w:hyperlink r:id="rId1462">
        <w:r>
          <w:rPr>
            <w:rStyle w:val="LienInternet"/>
          </w:rPr>
          <w:t>esemény példáját,</w:t>
        </w:r>
      </w:hyperlink>
      <w:r>
        <w:rPr/>
        <w:t xml:space="preserve"> lásd az</w:t>
      </w:r>
      <w:hyperlink r:id="rId1463">
        <w:r>
          <w:rPr>
            <w:rStyle w:val="LienInternet"/>
          </w:rPr>
          <w:t xml:space="preserve"> </w:t>
        </w:r>
      </w:hyperlink>
      <w:hyperlink r:id="rId1464">
        <w:r>
          <w:rPr>
            <w:rStyle w:val="LienInternet"/>
          </w:rPr>
          <w:t>ötlet példáját)</w:t>
        </w:r>
      </w:hyperlink>
      <w:r>
        <w:rPr/>
        <w:t xml:space="preserve">. A javaslatok például a GDPR-törvények módosítására összpontosítanak, hogy megkönnyítsék a személyes adatok online gyűjtésének megtagadását (lásd például az </w:t>
      </w:r>
      <w:hyperlink r:id="rId1465">
        <w:r>
          <w:rPr>
            <w:rStyle w:val="LienInternet"/>
          </w:rPr>
          <w:t>ötletet</w:t>
        </w:r>
      </w:hyperlink>
      <w:r>
        <w:rPr/>
        <w:t>). Egy másik hozzájárulás egyértelműbb szabályozást igényel a GDPR és a munkavállalói adatok tekintetében (lásd az</w:t>
      </w:r>
      <w:hyperlink r:id="rId1466">
        <w:r>
          <w:rPr>
            <w:rStyle w:val="LienInternet"/>
          </w:rPr>
          <w:t xml:space="preserve"> ötletet</w:t>
        </w:r>
      </w:hyperlink>
      <w:r>
        <w:rPr/>
        <w:t xml:space="preserve">). Ezzel egyidejűleg a több hozzászólás érthetőbb jogszabályokat igényel, anélkül, hogy a felhasználókat állandó hozzájárulási kérésekkel terhelné (lásd például az </w:t>
      </w:r>
      <w:hyperlink r:id="rId1467">
        <w:r>
          <w:rPr>
            <w:rStyle w:val="LienInternet"/>
          </w:rPr>
          <w:t>ötletet)</w:t>
        </w:r>
      </w:hyperlink>
      <w:r>
        <w:rPr/>
        <w:t>. A javaslatok között szerepel az általános adatvédelmi rendelet további alkalmazása és az uniós polgárok adatfüggetlenségének növelése felé való elmozdulás (lásd például az</w:t>
      </w:r>
      <w:hyperlink r:id="rId1468">
        <w:r>
          <w:rPr>
            <w:rStyle w:val="LienInternet"/>
          </w:rPr>
          <w:t xml:space="preserve"> </w:t>
        </w:r>
      </w:hyperlink>
      <w:hyperlink r:id="rId1469">
        <w:r>
          <w:rPr>
            <w:rStyle w:val="LienInternet"/>
          </w:rPr>
          <w:t>ötletet)</w:t>
        </w:r>
      </w:hyperlink>
      <w:r>
        <w:rPr/>
        <w:t xml:space="preserve">. Több hozzászóló kéri a területi alapú tartalomkorlátozás korlátozását vagy betiltását (lásd például az </w:t>
      </w:r>
      <w:hyperlink r:id="rId1470">
        <w:r>
          <w:rPr>
            <w:rStyle w:val="LienInternet"/>
          </w:rPr>
          <w:t>ötletet</w:t>
        </w:r>
      </w:hyperlink>
      <w:r>
        <w:rPr/>
        <w:t>), az adatvédelmi rendszerek Unió-szerte történő harmonizálását, valamint az uniós polgárok személyes felhőjének bevezetését (lásd az</w:t>
      </w:r>
      <w:hyperlink r:id="rId1471">
        <w:r>
          <w:rPr>
            <w:rStyle w:val="LienInternet"/>
          </w:rPr>
          <w:t xml:space="preserve"> </w:t>
        </w:r>
      </w:hyperlink>
      <w:hyperlink r:id="rId1472">
        <w:r>
          <w:rPr>
            <w:rStyle w:val="LienInternet"/>
          </w:rPr>
          <w:t>ötletet</w:t>
        </w:r>
      </w:hyperlink>
      <w:r>
        <w:rPr/>
        <w:t>).</w:t>
      </w:r>
    </w:p>
    <w:p>
      <w:pPr>
        <w:pStyle w:val="Normal"/>
        <w:jc w:val="left"/>
        <w:rPr/>
      </w:pPr>
      <w:r>
        <w:rPr/>
      </w:r>
    </w:p>
    <w:p>
      <w:pPr>
        <w:pStyle w:val="Titre2"/>
        <w:numPr>
          <w:ilvl w:val="1"/>
          <w:numId w:val="1"/>
        </w:numPr>
        <w:jc w:val="left"/>
        <w:rPr/>
      </w:pPr>
      <w:bookmarkStart w:id="80" w:name="__RefHeading___Toc86483_2514204080"/>
      <w:bookmarkEnd w:id="80"/>
      <w:r>
        <w:rPr/>
        <w:t>Kiberbiztonság</w:t>
      </w:r>
    </w:p>
    <w:p>
      <w:pPr>
        <w:pStyle w:val="Normal"/>
        <w:jc w:val="left"/>
        <w:rPr/>
      </w:pPr>
      <w:r>
        <w:rPr/>
        <w:t>Általánosságban elmondható, hogy az infrastruktúra, a tudás és az emberi erőforrások terén rendszeresen európai szintű együttműködésre van szükség az EU kiberbiztonságának megerősítése érdekében (lásd például az</w:t>
      </w:r>
      <w:hyperlink r:id="rId1473">
        <w:r>
          <w:rPr>
            <w:rStyle w:val="LienInternet"/>
          </w:rPr>
          <w:t xml:space="preserve"> </w:t>
        </w:r>
      </w:hyperlink>
      <w:hyperlink r:id="rId1474">
        <w:r>
          <w:rPr>
            <w:rStyle w:val="LienInternet"/>
          </w:rPr>
          <w:t xml:space="preserve">ötletet </w:t>
        </w:r>
      </w:hyperlink>
      <w:r>
        <w:rPr/>
        <w:t>és az</w:t>
      </w:r>
      <w:hyperlink r:id="rId1475">
        <w:r>
          <w:rPr>
            <w:rStyle w:val="LienInternet"/>
          </w:rPr>
          <w:t xml:space="preserve"> </w:t>
        </w:r>
      </w:hyperlink>
      <w:hyperlink r:id="rId1476">
        <w:r>
          <w:rPr>
            <w:rStyle w:val="LienInternet"/>
          </w:rPr>
          <w:t>ötletet)</w:t>
        </w:r>
      </w:hyperlink>
      <w:r>
        <w:rPr/>
        <w:t xml:space="preserve">. </w:t>
      </w:r>
    </w:p>
    <w:p>
      <w:pPr>
        <w:pStyle w:val="Normal"/>
        <w:jc w:val="left"/>
        <w:rPr/>
      </w:pPr>
      <w:r>
        <w:rPr/>
        <w:t xml:space="preserve">Számos ötlet javasolja a kiberbűnözés elleni védelem megerősítését elsősorban a hálózatbiztonság növelésével, amely sok közreműködő számára együtt jár a megnövekedett digitális szuverenitással (lásd például az </w:t>
      </w:r>
      <w:hyperlink r:id="rId1477">
        <w:r>
          <w:rPr>
            <w:rStyle w:val="LienInternet"/>
          </w:rPr>
          <w:t>ötletet</w:t>
        </w:r>
      </w:hyperlink>
      <w:r>
        <w:rPr/>
        <w:t>). Ezenkívül javítani kell az adatrendszerek átláthatóságát és elszámoltathatóságát (lásd például az</w:t>
      </w:r>
      <w:hyperlink r:id="rId1478">
        <w:r>
          <w:rPr>
            <w:rStyle w:val="LienInternet"/>
          </w:rPr>
          <w:t xml:space="preserve"> ötletet</w:t>
        </w:r>
      </w:hyperlink>
      <w:r>
        <w:rPr/>
        <w:t xml:space="preserve">). Egy ötpilléres javaslat részeként, az ENISA-nak a dolgok internetéhez (IoT) csatlakoztatott eszközök kockázataira vonatkozó ajánlásaira építve, a hozzászólók azt javasolják, hogy hozzanak létre egy uniós címkét minden IoT-termékre vonatkozóan, amely biztosítja, hogy az eszköz megfeleljen az internet biztonságára és teljesítményére vonatkozó minimumkövetelményeknek, valamint a harmadik féltől származó szoftverekre vonatkozó gyártói felülvizsgálatra és ellenőrzésre vonatkozó előírásokkal (lásd az </w:t>
      </w:r>
      <w:hyperlink r:id="rId1479">
        <w:r>
          <w:rPr>
            <w:rStyle w:val="LienInternet"/>
          </w:rPr>
          <w:t>ötletet)</w:t>
        </w:r>
      </w:hyperlink>
      <w:r>
        <w:rPr/>
        <w:t>. Az Európai Hálózatbiztonsági Ellenőrző Hatóság (European Network Security Inspection Authority) segítségével az alkalmazások biztonságát biztosító ellenőrzési forma is javasolt (lásd az</w:t>
      </w:r>
      <w:hyperlink r:id="rId1480">
        <w:r>
          <w:rPr>
            <w:rStyle w:val="LienInternet"/>
          </w:rPr>
          <w:t xml:space="preserve"> </w:t>
        </w:r>
      </w:hyperlink>
      <w:hyperlink r:id="rId1481">
        <w:r>
          <w:rPr>
            <w:rStyle w:val="LienInternet"/>
          </w:rPr>
          <w:t>ötletet)</w:t>
        </w:r>
      </w:hyperlink>
      <w:r>
        <w:rPr/>
        <w:t xml:space="preserve">. </w:t>
      </w:r>
    </w:p>
    <w:p>
      <w:pPr>
        <w:pStyle w:val="Normal"/>
        <w:jc w:val="left"/>
        <w:rPr/>
      </w:pPr>
      <w:r>
        <w:rPr/>
        <w:t>A kiberterrorizmust is megvitatják, és számos javaslatot tesznek egy központosított uniós megközelítésre az EU, annak polgárai és vállalkozásai online fenyegetések esetén történő védelme érdekében (lásd például az</w:t>
      </w:r>
      <w:hyperlink r:id="rId1482">
        <w:r>
          <w:rPr>
            <w:rStyle w:val="LienInternet"/>
          </w:rPr>
          <w:t xml:space="preserve"> ötletet</w:t>
        </w:r>
      </w:hyperlink>
      <w:r>
        <w:rPr/>
        <w:t xml:space="preserve">). A javaslatok az európai kiberhadseregtől (lásd az </w:t>
      </w:r>
      <w:hyperlink r:id="rId1483">
        <w:r>
          <w:rPr>
            <w:rStyle w:val="LienInternet"/>
          </w:rPr>
          <w:t>ötletet)</w:t>
        </w:r>
      </w:hyperlink>
      <w:r>
        <w:rPr/>
        <w:t xml:space="preserve"> az ENISA ügynökség hatáskörének Európai Kibervédelmi Központtá történő kiterjesztéséig terjednek (lásd az </w:t>
      </w:r>
      <w:hyperlink r:id="rId1484">
        <w:r>
          <w:rPr>
            <w:rStyle w:val="LienInternet"/>
          </w:rPr>
          <w:t>ötletet)</w:t>
        </w:r>
      </w:hyperlink>
      <w:r>
        <w:rPr/>
        <w:t>. Néhány hozzászóló úgy véli, hogy az EU szerepet játszik a 2001-es Budapesti Egyezmény példáján alapuló globális kiberbiztonsági szerződés kidolgozásában (lásd az</w:t>
      </w:r>
      <w:hyperlink r:id="rId1485">
        <w:r>
          <w:rPr>
            <w:rStyle w:val="LienInternet"/>
          </w:rPr>
          <w:t xml:space="preserve"> </w:t>
        </w:r>
      </w:hyperlink>
      <w:hyperlink r:id="rId1486">
        <w:r>
          <w:rPr>
            <w:rStyle w:val="LienInternet"/>
          </w:rPr>
          <w:t>ötletet)</w:t>
        </w:r>
      </w:hyperlink>
      <w:r>
        <w:rPr/>
        <w:t xml:space="preserve">. </w:t>
      </w:r>
    </w:p>
    <w:p>
      <w:pPr>
        <w:pStyle w:val="Normal"/>
        <w:jc w:val="left"/>
        <w:rPr/>
      </w:pPr>
      <w:r>
        <w:rPr/>
        <w:t xml:space="preserve">A védelmi stratégiák mellett számos jogalkotási intézkedési javaslat is szerepel, például a polgárok magánéletének védelmét szolgáló uniós szintű jogszabályok bevezetése mellett (lásd az </w:t>
      </w:r>
      <w:hyperlink r:id="rId1487">
        <w:r>
          <w:rPr>
            <w:rStyle w:val="LienInternet"/>
          </w:rPr>
          <w:t>ötletet</w:t>
        </w:r>
      </w:hyperlink>
      <w:r>
        <w:rPr/>
        <w:t xml:space="preserve">). Számos hozzászólás azt is hangsúlyozza, hogy szabályozást kell bevezetni a közösségi média platformokon a félretájékoztatás, az álhírek és az adatszuverenitás elérése érdekében (lásd például az </w:t>
      </w:r>
      <w:hyperlink r:id="rId1488">
        <w:r>
          <w:rPr>
            <w:rStyle w:val="LienInternet"/>
          </w:rPr>
          <w:t>ötletet</w:t>
        </w:r>
      </w:hyperlink>
      <w:r>
        <w:rPr/>
        <w:t>). Az egyik ilyen szabályozás lehet az európai hatóság által a rágalmazás, a digitális megfélemlítés vagy a hamis információk közzétételének elkerülése érdekében ellenőrzött digitális hálózatazonosító protokollok (lásd az</w:t>
      </w:r>
      <w:hyperlink r:id="rId1489">
        <w:r>
          <w:rPr>
            <w:rStyle w:val="LienInternet"/>
          </w:rPr>
          <w:t xml:space="preserve"> ötletet)</w:t>
        </w:r>
      </w:hyperlink>
      <w:r>
        <w:rPr/>
        <w:t>. Egy hozzászóló szerint az Európai Ügyészségnek (EPPO) szerepe van a számítástechnikai bűnözés elleni európai fellépés megerősítésében, és azt javasolja, hogy hatáskörüket terjesszék ki a határokon átnyúló számítástechnikai bűnözésre (lásd az</w:t>
      </w:r>
      <w:hyperlink r:id="rId1490">
        <w:r>
          <w:rPr>
            <w:rStyle w:val="LienInternet"/>
          </w:rPr>
          <w:t xml:space="preserve"> </w:t>
        </w:r>
      </w:hyperlink>
      <w:hyperlink r:id="rId1491">
        <w:r>
          <w:rPr>
            <w:rStyle w:val="LienInternet"/>
          </w:rPr>
          <w:t>ötletet</w:t>
        </w:r>
      </w:hyperlink>
      <w:r>
        <w:rPr/>
        <w:t xml:space="preserve">). </w:t>
      </w:r>
    </w:p>
    <w:p>
      <w:pPr>
        <w:pStyle w:val="Normal"/>
        <w:jc w:val="left"/>
        <w:rPr/>
      </w:pPr>
      <w:r>
        <w:rPr/>
        <w:t xml:space="preserve">Emellett szükség van a fogyasztók fokozottabb védelmére az online környezetben (lásd például az </w:t>
      </w:r>
      <w:hyperlink r:id="rId1492">
        <w:r>
          <w:rPr>
            <w:rStyle w:val="LienInternet"/>
          </w:rPr>
          <w:t>ötletet</w:t>
        </w:r>
      </w:hyperlink>
      <w:r>
        <w:rPr/>
        <w:t>), például azáltal, hogy a jövőben megkönnyítik a fogyasztók számára, hogy meggondolják magukat a vásárlások tekintetében.</w:t>
      </w:r>
    </w:p>
    <w:p>
      <w:pPr>
        <w:pStyle w:val="Normal"/>
        <w:jc w:val="left"/>
        <w:rPr/>
      </w:pPr>
      <w:r>
        <w:rPr/>
      </w:r>
    </w:p>
    <w:p>
      <w:pPr>
        <w:pStyle w:val="Titre2"/>
        <w:numPr>
          <w:ilvl w:val="1"/>
          <w:numId w:val="1"/>
        </w:numPr>
        <w:jc w:val="left"/>
        <w:rPr/>
      </w:pPr>
      <w:bookmarkStart w:id="81" w:name="__RefHeading___Toc86485_2514204080"/>
      <w:bookmarkEnd w:id="81"/>
      <w:r>
        <w:rPr/>
        <w:t>Digitális jogok és befogadás</w:t>
      </w:r>
    </w:p>
    <w:p>
      <w:pPr>
        <w:pStyle w:val="Normal"/>
        <w:jc w:val="left"/>
        <w:rPr/>
      </w:pPr>
      <w:r>
        <w:rPr/>
        <w:t>A hozzászólók szerint számos kihívást azonosítottak a megnövekedett digitális társadalom miatt. A hozzájárulásokból eredő egyik aggály a kiszolgáltatott csoportokat érintő digitális szakadék. Egy online vita például a társadalmunk fokozott digitalizációjáról, és ennek következményeként egy bizonyos népességcsoportok, a „digitalizáció vesztesei” növekvő kizárásáról (lásd az</w:t>
      </w:r>
      <w:hyperlink r:id="rId1493">
        <w:r>
          <w:rPr>
            <w:rStyle w:val="LienInternet"/>
          </w:rPr>
          <w:t xml:space="preserve"> </w:t>
        </w:r>
      </w:hyperlink>
      <w:hyperlink r:id="rId1494">
        <w:r>
          <w:rPr>
            <w:rStyle w:val="LienInternet"/>
          </w:rPr>
          <w:t>eseményt).</w:t>
        </w:r>
      </w:hyperlink>
      <w:r>
        <w:rPr/>
        <w:t xml:space="preserve"> </w:t>
      </w:r>
    </w:p>
    <w:p>
      <w:pPr>
        <w:pStyle w:val="Normal"/>
        <w:jc w:val="left"/>
        <w:rPr/>
      </w:pPr>
      <w:r>
        <w:rPr/>
        <w:t>A hozzászólók ezért hangsúlyozzák, hogy biztosítani kell a digitális térhez és tartalmakhoz való ingyenes és inkluzív hozzáférést, például hozzáférhető és megfizethető digitális szolgáltatásokra és készülékekre irányuló felhívások révén (lásd például az</w:t>
      </w:r>
      <w:hyperlink r:id="rId1495">
        <w:r>
          <w:rPr>
            <w:rStyle w:val="LienInternet"/>
          </w:rPr>
          <w:t xml:space="preserve"> </w:t>
        </w:r>
      </w:hyperlink>
      <w:hyperlink r:id="rId1496">
        <w:r>
          <w:rPr>
            <w:rStyle w:val="LienInternet"/>
          </w:rPr>
          <w:t xml:space="preserve">ötletet </w:t>
        </w:r>
      </w:hyperlink>
      <w:r>
        <w:rPr/>
        <w:t>és az</w:t>
      </w:r>
      <w:hyperlink r:id="rId1497">
        <w:r>
          <w:rPr>
            <w:rStyle w:val="LienInternet"/>
          </w:rPr>
          <w:t xml:space="preserve"> </w:t>
        </w:r>
      </w:hyperlink>
      <w:hyperlink r:id="rId1498">
        <w:r>
          <w:rPr>
            <w:rStyle w:val="LienInternet"/>
          </w:rPr>
          <w:t>ötletet</w:t>
        </w:r>
      </w:hyperlink>
      <w:r>
        <w:rPr/>
        <w:t xml:space="preserve">). Mások azt javasolják, hogy a digitális hozzáférést alapvető szükségletként ismerjék el azáltal, hogy biztosítják a digitális szolgáltatások nyújtásához szükséges rendszerszintű finanszírozást európai vagy nemzeti szinten (lásd például az </w:t>
      </w:r>
      <w:hyperlink r:id="rId1499">
        <w:r>
          <w:rPr>
            <w:rStyle w:val="LienInternet"/>
          </w:rPr>
          <w:t xml:space="preserve">ötletet </w:t>
        </w:r>
      </w:hyperlink>
      <w:r>
        <w:rPr/>
        <w:t xml:space="preserve">és az </w:t>
      </w:r>
      <w:hyperlink r:id="rId1500">
        <w:r>
          <w:rPr>
            <w:rStyle w:val="LienInternet"/>
          </w:rPr>
          <w:t>ötletet)</w:t>
        </w:r>
      </w:hyperlink>
      <w:r>
        <w:rPr/>
        <w:t>. Amint azt korábban említettük, számos ötlet javasolja a digitális jártasság és a fiatal és idős népességcsoportok oktatásának javítását a digitális kohézió előmozdítása érdekében (lásd például az</w:t>
      </w:r>
      <w:hyperlink r:id="rId1501">
        <w:r>
          <w:rPr>
            <w:rStyle w:val="LienInternet"/>
          </w:rPr>
          <w:t xml:space="preserve"> ötletet </w:t>
        </w:r>
      </w:hyperlink>
      <w:r>
        <w:rPr/>
        <w:t>és az</w:t>
      </w:r>
      <w:hyperlink r:id="rId1502">
        <w:r>
          <w:rPr>
            <w:rStyle w:val="LienInternet"/>
          </w:rPr>
          <w:t xml:space="preserve"> </w:t>
        </w:r>
      </w:hyperlink>
      <w:hyperlink r:id="rId1503">
        <w:r>
          <w:rPr>
            <w:rStyle w:val="LienInternet"/>
          </w:rPr>
          <w:t>eseményt</w:t>
        </w:r>
      </w:hyperlink>
      <w:r>
        <w:rPr/>
        <w:t xml:space="preserve">). Az egyik hozzászóló egy nyomonkövetési mechanizmus bevezetését javasolja a méltányos és egyenlő digitalizáció, valamint a digitális készségek elsajátítása érdekében (lásd az </w:t>
      </w:r>
      <w:hyperlink r:id="rId1504">
        <w:r>
          <w:rPr>
            <w:rStyle w:val="LienInternet"/>
          </w:rPr>
          <w:t>ötletet</w:t>
        </w:r>
      </w:hyperlink>
      <w:r>
        <w:rPr/>
        <w:t xml:space="preserve">). </w:t>
      </w:r>
    </w:p>
    <w:p>
      <w:pPr>
        <w:pStyle w:val="Normal"/>
        <w:jc w:val="left"/>
        <w:rPr/>
      </w:pPr>
      <w:r>
        <w:rPr/>
        <w:t xml:space="preserve">Az ötletek egy másik jelentős része konkrétabban hangsúlyozza a városi és vidéki területek közötti digitális egyenlőtlenséget: a digitális konnektivitás és az alapvető köz- és magánszolgáltatásokhoz való hozzáférés javítása az e témán belül a leginkább megvitatott javaslatok közé tartozik (lásd az </w:t>
      </w:r>
      <w:hyperlink r:id="rId1505">
        <w:r>
          <w:rPr>
            <w:rStyle w:val="LienInternet"/>
          </w:rPr>
          <w:t>eseményt</w:t>
        </w:r>
      </w:hyperlink>
      <w:r>
        <w:rPr/>
        <w:t xml:space="preserve">). </w:t>
      </w:r>
    </w:p>
    <w:p>
      <w:pPr>
        <w:pStyle w:val="Normal"/>
        <w:jc w:val="left"/>
        <w:rPr/>
      </w:pPr>
      <w:r>
        <w:rPr/>
        <w:t>A digitális jogok tekintetében egyes válaszadók azt szeretnék látni, hogy a digitális médiacsatornákon a reklámok korlátozottak vagy csökkennek (lásd az</w:t>
      </w:r>
      <w:hyperlink r:id="rId1506">
        <w:r>
          <w:rPr>
            <w:rStyle w:val="LienInternet"/>
          </w:rPr>
          <w:t xml:space="preserve"> ötlet</w:t>
        </w:r>
      </w:hyperlink>
      <w:r>
        <w:rPr/>
        <w:t>példáját), míg mások az információszabadság érdekében azt szeretnék, ha a fizetőfalakat eltávolítanák, és az információkat fizetés nélkül szabadon hozzáférhetővé tennék (lásd az</w:t>
      </w:r>
      <w:hyperlink r:id="rId1507">
        <w:r>
          <w:rPr>
            <w:rStyle w:val="LienInternet"/>
          </w:rPr>
          <w:t xml:space="preserve"> </w:t>
        </w:r>
      </w:hyperlink>
      <w:hyperlink r:id="rId1508">
        <w:r>
          <w:rPr>
            <w:rStyle w:val="LienInternet"/>
          </w:rPr>
          <w:t>ötletet)</w:t>
        </w:r>
      </w:hyperlink>
      <w:r>
        <w:rPr/>
        <w:t xml:space="preserve">. </w:t>
      </w:r>
    </w:p>
    <w:p>
      <w:pPr>
        <w:pStyle w:val="Normal"/>
        <w:jc w:val="left"/>
        <w:rPr/>
      </w:pPr>
      <w:r>
        <w:rPr/>
        <w:t xml:space="preserve">Egy hozzászólás a digitalizáció nemek közötti egyenlőség szempontját figyelembe vevő megközelítésére szólít fel, amely javaslatot tesz a digitális erőszak elleni küzdelem jogi keretére, valamint a nemi szempontú digitális tervezés előmozdítására irányuló felhívásra (lásd az </w:t>
      </w:r>
      <w:hyperlink r:id="rId1509">
        <w:r>
          <w:rPr>
            <w:rStyle w:val="LienInternet"/>
          </w:rPr>
          <w:t>ötletet)</w:t>
        </w:r>
      </w:hyperlink>
      <w:r>
        <w:rPr/>
        <w:t>. Emellett a hozzászólók hangsúlyozzák, hogy növelni kell a nők vállalkozói készségét és elő kell mozdítani a digitális készségeket a nők körében (lásd az</w:t>
      </w:r>
      <w:hyperlink r:id="rId1510">
        <w:r>
          <w:rPr>
            <w:rStyle w:val="LienInternet"/>
          </w:rPr>
          <w:t xml:space="preserve"> </w:t>
        </w:r>
      </w:hyperlink>
      <w:hyperlink r:id="rId1511">
        <w:r>
          <w:rPr>
            <w:rStyle w:val="LienInternet"/>
          </w:rPr>
          <w:t>eseményt)</w:t>
        </w:r>
      </w:hyperlink>
      <w:r>
        <w:rPr/>
        <w:t>. A technológia területén a nemek közötti egyenlőség növelésére irányuló felhívást a YEP munkaértekezletén is megvitatták (lásd az</w:t>
      </w:r>
      <w:hyperlink r:id="rId1512">
        <w:r>
          <w:rPr>
            <w:rStyle w:val="LienInternet"/>
          </w:rPr>
          <w:t xml:space="preserve"> </w:t>
        </w:r>
      </w:hyperlink>
      <w:hyperlink r:id="rId1513">
        <w:r>
          <w:rPr>
            <w:rStyle w:val="LienInternet"/>
          </w:rPr>
          <w:t>eseményt)</w:t>
        </w:r>
      </w:hyperlink>
    </w:p>
    <w:p>
      <w:pPr>
        <w:pStyle w:val="Normal"/>
        <w:jc w:val="left"/>
        <w:rPr/>
      </w:pPr>
      <w:r>
        <w:rPr/>
      </w:r>
    </w:p>
    <w:p>
      <w:pPr>
        <w:pStyle w:val="Titre2"/>
        <w:numPr>
          <w:ilvl w:val="1"/>
          <w:numId w:val="1"/>
        </w:numPr>
        <w:jc w:val="left"/>
        <w:rPr/>
      </w:pPr>
      <w:bookmarkStart w:id="82" w:name="__RefHeading___Toc86487_2514204080"/>
      <w:bookmarkEnd w:id="82"/>
      <w:r>
        <w:rPr/>
        <w:t>Szennyezés, fenntarthatóság és tartósság</w:t>
      </w:r>
    </w:p>
    <w:p>
      <w:pPr>
        <w:pStyle w:val="Normal"/>
        <w:jc w:val="left"/>
        <w:rPr/>
      </w:pPr>
      <w:r>
        <w:rPr/>
        <w:t>A hozzászólók több esetben a digitalizációt egy fenntarthatóbb társadalomhoz kötik. Felhívást fogalmaztak meg például egy digitális termékútlevél bevezetésére a helyi fogyasztás és a körforgásos gazdaság előmozdítása érdekében, amely QR-kódokon keresztül érhető el, amely információkat tartalmaz a termék eredetéről, összetételéről, környezeti hatásáról, újrafeldolgozásáról és végső kezeléséről (lásd az</w:t>
      </w:r>
      <w:hyperlink r:id="rId1514">
        <w:r>
          <w:rPr>
            <w:rStyle w:val="LienInternet"/>
          </w:rPr>
          <w:t xml:space="preserve"> </w:t>
        </w:r>
      </w:hyperlink>
      <w:hyperlink r:id="rId1515">
        <w:r>
          <w:rPr>
            <w:rStyle w:val="LienInternet"/>
          </w:rPr>
          <w:t>ötletet)</w:t>
        </w:r>
      </w:hyperlink>
      <w:r>
        <w:rPr/>
        <w:t xml:space="preserve">. </w:t>
      </w:r>
    </w:p>
    <w:p>
      <w:pPr>
        <w:pStyle w:val="Normal"/>
        <w:jc w:val="left"/>
        <w:rPr/>
      </w:pPr>
      <w:r>
        <w:rPr/>
        <w:t xml:space="preserve">Van azonban egy fogás, mivel a digitalizáció többek között a szennyezéshez is hozzájárul. Ennek ellensúlyozása érdekében a hozzászólók a digitalizáció környezeti hatásaival kapcsolatos fokozott kutatás mellett fenntartható digitalizációt szorgalmaznak, és tájékoztatják a fogyasztókat a digitális termékek környezeti hatásairól (lásd például az </w:t>
      </w:r>
      <w:hyperlink r:id="rId1516">
        <w:r>
          <w:rPr>
            <w:rStyle w:val="LienInternet"/>
          </w:rPr>
          <w:t xml:space="preserve">ötletet </w:t>
        </w:r>
      </w:hyperlink>
      <w:r>
        <w:rPr/>
        <w:t xml:space="preserve">és az </w:t>
      </w:r>
      <w:hyperlink r:id="rId1517">
        <w:r>
          <w:rPr>
            <w:rStyle w:val="LienInternet"/>
          </w:rPr>
          <w:t>eseményt)</w:t>
        </w:r>
      </w:hyperlink>
      <w:r>
        <w:rPr/>
        <w:t xml:space="preserve">. A fenntartható gyártásra vonatkozó javaslatok például az adatközpontok zöldebb zöldebbé tételére irányuló felhívással (lásd az </w:t>
      </w:r>
      <w:hyperlink r:id="rId1518">
        <w:r>
          <w:rPr>
            <w:rStyle w:val="LienInternet"/>
          </w:rPr>
          <w:t>ötletet)</w:t>
        </w:r>
      </w:hyperlink>
      <w:r>
        <w:rPr/>
        <w:t xml:space="preserve">, vagy az újrafeldolgozott elektronikus hulladékkal vagy más fenntartható alternatívákkal előállított új termékek (lásd például az </w:t>
      </w:r>
      <w:hyperlink r:id="rId1519">
        <w:r>
          <w:rPr>
            <w:rStyle w:val="LienInternet"/>
          </w:rPr>
          <w:t xml:space="preserve">ötletet </w:t>
        </w:r>
      </w:hyperlink>
      <w:r>
        <w:rPr/>
        <w:t xml:space="preserve">és az </w:t>
      </w:r>
      <w:hyperlink r:id="rId1520">
        <w:r>
          <w:rPr>
            <w:rStyle w:val="LienInternet"/>
          </w:rPr>
          <w:t>ötletet</w:t>
        </w:r>
      </w:hyperlink>
      <w:r>
        <w:rPr/>
        <w:t xml:space="preserve">). Az ötletek másik ága a digitális hulladék körül forog, például a digitális termékek termékgaranciájának kiterjesztésére szólít fel (lásd az </w:t>
      </w:r>
      <w:hyperlink r:id="rId1521">
        <w:r>
          <w:rPr>
            <w:rStyle w:val="LienInternet"/>
          </w:rPr>
          <w:t>ötletet</w:t>
        </w:r>
      </w:hyperlink>
      <w:r>
        <w:rPr/>
        <w:t>). Emellett hangsúlyt fektetnek a tartós, javítható, tisztességesen és etikusan előállított digitális berendezésekre, amelyeket például alacsonyabb adók mellett lehetne népszerűsíteni (lásd az</w:t>
      </w:r>
      <w:hyperlink r:id="rId1522">
        <w:r>
          <w:rPr>
            <w:rStyle w:val="LienInternet"/>
          </w:rPr>
          <w:t xml:space="preserve"> </w:t>
        </w:r>
      </w:hyperlink>
      <w:hyperlink r:id="rId1523">
        <w:r>
          <w:rPr>
            <w:rStyle w:val="LienInternet"/>
          </w:rPr>
          <w:t>ötletet)</w:t>
        </w:r>
      </w:hyperlink>
      <w:r>
        <w:rPr/>
        <w:t xml:space="preserve">. </w:t>
      </w:r>
    </w:p>
    <w:p>
      <w:pPr>
        <w:pStyle w:val="Normal"/>
        <w:jc w:val="left"/>
        <w:rPr/>
      </w:pPr>
      <w:r>
        <w:rPr/>
        <w:t>Néhány közreműködő arra összpontosít, hogy a fenntarthatóságot és a hozzáférhetőséget ne csak a digitális eszközökre, hanem a digitális infrastruktúrákra is kiterjessze, valamint az intelligens városok fejlesztésére (lásd például az</w:t>
      </w:r>
      <w:hyperlink r:id="rId1524">
        <w:r>
          <w:rPr>
            <w:rStyle w:val="LienInternet"/>
          </w:rPr>
          <w:t xml:space="preserve"> ötletet</w:t>
        </w:r>
      </w:hyperlink>
      <w:r>
        <w:rPr/>
        <w:t>). E tekintetben az ötletek egy másik kategóriája az elérhető és fenntartható technológiák fejlesztésének előmozdítását javasolja az alacsony technológiai megoldásokba való beruházás révén (lásd az</w:t>
      </w:r>
      <w:hyperlink r:id="rId1525">
        <w:r>
          <w:rPr>
            <w:rStyle w:val="LienInternet"/>
          </w:rPr>
          <w:t xml:space="preserve"> </w:t>
        </w:r>
      </w:hyperlink>
      <w:hyperlink r:id="rId1526">
        <w:r>
          <w:rPr>
            <w:rStyle w:val="LienInternet"/>
          </w:rPr>
          <w:t>ötletet)</w:t>
        </w:r>
      </w:hyperlink>
      <w:r>
        <w:rPr/>
        <w:t>.</w:t>
      </w:r>
    </w:p>
    <w:p>
      <w:pPr>
        <w:pStyle w:val="Normal"/>
        <w:jc w:val="left"/>
        <w:rPr/>
      </w:pPr>
      <w:r>
        <w:rPr/>
      </w:r>
    </w:p>
    <w:p>
      <w:pPr>
        <w:pStyle w:val="Titre2"/>
        <w:numPr>
          <w:ilvl w:val="1"/>
          <w:numId w:val="1"/>
        </w:numPr>
        <w:jc w:val="left"/>
        <w:rPr/>
      </w:pPr>
      <w:bookmarkStart w:id="83" w:name="__RefHeading___Toc86489_2514204080"/>
      <w:bookmarkEnd w:id="83"/>
      <w:r>
        <w:rPr/>
        <w:t>A gazdaság digitalizálása</w:t>
      </w:r>
    </w:p>
    <w:p>
      <w:pPr>
        <w:pStyle w:val="Normal"/>
        <w:jc w:val="left"/>
        <w:rPr/>
      </w:pPr>
      <w:r>
        <w:rPr/>
        <w:t xml:space="preserve">Az erősebb gazdaság, a társadalmi igazságosság és a munkahelyek témájában is kidolgozott témával összhangban számos ötlet teszi szükségessé a digitális gazdaság és az egységes digitális piac alkalmazását (lásd például az </w:t>
      </w:r>
      <w:hyperlink r:id="rId1527">
        <w:r>
          <w:rPr>
            <w:rStyle w:val="LienInternet"/>
          </w:rPr>
          <w:t>ötletet</w:t>
        </w:r>
      </w:hyperlink>
      <w:r>
        <w:rPr/>
        <w:t>). A hozzászólók például megvitatták az uniós blokklánc-platform megvalósítását (lásd például az</w:t>
      </w:r>
      <w:hyperlink r:id="rId1528">
        <w:r>
          <w:rPr>
            <w:rStyle w:val="LienInternet"/>
          </w:rPr>
          <w:t xml:space="preserve"> ötletet </w:t>
        </w:r>
      </w:hyperlink>
      <w:r>
        <w:rPr/>
        <w:t>és az</w:t>
      </w:r>
      <w:hyperlink r:id="rId1529">
        <w:r>
          <w:rPr>
            <w:rStyle w:val="LienInternet"/>
          </w:rPr>
          <w:t xml:space="preserve"> ötletet)</w:t>
        </w:r>
      </w:hyperlink>
      <w:r>
        <w:rPr/>
        <w:t xml:space="preserve">. Az e-kereskedelmet előmozdító digitális egységes piaci program, valamint a kkv-k digitális eszközök és fejlett technológiák használatára való képességének növelésére irányuló elképzelés szintén említésre kerül (lásd az </w:t>
      </w:r>
      <w:hyperlink r:id="rId1530">
        <w:r>
          <w:rPr>
            <w:rStyle w:val="LienInternet"/>
          </w:rPr>
          <w:t>ötletet</w:t>
        </w:r>
      </w:hyperlink>
      <w:r>
        <w:rPr/>
        <w:t xml:space="preserve">). </w:t>
      </w:r>
    </w:p>
    <w:p>
      <w:pPr>
        <w:pStyle w:val="Normal"/>
        <w:jc w:val="left"/>
        <w:rPr/>
      </w:pPr>
      <w:r>
        <w:rPr/>
        <w:t xml:space="preserve">Más közreműködők a kriptovalutákról is tárgyalnak, és kérik a kormányoktól, hogy kriptovalutákat fogadjanak el a digitális és gazdaságilag aktív társadalom javára és fejlesztésére (lásd például az </w:t>
      </w:r>
      <w:hyperlink r:id="rId1531">
        <w:r>
          <w:rPr>
            <w:rStyle w:val="LienInternet"/>
          </w:rPr>
          <w:t>ötletet</w:t>
        </w:r>
      </w:hyperlink>
      <w:r>
        <w:rPr/>
        <w:t xml:space="preserve">), vagy európai kriptovalutát szorgalmaznak (lásd az </w:t>
      </w:r>
      <w:hyperlink r:id="rId1532">
        <w:r>
          <w:rPr>
            <w:rStyle w:val="LienInternet"/>
          </w:rPr>
          <w:t>ötletet</w:t>
        </w:r>
      </w:hyperlink>
      <w:r>
        <w:rPr/>
        <w:t>). A platformon a kriptovaluták szabályozásának vagy betiltásának szükségességét tárgyaló ellenérvek is felvetődnek (lásd például az</w:t>
      </w:r>
      <w:hyperlink r:id="rId1533">
        <w:r>
          <w:rPr>
            <w:rStyle w:val="LienInternet"/>
          </w:rPr>
          <w:t xml:space="preserve"> </w:t>
        </w:r>
      </w:hyperlink>
      <w:hyperlink r:id="rId1534">
        <w:r>
          <w:rPr>
            <w:rStyle w:val="LienInternet"/>
          </w:rPr>
          <w:t>ötletet</w:t>
        </w:r>
      </w:hyperlink>
      <w:r>
        <w:rPr/>
        <w:t xml:space="preserve">). </w:t>
      </w:r>
    </w:p>
    <w:p>
      <w:pPr>
        <w:pStyle w:val="Normal"/>
        <w:jc w:val="left"/>
        <w:rPr/>
      </w:pPr>
      <w:r>
        <w:rPr/>
        <w:t>Emellett számos ötlet támogatja a digitális euró biztonságos és kényelmes fizetési módként történő bevezetését (lásd például az</w:t>
      </w:r>
      <w:hyperlink r:id="rId1535">
        <w:r>
          <w:rPr>
            <w:rStyle w:val="LienInternet"/>
          </w:rPr>
          <w:t xml:space="preserve"> </w:t>
        </w:r>
      </w:hyperlink>
      <w:hyperlink r:id="rId1536">
        <w:r>
          <w:rPr>
            <w:rStyle w:val="LienInternet"/>
          </w:rPr>
          <w:t>ötletet</w:t>
        </w:r>
      </w:hyperlink>
      <w:r>
        <w:rPr/>
        <w:t xml:space="preserve">). </w:t>
      </w:r>
    </w:p>
    <w:p>
      <w:pPr>
        <w:pStyle w:val="Normal"/>
        <w:jc w:val="left"/>
        <w:rPr/>
      </w:pPr>
      <w:r>
        <w:rPr/>
        <w:t>Egy másik ötletcsoport ösztönzi a beruházásokat és az európai digitális piac versenyképességének fokozását azáltal, hogy előmozdítja a kis- és középvállalkozások (kkv-k) digitalizációs stratégiáját (lásd például az</w:t>
      </w:r>
      <w:hyperlink r:id="rId1537">
        <w:r>
          <w:rPr>
            <w:rStyle w:val="LienInternet"/>
          </w:rPr>
          <w:t xml:space="preserve"> </w:t>
        </w:r>
      </w:hyperlink>
      <w:hyperlink r:id="rId1538">
        <w:r>
          <w:rPr>
            <w:rStyle w:val="LienInternet"/>
          </w:rPr>
          <w:t>ötletet</w:t>
        </w:r>
      </w:hyperlink>
      <w:r>
        <w:rPr/>
        <w:t xml:space="preserve">), és javítja az induló vállalkozások piaci feltételeit az európai digitális infrastruktúrák keretében (lásd az </w:t>
      </w:r>
      <w:hyperlink r:id="rId1539">
        <w:r>
          <w:rPr>
            <w:rStyle w:val="LienInternet"/>
          </w:rPr>
          <w:t>ötletet)</w:t>
        </w:r>
      </w:hyperlink>
      <w:r>
        <w:rPr/>
        <w:t>. Ehhez kapcsolódóan egy hozzászóló megvitatja a gazdaság fokozott digitalizálását a digitális bevételek, a digitális tranzakciók egyszerűsítése és a telefonon elérhetőbb online banki szolgáltatások révén (lásd az</w:t>
      </w:r>
      <w:hyperlink r:id="rId1540">
        <w:r>
          <w:rPr>
            <w:rStyle w:val="LienInternet"/>
          </w:rPr>
          <w:t xml:space="preserve"> </w:t>
        </w:r>
      </w:hyperlink>
      <w:hyperlink r:id="rId1541">
        <w:r>
          <w:rPr>
            <w:rStyle w:val="LienInternet"/>
          </w:rPr>
          <w:t>ötletet</w:t>
        </w:r>
      </w:hyperlink>
      <w:r>
        <w:rPr/>
        <w:t>).</w:t>
      </w:r>
    </w:p>
    <w:p>
      <w:pPr>
        <w:pStyle w:val="Normal"/>
        <w:jc w:val="left"/>
        <w:rPr/>
      </w:pPr>
      <w:r>
        <w:rPr/>
      </w:r>
    </w:p>
    <w:p>
      <w:pPr>
        <w:pStyle w:val="Titre2"/>
        <w:numPr>
          <w:ilvl w:val="1"/>
          <w:numId w:val="1"/>
        </w:numPr>
        <w:jc w:val="left"/>
        <w:rPr/>
      </w:pPr>
      <w:bookmarkStart w:id="84" w:name="__RefHeading___Toc86491_2514204080"/>
      <w:bookmarkEnd w:id="84"/>
      <w:r>
        <w:rPr/>
        <w:t>Digitális egészség</w:t>
      </w:r>
    </w:p>
    <w:p>
      <w:pPr>
        <w:pStyle w:val="Normal"/>
        <w:jc w:val="left"/>
        <w:rPr/>
      </w:pPr>
      <w:r>
        <w:rPr/>
        <w:t xml:space="preserve">A digitális egészségügy témájában a platformon szereplő számos ötlet konkrét intézkedéseket javasol a polgárok egészségének javítására a digitális világban, például a munkavállalóknak a munkából való kimaradáshoz való jogát (lásd az </w:t>
      </w:r>
      <w:hyperlink r:id="rId1542">
        <w:r>
          <w:rPr>
            <w:rStyle w:val="LienInternet"/>
          </w:rPr>
          <w:t>ötletet)</w:t>
        </w:r>
      </w:hyperlink>
      <w:r>
        <w:rPr/>
        <w:t xml:space="preserve">, a közösségi média szabadnapjának bevezetését (lásd az </w:t>
      </w:r>
      <w:hyperlink r:id="rId1543">
        <w:r>
          <w:rPr>
            <w:rStyle w:val="LienInternet"/>
          </w:rPr>
          <w:t>ötletet)</w:t>
        </w:r>
      </w:hyperlink>
      <w:r>
        <w:rPr/>
        <w:t xml:space="preserve">, a mentális egészséget (lásd az </w:t>
      </w:r>
      <w:hyperlink r:id="rId1544">
        <w:r>
          <w:rPr>
            <w:rStyle w:val="LienInternet"/>
          </w:rPr>
          <w:t>ötletet)</w:t>
        </w:r>
      </w:hyperlink>
      <w:r>
        <w:rPr/>
        <w:t xml:space="preserve">, vagy a fiatalok digitális képzésének elősegítését a technológia egészséges és tudatos használatának előmozdítása érdekében. </w:t>
      </w:r>
    </w:p>
    <w:p>
      <w:pPr>
        <w:pStyle w:val="Normal"/>
        <w:jc w:val="left"/>
        <w:rPr/>
      </w:pPr>
      <w:r>
        <w:rPr/>
        <w:t>E tekintetben az egyik hozzászóló a számítógépes és videojátékok, különösen a gyermekeket célzó (és a gyermekek körében népszerű) játékok fokozott szabályozására szólít fel, mivel egyesek többek között szerencsejáték-mintákat vezethetnek be (lásd az</w:t>
      </w:r>
      <w:hyperlink r:id="rId1545">
        <w:r>
          <w:rPr>
            <w:rStyle w:val="LienInternet"/>
          </w:rPr>
          <w:t xml:space="preserve"> </w:t>
        </w:r>
      </w:hyperlink>
      <w:hyperlink r:id="rId1546">
        <w:r>
          <w:rPr>
            <w:rStyle w:val="LienInternet"/>
          </w:rPr>
          <w:t>ötletet)</w:t>
        </w:r>
      </w:hyperlink>
      <w:r>
        <w:rPr/>
        <w:t xml:space="preserve">. </w:t>
      </w:r>
    </w:p>
    <w:p>
      <w:pPr>
        <w:pStyle w:val="Normal"/>
        <w:jc w:val="left"/>
        <w:rPr/>
      </w:pPr>
      <w:r>
        <w:rPr/>
        <w:t xml:space="preserve">Az egészségügy témájában szintén vitatják meg az EU-n belüli digitális egészségügyi integrációt (lásd például az </w:t>
      </w:r>
      <w:hyperlink r:id="rId1547">
        <w:r>
          <w:rPr>
            <w:rStyle w:val="LienInternet"/>
          </w:rPr>
          <w:t>ötletet)</w:t>
        </w:r>
      </w:hyperlink>
      <w:r>
        <w:rPr/>
        <w:t xml:space="preserve">, vagy digitális európai egészségbiztosítási kártyát vezetnek be (lásd például az </w:t>
      </w:r>
      <w:hyperlink r:id="rId1548">
        <w:r>
          <w:rPr>
            <w:rStyle w:val="LienInternet"/>
          </w:rPr>
          <w:t>ötletet</w:t>
        </w:r>
      </w:hyperlink>
      <w:r>
        <w:rPr/>
        <w:t xml:space="preserve">). Részletesebb ötletek, javasolják, hogy hozzanak létre egy egységes platformot az elektronikus egészségügy kezelésére, ami különösen érdekes lenne a határokon átnyúló mobilitási lehetőségeket kihasználó európaiak számára (lásd például az </w:t>
      </w:r>
      <w:hyperlink r:id="rId1549">
        <w:r>
          <w:rPr>
            <w:rStyle w:val="LienInternet"/>
          </w:rPr>
          <w:t>ötletet</w:t>
        </w:r>
      </w:hyperlink>
      <w:r>
        <w:rPr/>
        <w:t xml:space="preserve">). Ez utóbbi elképzelést kiterjesztették az uniós elektronikus tanúsítványok létrehozására (lásd például az </w:t>
      </w:r>
      <w:hyperlink r:id="rId1550">
        <w:r>
          <w:rPr>
            <w:rStyle w:val="LienInternet"/>
          </w:rPr>
          <w:t>ötletet</w:t>
        </w:r>
      </w:hyperlink>
      <w:r>
        <w:rPr/>
        <w:t>). A kommentátorok azonban gyakran aggodalmukat fejezik ki a magánélet és az adatvédelem tekintetében. Az európai digitális egészségügyi platform ötletét gyakran tárgyalják a Covid19-oltásokkal és a zöld útlevéllel kapcsolatban (lásd például az</w:t>
      </w:r>
      <w:hyperlink r:id="rId1551">
        <w:r>
          <w:rPr>
            <w:rStyle w:val="LienInternet"/>
          </w:rPr>
          <w:t xml:space="preserve"> </w:t>
        </w:r>
      </w:hyperlink>
      <w:hyperlink r:id="rId1552">
        <w:r>
          <w:rPr>
            <w:rStyle w:val="LienInternet"/>
          </w:rPr>
          <w:t>ötletet</w:t>
        </w:r>
      </w:hyperlink>
      <w:r>
        <w:rPr/>
        <w:t>).</w:t>
      </w:r>
    </w:p>
    <w:p>
      <w:pPr>
        <w:pStyle w:val="Normal"/>
        <w:jc w:val="left"/>
        <w:rPr/>
      </w:pPr>
      <w:r>
        <w:rPr/>
      </w:r>
    </w:p>
    <w:p>
      <w:pPr>
        <w:pStyle w:val="Titre2"/>
        <w:numPr>
          <w:ilvl w:val="1"/>
          <w:numId w:val="1"/>
        </w:numPr>
        <w:jc w:val="left"/>
        <w:rPr/>
      </w:pPr>
      <w:bookmarkStart w:id="85" w:name="__RefHeading___Toc86493_2514204080"/>
      <w:bookmarkEnd w:id="85"/>
      <w:r>
        <w:rPr/>
        <w:t>Új ötletek az elmúlt időszakban (21/02/2022–09/05/2022)</w:t>
      </w:r>
    </w:p>
    <w:p>
      <w:pPr>
        <w:pStyle w:val="Normal"/>
        <w:jc w:val="left"/>
        <w:rPr/>
      </w:pPr>
      <w:r>
        <w:rPr/>
        <w:t xml:space="preserve">A digitális átalakulás témájában a közelmúltban bemutatott elképzelések összhangban voltak a fentiekben kiemeltekkel. </w:t>
      </w:r>
    </w:p>
    <w:p>
      <w:pPr>
        <w:pStyle w:val="Normal"/>
        <w:jc w:val="left"/>
        <w:rPr/>
      </w:pPr>
      <w:r>
        <w:rPr/>
        <w:t xml:space="preserve">A leggyakrabban felvetett elképzelések között szerepelt az internethez való egyenlő hozzáférés biztosításának és a demokratikus digitalizáció biztosításának jelentősége Európa-szerte. Az oktatást a digitalizáció egyik fő mozgatórugójának tekintik (lásd például az </w:t>
      </w:r>
      <w:hyperlink r:id="rId1553">
        <w:r>
          <w:rPr>
            <w:rStyle w:val="LienInternet"/>
          </w:rPr>
          <w:t>ötletet)</w:t>
        </w:r>
      </w:hyperlink>
      <w:r>
        <w:rPr/>
        <w:t>. Az uniós szintű szakpolitikák által támogatott, hatékony európai intézményi és jogi kereten belüli technológiai innovációt általában úgy tekintik, mint az európai társadalom tisztességes és inkluzív digitalizációjának támogatását (lásd például az</w:t>
      </w:r>
      <w:hyperlink r:id="rId1554">
        <w:r>
          <w:rPr>
            <w:rStyle w:val="LienInternet"/>
          </w:rPr>
          <w:t xml:space="preserve"> </w:t>
        </w:r>
      </w:hyperlink>
      <w:hyperlink r:id="rId1555">
        <w:r>
          <w:rPr>
            <w:rStyle w:val="LienInternet"/>
          </w:rPr>
          <w:t>ötletet)</w:t>
        </w:r>
      </w:hyperlink>
      <w:r>
        <w:rPr/>
        <w:t xml:space="preserve">. </w:t>
      </w:r>
    </w:p>
    <w:p>
      <w:pPr>
        <w:pStyle w:val="Normal"/>
        <w:jc w:val="left"/>
        <w:rPr/>
      </w:pPr>
      <w:r>
        <w:rPr/>
        <w:t xml:space="preserve">A mesterséges intelligenciáról szóló, fent említett magyarországi munkaértekezlet számos javaslatot eredményezett, mint például a mesterséges intelligencia használatának kiterjesztésének lehetősége egy másik visszatérő javaslat volt (lásd az </w:t>
      </w:r>
      <w:hyperlink r:id="rId1556">
        <w:r>
          <w:rPr>
            <w:rStyle w:val="LienInternet"/>
          </w:rPr>
          <w:t>ötletet</w:t>
        </w:r>
      </w:hyperlink>
      <w:r>
        <w:rPr/>
        <w:t xml:space="preserve">), és megemlítették a mesterséges intelligencia használatának szabályozására szolgáló jogi és intézményi keret létrehozását is (lásd az </w:t>
      </w:r>
      <w:hyperlink r:id="rId1557">
        <w:r>
          <w:rPr>
            <w:rStyle w:val="LienInternet"/>
          </w:rPr>
          <w:t>ötletet</w:t>
        </w:r>
      </w:hyperlink>
      <w:r>
        <w:rPr/>
        <w:t>). Egy másik bulgáriai esemény szintén megvitatta a szabályozás szükségességét (lásd az</w:t>
      </w:r>
      <w:hyperlink r:id="rId1558">
        <w:r>
          <w:rPr>
            <w:rStyle w:val="LienInternet"/>
          </w:rPr>
          <w:t xml:space="preserve"> </w:t>
        </w:r>
      </w:hyperlink>
      <w:hyperlink r:id="rId1559">
        <w:r>
          <w:rPr>
            <w:rStyle w:val="LienInternet"/>
          </w:rPr>
          <w:t>ötletet)</w:t>
        </w:r>
      </w:hyperlink>
      <w:r>
        <w:rPr/>
        <w:t xml:space="preserve">. </w:t>
      </w:r>
    </w:p>
    <w:p>
      <w:pPr>
        <w:pStyle w:val="Normal"/>
        <w:jc w:val="left"/>
        <w:rPr/>
      </w:pPr>
      <w:r>
        <w:rPr/>
        <w:t>A technológiai innovációt támogató ötletek mellett számos hozzászólás nagyobb online biztonságra szólít fel, különösen a személyes adatok gyűjtése és felhasználása tekintetében (lásd például az</w:t>
      </w:r>
      <w:hyperlink r:id="rId1560">
        <w:r>
          <w:rPr>
            <w:rStyle w:val="LienInternet"/>
          </w:rPr>
          <w:t xml:space="preserve"> </w:t>
        </w:r>
      </w:hyperlink>
      <w:hyperlink r:id="rId1561">
        <w:r>
          <w:rPr>
            <w:rStyle w:val="LienInternet"/>
          </w:rPr>
          <w:t>ötletet</w:t>
        </w:r>
      </w:hyperlink>
      <w:r>
        <w:rPr/>
        <w:t xml:space="preserve">). E tekintetben megvitatták a digitális szuverenitás témáját annak biztosítása érdekében, hogy az európai értékek, különösen a magánélethez való jog tiszteletben tartása megvalósuljon (lásd az </w:t>
      </w:r>
      <w:hyperlink r:id="rId1562">
        <w:r>
          <w:rPr>
            <w:rStyle w:val="LienInternet"/>
          </w:rPr>
          <w:t>ötletet</w:t>
        </w:r>
      </w:hyperlink>
      <w:r>
        <w:rPr/>
        <w:t>).</w:t>
      </w:r>
    </w:p>
    <w:p>
      <w:pPr>
        <w:pStyle w:val="Normal"/>
        <w:jc w:val="left"/>
        <w:rPr/>
      </w:pPr>
      <w:r>
        <w:rPr/>
      </w:r>
    </w:p>
    <w:p>
      <w:pPr>
        <w:sectPr>
          <w:headerReference w:type="default" r:id="rId1563"/>
          <w:footerReference w:type="default" r:id="rId1564"/>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Normal"/>
        <w:jc w:val="left"/>
        <w:rPr/>
      </w:pPr>
      <w:r>
        <w:rPr/>
      </w:r>
      <w:r>
        <w:br w:type="page"/>
      </w:r>
    </w:p>
    <w:p>
      <w:pPr>
        <w:pStyle w:val="Normal"/>
        <w:rPr/>
      </w:pPr>
      <w:r>
        <w:rPr/>
        <mc:AlternateContent>
          <mc:Choice Requires="wps">
            <w:drawing>
              <wp:anchor behindDoc="0" distT="0" distB="0" distL="0" distR="0" simplePos="0" locked="0" layoutInCell="0" allowOverlap="1" relativeHeight="117">
                <wp:simplePos x="0" y="0"/>
                <wp:positionH relativeFrom="column">
                  <wp:posOffset>48895</wp:posOffset>
                </wp:positionH>
                <wp:positionV relativeFrom="paragraph">
                  <wp:posOffset>113665</wp:posOffset>
                </wp:positionV>
                <wp:extent cx="9109075" cy="5502275"/>
                <wp:effectExtent l="0" t="0" r="0" b="0"/>
                <wp:wrapTopAndBottom/>
                <wp:docPr id="90" name="Cadre21"/>
                <a:graphic xmlns:a="http://schemas.openxmlformats.org/drawingml/2006/main">
                  <a:graphicData uri="http://schemas.microsoft.com/office/word/2010/wordprocessingShape">
                    <wps:wsp>
                      <wps:cNvSpPr/>
                      <wps:spPr>
                        <a:xfrm>
                          <a:off x="0" y="0"/>
                          <a:ext cx="9109080" cy="550224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Ábra. Elmetérkép „Digitális átalakulás” téma 1. rész</w:t>
                            </w:r>
                          </w:p>
                        </w:txbxContent>
                      </wps:txbx>
                      <wps:bodyPr lIns="0" rIns="0" tIns="0" bIns="0" anchor="t">
                        <a:noAutofit/>
                      </wps:bodyPr>
                    </wps:wsp>
                  </a:graphicData>
                </a:graphic>
              </wp:anchor>
            </w:drawing>
          </mc:Choice>
          <mc:Fallback>
            <w:pict>
              <v:rect id="shape_0" ID="Cadre21" path="m0,0l-2147483645,0l-2147483645,-2147483646l0,-2147483646xe" fillcolor="white" stroked="f" o:allowincell="f" style="position:absolute;margin-left:3.85pt;margin-top:8.95pt;width:717.2pt;height:433.2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Ábra. Elmetérkép „Digitális átalakulás” téma 1. rész</w:t>
                      </w:r>
                    </w:p>
                  </w:txbxContent>
                </v:textbox>
                <w10:wrap type="topAndBottom"/>
              </v:rect>
            </w:pict>
          </mc:Fallback>
        </mc:AlternateContent>
        <mc:AlternateContent>
          <mc:Choice Requires="wpg">
            <w:drawing>
              <wp:anchor behindDoc="0" distT="0" distB="0" distL="0" distR="0" simplePos="0" locked="0" layoutInCell="0" allowOverlap="1" relativeHeight="119">
                <wp:simplePos x="0" y="0"/>
                <wp:positionH relativeFrom="column">
                  <wp:align>center</wp:align>
                </wp:positionH>
                <wp:positionV relativeFrom="paragraph">
                  <wp:posOffset>409575</wp:posOffset>
                </wp:positionV>
                <wp:extent cx="8354695" cy="4917440"/>
                <wp:effectExtent l="0" t="635" r="0" b="0"/>
                <wp:wrapTopAndBottom/>
                <wp:docPr id="92" name="Forme15-ösök"/>
                <a:graphic xmlns:a="http://schemas.openxmlformats.org/drawingml/2006/main">
                  <a:graphicData uri="http://schemas.microsoft.com/office/word/2010/wordprocessingGroup">
                    <wpg:wgp>
                      <wpg:cNvGrpSpPr/>
                      <wpg:grpSpPr>
                        <a:xfrm>
                          <a:off x="0" y="0"/>
                          <a:ext cx="8354520" cy="4917600"/>
                          <a:chOff x="0" y="0"/>
                          <a:chExt cx="8354520" cy="4917600"/>
                        </a:xfrm>
                      </wpg:grpSpPr>
                      <wpg:grpSp>
                        <wpg:cNvGrpSpPr/>
                        <wpg:grpSpPr>
                          <a:xfrm>
                            <a:off x="6143040" y="1675080"/>
                            <a:ext cx="2144880" cy="1566000"/>
                          </a:xfrm>
                        </wpg:grpSpPr>
                        <pic:pic xmlns:pic="http://schemas.openxmlformats.org/drawingml/2006/picture">
                          <pic:nvPicPr>
                            <pic:cNvPr id="19" name="" descr=""/>
                            <pic:cNvPicPr/>
                          </pic:nvPicPr>
                          <pic:blipFill>
                            <a:blip r:embed="rId1565"/>
                            <a:stretch/>
                          </pic:blipFill>
                          <pic:spPr>
                            <a:xfrm>
                              <a:off x="232200" y="0"/>
                              <a:ext cx="992520" cy="720720"/>
                            </a:xfrm>
                            <a:prstGeom prst="rect">
                              <a:avLst/>
                            </a:prstGeom>
                            <a:ln w="0">
                              <a:noFill/>
                            </a:ln>
                          </pic:spPr>
                        </pic:pic>
                        <wps:wsp>
                          <wps:cNvSpPr/>
                          <wps:spPr>
                            <a:xfrm>
                              <a:off x="0" y="772920"/>
                              <a:ext cx="2144880" cy="79308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Digitális transzformáció</w:t>
                                </w:r>
                              </w:p>
                            </w:txbxContent>
                          </wps:txbx>
                          <wps:bodyPr lIns="90000" rIns="90000" tIns="45000" bIns="45000" anchor="t">
                            <a:noAutofit/>
                          </wps:bodyPr>
                        </wps:wsp>
                      </wpg:grpSp>
                      <wpg:grpSp>
                        <wpg:cNvGrpSpPr/>
                        <wpg:grpSpPr>
                          <a:xfrm>
                            <a:off x="9360" y="419040"/>
                            <a:ext cx="2730600" cy="1743120"/>
                          </a:xfrm>
                        </wpg:grpSpPr>
                        <wps:wsp>
                          <wps:cNvSpPr/>
                          <wps:spPr>
                            <a:xfrm>
                              <a:off x="0" y="0"/>
                              <a:ext cx="273060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Digitális szuverenitás és etika</w:t>
                                </w:r>
                              </w:p>
                            </w:txbxContent>
                          </wps:txbx>
                          <wps:bodyPr lIns="90000" rIns="90000" tIns="45000" bIns="45000" anchor="t">
                            <a:noAutofit/>
                          </wps:bodyPr>
                        </wps:wsp>
                        <wps:wsp>
                          <wps:cNvSpPr/>
                          <wps:spPr>
                            <a:xfrm>
                              <a:off x="0" y="470520"/>
                              <a:ext cx="2730600" cy="12726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Beruházás az innovációba, a hardverek és szoftverek fejlesztésébe és gyártásába az EU-ban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Etikus közösségimédia-platformok kialakítása az európai értékekkel és normákkal összhangban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 fokozott függetlensége a digitális ügyekben, kötelező érvényű normákkal a digitális monopóliumok megszüntetése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Befektetés nyílt forráskódú szoftverekbe </w:t>
                                </w:r>
                              </w:p>
                            </w:txbxContent>
                          </wps:txbx>
                          <wps:bodyPr lIns="90000" rIns="90000" tIns="45000" bIns="45000" anchor="t">
                            <a:noAutofit/>
                          </wps:bodyPr>
                        </wps:wsp>
                      </wpg:grpSp>
                      <wpg:grpSp>
                        <wpg:cNvGrpSpPr/>
                        <wpg:grpSpPr>
                          <a:xfrm>
                            <a:off x="3162240" y="522720"/>
                            <a:ext cx="2118240" cy="1816200"/>
                          </a:xfrm>
                        </wpg:grpSpPr>
                        <wps:wsp>
                          <wps:cNvSpPr/>
                          <wps:spPr>
                            <a:xfrm>
                              <a:off x="0" y="280440"/>
                              <a:ext cx="2118240" cy="15354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Valamennyi tagállam digitális fejlődésének biztosítása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jogszabályok aktualizálása a társadalom fokozódó digitalizációjának fényében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digitális szavazás ösztönzése elektronikus szavazási rendszerekkel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Uniós blokklánc-platform létrehozása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Társadalmunk digitalizációjának negatív következményeinek vizsgálata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Beruházás a digitalizációba, például a mesterséges intelligenciába </w:t>
                                </w:r>
                              </w:p>
                            </w:txbxContent>
                          </wps:txbx>
                          <wps:bodyPr lIns="90000" rIns="90000" tIns="45000" bIns="45000" anchor="t">
                            <a:noAutofit/>
                          </wps:bodyPr>
                        </wps:wsp>
                        <wps:wsp>
                          <wps:cNvSpPr/>
                          <wps:spPr>
                            <a:xfrm>
                              <a:off x="0" y="0"/>
                              <a:ext cx="208800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társadalom digitalizálása</w:t>
                                </w:r>
                              </w:p>
                            </w:txbxContent>
                          </wps:txbx>
                          <wps:bodyPr lIns="90000" rIns="90000" tIns="45000" bIns="45000" anchor="t">
                            <a:noAutofit/>
                          </wps:bodyPr>
                        </wps:wsp>
                      </wpg:grpSp>
                      <wpg:grpSp>
                        <wpg:cNvGrpSpPr/>
                        <wpg:grpSpPr>
                          <a:xfrm>
                            <a:off x="5655240" y="0"/>
                            <a:ext cx="2699280" cy="1611720"/>
                          </a:xfrm>
                        </wpg:grpSpPr>
                        <wps:wsp>
                          <wps:cNvSpPr/>
                          <wps:spPr>
                            <a:xfrm>
                              <a:off x="68760" y="0"/>
                              <a:ext cx="243144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Oktatás és képzés: digitális készségek</w:t>
                                </w:r>
                              </w:p>
                            </w:txbxContent>
                          </wps:txbx>
                          <wps:bodyPr lIns="90000" rIns="90000" tIns="45000" bIns="45000" anchor="t">
                            <a:noAutofit/>
                          </wps:bodyPr>
                        </wps:wsp>
                        <wps:wsp>
                          <wps:cNvSpPr/>
                          <wps:spPr>
                            <a:xfrm>
                              <a:off x="0" y="470520"/>
                              <a:ext cx="2699280" cy="1141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digitális jártasság növelése az EU-ban.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Beruházás az oktatási rendszer digitalizációjába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digitális készségek fejlesztése az oktatási út mentén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e-tanulás megkönnyítése egy európai távoktatási platform segítségével </w:t>
                                </w:r>
                              </w:p>
                            </w:txbxContent>
                          </wps:txbx>
                          <wps:bodyPr lIns="90000" rIns="90000" tIns="45000" bIns="45000" anchor="t">
                            <a:noAutofit/>
                          </wps:bodyPr>
                        </wps:wsp>
                      </wpg:grpSp>
                      <wpg:grpSp>
                        <wpg:cNvGrpSpPr/>
                        <wpg:grpSpPr>
                          <a:xfrm>
                            <a:off x="0" y="2617560"/>
                            <a:ext cx="2178000" cy="2300040"/>
                          </a:xfrm>
                        </wpg:grpSpPr>
                        <wps:wsp>
                          <wps:cNvSpPr/>
                          <wps:spPr>
                            <a:xfrm>
                              <a:off x="23040" y="0"/>
                              <a:ext cx="201024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Kiberbiztonság</w:t>
                                </w:r>
                              </w:p>
                            </w:txbxContent>
                          </wps:txbx>
                          <wps:bodyPr lIns="90000" rIns="90000" tIns="45000" bIns="45000" anchor="t">
                            <a:noAutofit/>
                          </wps:bodyPr>
                        </wps:wsp>
                        <wps:wsp>
                          <wps:cNvSpPr/>
                          <wps:spPr>
                            <a:xfrm>
                              <a:off x="0" y="238680"/>
                              <a:ext cx="2178000" cy="20613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Uniós szintű együttműködés a kiberbiztonság megerősítése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Független és biztonságosabb nyilvános hálózatok elfogadása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hálózatbiztonság biztosítása az EU-ban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internet biztonságára és teljesítményére vonatkozó minimumkövetelmények elfogadása az IoT-eszközökre vonatkozóan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Európai kiberhadsereg létrehozása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kiberterrorizmus elleni küzdelem jogalkotási intézkedésekkel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Határozottabb uniós álláspont az online platformok szabályozásában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Fokozott fogyasztóvédelem az online környezetben </w:t>
                                </w:r>
                              </w:p>
                            </w:txbxContent>
                          </wps:txbx>
                          <wps:bodyPr lIns="90000" rIns="90000" tIns="45000" bIns="45000" anchor="t">
                            <a:noAutofit/>
                          </wps:bodyPr>
                        </wps:wsp>
                      </wpg:grpSp>
                      <wpg:grpSp>
                        <wpg:cNvGrpSpPr/>
                        <wpg:grpSpPr>
                          <a:xfrm>
                            <a:off x="3116520" y="3063240"/>
                            <a:ext cx="3931920" cy="1666800"/>
                          </a:xfrm>
                        </wpg:grpSpPr>
                        <wps:wsp>
                          <wps:cNvSpPr/>
                          <wps:spPr>
                            <a:xfrm>
                              <a:off x="0" y="0"/>
                              <a:ext cx="2720520" cy="1666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EU digitális egységesítése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irányítás és a közintézmények digitalizálása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Digitális közösségi média portálok létrehozása a polgárok részvétele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Digitális identitás létrehozása az EU számára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szabványok és az e-szolgáltatások harmonizálása olyan közös digitális eszközök elfogadásával, mint például a személyazonosság-szolgáltatóról szóló egységes európai aláírás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Egységes közösségi finanszírozási platform bevezetése az uniós polgárok és vállalkozások számára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Digitális polgárság kiépítése digitális innovációval az EU-ban </w:t>
                                </w:r>
                              </w:p>
                            </w:txbxContent>
                          </wps:txbx>
                          <wps:bodyPr lIns="90000" rIns="90000" tIns="45000" bIns="45000" anchor="t">
                            <a:noAutofit/>
                          </wps:bodyPr>
                        </wps:wsp>
                        <wps:wsp>
                          <wps:cNvSpPr/>
                          <wps:spPr>
                            <a:xfrm>
                              <a:off x="2729160" y="295200"/>
                              <a:ext cx="120276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Európai digitális eszközök</w:t>
                                </w:r>
                              </w:p>
                            </w:txbxContent>
                          </wps:txbx>
                          <wps:bodyPr lIns="90000" rIns="90000" tIns="45000" bIns="45000" anchor="t">
                            <a:noAutofit/>
                          </wps:bodyPr>
                        </wps:wsp>
                      </wpg:grpSp>
                    </wpg:wgp>
                  </a:graphicData>
                </a:graphic>
              </wp:anchor>
            </w:drawing>
          </mc:Choice>
          <mc:Fallback>
            <w:pict>
              <v:group id="shape_0" alt="Forme15-ösök" style="position:absolute;margin-left:35.3pt;margin-top:32.25pt;width:657.8pt;height:387.2pt" coordorigin="706,645" coordsize="13156,7744">
                <v:group id="shape_0" style="position:absolute;left:10380;top:3283;width:3378;height:2466">
                  <v:shape id="shape_0" stroked="f" o:allowincell="f" style="position:absolute;left:10746;top:3283;width:1562;height:1134;mso-wrap-style:none;v-text-anchor:middle;mso-position-horizontal:center" type="_x0000_t75">
                    <v:imagedata r:id="rId1565" o:detectmouseclick="t"/>
                    <v:stroke color="#3465a4" joinstyle="round" endcap="flat"/>
                    <w10:wrap type="topAndBottom"/>
                  </v:shape>
                  <v:rect id="shape_0" path="m0,0l-2147483645,0l-2147483645,-2147483646l0,-2147483646xe" stroked="f" o:allowincell="f" style="position:absolute;left:10380;top:4500;width:3377;height:1248;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Digitális transzformáció</w:t>
                          </w:r>
                        </w:p>
                      </w:txbxContent>
                    </v:textbox>
                    <v:fill o:detectmouseclick="t" on="false"/>
                    <v:stroke color="#3465a4" joinstyle="round" endcap="flat"/>
                    <w10:wrap type="topAndBottom"/>
                  </v:rect>
                </v:group>
                <v:group id="shape_0" style="position:absolute;left:721;top:1305;width:4300;height:2745">
                  <v:rect id="shape_0" path="m0,0l-2147483645,0l-2147483645,-2147483646l0,-2147483646xe" fillcolor="#a3238e" stroked="t" o:allowincell="f" style="position:absolute;left:721;top:1305;width:4299;height:73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Digitális szuverenitás és etika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21;top:2046;width:4299;height:2003;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Beruházás az innovációba, a hardverek és szoftverek fejlesztésébe és gyártásába az EU-ban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Etikus közösségimédia-platformok kialakítása az európai értékekkel és normákkal összhangban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 fokozott függetlensége a digitális ügyekben, kötelező érvényű normákkal a digitális monopóliumok megszüntetése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Befektetés nyílt forráskódú szoftverekbe </w:t>
                          </w:r>
                        </w:p>
                      </w:txbxContent>
                    </v:textbox>
                    <v:fill o:detectmouseclick="t" type="solid" color2="#111111"/>
                    <v:stroke color="#3465a4" joinstyle="round" endcap="flat"/>
                    <w10:wrap type="topAndBottom"/>
                  </v:rect>
                </v:group>
                <v:group id="shape_0" style="position:absolute;left:5686;top:1468;width:3336;height:2859">
                  <v:rect id="shape_0" path="m0,0l-2147483645,0l-2147483645,-2147483646l0,-2147483646xe" fillcolor="#eeeeee" stroked="f" o:allowincell="f" style="position:absolute;left:5686;top:1910;width:3335;height:241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Valamennyi tagállam digitális fejlődésének biztosítása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jogszabályok aktualizálása a társadalom fokozódó digitalizációjának fényében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digitális szavazás ösztönzése elektronikus szavazási rendszerekkel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Uniós blokklánc-platform létrehozása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Társadalmunk digitalizációjának negatív következményeinek vizsgálata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Beruházás a digitalizációba, például a mesterséges intelligenciába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5686;top:1468;width:3287;height:43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társadalom digitalizálása</w:t>
                          </w:r>
                        </w:p>
                      </w:txbxContent>
                    </v:textbox>
                    <v:fill o:detectmouseclick="t" type="solid" color2="#5cdc71"/>
                    <v:stroke color="#3465a4" joinstyle="round" endcap="flat"/>
                    <w10:wrap type="topAndBottom"/>
                  </v:rect>
                </v:group>
                <v:group id="shape_0" style="position:absolute;left:9612;top:645;width:4251;height:2538">
                  <v:rect id="shape_0" path="m0,0l-2147483645,0l-2147483645,-2147483646l0,-2147483646xe" fillcolor="#a3238e" stroked="t" o:allowincell="f" style="position:absolute;left:9720;top:645;width:3828;height:73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Oktatás és képzés: digitális készségek</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612;top:1386;width:4250;height:179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digitális jártasság növelése az EU-ban.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Beruházás az oktatási rendszer digitalizációjába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digitális készségek fejlesztése az oktatási út mentén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e-tanulás megkönnyítése egy európai távoktatási platform segítségével </w:t>
                          </w:r>
                        </w:p>
                      </w:txbxContent>
                    </v:textbox>
                    <v:fill o:detectmouseclick="t" type="solid" color2="#111111"/>
                    <v:stroke color="#3465a4" joinstyle="round" endcap="flat"/>
                    <w10:wrap type="topAndBottom"/>
                  </v:rect>
                </v:group>
                <v:group id="shape_0" style="position:absolute;left:706;top:4767;width:3430;height:3622">
                  <v:rect id="shape_0" path="m0,0l-2147483645,0l-2147483645,-2147483646l0,-2147483646xe" fillcolor="#a3238e" stroked="t" o:allowincell="f" style="position:absolute;left:742;top:4767;width:3165;height:43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Kiberbiztonság</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06;top:5143;width:3429;height:3245;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Uniós szintű együttműködés a kiberbiztonság megerősítése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Független és biztonságosabb nyilvános hálózatok elfogadása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hálózatbiztonság biztosítása az EU-ban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internet biztonságára és teljesítményére vonatkozó minimumkövetelmények elfogadása az IoT-eszközökre vonatkozóan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Európai kiberhadsereg létrehozása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kiberterrorizmus elleni küzdelem jogalkotási intézkedésekkel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Határozottabb uniós álláspont az online platformok szabályozásában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Fokozott fogyasztóvédelem az online környezetben </w:t>
                          </w:r>
                        </w:p>
                      </w:txbxContent>
                    </v:textbox>
                    <v:fill o:detectmouseclick="t" type="solid" color2="#111111"/>
                    <v:stroke color="#3465a4" joinstyle="round" endcap="flat"/>
                    <w10:wrap type="topAndBottom"/>
                  </v:rect>
                </v:group>
                <v:group id="shape_0" style="position:absolute;left:5614;top:5469;width:6192;height:2625">
                  <v:rect id="shape_0" path="m0,0l-2147483645,0l-2147483645,-2147483646l0,-2147483646xe" fillcolor="#eeeeee" stroked="f" o:allowincell="f" style="position:absolute;left:5614;top:5469;width:4283;height:262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EU digitális egységesítése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irányítás és a közintézmények digitalizálása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Digitális közösségi média portálok létrehozása a polgárok részvétele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Digitális identitás létrehozása az EU számára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szabványok és az e-szolgáltatások harmonizálása olyan közös digitális eszközök elfogadásával, mint például a személyazonosság-szolgáltatóról szóló egységes európai aláírás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Egységes közösségi finanszírozási platform bevezetése az uniós polgárok és vállalkozások számára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Digitális polgárság kiépítése digitális innovációval az EU-ban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9912;top:5934;width:1893;height:73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Európai digitális eszközök</w:t>
                          </w:r>
                        </w:p>
                      </w:txbxContent>
                    </v:textbox>
                    <v:fill o:detectmouseclick="t" type="solid" color2="#5cdc71"/>
                    <v:stroke color="#3465a4" joinstyle="round" endcap="flat"/>
                    <w10:wrap type="topAndBottom"/>
                  </v:rect>
                </v:group>
              </v:group>
            </w:pict>
          </mc:Fallback>
        </mc:AlternateContent>
      </w:r>
    </w:p>
    <w:p>
      <w:pPr>
        <w:pStyle w:val="Normal"/>
        <w:jc w:val="left"/>
        <w:rPr/>
      </w:pPr>
      <w:r>
        <w:rPr/>
      </w:r>
    </w:p>
    <w:p>
      <w:pPr>
        <w:pStyle w:val="Normal"/>
        <w:jc w:val="left"/>
        <w:rPr/>
      </w:pPr>
      <w:r>
        <w:rPr/>
        <mc:AlternateContent>
          <mc:Choice Requires="wps">
            <w:drawing>
              <wp:anchor behindDoc="0" distT="0" distB="0" distL="0" distR="0" simplePos="0" locked="0" layoutInCell="0" allowOverlap="1" relativeHeight="120">
                <wp:simplePos x="0" y="0"/>
                <wp:positionH relativeFrom="column">
                  <wp:posOffset>635</wp:posOffset>
                </wp:positionH>
                <wp:positionV relativeFrom="paragraph">
                  <wp:posOffset>72390</wp:posOffset>
                </wp:positionV>
                <wp:extent cx="9186545" cy="5298440"/>
                <wp:effectExtent l="0" t="0" r="0" b="0"/>
                <wp:wrapTopAndBottom/>
                <wp:docPr id="93" name="Cadre22"/>
                <a:graphic xmlns:a="http://schemas.openxmlformats.org/drawingml/2006/main">
                  <a:graphicData uri="http://schemas.microsoft.com/office/word/2010/wordprocessingShape">
                    <wps:wsp>
                      <wps:cNvSpPr/>
                      <wps:spPr>
                        <a:xfrm>
                          <a:off x="0" y="0"/>
                          <a:ext cx="9186480" cy="529848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Ábra. Elmetérkép „Digitális átalakulás” téma 2. rész</w:t>
                            </w:r>
                          </w:p>
                        </w:txbxContent>
                      </wps:txbx>
                      <wps:bodyPr lIns="0" rIns="0" tIns="0" bIns="0" anchor="t">
                        <a:noAutofit/>
                      </wps:bodyPr>
                    </wps:wsp>
                  </a:graphicData>
                </a:graphic>
              </wp:anchor>
            </w:drawing>
          </mc:Choice>
          <mc:Fallback>
            <w:pict>
              <v:rect id="shape_0" ID="Cadre22" path="m0,0l-2147483645,0l-2147483645,-2147483646l0,-2147483646xe" fillcolor="white" stroked="f" o:allowincell="f" style="position:absolute;margin-left:0.05pt;margin-top:5.7pt;width:723.3pt;height:417.1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Ábra. Elmetérkép „Digitális átalakulás” téma 2. rész</w:t>
                      </w:r>
                    </w:p>
                  </w:txbxContent>
                </v:textbox>
                <w10:wrap type="topAndBottom"/>
              </v:rect>
            </w:pict>
          </mc:Fallback>
        </mc:AlternateContent>
        <mc:AlternateContent>
          <mc:Choice Requires="wpg">
            <w:drawing>
              <wp:anchor behindDoc="0" distT="635" distB="0" distL="0" distR="0" simplePos="0" locked="0" layoutInCell="0" allowOverlap="1" relativeHeight="122">
                <wp:simplePos x="0" y="0"/>
                <wp:positionH relativeFrom="column">
                  <wp:posOffset>50800</wp:posOffset>
                </wp:positionH>
                <wp:positionV relativeFrom="paragraph">
                  <wp:posOffset>932180</wp:posOffset>
                </wp:positionV>
                <wp:extent cx="9168130" cy="4175760"/>
                <wp:effectExtent l="0" t="635" r="0" b="0"/>
                <wp:wrapTopAndBottom/>
                <wp:docPr id="95" name="Forme16"/>
                <a:graphic xmlns:a="http://schemas.openxmlformats.org/drawingml/2006/main">
                  <a:graphicData uri="http://schemas.microsoft.com/office/word/2010/wordprocessingGroup">
                    <wpg:wgp>
                      <wpg:cNvGrpSpPr/>
                      <wpg:grpSpPr>
                        <a:xfrm>
                          <a:off x="0" y="0"/>
                          <a:ext cx="9168120" cy="4175640"/>
                          <a:chOff x="0" y="0"/>
                          <a:chExt cx="9168120" cy="4175640"/>
                        </a:xfrm>
                      </wpg:grpSpPr>
                      <wpg:grpSp>
                        <wpg:cNvGrpSpPr/>
                        <wpg:grpSpPr>
                          <a:xfrm>
                            <a:off x="0" y="1550520"/>
                            <a:ext cx="1772280" cy="1489680"/>
                          </a:xfrm>
                        </wpg:grpSpPr>
                        <pic:pic xmlns:pic="http://schemas.openxmlformats.org/drawingml/2006/picture">
                          <pic:nvPicPr>
                            <pic:cNvPr id="20" name="" descr=""/>
                            <pic:cNvPicPr/>
                          </pic:nvPicPr>
                          <pic:blipFill>
                            <a:blip r:embed="rId1566"/>
                            <a:stretch/>
                          </pic:blipFill>
                          <pic:spPr>
                            <a:xfrm>
                              <a:off x="192240" y="0"/>
                              <a:ext cx="820440" cy="870120"/>
                            </a:xfrm>
                            <a:prstGeom prst="rect">
                              <a:avLst/>
                            </a:prstGeom>
                            <a:ln w="0">
                              <a:noFill/>
                            </a:ln>
                          </pic:spPr>
                        </pic:pic>
                        <wps:wsp>
                          <wps:cNvSpPr/>
                          <wps:spPr>
                            <a:xfrm>
                              <a:off x="0" y="931680"/>
                              <a:ext cx="1772280" cy="55800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Digitális transzformáció</w:t>
                                </w:r>
                              </w:p>
                            </w:txbxContent>
                          </wps:txbx>
                          <wps:bodyPr lIns="90000" rIns="90000" tIns="45000" bIns="45000" anchor="t">
                            <a:noAutofit/>
                          </wps:bodyPr>
                        </wps:wsp>
                      </wpg:grpSp>
                      <wpg:grpSp>
                        <wpg:cNvGrpSpPr/>
                        <wpg:grpSpPr>
                          <a:xfrm>
                            <a:off x="34920" y="0"/>
                            <a:ext cx="2549520" cy="1120320"/>
                          </a:xfrm>
                        </wpg:grpSpPr>
                        <wpg:grpSp>
                          <wpg:cNvGrpSpPr/>
                          <wpg:grpSpPr>
                            <a:xfrm>
                              <a:off x="0" y="0"/>
                              <a:ext cx="2549520" cy="1120320"/>
                            </a:xfrm>
                          </wpg:grpSpPr>
                          <wps:wsp>
                            <wps:cNvSpPr/>
                            <wps:spPr>
                              <a:xfrm>
                                <a:off x="36720" y="0"/>
                                <a:ext cx="123300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Digitális adatok</w:t>
                                  </w:r>
                                </w:p>
                              </w:txbxContent>
                            </wps:txbx>
                            <wps:bodyPr lIns="90000" rIns="90000" tIns="45000" bIns="45000" anchor="t">
                              <a:noAutofit/>
                            </wps:bodyPr>
                          </wps:wsp>
                          <wps:wsp>
                            <wps:cNvSpPr/>
                            <wps:spPr>
                              <a:xfrm>
                                <a:off x="0" y="241920"/>
                                <a:ext cx="2549520" cy="8780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adatbiztonság javítása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Érthető jogszabályok biztosítása a digitális adatokra vonatkozóan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adatvédelem további biztosítása a GDPR módosításával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területi alapú tartalomkorlátozás korlátozása vagy betiltása </w:t>
                                  </w:r>
                                </w:p>
                              </w:txbxContent>
                            </wps:txbx>
                            <wps:bodyPr lIns="90000" rIns="90000" tIns="45000" bIns="45000" anchor="t">
                              <a:noAutofit/>
                            </wps:bodyPr>
                          </wps:wsp>
                        </wpg:grpSp>
                      </wpg:grpSp>
                      <wpg:grpSp>
                        <wpg:cNvGrpSpPr/>
                        <wpg:grpSpPr>
                          <a:xfrm>
                            <a:off x="6774120" y="27360"/>
                            <a:ext cx="2247840" cy="1242000"/>
                          </a:xfrm>
                        </wpg:grpSpPr>
                        <wps:wsp>
                          <wps:cNvSpPr/>
                          <wps:spPr>
                            <a:xfrm>
                              <a:off x="28080" y="0"/>
                              <a:ext cx="177156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Digitális gazdaság</w:t>
                                </w:r>
                              </w:p>
                            </w:txbxContent>
                          </wps:txbx>
                          <wps:bodyPr lIns="90000" rIns="90000" tIns="45000" bIns="45000" anchor="t">
                            <a:noAutofit/>
                          </wps:bodyPr>
                        </wps:wsp>
                        <wps:wsp>
                          <wps:cNvSpPr/>
                          <wps:spPr>
                            <a:xfrm>
                              <a:off x="0" y="363960"/>
                              <a:ext cx="2247840" cy="8780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e-kereskedelem előmozdítása az egységes digitális piaccal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Kriptovaluták szabályozása vagy elfogadása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kkv-k digitalizációs stratégiájának előmozdítása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Digitális euró bevezetése </w:t>
                                </w:r>
                              </w:p>
                            </w:txbxContent>
                          </wps:txbx>
                          <wps:bodyPr lIns="90000" rIns="90000" tIns="45000" bIns="45000" anchor="t">
                            <a:noAutofit/>
                          </wps:bodyPr>
                        </wps:wsp>
                      </wpg:grpSp>
                      <wpg:grpSp>
                        <wpg:cNvGrpSpPr/>
                        <wpg:grpSpPr>
                          <a:xfrm>
                            <a:off x="3783960" y="435600"/>
                            <a:ext cx="2698200" cy="1612440"/>
                          </a:xfrm>
                        </wpg:grpSpPr>
                        <wps:wsp>
                          <wps:cNvSpPr/>
                          <wps:spPr>
                            <a:xfrm>
                              <a:off x="0" y="0"/>
                              <a:ext cx="269820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Szennyezés, fenntarthatóság és tartósság</w:t>
                                </w:r>
                              </w:p>
                            </w:txbxContent>
                          </wps:txbx>
                          <wps:bodyPr lIns="90000" rIns="90000" tIns="45000" bIns="45000" anchor="t">
                            <a:noAutofit/>
                          </wps:bodyPr>
                        </wps:wsp>
                        <wps:wsp>
                          <wps:cNvSpPr/>
                          <wps:spPr>
                            <a:xfrm>
                              <a:off x="0" y="470520"/>
                              <a:ext cx="2677680" cy="11415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digitalizáció ösztönzése a szennyezés csökkentése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digitális berendezések gyártásának fenntartható módjainak vizsgálata és támogatása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környezetbarát és etikusan előállított digitális berendezések előmozdítása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Csökkentse a digitális hulladékot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digitális infrastruktúrák, az intelligens városok és az alacsony technológiai technológiák fejlesztésének előmozdítása </w:t>
                                </w:r>
                              </w:p>
                            </w:txbxContent>
                          </wps:txbx>
                          <wps:bodyPr lIns="90000" rIns="90000" tIns="45000" bIns="45000" anchor="t">
                            <a:noAutofit/>
                          </wps:bodyPr>
                        </wps:wsp>
                      </wpg:grpSp>
                      <wpg:grpSp>
                        <wpg:cNvGrpSpPr/>
                        <wpg:grpSpPr>
                          <a:xfrm>
                            <a:off x="6007680" y="2739960"/>
                            <a:ext cx="3160440" cy="979920"/>
                          </a:xfrm>
                        </wpg:grpSpPr>
                        <wps:wsp>
                          <wps:cNvSpPr/>
                          <wps:spPr>
                            <a:xfrm>
                              <a:off x="35640" y="0"/>
                              <a:ext cx="128772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Digitális egészség</w:t>
                                </w:r>
                              </w:p>
                            </w:txbxContent>
                          </wps:txbx>
                          <wps:bodyPr lIns="90000" rIns="90000" tIns="45000" bIns="45000" anchor="t">
                            <a:noAutofit/>
                          </wps:bodyPr>
                        </wps:wsp>
                        <wps:wsp>
                          <wps:cNvSpPr/>
                          <wps:spPr>
                            <a:xfrm>
                              <a:off x="0" y="233280"/>
                              <a:ext cx="3160440" cy="7466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kijelentkezéshez való jog biztosítása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Vezesse be a közösségi média szabadnapjának koncepcióját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gyermekek biztonságának biztosítása online és számítógépes játékokban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egészségügy digitális integrációja az EU-ban digitális egészségügyi azonosítóval </w:t>
                                </w:r>
                              </w:p>
                            </w:txbxContent>
                          </wps:txbx>
                          <wps:bodyPr lIns="90000" rIns="90000" tIns="45000" bIns="45000" anchor="t">
                            <a:noAutofit/>
                          </wps:bodyPr>
                        </wps:wsp>
                      </wpg:grpSp>
                      <wps:wsp>
                        <wps:cNvSpPr/>
                        <wps:spPr>
                          <a:xfrm>
                            <a:off x="2175480" y="2564280"/>
                            <a:ext cx="331596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Digitális jogok és befogadás</w:t>
                              </w:r>
                            </w:p>
                          </w:txbxContent>
                        </wps:txbx>
                        <wps:bodyPr lIns="90000" rIns="90000" tIns="45000" bIns="45000" anchor="t">
                          <a:noAutofit/>
                        </wps:bodyPr>
                      </wps:wsp>
                      <wps:wsp>
                        <wps:cNvSpPr/>
                        <wps:spPr>
                          <a:xfrm>
                            <a:off x="2120400" y="3034800"/>
                            <a:ext cx="3400560" cy="1141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digitális szakadék és az egyenlőtlenség kezelése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Hozzáférhető és megfizethető digitális szolgáltatások és készülékek biztosítása az EU-ban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Beruházás a digitális jártasságba és oktatásba a lakosság körében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Ingyenes és inkluzív hozzáférés biztosítása a digitális térhez és tartalmakhoz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vidéki területek digitális összekapcsoltságának biztosítása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nemek közötti egyenlőség biztosítása a digitális és technológiai téren </w:t>
                              </w:r>
                            </w:p>
                          </w:txbxContent>
                        </wps:txbx>
                        <wps:bodyPr lIns="90000" rIns="90000" tIns="45000" bIns="45000" anchor="t">
                          <a:noAutofit/>
                        </wps:bodyPr>
                      </wps:wsp>
                    </wpg:wgp>
                  </a:graphicData>
                </a:graphic>
              </wp:anchor>
            </w:drawing>
          </mc:Choice>
          <mc:Fallback>
            <w:pict>
              <v:group id="shape_0" alt="Forme16" style="position:absolute;margin-left:4pt;margin-top:73.4pt;width:721.9pt;height:328.8pt" coordorigin="80,1468" coordsize="14438,6576">
                <v:group id="shape_0" style="position:absolute;left:80;top:3910;width:2791;height:2347">
                  <v:shape id="shape_0" stroked="f" o:allowincell="f" style="position:absolute;left:383;top:3910;width:1291;height:1369;mso-wrap-style:none;v-text-anchor:middle" type="_x0000_t75">
                    <v:imagedata r:id="rId1565" o:detectmouseclick="t"/>
                    <v:stroke color="#3465a4" joinstyle="round" endcap="flat"/>
                    <w10:wrap type="topAndBottom"/>
                  </v:shape>
                  <v:rect id="shape_0" path="m0,0l-2147483645,0l-2147483645,-2147483646l0,-2147483646xe" stroked="f" o:allowincell="f" style="position:absolute;left:80;top:5377;width:2790;height:878;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Digitális transzformáció</w:t>
                          </w:r>
                        </w:p>
                      </w:txbxContent>
                    </v:textbox>
                    <v:fill o:detectmouseclick="t" on="false"/>
                    <v:stroke color="#3465a4" joinstyle="round" endcap="flat"/>
                    <w10:wrap type="topAndBottom"/>
                  </v:rect>
                </v:group>
                <v:group id="shape_0" style="position:absolute;left:135;top:1468;width:4015;height:1764">
                  <v:group id="shape_0" style="position:absolute;left:135;top:1468;width:4015;height:1764">
                    <v:rect id="shape_0" path="m0,0l-2147483645,0l-2147483645,-2147483646l0,-2147483646xe" fillcolor="#a3238e" stroked="t" o:allowincell="f" style="position:absolute;left:193;top:1468;width:1941;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Digitális adatok</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35;top:1849;width:4014;height:138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adatbiztonság javítása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Érthető jogszabályok biztosítása a digitális adatokra vonatkozóan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adatvédelem további biztosítása a GDPR módosításával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területi alapú tartalomkorlátozás korlátozása vagy betiltása </w:t>
                            </w:r>
                          </w:p>
                        </w:txbxContent>
                      </v:textbox>
                      <v:fill o:detectmouseclick="t" type="solid" color2="#111111"/>
                      <v:stroke color="#3465a4" joinstyle="round" endcap="flat"/>
                      <w10:wrap type="topAndBottom"/>
                    </v:rect>
                  </v:group>
                </v:group>
                <v:group id="shape_0" style="position:absolute;left:10748;top:1511;width:3540;height:1956">
                  <v:rect id="shape_0" path="m0,0l-2147483645,0l-2147483645,-2147483646l0,-2147483646xe" fillcolor="#a3238e" stroked="t" o:allowincell="f" style="position:absolute;left:10792;top:1511;width:2789;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Digitális gazdaság</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0748;top:2084;width:3539;height:138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e-kereskedelem előmozdítása az egységes digitális piaccal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Kriptovaluták szabályozása vagy elfogadása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kkv-k digitalizációs stratégiájának előmozdítása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Digitális euró bevezetése </w:t>
                          </w:r>
                        </w:p>
                      </w:txbxContent>
                    </v:textbox>
                    <v:fill o:detectmouseclick="t" type="solid" color2="#111111"/>
                    <v:stroke color="#3465a4" joinstyle="round" endcap="flat"/>
                    <w10:wrap type="topAndBottom"/>
                  </v:rect>
                </v:group>
                <v:group id="shape_0" style="position:absolute;left:6039;top:2154;width:4249;height:2539">
                  <v:rect id="shape_0" path="m0,0l-2147483645,0l-2147483645,-2147483646l0,-2147483646xe" fillcolor="#a3238e" stroked="t" o:allowincell="f" style="position:absolute;left:6039;top:2154;width:4248;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Szennyezés, fenntarthatóság és tartósság</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6039;top:2895;width:4216;height:179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digitalizáció ösztönzése a szennyezés csökkentése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digitális berendezések gyártásának fenntartható módjainak vizsgálata és támogatása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környezetbarát és etikusan előállított digitális berendezések előmozdítása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Csökkentse a digitális hulladékot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digitális infrastruktúrák, az intelligens városok és az alacsony technológiai technológiák fejlesztésének előmozdítása </w:t>
                          </w:r>
                        </w:p>
                      </w:txbxContent>
                    </v:textbox>
                    <v:fill o:detectmouseclick="t" type="solid" color2="#111111"/>
                    <v:stroke color="#3465a4" joinstyle="round" endcap="flat"/>
                    <w10:wrap type="topAndBottom"/>
                  </v:rect>
                </v:group>
                <v:group id="shape_0" style="position:absolute;left:9541;top:5783;width:4977;height:1543">
                  <v:rect id="shape_0" path="m0,0l-2147483645,0l-2147483645,-2147483646l0,-2147483646xe" fillcolor="#a3238e" stroked="t" o:allowincell="f" style="position:absolute;left:9597;top:5783;width:2027;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Digitális egészség</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541;top:6150;width:4976;height:1175;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kijelentkezéshez való jog biztosítása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Vezesse be a közösségi média szabadnapjának koncepcióját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gyermekek biztonságának biztosítása online és számítógépes játékokban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egészségügy digitális integrációja az EU-ban digitális egészségügyi azonosítóval </w:t>
                          </w:r>
                        </w:p>
                      </w:txbxContent>
                    </v:textbox>
                    <v:fill o:detectmouseclick="t" type="solid" color2="#111111"/>
                    <v:stroke color="#3465a4" joinstyle="round" endcap="flat"/>
                    <w10:wrap type="topAndBottom"/>
                  </v:rect>
                </v:group>
                <v:rect id="shape_0" path="m0,0l-2147483645,0l-2147483645,-2147483646l0,-2147483646xe" fillcolor="#a3238e" stroked="t" o:allowincell="f" style="position:absolute;left:3506;top:5506;width:5221;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Digitális jogok és befogadás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419;top:6247;width:5354;height:179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digitális szakadék és az egyenlőtlenség kezelése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Hozzáférhető és megfizethető digitális szolgáltatások és készülékek biztosítása az EU-ban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Beruházás a digitális jártasságba és oktatásba a lakosság körében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Ingyenes és inkluzív hozzáférés biztosítása a digitális térhez és tartalmakhoz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vidéki területek digitális összekapcsoltságának biztosítása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nemek közötti egyenlőség biztosítása a digitális és technológiai téren </w:t>
                        </w:r>
                      </w:p>
                    </w:txbxContent>
                  </v:textbox>
                  <v:fill o:detectmouseclick="t" type="solid" color2="#111111"/>
                  <v:stroke color="#3465a4" joinstyle="round" endcap="flat"/>
                  <w10:wrap type="topAndBottom"/>
                </v:rect>
              </v:group>
            </w:pict>
          </mc:Fallback>
        </mc:AlternateContent>
      </w:r>
    </w:p>
    <w:p>
      <w:pPr>
        <w:sectPr>
          <w:headerReference w:type="default" r:id="rId1567"/>
          <w:footerReference w:type="default" r:id="rId1568"/>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Normal"/>
        <w:jc w:val="left"/>
        <w:rPr/>
      </w:pPr>
      <w:r>
        <w:rPr/>
      </w:r>
    </w:p>
    <w:p>
      <w:pPr>
        <w:pStyle w:val="Normal"/>
        <w:jc w:val="left"/>
        <w:rPr/>
      </w:pPr>
      <w:r>
        <w:rPr/>
      </w:r>
    </w:p>
    <w:p>
      <w:pPr>
        <w:pStyle w:val="Normal"/>
        <w:jc w:val="left"/>
        <w:rPr/>
      </w:pPr>
      <w:r>
        <w:rPr/>
        <w:drawing>
          <wp:anchor behindDoc="0" distT="0" distB="0" distL="0" distR="0" simplePos="0" locked="0" layoutInCell="0" allowOverlap="1" relativeHeight="126">
            <wp:simplePos x="0" y="0"/>
            <wp:positionH relativeFrom="column">
              <wp:align>center</wp:align>
            </wp:positionH>
            <wp:positionV relativeFrom="paragraph">
              <wp:posOffset>635</wp:posOffset>
            </wp:positionV>
            <wp:extent cx="2970530" cy="1978025"/>
            <wp:effectExtent l="0" t="0" r="0" b="0"/>
            <wp:wrapSquare wrapText="largest"/>
            <wp:docPr id="96" name="Kép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Kép37" descr=""/>
                    <pic:cNvPicPr>
                      <a:picLocks noChangeAspect="1" noChangeArrowheads="1"/>
                    </pic:cNvPicPr>
                  </pic:nvPicPr>
                  <pic:blipFill>
                    <a:blip r:embed="rId1569"/>
                    <a:stretch>
                      <a:fillRect/>
                    </a:stretch>
                  </pic:blipFill>
                  <pic:spPr bwMode="auto">
                    <a:xfrm>
                      <a:off x="0" y="0"/>
                      <a:ext cx="2970530" cy="1978025"/>
                    </a:xfrm>
                    <a:prstGeom prst="rect">
                      <a:avLst/>
                    </a:prstGeom>
                  </pic:spPr>
                </pic:pic>
              </a:graphicData>
            </a:graphic>
          </wp:anchor>
        </w:drawing>
      </w:r>
    </w:p>
    <w:p>
      <w:pPr>
        <w:pStyle w:val="Titre1"/>
        <w:numPr>
          <w:ilvl w:val="0"/>
          <w:numId w:val="1"/>
        </w:numPr>
        <w:rPr/>
      </w:pPr>
      <w:bookmarkStart w:id="86" w:name="__RefHeading___Toc228938_11952128"/>
      <w:bookmarkEnd w:id="86"/>
      <w:r>
        <w:rPr/>
        <w:t>8. Európai demokrácia</w:t>
      </w:r>
    </w:p>
    <w:p>
      <w:pPr>
        <w:pStyle w:val="Normal"/>
        <w:jc w:val="left"/>
        <w:rPr/>
      </w:pPr>
      <w:r>
        <w:rPr/>
      </w:r>
    </w:p>
    <w:p>
      <w:pPr>
        <w:pStyle w:val="Normal"/>
        <w:jc w:val="left"/>
        <w:rPr/>
      </w:pPr>
      <w:r>
        <w:rPr/>
        <w:t xml:space="preserve">Az európai demokrácia témája összesen 2 539 ötletet, 4 606 hozzászólást és 1060 eseményt eredményezett a digitális platformon. A leggyakrabban megvitatott témák az európai parlamenti választások és az európai intézmények átszervezése (vagy akár az EU föderalizálása), amelyet a polgárok európai ügyekben való részvételének és ismeretének növelésére, valamint a közös európai identitás előmozdítására irányuló javaslatok széles köre követ. </w:t>
      </w:r>
    </w:p>
    <w:p>
      <w:pPr>
        <w:pStyle w:val="Normal"/>
        <w:jc w:val="left"/>
        <w:rPr/>
      </w:pPr>
      <w:r>
        <w:rPr/>
        <w:t xml:space="preserve">Az e témával kapcsolatos általános interakciók konstruktívak és előretekintőek, még akkor is, ha egyes interakciók attól tartanak, hogy az EU-t fenyegeti a feszültségek, a populizmus és a nacionalizmus miatti összeomlás veszélye. Bár számos átfedést állapítottak meg a különböző témák és a nagyjából összehasonlítható szerepvállalási szintek között, a hozzájárulások a következő szempontokra terjedtek ki: </w:t>
      </w:r>
    </w:p>
    <w:p>
      <w:pPr>
        <w:pStyle w:val="Normal"/>
        <w:jc w:val="left"/>
        <w:rPr>
          <w:b/>
          <w:b/>
        </w:rPr>
      </w:pPr>
      <w:r>
        <w:rPr>
          <w:b/>
        </w:rPr>
      </w:r>
    </w:p>
    <w:p>
      <w:pPr>
        <w:pStyle w:val="P68B1DB1Normal4"/>
        <w:jc w:val="left"/>
        <w:rPr>
          <w:b/>
          <w:b/>
        </w:rPr>
      </w:pPr>
      <w:r>
        <w:rPr/>
        <w:t xml:space="preserve">• </w:t>
      </w:r>
      <w:r>
        <w:rPr/>
        <w:t xml:space="preserve">Európai parlamenti választások </w:t>
      </w:r>
    </w:p>
    <w:p>
      <w:pPr>
        <w:pStyle w:val="P68B1DB1Normal4"/>
        <w:jc w:val="left"/>
        <w:rPr>
          <w:b/>
          <w:b/>
        </w:rPr>
      </w:pPr>
      <w:r>
        <w:rPr/>
        <w:t xml:space="preserve">• </w:t>
      </w:r>
      <w:r>
        <w:rPr/>
        <w:t xml:space="preserve">Az Európai Unió föderalizációja </w:t>
      </w:r>
    </w:p>
    <w:p>
      <w:pPr>
        <w:pStyle w:val="P68B1DB1Normal4"/>
        <w:jc w:val="left"/>
        <w:rPr>
          <w:b/>
          <w:b/>
        </w:rPr>
      </w:pPr>
      <w:r>
        <w:rPr/>
        <w:t xml:space="preserve">• </w:t>
      </w:r>
      <w:r>
        <w:rPr/>
        <w:t xml:space="preserve">A polgárok részvétele és konzultációk </w:t>
      </w:r>
    </w:p>
    <w:p>
      <w:pPr>
        <w:pStyle w:val="P68B1DB1Normal4"/>
        <w:jc w:val="left"/>
        <w:rPr>
          <w:b/>
          <w:b/>
        </w:rPr>
      </w:pPr>
      <w:r>
        <w:rPr/>
        <w:t xml:space="preserve">• </w:t>
      </w:r>
      <w:r>
        <w:rPr/>
        <w:t xml:space="preserve">Intézményi reformok </w:t>
      </w:r>
    </w:p>
    <w:p>
      <w:pPr>
        <w:pStyle w:val="P68B1DB1Normal4"/>
        <w:jc w:val="left"/>
        <w:rPr>
          <w:b/>
          <w:b/>
        </w:rPr>
      </w:pPr>
      <w:r>
        <w:rPr/>
        <w:t xml:space="preserve">• </w:t>
      </w:r>
      <w:r>
        <w:rPr/>
        <w:t xml:space="preserve">A közös európai identitás és a közélet előmozdítása </w:t>
      </w:r>
    </w:p>
    <w:p>
      <w:pPr>
        <w:pStyle w:val="P68B1DB1Normal4"/>
        <w:jc w:val="left"/>
        <w:rPr>
          <w:b/>
          <w:b/>
        </w:rPr>
      </w:pPr>
      <w:r>
        <w:rPr/>
        <w:t xml:space="preserve">• </w:t>
      </w:r>
      <w:r>
        <w:rPr/>
        <w:t xml:space="preserve">A demokrácia védelme és megerősítése </w:t>
      </w:r>
    </w:p>
    <w:p>
      <w:pPr>
        <w:pStyle w:val="Normal"/>
        <w:jc w:val="left"/>
        <w:rPr>
          <w:b/>
          <w:b/>
        </w:rPr>
      </w:pPr>
      <w:r>
        <w:rPr>
          <w:b/>
        </w:rPr>
      </w:r>
    </w:p>
    <w:p>
      <w:pPr>
        <w:pStyle w:val="Normal"/>
        <w:jc w:val="left"/>
        <w:rPr/>
      </w:pPr>
      <w:r>
        <w:rPr/>
      </w:r>
    </w:p>
    <w:p>
      <w:pPr>
        <w:pStyle w:val="Titre2"/>
        <w:numPr>
          <w:ilvl w:val="1"/>
          <w:numId w:val="1"/>
        </w:numPr>
        <w:jc w:val="left"/>
        <w:rPr/>
      </w:pPr>
      <w:bookmarkStart w:id="87" w:name="__RefHeading___Toc228940_11952128"/>
      <w:bookmarkEnd w:id="87"/>
      <w:r>
        <w:rPr/>
        <w:t>Események</w:t>
      </w:r>
    </w:p>
    <w:p>
      <w:pPr>
        <w:pStyle w:val="Normal"/>
        <w:jc w:val="left"/>
        <w:rPr/>
      </w:pPr>
      <w:r>
        <w:rPr/>
        <w:t>Ebben a témában a február 21. óta lezárt események több mint egyharmadát Olaszországban tartották. Az ilyen események túlnyomó többsége megvitatta az EU föderalizációjának témáját, például a Pavia városában szervezett polgári közgyűlést civil társadalmi szervezetek, politikai pártok és a nonprofit szektor képviselőivel.</w:t>
      </w:r>
    </w:p>
    <w:p>
      <w:pPr>
        <w:pStyle w:val="Normal"/>
        <w:jc w:val="left"/>
        <w:rPr/>
      </w:pPr>
      <w:r>
        <w:rPr/>
      </w:r>
    </w:p>
    <w:p>
      <w:pPr>
        <w:pStyle w:val="Corpsdetexte"/>
        <w:jc w:val="left"/>
        <w:rPr/>
      </w:pPr>
      <w:r>
        <w:rPr/>
        <w:t>és az ipar (lásd az</w:t>
      </w:r>
      <w:hyperlink r:id="rId1570">
        <w:r>
          <w:rPr>
            <w:rStyle w:val="LienInternet"/>
          </w:rPr>
          <w:t xml:space="preserve"> </w:t>
        </w:r>
      </w:hyperlink>
      <w:hyperlink r:id="rId1571">
        <w:r>
          <w:rPr>
            <w:rStyle w:val="LienInternet"/>
          </w:rPr>
          <w:t>eseményt</w:t>
        </w:r>
      </w:hyperlink>
      <w:r>
        <w:rPr/>
        <w:t xml:space="preserve">). </w:t>
      </w:r>
    </w:p>
    <w:p>
      <w:pPr>
        <w:pStyle w:val="Corpsdetexte"/>
        <w:spacing w:lineRule="auto" w:line="240" w:before="57" w:after="57"/>
        <w:jc w:val="left"/>
        <w:rPr/>
      </w:pPr>
      <w:r>
        <w:rPr/>
        <w:t xml:space="preserve">Más rendezvényeken a fiatalok szemszögéből vitatták meg az európai demokráciával kapcsolatos kérdéseket. A franciaországi Montpellier városában egy ilyen rendezvényen a fiatal résztvevők különböző javaslatokat terjesztettek elő annak érdekében, hogy a fiatalok szemszögéből konkrétan javítsák az EU-t (lásd az </w:t>
      </w:r>
      <w:hyperlink r:id="rId1572">
        <w:r>
          <w:rPr>
            <w:rStyle w:val="LienInternet"/>
          </w:rPr>
          <w:t>eseményt)</w:t>
        </w:r>
      </w:hyperlink>
      <w:r>
        <w:rPr/>
        <w:t xml:space="preserve">. Romániában egy tájékoztató és kommunikációs rendezvényen vettek részt középiskolás diákok, akik bemutatták a Next Generation EU-terv és az Európa jövőjéről szóló konferencia online platformja által kínált lehetőségeket (lásd az </w:t>
      </w:r>
      <w:hyperlink r:id="rId1573">
        <w:r>
          <w:rPr>
            <w:rStyle w:val="LienInternet"/>
          </w:rPr>
          <w:t>eseményt</w:t>
        </w:r>
      </w:hyperlink>
      <w:r>
        <w:rPr/>
        <w:t xml:space="preserve">). A rendezvény során a diákok, professzorok és szervezők között párbeszéd alakult ki, amelynek során a diákok az EU-ról és annak jövőjéről az ukrán háborúval kapcsolatos nézeteikre összpontosítottak. </w:t>
      </w:r>
    </w:p>
    <w:p>
      <w:pPr>
        <w:pStyle w:val="Corpsdetexte"/>
        <w:spacing w:lineRule="auto" w:line="240" w:before="57" w:after="57"/>
        <w:jc w:val="left"/>
        <w:rPr/>
      </w:pPr>
      <w:r>
        <w:rPr/>
        <w:t xml:space="preserve">Svédországban előadást tartottak „Az emberi jogok és a demokrácia mint az európai együttműködés alapjai” címmel az uniós és nem uniós országokból érkező migránsokból álló közönség számára (lásd az </w:t>
      </w:r>
      <w:hyperlink r:id="rId1574">
        <w:r>
          <w:rPr>
            <w:rStyle w:val="LienInternet"/>
          </w:rPr>
          <w:t>eseményt</w:t>
        </w:r>
      </w:hyperlink>
      <w:r>
        <w:rPr/>
        <w:t xml:space="preserve">). Az előadás során a résztvevők a felszólalókkal is eszmecserét folytattak, különösen az uniós választásokon való szavazás fontosságáról, valamint arról, hogy az uniós polgárok hogyan járulhatnak hozzá az EU-hoz. </w:t>
      </w:r>
    </w:p>
    <w:p>
      <w:pPr>
        <w:pStyle w:val="Corpsdetexte"/>
        <w:spacing w:lineRule="auto" w:line="240" w:before="57" w:after="57"/>
        <w:jc w:val="left"/>
        <w:rPr/>
      </w:pPr>
      <w:r>
        <w:rPr/>
        <w:t>A Horvátországban szervezett több rendezvény fő jellemzője az újságírásra és az uniós ügyekről való jelentéstételre való különös összpontosítás volt. Zágrábban megbeszélésre került sor a diákokkal, és kifejezetten a „Hogyan növelhető az érdeklődés az újságírásban részt vevő diákok körében az EU-ról szóló jelentéstétel iránt?” (lásd az</w:t>
      </w:r>
      <w:hyperlink r:id="rId1575">
        <w:r>
          <w:rPr>
            <w:rStyle w:val="LienInternet"/>
          </w:rPr>
          <w:t xml:space="preserve"> </w:t>
        </w:r>
      </w:hyperlink>
      <w:hyperlink r:id="rId1576">
        <w:r>
          <w:rPr>
            <w:rStyle w:val="LienInternet"/>
          </w:rPr>
          <w:t>eseményt)</w:t>
        </w:r>
      </w:hyperlink>
      <w:r>
        <w:rPr/>
        <w:t>.</w:t>
      </w:r>
    </w:p>
    <w:p>
      <w:pPr>
        <w:pStyle w:val="Corpsdetexte"/>
        <w:spacing w:lineRule="auto" w:line="240" w:before="57" w:after="57"/>
        <w:jc w:val="left"/>
        <w:rPr/>
      </w:pPr>
      <w:r>
        <w:rPr/>
      </w:r>
    </w:p>
    <w:p>
      <w:pPr>
        <w:pStyle w:val="Normal"/>
        <w:jc w:val="left"/>
        <w:rPr/>
      </w:pPr>
      <w:r>
        <w:rPr/>
      </w:r>
    </w:p>
    <w:p>
      <w:pPr>
        <w:pStyle w:val="Normal"/>
        <w:jc w:val="left"/>
        <w:rPr/>
      </w:pPr>
      <w:r>
        <w:rPr/>
      </w:r>
    </w:p>
    <w:p>
      <w:pPr>
        <w:pStyle w:val="Normal"/>
        <w:jc w:val="left"/>
        <w:rPr/>
      </w:pPr>
      <w:r>
        <w:rPr/>
      </w:r>
      <w:r>
        <w:br w:type="page"/>
      </w:r>
    </w:p>
    <w:p>
      <w:pPr>
        <w:pStyle w:val="Normal"/>
        <w:jc w:val="left"/>
        <w:rPr/>
      </w:pPr>
      <w:r>
        <w:rPr/>
      </w:r>
    </w:p>
    <w:p>
      <w:pPr>
        <w:pStyle w:val="Titre2"/>
        <w:numPr>
          <w:ilvl w:val="1"/>
          <w:numId w:val="1"/>
        </w:numPr>
        <w:jc w:val="left"/>
        <w:rPr/>
      </w:pPr>
      <w:bookmarkStart w:id="88" w:name="__RefHeading___Toc228942_11952128"/>
      <w:bookmarkEnd w:id="88"/>
      <w:r>
        <w:rPr/>
        <w:t>Európai parlamenti választások</w:t>
      </w:r>
    </w:p>
    <w:p>
      <w:pPr>
        <w:pStyle w:val="Corpsdetexte"/>
        <w:spacing w:lineRule="auto" w:line="240" w:before="57" w:after="57"/>
        <w:jc w:val="left"/>
        <w:rPr/>
      </w:pPr>
      <w:r>
        <w:rPr/>
        <w:t xml:space="preserve">Az „Európai Demokrácia” témakörbe tartozó ötletek egy csoportja megvitatja az európai parlamenti választások megrendezésének módját érintő változásokat, amelyek a polgárok uniós demokratikus folyamatokban való részvételének fokozását szolgálják. Egy széles körben elfogadott ötlet, amely különböző reakciókat váltott ki, az egész EU-ra kiterjedő transznacionális választási listák létrehozására vonatkozik (lásd az </w:t>
      </w:r>
      <w:hyperlink r:id="rId1577">
        <w:r>
          <w:rPr>
            <w:rStyle w:val="LienInternet"/>
          </w:rPr>
          <w:t>ötletet)</w:t>
        </w:r>
      </w:hyperlink>
      <w:r>
        <w:rPr/>
        <w:t xml:space="preserve">. Javaslat született továbbá egy új választókerület létrehozására a más tagállamban élő európaiak számára, amely arra ösztönzi a jelölteket, hogy inkább az európai, mint a hazai kérdésekre összpontosítsanak (lásd az </w:t>
      </w:r>
      <w:hyperlink r:id="rId1578">
        <w:r>
          <w:rPr>
            <w:rStyle w:val="LienInternet"/>
          </w:rPr>
          <w:t>ötletet)</w:t>
        </w:r>
      </w:hyperlink>
      <w:r>
        <w:rPr/>
        <w:t xml:space="preserve">. Más választási reformötleteket is javasoltak a páneurópai vita előmozdítására, miközben az európai parlamenti képviselőket közelebb hozzák a polgárokhoz (lásd például az </w:t>
      </w:r>
      <w:hyperlink r:id="rId1579">
        <w:r>
          <w:rPr>
            <w:rStyle w:val="LienInternet"/>
          </w:rPr>
          <w:t>ötletet)</w:t>
        </w:r>
      </w:hyperlink>
      <w:r>
        <w:rPr/>
        <w:t xml:space="preserve">. A javasoltak közül az egyik konkrét választási reform célja, hogy megváltoztassa a parlamenti helyek újraelosztását, hogy a jelenlegi arányos rendszert koalíciókon alapuló többségi rendszerrel váltsa fel (lásd az </w:t>
      </w:r>
      <w:hyperlink r:id="rId1580">
        <w:r>
          <w:rPr>
            <w:rStyle w:val="LienInternet"/>
          </w:rPr>
          <w:t>ötletet)</w:t>
        </w:r>
      </w:hyperlink>
      <w:r>
        <w:rPr/>
        <w:t xml:space="preserve">. Az egyik elképzelés azt javasolja, hogy az Európai Parlament képviselőit a nemzeti jogalkotók jelöljék ki, ahelyett, hogy közvetlenül választanák meg őket (lásd az </w:t>
      </w:r>
      <w:hyperlink r:id="rId1581">
        <w:r>
          <w:rPr>
            <w:rStyle w:val="LienInternet"/>
          </w:rPr>
          <w:t>ötletet</w:t>
        </w:r>
      </w:hyperlink>
      <w:r>
        <w:rPr/>
        <w:t xml:space="preserve">). </w:t>
      </w:r>
    </w:p>
    <w:p>
      <w:pPr>
        <w:pStyle w:val="Corpsdetexte"/>
        <w:spacing w:lineRule="auto" w:line="240" w:before="57" w:after="57"/>
        <w:jc w:val="left"/>
        <w:rPr/>
      </w:pPr>
      <w:r>
        <w:rPr/>
        <w:t xml:space="preserve">A javaslatok némelyike az európai választásokon való részvételi arány növelésének konkrétabb módjaival foglalkozik. Felszólítanak a kötelező szavazás bevezetésére (lásd az </w:t>
      </w:r>
      <w:hyperlink r:id="rId1582">
        <w:r>
          <w:rPr>
            <w:rStyle w:val="LienInternet"/>
          </w:rPr>
          <w:t>ötletet</w:t>
        </w:r>
      </w:hyperlink>
      <w:r>
        <w:rPr/>
        <w:t xml:space="preserve">), valamint a részvétel megkönnyítésére irányuló javaslatokra, például a postai szavazások (lásd az </w:t>
      </w:r>
      <w:hyperlink r:id="rId1583">
        <w:r>
          <w:rPr>
            <w:rStyle w:val="LienInternet"/>
          </w:rPr>
          <w:t>ötletet)</w:t>
        </w:r>
      </w:hyperlink>
      <w:r>
        <w:rPr/>
        <w:t xml:space="preserve"> és a szavazók egynapi nyilvántartásba vételének lehetővé tételével, a szavazás napjának munkaszüneti napjává (lásd az </w:t>
      </w:r>
      <w:hyperlink r:id="rId1584">
        <w:r>
          <w:rPr>
            <w:rStyle w:val="LienInternet"/>
          </w:rPr>
          <w:t>ötletet)</w:t>
        </w:r>
      </w:hyperlink>
      <w:r>
        <w:rPr/>
        <w:t xml:space="preserve">, és akár több választástípus esetében az egyetlen napon történő szavazással (lásd az </w:t>
      </w:r>
      <w:hyperlink r:id="rId1585">
        <w:r>
          <w:rPr>
            <w:rStyle w:val="LienInternet"/>
          </w:rPr>
          <w:t>ötletet)</w:t>
        </w:r>
      </w:hyperlink>
      <w:r>
        <w:rPr/>
        <w:t>. Néhány hozzászóló megvitatja a digitális szavazást is, beleértve a páneurópai digitális szavazók körének létrehozására irányuló elképzelést (lásd az</w:t>
      </w:r>
      <w:hyperlink r:id="rId1586">
        <w:r>
          <w:rPr>
            <w:rStyle w:val="LienInternet"/>
          </w:rPr>
          <w:t xml:space="preserve"> </w:t>
        </w:r>
      </w:hyperlink>
      <w:hyperlink r:id="rId1587">
        <w:r>
          <w:rPr>
            <w:rStyle w:val="LienInternet"/>
          </w:rPr>
          <w:t>ötletet)</w:t>
        </w:r>
      </w:hyperlink>
      <w:r>
        <w:rPr/>
        <w:t xml:space="preserve">. A digitális szavazás kérdése a „Digitális átalakulás” témakörben is szerepel. </w:t>
      </w:r>
    </w:p>
    <w:p>
      <w:pPr>
        <w:pStyle w:val="Corpsdetexte"/>
        <w:spacing w:lineRule="auto" w:line="240" w:before="57" w:after="57"/>
        <w:jc w:val="left"/>
        <w:rPr/>
      </w:pPr>
      <w:r>
        <w:rPr/>
        <w:t xml:space="preserve">Javaslatokat tesznek továbbá az európai parlamenti választásokon való részvételre jogosító alsó korhatár harmonizálására (lásd például az </w:t>
      </w:r>
      <w:hyperlink r:id="rId1588">
        <w:r>
          <w:rPr>
            <w:rStyle w:val="LienInternet"/>
          </w:rPr>
          <w:t>ötletet)</w:t>
        </w:r>
      </w:hyperlink>
      <w:r>
        <w:rPr/>
        <w:t xml:space="preserve">, és lehetőleg 16 éves korhatárra (lásd az </w:t>
      </w:r>
      <w:hyperlink r:id="rId1589">
        <w:r>
          <w:rPr>
            <w:rStyle w:val="LienInternet"/>
          </w:rPr>
          <w:t>ötletet)</w:t>
        </w:r>
      </w:hyperlink>
      <w:r>
        <w:rPr/>
        <w:t xml:space="preserve">. Ezek az ötletek többek között arra irányulnak, hogy ösztönözzék a fiatalokat a politikában való részvételre, amelyet a résztvevők gyakran kulcsfontosságúnak tartanak. Bécsben munkaértekezleten többek között arról tárgyaltak, hogy miként lehetne növelni a fiatalok európai választásokon való részvételét (lásd az </w:t>
      </w:r>
      <w:hyperlink r:id="rId1590">
        <w:r>
          <w:rPr>
            <w:rStyle w:val="LienInternet"/>
          </w:rPr>
          <w:t>eseményt</w:t>
        </w:r>
      </w:hyperlink>
      <w:r>
        <w:rPr/>
        <w:t xml:space="preserve">). A munkaértekezlet során előterjesztett javaslatok hangsúlyozzák, hogy növelni kell az Európai Parlament fiatal képviselőinek számát, lehetővé téve az 16 évnél fiatalabb jelöltek számára, hogy induljanak a választásokon. Egy Máltán szervezett </w:t>
      </w:r>
      <w:hyperlink r:id="rId1591">
        <w:r>
          <w:rPr>
            <w:rStyle w:val="LienInternet"/>
          </w:rPr>
          <w:t xml:space="preserve">rendezvény </w:t>
        </w:r>
      </w:hyperlink>
      <w:r>
        <w:rPr/>
        <w:t>résztvevői megvitatták az Eurovoters projekt eredményeit, amelynek célja a fiatal szavazók képzése az országban. Az esemény során több javaslatot terjesztettek elő, többek között azt, hogy el kell távolodni attól, hogy az ifjúságot egyetlen csoportként tekintsük, ami azzal a kockázattal jár, hogy az egyes közösségeken belül figyelmen kívül hagyják a sajátos igényeket. A platform arra kéri a platformot, hogy adjon lehetőséget a fiataloknak arra, hogy rendszeresen kifejtsék nézeteiket az Európai Parlamentben (lásd az</w:t>
      </w:r>
      <w:hyperlink r:id="rId1592">
        <w:r>
          <w:rPr>
            <w:rStyle w:val="LienInternet"/>
          </w:rPr>
          <w:t xml:space="preserve"> </w:t>
        </w:r>
      </w:hyperlink>
      <w:hyperlink r:id="rId1593">
        <w:r>
          <w:rPr>
            <w:rStyle w:val="LienInternet"/>
          </w:rPr>
          <w:t>ötletet</w:t>
        </w:r>
      </w:hyperlink>
      <w:r>
        <w:rPr/>
        <w:t>), egy másik ötlet pedig egy másik típusú platformot irányoz elő, ahol a fiatal felhasználók megismerkednek az Európai Parlament képviselőivel és politikai javaslatukkal (lásd az</w:t>
      </w:r>
      <w:hyperlink r:id="rId1594">
        <w:r>
          <w:rPr>
            <w:rStyle w:val="LienInternet"/>
          </w:rPr>
          <w:t xml:space="preserve"> ötletet)</w:t>
        </w:r>
      </w:hyperlink>
      <w:r>
        <w:rPr/>
        <w:t>. A kapcsolódó hozzájárulás egy kvótát javasol a 35 év alatti európai parlamenti képviselők számára (lásd az</w:t>
      </w:r>
      <w:hyperlink r:id="rId1595">
        <w:r>
          <w:rPr>
            <w:rStyle w:val="LienInternet"/>
          </w:rPr>
          <w:t xml:space="preserve"> </w:t>
        </w:r>
      </w:hyperlink>
      <w:hyperlink r:id="rId1596">
        <w:r>
          <w:rPr>
            <w:rStyle w:val="LienInternet"/>
          </w:rPr>
          <w:t>ötletet</w:t>
        </w:r>
      </w:hyperlink>
      <w:r>
        <w:rPr/>
        <w:t xml:space="preserve">). </w:t>
      </w:r>
    </w:p>
    <w:p>
      <w:pPr>
        <w:pStyle w:val="Corpsdetexte"/>
        <w:spacing w:lineRule="auto" w:line="240" w:before="57" w:after="57"/>
        <w:jc w:val="left"/>
        <w:rPr/>
      </w:pPr>
      <w:r>
        <w:rPr/>
        <w:t>Más résztvevők a szavazati jogok kérdését a fogyatékossággal élő személyek vagy olyan egészségügyi állapotok szempontjából kezelik, amelyek korlátozzák szavazási képességüket. Ezek a hozzászólások az európai parlamenti választásokat támogatják, amelyek e kategóriák esetében inkluzívabbak (lásd például az</w:t>
      </w:r>
      <w:hyperlink r:id="rId1597">
        <w:r>
          <w:rPr>
            <w:rStyle w:val="LienInternet"/>
          </w:rPr>
          <w:t xml:space="preserve"> </w:t>
        </w:r>
      </w:hyperlink>
      <w:hyperlink r:id="rId1598">
        <w:r>
          <w:rPr>
            <w:rStyle w:val="LienInternet"/>
          </w:rPr>
          <w:t>ötletet)</w:t>
        </w:r>
      </w:hyperlink>
      <w:r>
        <w:rPr/>
        <w:t xml:space="preserve">. </w:t>
      </w:r>
    </w:p>
    <w:p>
      <w:pPr>
        <w:pStyle w:val="Corpsdetexte"/>
        <w:spacing w:lineRule="auto" w:line="240" w:before="57" w:after="57"/>
        <w:jc w:val="left"/>
        <w:rPr/>
      </w:pPr>
      <w:r>
        <w:rPr/>
        <w:t>Az egyik résztvevő javasolja az európai parlamenti választásokra vonatkozó nemek közötti egyenlőség listájának létrehozását (lásd</w:t>
      </w:r>
      <w:hyperlink r:id="rId1599">
        <w:r>
          <w:rPr>
            <w:rStyle w:val="LienInternet"/>
          </w:rPr>
          <w:t xml:space="preserve"> </w:t>
        </w:r>
      </w:hyperlink>
      <w:hyperlink r:id="rId1600">
        <w:r>
          <w:rPr>
            <w:rStyle w:val="LienInternet"/>
          </w:rPr>
          <w:t>az ötletet)</w:t>
        </w:r>
      </w:hyperlink>
      <w:r>
        <w:rPr/>
        <w:t xml:space="preserve">. Néhány ötlet a politikai pártokkal kapcsolatos konkrét kérdésekkel foglalkozik. Az egyik hozzászóló például azt javasolja, hogy csak az európai pártok szimbólumait használják, nem pedig a nemzeti pártokét (lásd az </w:t>
      </w:r>
      <w:hyperlink r:id="rId1601">
        <w:r>
          <w:rPr>
            <w:rStyle w:val="LienInternet"/>
          </w:rPr>
          <w:t>ötletet</w:t>
        </w:r>
      </w:hyperlink>
      <w:r>
        <w:rPr/>
        <w:t>), hogy ismét megerősítsék a választások transznacionális jellegét. Egy másik hozzájárulás szerint a pártoknak hozzáférhetőbbé kell válniuk a különböző kulturális vagy társadalmi-gazdasági háttérrel rendelkezők számára (lásd az</w:t>
      </w:r>
      <w:hyperlink r:id="rId1602">
        <w:r>
          <w:rPr>
            <w:rStyle w:val="LienInternet"/>
          </w:rPr>
          <w:t xml:space="preserve"> </w:t>
        </w:r>
      </w:hyperlink>
      <w:hyperlink r:id="rId1603">
        <w:r>
          <w:rPr>
            <w:rStyle w:val="LienInternet"/>
          </w:rPr>
          <w:t>ötletet</w:t>
        </w:r>
      </w:hyperlink>
      <w:r>
        <w:rPr/>
        <w:t>).</w:t>
      </w:r>
    </w:p>
    <w:p>
      <w:pPr>
        <w:pStyle w:val="Corpsdetexte"/>
        <w:spacing w:lineRule="auto" w:line="240" w:before="57" w:after="57"/>
        <w:jc w:val="left"/>
        <w:rPr/>
      </w:pPr>
      <w:r>
        <w:rPr/>
      </w:r>
    </w:p>
    <w:p>
      <w:pPr>
        <w:pStyle w:val="Titre2"/>
        <w:numPr>
          <w:ilvl w:val="1"/>
          <w:numId w:val="1"/>
        </w:numPr>
        <w:jc w:val="left"/>
        <w:rPr/>
      </w:pPr>
      <w:bookmarkStart w:id="89" w:name="__RefHeading___Toc86501_2514204080"/>
      <w:bookmarkEnd w:id="89"/>
      <w:r>
        <w:rPr/>
        <w:t>Az Európai Unió föderalizációja</w:t>
      </w:r>
    </w:p>
    <w:p>
      <w:pPr>
        <w:pStyle w:val="Corpsdetexte"/>
        <w:spacing w:lineRule="auto" w:line="240" w:before="57" w:after="57"/>
        <w:jc w:val="left"/>
        <w:rPr/>
      </w:pPr>
      <w:r>
        <w:rPr/>
        <w:t>Az európai demokrácia témájához kapcsolódó számos hozzászólás az Európai Unió föderalizációjára szólít fel, e fogalom különböző értelmezésével. Ez a témához kapcsolódó események visszatérő témája (lásd az</w:t>
      </w:r>
      <w:hyperlink r:id="rId1604">
        <w:r>
          <w:rPr>
            <w:rStyle w:val="LienInternet"/>
          </w:rPr>
          <w:t xml:space="preserve"> </w:t>
        </w:r>
      </w:hyperlink>
      <w:hyperlink r:id="rId1605">
        <w:r>
          <w:rPr>
            <w:rStyle w:val="LienInternet"/>
          </w:rPr>
          <w:t>esemény példáját)</w:t>
        </w:r>
      </w:hyperlink>
      <w:r>
        <w:rPr/>
        <w:t xml:space="preserve">. A „Fereralizáció” a platformon a legjobban támogatott ötletek némelyikét (lásd az </w:t>
      </w:r>
      <w:hyperlink r:id="rId1606">
        <w:r>
          <w:rPr>
            <w:rStyle w:val="LienInternet"/>
          </w:rPr>
          <w:t xml:space="preserve">ötletet </w:t>
        </w:r>
      </w:hyperlink>
      <w:r>
        <w:rPr/>
        <w:t xml:space="preserve">és az </w:t>
      </w:r>
      <w:hyperlink r:id="rId1607">
        <w:r>
          <w:rPr>
            <w:rStyle w:val="LienInternet"/>
          </w:rPr>
          <w:t>ötletet)</w:t>
        </w:r>
      </w:hyperlink>
      <w:r>
        <w:rPr/>
        <w:t xml:space="preserve"> és a résztvevők eltérő észrevételeit is eredményezte. </w:t>
      </w:r>
    </w:p>
    <w:p>
      <w:pPr>
        <w:pStyle w:val="Corpsdetexte"/>
        <w:spacing w:lineRule="auto" w:line="240" w:before="57" w:after="57"/>
        <w:jc w:val="left"/>
        <w:rPr/>
      </w:pPr>
      <w:r>
        <w:rPr/>
        <w:t xml:space="preserve">Néhány hozzászóló úgy véli, hogy a föderalizáció a legjobb módja annak, hogy az EU teljes mértékben kiaknázhassa a benne rejlő lehetőségeket (lásd például az </w:t>
      </w:r>
      <w:hyperlink r:id="rId1608">
        <w:r>
          <w:rPr>
            <w:rStyle w:val="LienInternet"/>
          </w:rPr>
          <w:t xml:space="preserve">ötletet </w:t>
        </w:r>
      </w:hyperlink>
      <w:r>
        <w:rPr/>
        <w:t xml:space="preserve">és az </w:t>
      </w:r>
      <w:hyperlink r:id="rId1609">
        <w:r>
          <w:rPr>
            <w:rStyle w:val="LienInternet"/>
          </w:rPr>
          <w:t>eseményt</w:t>
        </w:r>
      </w:hyperlink>
      <w:r>
        <w:rPr/>
        <w:t xml:space="preserve">), de egyben eszközként is szolgál ahhoz, hogy az EU nagyobb hitelességet és befolyást biztosítson a globális politikai színtéren, valamint a jelenlegi transznacionális problémák – például az éghajlatváltozás és a Covid19-világjárvány – kezelésére irányuló hatáskörben (lásd az </w:t>
      </w:r>
      <w:hyperlink r:id="rId1610">
        <w:r>
          <w:rPr>
            <w:rStyle w:val="LienInternet"/>
          </w:rPr>
          <w:t>ötletet</w:t>
        </w:r>
      </w:hyperlink>
      <w:r>
        <w:rPr/>
        <w:t xml:space="preserve">). Emellett úgy tekintenek rá, mint az euroszkepticizmus és a nacionalista érzelmek leküzdésére az ötletet támogató résztvevők szerint. </w:t>
      </w:r>
    </w:p>
    <w:p>
      <w:pPr>
        <w:pStyle w:val="Corpsdetexte"/>
        <w:spacing w:lineRule="auto" w:line="240" w:before="57" w:after="57"/>
        <w:jc w:val="left"/>
        <w:rPr/>
      </w:pPr>
      <w:r>
        <w:rPr/>
        <w:t>Példaként egy erősen támogatott és megvitatott ötlet támogatja egy alkotmányozó közgyűlés létrehozását egy olyan európai alkotmány kidolgozása érdekében, amely meghatározza a demokratikus Európai Föderáció kulcsfontosságú elemeit és elveit (lásd az</w:t>
      </w:r>
      <w:hyperlink r:id="rId1611">
        <w:r>
          <w:rPr>
            <w:rStyle w:val="LienInternet"/>
          </w:rPr>
          <w:t xml:space="preserve"> ötletet)</w:t>
        </w:r>
      </w:hyperlink>
      <w:r>
        <w:rPr/>
        <w:t xml:space="preserve">. A vita konkrétabb felhívásokat is tartalmaz a közös fiskális és gazdaságpolitika kialakítására (lásd az </w:t>
      </w:r>
      <w:hyperlink r:id="rId1612">
        <w:r>
          <w:rPr>
            <w:rStyle w:val="LienInternet"/>
          </w:rPr>
          <w:t>ötletet)</w:t>
        </w:r>
      </w:hyperlink>
      <w:r>
        <w:rPr/>
        <w:t xml:space="preserve">, beleértve az „az adófizetők Európai Uniója” (lásd az </w:t>
      </w:r>
      <w:hyperlink r:id="rId1613">
        <w:r>
          <w:rPr>
            <w:rStyle w:val="LienInternet"/>
          </w:rPr>
          <w:t>ötletet</w:t>
        </w:r>
      </w:hyperlink>
      <w:r>
        <w:rPr/>
        <w:t xml:space="preserve">), egy európai hadsereg és a külpolitika föderalizációját, valamint az uniós intézmények föderalista elvek mentén történő újratervezését. </w:t>
      </w:r>
    </w:p>
    <w:p>
      <w:pPr>
        <w:pStyle w:val="Corpsdetexte"/>
        <w:spacing w:lineRule="auto" w:line="240" w:before="57" w:after="57"/>
        <w:jc w:val="left"/>
        <w:rPr/>
      </w:pPr>
      <w:r>
        <w:rPr/>
        <w:t>Egyesek azonban szkeptikusak a föderalizációval kapcsolatban. Egyes résztvevők attól tartanak, hogy ez a hatalom túlzott központosításához vagy a tagállamok közötti egyensúlytalanságokhoz vezethet. Mások úgy vélik, hogy sok problémát kell leküzdeni ahhoz, hogy egy ilyen ötlet valósággá váljon. Egyes résztvevők a föderalizáció helyett nagyobb hatalommal rendelkező decentralizációt részesítenek előnyben (lásd például az</w:t>
      </w:r>
      <w:hyperlink r:id="rId1614">
        <w:r>
          <w:rPr>
            <w:rStyle w:val="LienInternet"/>
          </w:rPr>
          <w:t xml:space="preserve"> </w:t>
        </w:r>
      </w:hyperlink>
      <w:hyperlink r:id="rId1615">
        <w:r>
          <w:rPr>
            <w:rStyle w:val="LienInternet"/>
          </w:rPr>
          <w:t>ötletet)</w:t>
        </w:r>
      </w:hyperlink>
      <w:r>
        <w:rPr/>
        <w:t>, nagyobb szabadsággal és a tagállamok identitásának tiszteletben tartásával, valamint szabad együttműködéssel azokon a területeken, ahol ez hasznos (lásd például egy</w:t>
      </w:r>
      <w:hyperlink r:id="rId1616">
        <w:r>
          <w:rPr>
            <w:rStyle w:val="LienInternet"/>
          </w:rPr>
          <w:t xml:space="preserve"> ötletet</w:t>
        </w:r>
      </w:hyperlink>
      <w:r>
        <w:rPr/>
        <w:t>). Az egyik ilyen elképzelés aggodalmának ad hangot az „egy egyre szorosabb Unió” gondolatával és a szövetségi bíróságok lehetséges hatalmával kapcsolatban, amelyek a szövetségi unió helyett egy konföderációt szorgalmaznak (lásd az</w:t>
      </w:r>
      <w:hyperlink r:id="rId1617">
        <w:r>
          <w:rPr>
            <w:rStyle w:val="LienInternet"/>
          </w:rPr>
          <w:t xml:space="preserve"> </w:t>
        </w:r>
      </w:hyperlink>
      <w:hyperlink r:id="rId1618">
        <w:r>
          <w:rPr>
            <w:rStyle w:val="LienInternet"/>
          </w:rPr>
          <w:t>ötletet</w:t>
        </w:r>
      </w:hyperlink>
      <w:r>
        <w:rPr/>
        <w:t xml:space="preserve">). </w:t>
      </w:r>
    </w:p>
    <w:p>
      <w:pPr>
        <w:pStyle w:val="Corpsdetexte"/>
        <w:spacing w:lineRule="auto" w:line="240" w:before="57" w:after="57"/>
        <w:jc w:val="left"/>
        <w:rPr/>
      </w:pPr>
      <w:r>
        <w:rPr/>
        <w:t>Figyelembe véve a tagállamok eltérő nemzeti körülményeit és felkészültségét arra, hogy a szövetségi unió részévé váljanak, egyes résztvevők az „átmeneti zónák” rendszerével lépésről lépésre történő föderalizáció gondolatát támogatják (lásd az</w:t>
      </w:r>
      <w:hyperlink r:id="rId1619">
        <w:r>
          <w:rPr>
            <w:rStyle w:val="LienInternet"/>
          </w:rPr>
          <w:t xml:space="preserve"> ötletet</w:t>
        </w:r>
      </w:hyperlink>
      <w:r>
        <w:rPr/>
        <w:t>). Az ilyen típusú közreműködők támogatják a föderális Európa elképzelését, de jelenleg nem tartják reálisnak, ezért egy többsebességes Uniót szorgalmaznak, amely rövid távon javítaná az EU stratégiai autonómiáját és a föderalizmus kilátásait (lásd az</w:t>
      </w:r>
      <w:hyperlink r:id="rId1620">
        <w:r>
          <w:rPr>
            <w:rStyle w:val="LienInternet"/>
          </w:rPr>
          <w:t xml:space="preserve"> </w:t>
        </w:r>
      </w:hyperlink>
      <w:hyperlink r:id="rId1621">
        <w:r>
          <w:rPr>
            <w:rStyle w:val="LienInternet"/>
          </w:rPr>
          <w:t>ötletet</w:t>
        </w:r>
      </w:hyperlink>
      <w:r>
        <w:rPr/>
        <w:t>).</w:t>
      </w:r>
    </w:p>
    <w:p>
      <w:pPr>
        <w:pStyle w:val="Corpsdetexte"/>
        <w:spacing w:lineRule="auto" w:line="240" w:before="57" w:after="57"/>
        <w:jc w:val="left"/>
        <w:rPr/>
      </w:pPr>
      <w:r>
        <w:rPr/>
      </w:r>
    </w:p>
    <w:p>
      <w:pPr>
        <w:pStyle w:val="Titre2"/>
        <w:numPr>
          <w:ilvl w:val="1"/>
          <w:numId w:val="1"/>
        </w:numPr>
        <w:jc w:val="left"/>
        <w:rPr/>
      </w:pPr>
      <w:bookmarkStart w:id="90" w:name="__RefHeading___Toc86503_2514204080"/>
      <w:bookmarkEnd w:id="90"/>
      <w:r>
        <w:rPr/>
        <w:t>A polgárok részvétele és konzultációk</w:t>
      </w:r>
    </w:p>
    <w:p>
      <w:pPr>
        <w:pStyle w:val="Corpsdetexte"/>
        <w:spacing w:lineRule="auto" w:line="240" w:before="57" w:after="57"/>
        <w:jc w:val="left"/>
        <w:rPr/>
      </w:pPr>
      <w:r>
        <w:rPr/>
        <w:t xml:space="preserve">A platformhoz való hozzájárulás számos javaslatot tartalmaz a polgárok részvételének és az uniós döntéshozatallal kapcsolatos felelősségvállalásnak a megerősítésére. </w:t>
      </w:r>
    </w:p>
    <w:p>
      <w:pPr>
        <w:pStyle w:val="Corpsdetexte"/>
        <w:spacing w:lineRule="auto" w:line="240" w:before="57" w:after="57"/>
        <w:jc w:val="left"/>
        <w:rPr/>
      </w:pPr>
      <w:r>
        <w:rPr/>
        <w:t xml:space="preserve">Ötletek és események egy csoportja a részvételi demokrácián és a polgárok közötti interakción alapuló állandóbb mechanizmusok kidolgozását tárgyalja a képviseleti demokrácia megerősítése és kiegészítése érdekében, többek között az Európa jövőjéről szóló konferencia tapasztalataira építve. A résztvevők például a polgári közgyűlések és panelek szisztematikusabb felhasználását javasolják az EU legfontosabb és legnehezebb politikai döntéseinek előkészítése érdekében (lásd például egy </w:t>
      </w:r>
      <w:hyperlink r:id="rId1622">
        <w:r>
          <w:rPr>
            <w:rStyle w:val="LienInternet"/>
          </w:rPr>
          <w:t>ötletet</w:t>
        </w:r>
      </w:hyperlink>
      <w:r>
        <w:rPr/>
        <w:t xml:space="preserve">). Az egyik résztvevő azt javasolja, hogy az ilyen közgyűléseket közvetlenül a polgárok hívják össze egy sikeres európai polgári kezdeményezést követően (lásd az </w:t>
      </w:r>
      <w:hyperlink r:id="rId1623">
        <w:r>
          <w:rPr>
            <w:rStyle w:val="LienInternet"/>
          </w:rPr>
          <w:t>ötletet</w:t>
        </w:r>
      </w:hyperlink>
      <w:r>
        <w:rPr/>
        <w:t xml:space="preserve">). Néhány hozzászóló javaslatot tesz egy „polgári parlamentre”, „a civil társadalmi szervezeteknek szentelt közgyűlésre” (lásd az </w:t>
      </w:r>
      <w:hyperlink r:id="rId1624">
        <w:r>
          <w:rPr>
            <w:rStyle w:val="LienInternet"/>
          </w:rPr>
          <w:t>ötletet</w:t>
        </w:r>
      </w:hyperlink>
      <w:r>
        <w:rPr/>
        <w:t xml:space="preserve">) vagy az „Összes gyűlésre” (lásd az </w:t>
      </w:r>
      <w:hyperlink r:id="rId1625">
        <w:r>
          <w:rPr>
            <w:rStyle w:val="LienInternet"/>
          </w:rPr>
          <w:t>ötletet</w:t>
        </w:r>
      </w:hyperlink>
      <w:r>
        <w:rPr/>
        <w:t>), hogy tanácsot adjon az Európai Parlamentnek. A résztvevők megvitatják az uniós intézményi és szakpolitikai témákkal kapcsolatos uniós szintű népszavazások ötletét is (lásd például az</w:t>
      </w:r>
      <w:hyperlink r:id="rId1626">
        <w:r>
          <w:rPr>
            <w:rStyle w:val="LienInternet"/>
          </w:rPr>
          <w:t xml:space="preserve"> </w:t>
        </w:r>
      </w:hyperlink>
      <w:hyperlink r:id="rId1627">
        <w:r>
          <w:rPr>
            <w:rStyle w:val="LienInternet"/>
          </w:rPr>
          <w:t>ötletet</w:t>
        </w:r>
      </w:hyperlink>
      <w:r>
        <w:rPr/>
        <w:t xml:space="preserve">). Egyes résztvevők úgy vélik, hogy ez alternatívája az európai ügyekről szóló nemzeti népszavazásnak, amelynek kimenetele azzal a kockázattal jár, hogy megakadályozza az uniós szakpolitikai kezdeményezések meghatározását, függetlenül attól, hogy az EU milyen mértékben támogatja ezeket a kezdeményezéseket (lásd például az </w:t>
      </w:r>
      <w:hyperlink r:id="rId1628">
        <w:r>
          <w:rPr>
            <w:rStyle w:val="LienInternet"/>
          </w:rPr>
          <w:t>ötletet</w:t>
        </w:r>
      </w:hyperlink>
      <w:r>
        <w:rPr/>
        <w:t xml:space="preserve">). </w:t>
      </w:r>
    </w:p>
    <w:p>
      <w:pPr>
        <w:pStyle w:val="Corpsdetexte"/>
        <w:spacing w:lineRule="auto" w:line="240" w:before="57" w:after="57"/>
        <w:jc w:val="left"/>
        <w:rPr/>
      </w:pPr>
      <w:r>
        <w:rPr/>
        <w:t>E hozzászólások némelyike kifejezetten a többnyelvű digitális platform érdemeit tárgyalja, dicséretet és kritikát ébresztve, de javítási javaslatokat is előterjesztve. A különböző résztvevők például hangsúlyozzák, hogy a konferencia során visszajelzési rendszert kell létrehozni a polgárok javaslatainak nyomon követésére (lásd például az</w:t>
      </w:r>
      <w:hyperlink r:id="rId1629">
        <w:r>
          <w:rPr>
            <w:rStyle w:val="LienInternet"/>
          </w:rPr>
          <w:t xml:space="preserve"> ötletet)</w:t>
        </w:r>
      </w:hyperlink>
      <w:r>
        <w:rPr/>
        <w:t>. Egy másik résztvevő egy olyan ötletre válaszol, amely azt javasolja, hogy a konferenciát állandóvá tegyék, rámutatva arra, hogy időről időre össze kell foglalni a platform tartalmát, és vitát kell kezdeményezni róla (lásd az</w:t>
      </w:r>
      <w:hyperlink r:id="rId1630">
        <w:r>
          <w:rPr>
            <w:rStyle w:val="LienInternet"/>
          </w:rPr>
          <w:t xml:space="preserve"> </w:t>
        </w:r>
      </w:hyperlink>
      <w:hyperlink r:id="rId1631">
        <w:r>
          <w:rPr>
            <w:rStyle w:val="LienInternet"/>
          </w:rPr>
          <w:t>ötletet</w:t>
        </w:r>
      </w:hyperlink>
      <w:r>
        <w:rPr/>
        <w:t xml:space="preserve">). </w:t>
      </w:r>
    </w:p>
    <w:p>
      <w:pPr>
        <w:pStyle w:val="Corpsdetexte"/>
        <w:spacing w:lineRule="auto" w:line="240" w:before="57" w:after="57"/>
        <w:jc w:val="left"/>
        <w:rPr/>
      </w:pPr>
      <w:r>
        <w:rPr/>
        <w:t xml:space="preserve">A hozzászólások között szerepel egy olyan online egyablakos platform létrehozására irányuló javaslat is, amely az összes nyilvános hozzájárulást – legyen szó európai polgári kezdeményezésekről, panaszokról vagy petíciókról – központosítja az uniós intézményi részvételi architektúrában (lásd az </w:t>
      </w:r>
      <w:hyperlink r:id="rId1632">
        <w:r>
          <w:rPr>
            <w:rStyle w:val="LienInternet"/>
          </w:rPr>
          <w:t>ötletet)</w:t>
        </w:r>
      </w:hyperlink>
      <w:r>
        <w:rPr/>
        <w:t>, míg egy másik hozzászóló egy olyan platform ötletét veti fel, amely kizárólag az egyesületeknek szól (lásd az</w:t>
      </w:r>
      <w:hyperlink r:id="rId1633">
        <w:r>
          <w:rPr>
            <w:rStyle w:val="LienInternet"/>
          </w:rPr>
          <w:t xml:space="preserve"> </w:t>
        </w:r>
      </w:hyperlink>
      <w:hyperlink r:id="rId1634">
        <w:r>
          <w:rPr>
            <w:rStyle w:val="LienInternet"/>
          </w:rPr>
          <w:t>ötletet)</w:t>
        </w:r>
      </w:hyperlink>
      <w:r>
        <w:rPr/>
        <w:t xml:space="preserve">. </w:t>
      </w:r>
    </w:p>
    <w:p>
      <w:pPr>
        <w:pStyle w:val="Corpsdetexte"/>
        <w:spacing w:lineRule="auto" w:line="240" w:before="57" w:after="57"/>
        <w:jc w:val="left"/>
        <w:rPr/>
      </w:pPr>
      <w:r>
        <w:rPr/>
        <w:t xml:space="preserve">A résztvevők által a demokratikus részvétel fokozása érdekében javasolt online platformok közül az egyik célja egy alulról építkező lobbirendszer létrehozása, amelyet a közös európai polgárok egyéni adományokból finanszíroznak, valamint az ötletek ugyanazon a portálon (lásd az </w:t>
      </w:r>
      <w:hyperlink r:id="rId1635">
        <w:r>
          <w:rPr>
            <w:rStyle w:val="LienInternet"/>
          </w:rPr>
          <w:t>ötletet)</w:t>
        </w:r>
      </w:hyperlink>
      <w:r>
        <w:rPr/>
        <w:t xml:space="preserve"> keresztül történő megosztását. Ennek a platformnak az a célja, hogy megoldja az egyes polgárok és a nagy szervezetek közötti egyenlőtlen befolyásolási képesség problémáját. </w:t>
      </w:r>
    </w:p>
    <w:p>
      <w:pPr>
        <w:pStyle w:val="Corpsdetexte"/>
        <w:spacing w:lineRule="auto" w:line="240" w:before="57" w:after="57"/>
        <w:jc w:val="left"/>
        <w:rPr/>
      </w:pPr>
      <w:r>
        <w:rPr/>
        <w:t xml:space="preserve">Más válaszadók egy online digitális fórumot javasolnak, ahol az uniós polgárok megvitathatják az uniós jogszabályokat, felhasználva a közösségi médiából származó szavazatokat és megjegyzéseket (lásd az </w:t>
      </w:r>
      <w:hyperlink r:id="rId1636">
        <w:r>
          <w:rPr>
            <w:rStyle w:val="LienInternet"/>
          </w:rPr>
          <w:t>ötletet</w:t>
        </w:r>
      </w:hyperlink>
      <w:r>
        <w:rPr/>
        <w:t>). A kapcsolódó ötlet magában foglalja a polgárok lobbiplatformját, amely alternatív módja annak, hogy a hétköznapi uniós polgárok és a kisebb vállalatok megismerhessék az uniós döntéshozatali folyamatban a jogalkotással kapcsolatos szakértelmüket és nézeteiket (lásd az</w:t>
      </w:r>
      <w:hyperlink r:id="rId1637">
        <w:r>
          <w:rPr>
            <w:rStyle w:val="LienInternet"/>
          </w:rPr>
          <w:t xml:space="preserve"> </w:t>
        </w:r>
      </w:hyperlink>
      <w:hyperlink r:id="rId1638">
        <w:r>
          <w:rPr>
            <w:rStyle w:val="LienInternet"/>
          </w:rPr>
          <w:t>ötletet)</w:t>
        </w:r>
      </w:hyperlink>
      <w:r>
        <w:rPr/>
        <w:t xml:space="preserve">. </w:t>
      </w:r>
    </w:p>
    <w:p>
      <w:pPr>
        <w:pStyle w:val="Corpsdetexte"/>
        <w:spacing w:lineRule="auto" w:line="240" w:before="57" w:after="57"/>
        <w:jc w:val="left"/>
        <w:rPr/>
      </w:pPr>
      <w:r>
        <w:rPr/>
        <w:t xml:space="preserve">A polgári technológia fontosságát, különösen a politikai pártokkal szembeni növekvő bizalmatlanság jelenlegi korában, számos résztvevő tárgyalja (lásd az </w:t>
      </w:r>
      <w:hyperlink r:id="rId1639">
        <w:r>
          <w:rPr>
            <w:rStyle w:val="LienInternet"/>
          </w:rPr>
          <w:t>ötletet</w:t>
        </w:r>
      </w:hyperlink>
      <w:r>
        <w:rPr/>
        <w:t xml:space="preserve">). Ezen elképzelés szerint a polgári technológiák lehetővé tennék korunk egyre összetettebb közirányításának megértését, valamint az aktív szerepvállalás és részvétel fokozását. </w:t>
      </w:r>
    </w:p>
    <w:p>
      <w:pPr>
        <w:pStyle w:val="Corpsdetexte"/>
        <w:spacing w:lineRule="auto" w:line="240" w:before="57" w:after="57"/>
        <w:jc w:val="left"/>
        <w:rPr/>
      </w:pPr>
      <w:r>
        <w:rPr/>
        <w:t xml:space="preserve">Az olasz Brindisi városában szervezett </w:t>
      </w:r>
      <w:hyperlink r:id="rId1640">
        <w:r>
          <w:rPr>
            <w:rStyle w:val="LienInternet"/>
          </w:rPr>
          <w:t xml:space="preserve">rendezvény </w:t>
        </w:r>
      </w:hyperlink>
      <w:r>
        <w:rPr/>
        <w:t xml:space="preserve">számos ötletet terjesztett elő a közvetlen demokratikus mechanizmusok uniós szintű javítására, többek között a már létező eszközök – például az uniós petíciók, az ideiglenes bizottságok, az európai közvetítők és a Solvit-platform – ismereteinek bővítésére. </w:t>
      </w:r>
    </w:p>
    <w:p>
      <w:pPr>
        <w:pStyle w:val="Corpsdetexte"/>
        <w:spacing w:lineRule="auto" w:line="240" w:before="57" w:after="57"/>
        <w:jc w:val="left"/>
        <w:rPr/>
      </w:pPr>
      <w:r>
        <w:rPr/>
        <w:t xml:space="preserve">Az európai parlamenti képviselők és a polgárok közötti távolság csökkentése szintén az európai demokrácia javításának egyik módja. Az egyik résztvevő különböző stratégiákat fejleszt a kommunikáció javítása és az európai parlamenti képviselők és választóik közötti közvetlen eszmecsere előmozdítása érdekében (lásd az </w:t>
      </w:r>
      <w:hyperlink r:id="rId1641">
        <w:r>
          <w:rPr>
            <w:rStyle w:val="LienInternet"/>
          </w:rPr>
          <w:t>ötletet</w:t>
        </w:r>
      </w:hyperlink>
      <w:r>
        <w:rPr/>
        <w:t>). A javasolt ötletek között szerepel, hogy az európai parlamenti képviselők saját választási kollégiumaikban helyi irodákat hoznak létre. Ez az elképzelés részben hasonlít egy másik résztvevő azon javaslatához, hogy hozzanak létre egy helyi uniós tanácsosokból álló rendszert (lásd az</w:t>
      </w:r>
      <w:hyperlink r:id="rId1642">
        <w:r>
          <w:rPr>
            <w:rStyle w:val="LienInternet"/>
          </w:rPr>
          <w:t xml:space="preserve"> ötletet</w:t>
        </w:r>
      </w:hyperlink>
      <w:r>
        <w:rPr/>
        <w:t>), hogy ismét csökkentsék az uniós intézmények és az európai polgárok közötti távolságot.</w:t>
      </w:r>
    </w:p>
    <w:p>
      <w:pPr>
        <w:pStyle w:val="Corpsdetexte"/>
        <w:spacing w:lineRule="auto" w:line="240" w:before="57" w:after="57"/>
        <w:jc w:val="left"/>
        <w:rPr/>
      </w:pPr>
      <w:r>
        <w:rPr/>
      </w:r>
    </w:p>
    <w:p>
      <w:pPr>
        <w:pStyle w:val="Titre2"/>
        <w:numPr>
          <w:ilvl w:val="1"/>
          <w:numId w:val="1"/>
        </w:numPr>
        <w:jc w:val="left"/>
        <w:rPr/>
      </w:pPr>
      <w:bookmarkStart w:id="91" w:name="__RefHeading___Toc86505_2514204080"/>
      <w:bookmarkEnd w:id="91"/>
      <w:r>
        <w:rPr/>
        <w:t>Intézményi reformok</w:t>
      </w:r>
    </w:p>
    <w:p>
      <w:pPr>
        <w:pStyle w:val="Corpsdetexte"/>
        <w:spacing w:lineRule="auto" w:line="240" w:before="57" w:after="57"/>
        <w:jc w:val="left"/>
        <w:rPr/>
      </w:pPr>
      <w:r>
        <w:rPr/>
        <w:t xml:space="preserve">Az elképzelések jelentős része konkrétabban tárgyalja az európai intézmények reformjait is azzal a céllal, hogy hatékonyabbá és átláthatóbbá tegye őket, és közelebb hozza őket a polgárokhoz. Az intézményi reform előrehaladott elképzelései magukban foglalhatják az intézményi struktúra szélesebb körű felülvizsgálatára irányuló javaslatokat (lásd például az </w:t>
      </w:r>
      <w:hyperlink r:id="rId1643">
        <w:r>
          <w:rPr>
            <w:rStyle w:val="LienInternet"/>
          </w:rPr>
          <w:t>ötletet</w:t>
        </w:r>
      </w:hyperlink>
      <w:r>
        <w:rPr/>
        <w:t xml:space="preserve">), de olyan stratégiákat is, amelyek célja, hogy a politikai döntéshozók elszámoltathatóbbá váljanak a szakpolitikai kezdeményezések hatékonyságáért. Az egyik résztvevő például előmozdítja azt az elképzelést, hogy a hatásvizsgálatokat a jogalkotási folyamat valamennyi szakaszában kötelezővé tegyék (lásd az </w:t>
      </w:r>
      <w:hyperlink r:id="rId1644">
        <w:r>
          <w:rPr>
            <w:rStyle w:val="LienInternet"/>
          </w:rPr>
          <w:t>ötletet</w:t>
        </w:r>
      </w:hyperlink>
      <w:r>
        <w:rPr/>
        <w:t xml:space="preserve">). </w:t>
      </w:r>
    </w:p>
    <w:p>
      <w:pPr>
        <w:pStyle w:val="Corpsdetexte"/>
        <w:spacing w:lineRule="auto" w:line="240" w:before="57" w:after="57"/>
        <w:jc w:val="left"/>
        <w:rPr/>
      </w:pPr>
      <w:r>
        <w:rPr/>
        <w:t xml:space="preserve">Ami az Európai Parlamentet illeti, a hozzászólók leggyakrabban azt kérik, hogy biztosítsanak számára valódi jogalkotási kezdeményezési hatásköröket (lásd például az </w:t>
      </w:r>
      <w:hyperlink r:id="rId1645">
        <w:r>
          <w:rPr>
            <w:rStyle w:val="LienInternet"/>
          </w:rPr>
          <w:t>ötletet</w:t>
        </w:r>
      </w:hyperlink>
      <w:r>
        <w:rPr/>
        <w:t>). Kérik továbbá, hogy fiskális hatásköröket kapjanak (lásd az</w:t>
      </w:r>
      <w:hyperlink r:id="rId1646">
        <w:r>
          <w:rPr>
            <w:rStyle w:val="LienInternet"/>
          </w:rPr>
          <w:t xml:space="preserve"> </w:t>
        </w:r>
      </w:hyperlink>
      <w:hyperlink r:id="rId1647">
        <w:r>
          <w:rPr>
            <w:rStyle w:val="LienInternet"/>
          </w:rPr>
          <w:t>ötletet</w:t>
        </w:r>
      </w:hyperlink>
      <w:r>
        <w:rPr/>
        <w:t xml:space="preserve">). Az Európai Parlament székhelyét is megvitatják, és a hozzászólók Strasbourg és Brüsszel közötti választást szorgalmaznak (lásd például az </w:t>
      </w:r>
      <w:hyperlink r:id="rId1648">
        <w:r>
          <w:rPr>
            <w:rStyle w:val="LienInternet"/>
          </w:rPr>
          <w:t>ötletet)</w:t>
        </w:r>
      </w:hyperlink>
      <w:r>
        <w:rPr/>
        <w:t>, valamint a logisztikai költségek csökkentésének módjaként (lásd az</w:t>
      </w:r>
      <w:hyperlink r:id="rId1649">
        <w:r>
          <w:rPr>
            <w:rStyle w:val="LienInternet"/>
          </w:rPr>
          <w:t xml:space="preserve"> </w:t>
        </w:r>
      </w:hyperlink>
      <w:hyperlink r:id="rId1650">
        <w:r>
          <w:rPr>
            <w:rStyle w:val="LienInternet"/>
          </w:rPr>
          <w:t>ötletet)</w:t>
        </w:r>
      </w:hyperlink>
      <w:r>
        <w:rPr/>
        <w:t xml:space="preserve">. </w:t>
      </w:r>
    </w:p>
    <w:p>
      <w:pPr>
        <w:pStyle w:val="Corpsdetexte"/>
        <w:spacing w:lineRule="auto" w:line="240" w:before="57" w:after="57"/>
        <w:jc w:val="left"/>
        <w:rPr/>
      </w:pPr>
      <w:r>
        <w:rPr/>
        <w:t xml:space="preserve">Az Európai Tanács és az Európai Unió Tanácsa megvitatása során a platformon és az európai demokrácia témáján belül visszatérő ötlet a minősített többségi szavazásra való áttérés, legalábbis bizonyos szakpolitikai területeken (lásd például egy </w:t>
      </w:r>
      <w:hyperlink r:id="rId1651">
        <w:r>
          <w:rPr>
            <w:rStyle w:val="LienInternet"/>
          </w:rPr>
          <w:t>ötletet</w:t>
        </w:r>
      </w:hyperlink>
      <w:r>
        <w:rPr/>
        <w:t xml:space="preserve">), és meg kell szüntetni a vétójogot (lásd az </w:t>
      </w:r>
      <w:hyperlink r:id="rId1652">
        <w:r>
          <w:rPr>
            <w:rStyle w:val="LienInternet"/>
          </w:rPr>
          <w:t>ötlet példáját</w:t>
        </w:r>
      </w:hyperlink>
      <w:r>
        <w:rPr/>
        <w:t xml:space="preserve">). Megbeszélések folynak továbbá a Tanácsnak az uniós intézményi felépítésben betöltött szerepéről (lásd az </w:t>
      </w:r>
      <w:hyperlink r:id="rId1653">
        <w:r>
          <w:rPr>
            <w:rStyle w:val="LienInternet"/>
          </w:rPr>
          <w:t>ötletet</w:t>
        </w:r>
      </w:hyperlink>
      <w:r>
        <w:rPr/>
        <w:t>) és javaslatok a kétkamarás jogalkotási folyamat elmélyítésére az EU-ban (lásd például egy</w:t>
      </w:r>
      <w:hyperlink r:id="rId1654">
        <w:r>
          <w:rPr>
            <w:rStyle w:val="LienInternet"/>
          </w:rPr>
          <w:t xml:space="preserve"> </w:t>
        </w:r>
      </w:hyperlink>
      <w:hyperlink r:id="rId1655">
        <w:r>
          <w:rPr>
            <w:rStyle w:val="LienInternet"/>
          </w:rPr>
          <w:t>ötletet</w:t>
        </w:r>
      </w:hyperlink>
      <w:r>
        <w:rPr/>
        <w:t xml:space="preserve">). </w:t>
      </w:r>
    </w:p>
    <w:p>
      <w:pPr>
        <w:pStyle w:val="Corpsdetexte"/>
        <w:spacing w:lineRule="auto" w:line="240" w:before="57" w:after="57"/>
        <w:jc w:val="left"/>
        <w:rPr/>
      </w:pPr>
      <w:r>
        <w:rPr/>
        <w:t xml:space="preserve">Ami az Európai Bizottságot illeti, a hozzájárulások egy csoportja megvitatja a Bizottság elnökének megválasztását és a biztosok kinevezését, beleértve a Spitzenkandidaten-rendszert (lásd például egy </w:t>
      </w:r>
      <w:hyperlink r:id="rId1656">
        <w:r>
          <w:rPr>
            <w:rStyle w:val="LienInternet"/>
          </w:rPr>
          <w:t>ötletet)</w:t>
        </w:r>
      </w:hyperlink>
      <w:r>
        <w:rPr/>
        <w:t>, valamint a Bizottság elnökének polgárok általi közvetlen megválasztását (lásd például egy</w:t>
      </w:r>
      <w:hyperlink r:id="rId1657">
        <w:r>
          <w:rPr>
            <w:rStyle w:val="LienInternet"/>
          </w:rPr>
          <w:t xml:space="preserve"> </w:t>
        </w:r>
      </w:hyperlink>
      <w:hyperlink r:id="rId1658">
        <w:r>
          <w:rPr>
            <w:rStyle w:val="LienInternet"/>
          </w:rPr>
          <w:t>ötletet)</w:t>
        </w:r>
      </w:hyperlink>
      <w:r>
        <w:rPr/>
        <w:t xml:space="preserve">. A résztvevők felvetették a biztosok számának kérdését is (lásd például egy </w:t>
      </w:r>
      <w:hyperlink r:id="rId1659">
        <w:r>
          <w:rPr>
            <w:rStyle w:val="LienInternet"/>
          </w:rPr>
          <w:t>ötletet</w:t>
        </w:r>
      </w:hyperlink>
      <w:r>
        <w:rPr/>
        <w:t xml:space="preserve">). </w:t>
      </w:r>
    </w:p>
    <w:p>
      <w:pPr>
        <w:pStyle w:val="Corpsdetexte"/>
        <w:spacing w:lineRule="auto" w:line="240" w:before="57" w:after="57"/>
        <w:jc w:val="left"/>
        <w:rPr/>
      </w:pPr>
      <w:r>
        <w:rPr/>
        <w:t>Az egyik megvitatott elképzelés az, hogy közvetlenül megválasztott uniós elnök legyen, például az Európai Bizottság elnökének és az Európai Tanácsnak a szerepei összevonásával (lásd például egy</w:t>
      </w:r>
      <w:hyperlink r:id="rId1660">
        <w:r>
          <w:rPr>
            <w:rStyle w:val="LienInternet"/>
          </w:rPr>
          <w:t xml:space="preserve"> ötletet)</w:t>
        </w:r>
      </w:hyperlink>
      <w:r>
        <w:rPr/>
        <w:t xml:space="preserve">. Kérik továbbá, hogy az EU legyen egységes kapcsolattartó pont a külkapcsolatokban való egységes fellépéshez (lásd például egy </w:t>
      </w:r>
      <w:hyperlink r:id="rId1661">
        <w:r>
          <w:rPr>
            <w:rStyle w:val="LienInternet"/>
          </w:rPr>
          <w:t>ötletet)</w:t>
        </w:r>
      </w:hyperlink>
      <w:r>
        <w:rPr/>
        <w:t>. Az egyik résztvevő azt javasolja, hogy egyesítsék az eurócsoport elnökének és az Európai Bizottság euróért felelős alelnökének szerepét, hogy létrehozzák a Gazdasági és Pénzügyminisztériumot a koordináció fokozása érdekében (lásd az</w:t>
      </w:r>
      <w:hyperlink r:id="rId1662">
        <w:r>
          <w:rPr>
            <w:rStyle w:val="LienInternet"/>
          </w:rPr>
          <w:t xml:space="preserve"> ötletet)</w:t>
        </w:r>
      </w:hyperlink>
      <w:r>
        <w:rPr/>
        <w:t xml:space="preserve">. Emellett említésre kerül a Régiók Bizottsága és a Gazdasági és Szociális Bizottság reformja, például azok hatékonyabb működése érdekében. A javaslatok között szerepel a Régiók Bizottsága megreformálása a régiók, városok és települések közötti párbeszéd megfelelő csatornáinak beépítése érdekében (lásd az </w:t>
      </w:r>
      <w:hyperlink r:id="rId1663">
        <w:r>
          <w:rPr>
            <w:rStyle w:val="LienInternet"/>
          </w:rPr>
          <w:t>ötletet</w:t>
        </w:r>
      </w:hyperlink>
      <w:r>
        <w:rPr/>
        <w:t>), vagy a Régiók Bizottsága szerepének növelése (lásd az</w:t>
      </w:r>
      <w:hyperlink r:id="rId1664">
        <w:r>
          <w:rPr>
            <w:rStyle w:val="LienInternet"/>
          </w:rPr>
          <w:t xml:space="preserve"> </w:t>
        </w:r>
      </w:hyperlink>
      <w:hyperlink r:id="rId1665">
        <w:r>
          <w:rPr>
            <w:rStyle w:val="LienInternet"/>
          </w:rPr>
          <w:t>ötletet)</w:t>
        </w:r>
      </w:hyperlink>
      <w:r>
        <w:rPr/>
        <w:t>. Ehhez kapcsolódóan egy másik résztvevő azt javasolja, hogy az eurorégiókat intézményi egységként ismerjék el (lásd</w:t>
      </w:r>
      <w:hyperlink r:id="rId1666">
        <w:r>
          <w:rPr>
            <w:rStyle w:val="LienInternet"/>
          </w:rPr>
          <w:t xml:space="preserve"> </w:t>
        </w:r>
      </w:hyperlink>
      <w:hyperlink r:id="rId1667">
        <w:r>
          <w:rPr>
            <w:rStyle w:val="LienInternet"/>
          </w:rPr>
          <w:t>az ötletet)</w:t>
        </w:r>
      </w:hyperlink>
      <w:r>
        <w:rPr/>
        <w:t xml:space="preserve">. </w:t>
      </w:r>
    </w:p>
    <w:p>
      <w:pPr>
        <w:pStyle w:val="Corpsdetexte"/>
        <w:spacing w:lineRule="auto" w:line="240" w:before="57" w:after="57"/>
        <w:jc w:val="left"/>
        <w:rPr/>
      </w:pPr>
      <w:r>
        <w:rPr/>
        <w:t>Az egyik erősen támogatott ötlet arra kéri az EU-t, hogy hozzon létre egyértelmű mechanizmust a hontalan nemzetek önrendelkezési jogára vonatkozóan (lásd az</w:t>
      </w:r>
      <w:hyperlink r:id="rId1668">
        <w:r>
          <w:rPr>
            <w:rStyle w:val="LienInternet"/>
          </w:rPr>
          <w:t xml:space="preserve"> </w:t>
        </w:r>
      </w:hyperlink>
      <w:hyperlink r:id="rId1669">
        <w:r>
          <w:rPr>
            <w:rStyle w:val="LienInternet"/>
          </w:rPr>
          <w:t>ötletet)</w:t>
        </w:r>
      </w:hyperlink>
      <w:r>
        <w:rPr/>
        <w:t xml:space="preserve">. </w:t>
      </w:r>
    </w:p>
    <w:p>
      <w:pPr>
        <w:pStyle w:val="Corpsdetexte"/>
        <w:spacing w:lineRule="auto" w:line="240" w:before="57" w:after="57"/>
        <w:jc w:val="left"/>
        <w:rPr/>
      </w:pPr>
      <w:r>
        <w:rPr/>
        <w:t>Az Európai Bíróság szerepe szintén közös vita tárgyát képezi (lásd az</w:t>
      </w:r>
      <w:hyperlink r:id="rId1670">
        <w:r>
          <w:rPr>
            <w:rStyle w:val="LienInternet"/>
          </w:rPr>
          <w:t xml:space="preserve"> </w:t>
        </w:r>
      </w:hyperlink>
      <w:hyperlink r:id="rId1671">
        <w:r>
          <w:rPr>
            <w:rStyle w:val="LienInternet"/>
          </w:rPr>
          <w:t>ötlet</w:t>
        </w:r>
      </w:hyperlink>
      <w:r>
        <w:rPr/>
        <w:t xml:space="preserve">példáját), amelyben felszólít a hatásköreinek tisztázására vagy akár megerősítésére (lásd az </w:t>
      </w:r>
      <w:hyperlink r:id="rId1672">
        <w:r>
          <w:rPr>
            <w:rStyle w:val="LienInternet"/>
          </w:rPr>
          <w:t>ötlet</w:t>
        </w:r>
      </w:hyperlink>
      <w:r>
        <w:rPr/>
        <w:t>példáját), mások pedig azok csökkentésére (lásd az</w:t>
      </w:r>
      <w:hyperlink r:id="rId1673">
        <w:r>
          <w:rPr>
            <w:rStyle w:val="LienInternet"/>
          </w:rPr>
          <w:t xml:space="preserve"> </w:t>
        </w:r>
      </w:hyperlink>
      <w:hyperlink r:id="rId1674">
        <w:r>
          <w:rPr>
            <w:rStyle w:val="LienInternet"/>
          </w:rPr>
          <w:t>ötlet példáját)</w:t>
        </w:r>
      </w:hyperlink>
      <w:r>
        <w:rPr/>
        <w:t xml:space="preserve">. </w:t>
      </w:r>
    </w:p>
    <w:p>
      <w:pPr>
        <w:pStyle w:val="Corpsdetexte"/>
        <w:spacing w:lineRule="auto" w:line="240" w:before="57" w:after="57"/>
        <w:jc w:val="left"/>
        <w:rPr/>
      </w:pPr>
      <w:r>
        <w:rPr/>
        <w:t>Néhány hozzászóló az Európai Központi Bank (lásd az</w:t>
      </w:r>
      <w:hyperlink r:id="rId1675">
        <w:r>
          <w:rPr>
            <w:rStyle w:val="LienInternet"/>
          </w:rPr>
          <w:t xml:space="preserve"> ötletet)</w:t>
        </w:r>
      </w:hyperlink>
      <w:r>
        <w:rPr/>
        <w:t xml:space="preserve"> és az eurócsoport (lásd az</w:t>
      </w:r>
      <w:hyperlink r:id="rId1676">
        <w:r>
          <w:rPr>
            <w:rStyle w:val="LienInternet"/>
          </w:rPr>
          <w:t xml:space="preserve"> ötletet</w:t>
        </w:r>
      </w:hyperlink>
      <w:r>
        <w:rPr/>
        <w:t>) szerepére összpontosít, és javaslatokat tesz ezen intézmények reformjára. Az egyik elképzelés a bankunió európai betétbiztosítási rendszerrel való kiteljesítésére szólít fel (lásd az</w:t>
      </w:r>
      <w:hyperlink r:id="rId1677">
        <w:r>
          <w:rPr>
            <w:rStyle w:val="LienInternet"/>
          </w:rPr>
          <w:t xml:space="preserve"> </w:t>
        </w:r>
      </w:hyperlink>
      <w:hyperlink r:id="rId1678">
        <w:r>
          <w:rPr>
            <w:rStyle w:val="LienInternet"/>
          </w:rPr>
          <w:t>ötletet)</w:t>
        </w:r>
      </w:hyperlink>
      <w:r>
        <w:rPr/>
        <w:t xml:space="preserve">. </w:t>
      </w:r>
    </w:p>
    <w:p>
      <w:pPr>
        <w:pStyle w:val="Corpsdetexte"/>
        <w:spacing w:lineRule="auto" w:line="240" w:before="57" w:after="57"/>
        <w:jc w:val="left"/>
        <w:rPr/>
      </w:pPr>
      <w:r>
        <w:rPr/>
        <w:t xml:space="preserve">A reformokkal kapcsolatos különböző elképzelések nemzedéki fókuszt mutatnak. Az egyik résztvevő például azt javasolja, hogy vezessenek be hatásvizsgálatot az uniós szakpolitikákra és jogszabályokra vonatkozóan, amelynek célja a fiatalokra gyakorolt konkrét hatásuk mérése (lásd az </w:t>
      </w:r>
      <w:hyperlink r:id="rId1679">
        <w:r>
          <w:rPr>
            <w:rStyle w:val="LienInternet"/>
          </w:rPr>
          <w:t>ötletet</w:t>
        </w:r>
      </w:hyperlink>
      <w:r>
        <w:rPr/>
        <w:t>). Így az „ifjúsági teszt” elősegítené, hogy a fiatalok perspektívája beilleszkedjen az intézményekbe, és az uniós szakpolitikák inkluzívabbá váljanak a fiatalok számára. Egy másik résztvevő, aki fiatalról idősre költözik, azt javasolja, hogy az időseknek szenteljenek egy európai biztost (lásd az</w:t>
      </w:r>
      <w:hyperlink r:id="rId1680">
        <w:r>
          <w:rPr>
            <w:rStyle w:val="LienInternet"/>
          </w:rPr>
          <w:t xml:space="preserve"> </w:t>
        </w:r>
      </w:hyperlink>
      <w:hyperlink r:id="rId1681">
        <w:r>
          <w:rPr>
            <w:rStyle w:val="LienInternet"/>
          </w:rPr>
          <w:t>ötletet)</w:t>
        </w:r>
      </w:hyperlink>
    </w:p>
    <w:p>
      <w:pPr>
        <w:pStyle w:val="Corpsdetexte"/>
        <w:spacing w:lineRule="auto" w:line="240" w:before="57" w:after="57"/>
        <w:jc w:val="left"/>
        <w:rPr/>
      </w:pPr>
      <w:r>
        <w:rPr/>
      </w:r>
    </w:p>
    <w:p>
      <w:pPr>
        <w:pStyle w:val="Titre2"/>
        <w:numPr>
          <w:ilvl w:val="1"/>
          <w:numId w:val="1"/>
        </w:numPr>
        <w:spacing w:lineRule="auto" w:line="240" w:before="57" w:after="57"/>
        <w:jc w:val="left"/>
        <w:rPr/>
      </w:pPr>
      <w:bookmarkStart w:id="92" w:name="__RefHeading___Toc228944_11952128"/>
      <w:bookmarkEnd w:id="92"/>
      <w:r>
        <w:rPr/>
        <w:t>A közös európai identitás és a közélet előmozdítása</w:t>
      </w:r>
    </w:p>
    <w:p>
      <w:pPr>
        <w:pStyle w:val="Corpsdetexte"/>
        <w:spacing w:lineRule="auto" w:line="240" w:before="57" w:after="57"/>
        <w:jc w:val="left"/>
        <w:rPr/>
      </w:pPr>
      <w:r>
        <w:rPr/>
        <w:t>E témán belül a közreműködők a demokrácia közös európai értékei (lásd az</w:t>
      </w:r>
      <w:hyperlink r:id="rId1682">
        <w:r>
          <w:rPr>
            <w:rStyle w:val="LienInternet"/>
          </w:rPr>
          <w:t xml:space="preserve"> </w:t>
        </w:r>
      </w:hyperlink>
      <w:hyperlink r:id="rId1683">
        <w:r>
          <w:rPr>
            <w:rStyle w:val="LienInternet"/>
          </w:rPr>
          <w:t>eseményt)</w:t>
        </w:r>
      </w:hyperlink>
      <w:r>
        <w:rPr/>
        <w:t xml:space="preserve"> alapján közös európai identitást vitatnak meg, amint azt más témákban is megvitatták. Ugyanakkor gyakorlati ötleteket is előmozdítanak egy ilyen közös európai identitás, valamint a közös európai közélet előmozdítása érdekében, többek között a média hozzájárulása révén. </w:t>
      </w:r>
    </w:p>
    <w:p>
      <w:pPr>
        <w:pStyle w:val="Corpsdetexte"/>
        <w:spacing w:lineRule="auto" w:line="240" w:before="57" w:after="57"/>
        <w:jc w:val="left"/>
        <w:rPr/>
      </w:pPr>
      <w:r>
        <w:rPr/>
        <w:t>A nyelv témája a leginkább tárgyalt. Egy közös nyelvet úgy tekintenek, mint egy hatékony (és néha egyedüli) módot az erős európai identitás megteremtésére (lásd például az</w:t>
      </w:r>
      <w:hyperlink r:id="rId1684">
        <w:r>
          <w:rPr>
            <w:rStyle w:val="LienInternet"/>
          </w:rPr>
          <w:t xml:space="preserve"> ötletet</w:t>
        </w:r>
      </w:hyperlink>
      <w:r>
        <w:rPr/>
        <w:t xml:space="preserve">). Az eszperantót gyakran egységesítő nyelvként (lásd az </w:t>
      </w:r>
      <w:hyperlink r:id="rId1685">
        <w:r>
          <w:rPr>
            <w:rStyle w:val="LienInternet"/>
          </w:rPr>
          <w:t>ötlet példáját)</w:t>
        </w:r>
      </w:hyperlink>
      <w:r>
        <w:rPr/>
        <w:t xml:space="preserve"> terjesztik elő, hogy megkerüljék az egyes nemzeti nyelvek támogatói közötti megosztottságot. Bár a hozzászólók nem értenek egyet azzal kapcsolatban, hogy melyik nyelvet kellene előnyben részesíteni az európaiak számára, mindannyian egyetértenek abban, hogy a közös nyelv elérése érdekében elő kell mozdítani a nyelvi képzést (lásd például az </w:t>
      </w:r>
      <w:hyperlink r:id="rId1686">
        <w:r>
          <w:rPr>
            <w:rStyle w:val="LienInternet"/>
          </w:rPr>
          <w:t>ötletet</w:t>
        </w:r>
      </w:hyperlink>
      <w:r>
        <w:rPr/>
        <w:t xml:space="preserve">). Más hozzászólások a többnyelvűség elvének fokozottabb tiszteletben tartását igénylik (lásd például egy </w:t>
      </w:r>
      <w:hyperlink r:id="rId1687">
        <w:r>
          <w:rPr>
            <w:rStyle w:val="LienInternet"/>
          </w:rPr>
          <w:t>ötlet példáját)</w:t>
        </w:r>
      </w:hyperlink>
      <w:r>
        <w:rPr/>
        <w:t>, például azáltal, hogy az EU bármely hivatalos kiadványát lefordítják valamennyi uniós nyelvre (lásd az</w:t>
      </w:r>
      <w:hyperlink r:id="rId1688">
        <w:r>
          <w:rPr>
            <w:rStyle w:val="LienInternet"/>
          </w:rPr>
          <w:t xml:space="preserve"> </w:t>
        </w:r>
      </w:hyperlink>
      <w:hyperlink r:id="rId1689">
        <w:r>
          <w:rPr>
            <w:rStyle w:val="LienInternet"/>
          </w:rPr>
          <w:t>ötletet)</w:t>
        </w:r>
      </w:hyperlink>
      <w:r>
        <w:rPr/>
        <w:t xml:space="preserve">. </w:t>
      </w:r>
    </w:p>
    <w:p>
      <w:pPr>
        <w:pStyle w:val="Corpsdetexte"/>
        <w:spacing w:lineRule="auto" w:line="240" w:before="57" w:after="57"/>
        <w:jc w:val="left"/>
        <w:rPr/>
      </w:pPr>
      <w:r>
        <w:rPr/>
        <w:t>Emellett vannak ötletek egy uniós sportcsapat létrehozására (lásd például az</w:t>
      </w:r>
      <w:hyperlink r:id="rId1690">
        <w:r>
          <w:rPr>
            <w:rStyle w:val="LienInternet"/>
          </w:rPr>
          <w:t xml:space="preserve"> </w:t>
        </w:r>
      </w:hyperlink>
      <w:hyperlink r:id="rId1691">
        <w:r>
          <w:rPr>
            <w:rStyle w:val="LienInternet"/>
          </w:rPr>
          <w:t>ötletet)</w:t>
        </w:r>
      </w:hyperlink>
      <w:r>
        <w:rPr/>
        <w:t xml:space="preserve">, május 9-ét minden tagállamban munkaszüneti napként (lásd az </w:t>
      </w:r>
      <w:hyperlink r:id="rId1692">
        <w:r>
          <w:rPr>
            <w:rStyle w:val="LienInternet"/>
          </w:rPr>
          <w:t>ötletet)</w:t>
        </w:r>
      </w:hyperlink>
      <w:r>
        <w:rPr/>
        <w:t xml:space="preserve"> vagy uniós útlevél létrehozását (lásd az </w:t>
      </w:r>
      <w:hyperlink r:id="rId1693">
        <w:r>
          <w:rPr>
            <w:rStyle w:val="LienInternet"/>
          </w:rPr>
          <w:t>ötletet)</w:t>
        </w:r>
      </w:hyperlink>
      <w:r>
        <w:rPr/>
        <w:t xml:space="preserve"> az európai szellem előmozdítása érdekében. </w:t>
      </w:r>
    </w:p>
    <w:p>
      <w:pPr>
        <w:pStyle w:val="Corpsdetexte"/>
        <w:spacing w:lineRule="auto" w:line="240" w:before="57" w:after="57"/>
        <w:jc w:val="left"/>
        <w:rPr/>
      </w:pPr>
      <w:r>
        <w:rPr/>
        <w:t xml:space="preserve">Az egyik résztvevő a munkavállalók közötti ikerintézményi programok létrehozását is javasolja annak érdekében, hogy a nem iskolás európaiak felfedezhessék egy másik uniós ország kultúráját, például külföldi képzésen való részvétellel (lásd az </w:t>
      </w:r>
      <w:hyperlink r:id="rId1694">
        <w:r>
          <w:rPr>
            <w:rStyle w:val="LienInternet"/>
          </w:rPr>
          <w:t>ötletet)</w:t>
        </w:r>
      </w:hyperlink>
      <w:r>
        <w:rPr/>
        <w:t xml:space="preserve">. A jövő generációi a közös uniós identitás kulcsfontosságú mozgatórugói, ezért sok résztvevő hangsúlyozza a fiatalok európai politikai ügyekre való nevelésének fontosságát (lásd az </w:t>
      </w:r>
      <w:hyperlink r:id="rId1695">
        <w:r>
          <w:rPr>
            <w:rStyle w:val="LienInternet"/>
          </w:rPr>
          <w:t>ötletet</w:t>
        </w:r>
      </w:hyperlink>
      <w:r>
        <w:rPr/>
        <w:t xml:space="preserve">), amelyet az oktatásról, a kultúráról, az ifjúságról és a sportról szóló fejezetben is részletesen megvitatnak. </w:t>
      </w:r>
    </w:p>
    <w:p>
      <w:pPr>
        <w:pStyle w:val="Corpsdetexte"/>
        <w:spacing w:lineRule="auto" w:line="240" w:before="57" w:after="57"/>
        <w:jc w:val="left"/>
        <w:rPr/>
      </w:pPr>
      <w:r>
        <w:rPr/>
        <w:t>A nyelvek mellett a kulturális termékeket is olyannak tekintik, amely képes összekötni az európaiakat. Ezért az egyik résztvevő arra irányuló felhívása, hogy támogassa a kulturális termelés európai határokon belüli terjesztését az „információ szabad mozgása” térségének létrehozásával, ami a szerzői jogok és az engedélyezés korlátainak csökkentését jelenti az EU-n belül (lásd az</w:t>
      </w:r>
      <w:hyperlink r:id="rId1696">
        <w:r>
          <w:rPr>
            <w:rStyle w:val="LienInternet"/>
          </w:rPr>
          <w:t xml:space="preserve"> </w:t>
        </w:r>
      </w:hyperlink>
      <w:hyperlink r:id="rId1697">
        <w:r>
          <w:rPr>
            <w:rStyle w:val="LienInternet"/>
          </w:rPr>
          <w:t>ötletet</w:t>
        </w:r>
      </w:hyperlink>
      <w:r>
        <w:rPr/>
        <w:t xml:space="preserve">). </w:t>
      </w:r>
    </w:p>
    <w:p>
      <w:pPr>
        <w:pStyle w:val="Corpsdetexte"/>
        <w:spacing w:lineRule="auto" w:line="240" w:before="57" w:after="57"/>
        <w:jc w:val="left"/>
        <w:rPr/>
      </w:pPr>
      <w:r>
        <w:rPr/>
        <w:t xml:space="preserve">Az európai identitás témájában számos hozzászólás érinti a média témáját és azt, hogy miként járulhatnak hozzá az EU-val kapcsolatos ismeretek terjesztéséhez és az európai szellem kialakításához (lásd például az </w:t>
      </w:r>
      <w:hyperlink r:id="rId1698">
        <w:r>
          <w:rPr>
            <w:rStyle w:val="LienInternet"/>
          </w:rPr>
          <w:t>ötletet</w:t>
        </w:r>
      </w:hyperlink>
      <w:r>
        <w:rPr/>
        <w:t>). Az egyik visszatérő javaslat, amely viszonylag nagyobb számú jóváhagyást kapott, a páneurópai médiaorgánumok vagy hálózatok (lásd az</w:t>
      </w:r>
      <w:hyperlink r:id="rId1699">
        <w:r>
          <w:rPr>
            <w:rStyle w:val="LienInternet"/>
          </w:rPr>
          <w:t xml:space="preserve"> ötlet példáját)</w:t>
        </w:r>
      </w:hyperlink>
      <w:r>
        <w:rPr/>
        <w:t xml:space="preserve"> vagy egy egységes uniós közszolgálati műsorszolgáltató létrehozása (lásd az</w:t>
      </w:r>
      <w:hyperlink r:id="rId1700">
        <w:r>
          <w:rPr>
            <w:rStyle w:val="LienInternet"/>
          </w:rPr>
          <w:t xml:space="preserve"> </w:t>
        </w:r>
      </w:hyperlink>
      <w:hyperlink r:id="rId1701">
        <w:r>
          <w:rPr>
            <w:rStyle w:val="LienInternet"/>
          </w:rPr>
          <w:t>ötlet példáját)</w:t>
        </w:r>
      </w:hyperlink>
      <w:r>
        <w:rPr/>
        <w:t xml:space="preserve"> létrehozása. A javaslat elsősorban az uniós kérdésekkel kapcsolatos ismeretek bővítését javasolja a polgárok körében, például a viták és események élő közvetítésével, valamint az európai értékeket és európai kultúrákat ünneplő közös uniós szellem előmozdítása érdekében, az uniós országokról szóló dokumentumfilmekkel együtt. Néhány hozzászóló azt is kéri, hogy hozzanak létre egy uniós televíziós és rádiócsatornát, amely az értékeit az EU határain túlra vetíti (lásd például az </w:t>
      </w:r>
      <w:hyperlink r:id="rId1702">
        <w:r>
          <w:rPr>
            <w:rStyle w:val="LienInternet"/>
          </w:rPr>
          <w:t>ötletet</w:t>
        </w:r>
      </w:hyperlink>
      <w:r>
        <w:rPr/>
        <w:t xml:space="preserve">). </w:t>
      </w:r>
    </w:p>
    <w:p>
      <w:pPr>
        <w:pStyle w:val="Corpsdetexte"/>
        <w:spacing w:lineRule="auto" w:line="240" w:before="57" w:after="57"/>
        <w:jc w:val="left"/>
        <w:rPr/>
      </w:pPr>
      <w:r>
        <w:rPr/>
        <w:t>Más résztvevők azt javasolják, hogy az újságírókat képzésben részesítsék az uniós jelentéstételről, vagy kötelezzék a közszolgálati műsorszolgáltatókat arra, hogy a közvetítési idő egy bizonyos százalékát uniós ügyekre fordítsák (lásd az</w:t>
      </w:r>
      <w:hyperlink r:id="rId1703">
        <w:r>
          <w:rPr>
            <w:rStyle w:val="LienInternet"/>
          </w:rPr>
          <w:t xml:space="preserve"> </w:t>
        </w:r>
      </w:hyperlink>
      <w:hyperlink r:id="rId1704">
        <w:r>
          <w:rPr>
            <w:rStyle w:val="LienInternet"/>
          </w:rPr>
          <w:t>ötletet)</w:t>
        </w:r>
      </w:hyperlink>
      <w:r>
        <w:rPr/>
        <w:t>.</w:t>
      </w:r>
    </w:p>
    <w:p>
      <w:pPr>
        <w:pStyle w:val="Corpsdetexte"/>
        <w:spacing w:lineRule="auto" w:line="240" w:before="57" w:after="57"/>
        <w:jc w:val="left"/>
        <w:rPr/>
      </w:pPr>
      <w:r>
        <w:rPr/>
      </w:r>
    </w:p>
    <w:p>
      <w:pPr>
        <w:pStyle w:val="Titre2"/>
        <w:numPr>
          <w:ilvl w:val="1"/>
          <w:numId w:val="1"/>
        </w:numPr>
        <w:jc w:val="left"/>
        <w:rPr/>
      </w:pPr>
      <w:bookmarkStart w:id="93" w:name="__RefHeading___Toc228946_11952128"/>
      <w:bookmarkEnd w:id="93"/>
      <w:r>
        <w:rPr/>
        <w:t>A demokrácia védelme és megerősítése</w:t>
      </w:r>
    </w:p>
    <w:p>
      <w:pPr>
        <w:pStyle w:val="Corpsdetexte"/>
        <w:jc w:val="left"/>
        <w:rPr/>
      </w:pPr>
      <w:r>
        <w:rPr/>
        <w:t>E téma számos elképzelése a demokrácia EU-n belüli védelmével kapcsolatos, és határozott fellépésre szólít fel a demokratikus elveket sértő kormányokkal szemben, különös tekintettel Magyarországra és Lengyelországra (lásd az</w:t>
      </w:r>
      <w:hyperlink r:id="rId1705">
        <w:r>
          <w:rPr>
            <w:rStyle w:val="LienInternet"/>
          </w:rPr>
          <w:t xml:space="preserve"> id</w:t>
        </w:r>
      </w:hyperlink>
      <w:r>
        <w:rPr/>
        <w:t xml:space="preserve">ea példáját). Ezzel a kérdéssel részletesebben foglalkozik az „Értékek és jogok, jogállamiság, biztonság” témakör. </w:t>
      </w:r>
    </w:p>
    <w:p>
      <w:pPr>
        <w:pStyle w:val="Corpsdetexte"/>
        <w:jc w:val="left"/>
        <w:rPr/>
      </w:pPr>
      <w:r>
        <w:rPr/>
        <w:t xml:space="preserve">A hozzászólók azt is elismerik, hogy a dezinformáció és az álhírek veszélyt jelenthetnek a demokráciákra. Szigorúbb megközelítésre van szükség a félrevezető információk terjesztésének megakadályozása érdekében, ideértve a tények ellenőrzésére szolgáló mobilalkalmazás (lásd az </w:t>
      </w:r>
      <w:hyperlink r:id="rId1706">
        <w:r>
          <w:rPr>
            <w:rStyle w:val="LienInternet"/>
          </w:rPr>
          <w:t>ötletet)</w:t>
        </w:r>
      </w:hyperlink>
      <w:r>
        <w:rPr/>
        <w:t xml:space="preserve"> vagy egy független uniós médiatényellenőrző intézet (lásd az</w:t>
      </w:r>
      <w:hyperlink r:id="rId1707">
        <w:r>
          <w:rPr>
            <w:rStyle w:val="LienInternet"/>
          </w:rPr>
          <w:t xml:space="preserve"> ötletet)</w:t>
        </w:r>
      </w:hyperlink>
      <w:r>
        <w:rPr/>
        <w:t xml:space="preserve"> létrehozására irányuló javaslatokat. A közösségi médiában közzétehető tartalmakra vonatkozó külön uniós szabályozást néhány hozzászóló is támogatja (lásd például az </w:t>
      </w:r>
      <w:hyperlink r:id="rId1708">
        <w:r>
          <w:rPr>
            <w:rStyle w:val="LienInternet"/>
          </w:rPr>
          <w:t>ötletet</w:t>
        </w:r>
      </w:hyperlink>
      <w:r>
        <w:rPr/>
        <w:t xml:space="preserve">). </w:t>
      </w:r>
    </w:p>
    <w:p>
      <w:pPr>
        <w:pStyle w:val="Corpsdetexte"/>
        <w:jc w:val="left"/>
        <w:rPr/>
      </w:pPr>
      <w:r>
        <w:rPr/>
        <w:t>Számos ötlet és észrevétel foglalkozik a lobbizás szabályozásának szükségességével, és felszólít a politikusok magatartási kódexére vagy egy független európai testület létrehozására, amely a korrupció és a lobbik nemkívánatos befolyása elleni küzdelemre szolgál (lásd például az</w:t>
      </w:r>
      <w:hyperlink r:id="rId1709">
        <w:r>
          <w:rPr>
            <w:rStyle w:val="LienInternet"/>
          </w:rPr>
          <w:t xml:space="preserve"> </w:t>
        </w:r>
      </w:hyperlink>
      <w:hyperlink r:id="rId1710">
        <w:r>
          <w:rPr>
            <w:rStyle w:val="LienInternet"/>
          </w:rPr>
          <w:t>ötletet)</w:t>
        </w:r>
      </w:hyperlink>
      <w:r>
        <w:rPr/>
        <w:t>. Az egyik résztvevő az EU Tanácsának elnöksége alatt a szponzorálás betiltását kéri, amely gyakorlat révén az elnökséget betöltő uniós tagállam kormánya pénzügyi támogatást kap a márkalogók hivatalos online vagy fizikai anyagokon való megjelenítéséhez (lásd az</w:t>
      </w:r>
      <w:hyperlink r:id="rId1711">
        <w:r>
          <w:rPr>
            <w:rStyle w:val="LienInternet"/>
          </w:rPr>
          <w:t xml:space="preserve"> </w:t>
        </w:r>
      </w:hyperlink>
      <w:hyperlink r:id="rId1712">
        <w:r>
          <w:rPr>
            <w:rStyle w:val="LienInternet"/>
          </w:rPr>
          <w:t>ötletet)</w:t>
        </w:r>
      </w:hyperlink>
      <w:r>
        <w:rPr/>
        <w:t xml:space="preserve">. </w:t>
      </w:r>
    </w:p>
    <w:p>
      <w:pPr>
        <w:pStyle w:val="Corpsdetexte"/>
        <w:jc w:val="left"/>
        <w:rPr/>
      </w:pPr>
      <w:r>
        <w:rPr/>
        <w:t xml:space="preserve">A korrupció elleni küzdelem érdekében általános intézkedések meghozatalára is szükség van, például a helyi szintű pályázatok odaítélése során (lásd például az </w:t>
      </w:r>
      <w:hyperlink r:id="rId1713">
        <w:r>
          <w:rPr>
            <w:rStyle w:val="LienInternet"/>
          </w:rPr>
          <w:t>ötletet)</w:t>
        </w:r>
      </w:hyperlink>
      <w:r>
        <w:rPr/>
        <w:t xml:space="preserve">. Az egyik résztvevő egy egységes adatbázis bevezetését javasolja, amely egyesíti a jelenlegi több uniós jelentéstételi rendszert (lásd az </w:t>
      </w:r>
      <w:hyperlink r:id="rId1714">
        <w:r>
          <w:rPr>
            <w:rStyle w:val="LienInternet"/>
          </w:rPr>
          <w:t>ötletet)</w:t>
        </w:r>
      </w:hyperlink>
      <w:r>
        <w:rPr/>
        <w:t>. Egy másik azt javasolja, hogy a fontos pozíciókat betöltő európai politikusokat és köztisztviselőket – például az Európai Parlament képviselőit vagy a biztosokat – tiltsák meg a készletek birtoklásában (lásd az</w:t>
      </w:r>
      <w:hyperlink r:id="rId1715">
        <w:r>
          <w:rPr>
            <w:rStyle w:val="LienInternet"/>
          </w:rPr>
          <w:t xml:space="preserve"> </w:t>
        </w:r>
      </w:hyperlink>
      <w:hyperlink r:id="rId1716">
        <w:r>
          <w:rPr>
            <w:rStyle w:val="LienInternet"/>
          </w:rPr>
          <w:t>ötletet</w:t>
        </w:r>
      </w:hyperlink>
      <w:r>
        <w:rPr/>
        <w:t xml:space="preserve">). </w:t>
      </w:r>
    </w:p>
    <w:p>
      <w:pPr>
        <w:pStyle w:val="Corpsdetexte"/>
        <w:jc w:val="left"/>
        <w:rPr/>
      </w:pPr>
      <w:r>
        <w:rPr/>
        <w:t>Az egyik résztvevő aggodalmát fejezi ki az európai demokráciára gyakorolt nem kívánt külföldi befolyás miatt, követeli, hogy vizsgálják meg, hogy az EU kulcsfontosságú infrastruktúrájának mekkora részét Kína birtokolja, és kéri, hogy az EU részesítse előnyben Indiát Kínával szemben, mint a kereskedelmi megállapodások stratégiai gazdasági partnerét (lásd az</w:t>
      </w:r>
      <w:hyperlink r:id="rId1717">
        <w:r>
          <w:rPr>
            <w:rStyle w:val="LienInternet"/>
          </w:rPr>
          <w:t xml:space="preserve"> </w:t>
        </w:r>
      </w:hyperlink>
      <w:hyperlink r:id="rId1718">
        <w:r>
          <w:rPr>
            <w:rStyle w:val="LienInternet"/>
          </w:rPr>
          <w:t>ötletet</w:t>
        </w:r>
      </w:hyperlink>
      <w:r>
        <w:rPr/>
        <w:t xml:space="preserve">). </w:t>
      </w:r>
    </w:p>
    <w:p>
      <w:pPr>
        <w:pStyle w:val="Corpsdetexte"/>
        <w:jc w:val="left"/>
        <w:rPr/>
      </w:pPr>
      <w:r>
        <w:rPr/>
        <w:t xml:space="preserve">Egy Brüsszelben szervezett </w:t>
      </w:r>
      <w:hyperlink r:id="rId1719">
        <w:r>
          <w:rPr>
            <w:rStyle w:val="LienInternet"/>
          </w:rPr>
          <w:t xml:space="preserve">rendezvény </w:t>
        </w:r>
      </w:hyperlink>
      <w:r>
        <w:rPr/>
        <w:t>kiemelte a városok és a helyi közösségek kulcsszerepét a demokrácia megerősítésében és a társadalmi fejlődés úttörőjében. Az intézményi központ és a perifériák közötti szoros kapcsolat idején a városok és települések szerepe kulcsfontosságú lehet a polgárok demokratikus intézményekbe vetett bizalmának megerősítésében.</w:t>
      </w:r>
    </w:p>
    <w:p>
      <w:pPr>
        <w:pStyle w:val="Corpsdetexte"/>
        <w:jc w:val="left"/>
        <w:rPr/>
      </w:pPr>
      <w:r>
        <w:rPr/>
      </w:r>
    </w:p>
    <w:p>
      <w:pPr>
        <w:pStyle w:val="Titre2"/>
        <w:numPr>
          <w:ilvl w:val="1"/>
          <w:numId w:val="1"/>
        </w:numPr>
        <w:jc w:val="left"/>
        <w:rPr/>
      </w:pPr>
      <w:bookmarkStart w:id="94" w:name="__RefHeading___Toc228948_11952128"/>
      <w:bookmarkEnd w:id="94"/>
      <w:r>
        <w:rPr/>
        <w:t>Új ötletek az elmúlt időszakban (21/02/2022–09/05/2022)</w:t>
      </w:r>
    </w:p>
    <w:p>
      <w:pPr>
        <w:pStyle w:val="Corpsdetexte"/>
        <w:jc w:val="left"/>
        <w:rPr/>
      </w:pPr>
      <w:r>
        <w:rPr/>
        <w:t xml:space="preserve">Az elmúlt időszakban a hozzájárulások többsége konszolidálta a korábban említett témákat. Az ötletek új ága azonban megvitatta, hogy a nemzeti kormányokat és parlamenteket jobban bevonják az uniós döntéshozatalba, és elszámoltathatóbbá teszik az uniós politikákat, és ezáltal nemzeti szemszögből közelítik meg az európai demokrácia témáját. Ezen elképzelések között egy javaslat tartalmazta az egyes nemzeti parlamentekben az uniós politikai kérdéseknek szentelt minimális számú ülés létrehozását (lásd az </w:t>
      </w:r>
      <w:hyperlink r:id="rId1720">
        <w:r>
          <w:rPr>
            <w:rStyle w:val="LienInternet"/>
          </w:rPr>
          <w:t>ötletet</w:t>
        </w:r>
      </w:hyperlink>
      <w:r>
        <w:rPr/>
        <w:t>). Egy másik, amely a nemzeti parlamenteknek az uniós szerződések ratifikálásában betöltött szerepére összpontosít, bevezette az Európai Parlament vagy annak külön bizottságai és a nemzeti parlamentek közötti közös ülések ötletét, különösen videokonferencia-hívások (lásd az</w:t>
      </w:r>
      <w:hyperlink r:id="rId1721">
        <w:r>
          <w:rPr>
            <w:rStyle w:val="LienInternet"/>
          </w:rPr>
          <w:t xml:space="preserve"> ötletet)</w:t>
        </w:r>
      </w:hyperlink>
      <w:r>
        <w:rPr/>
        <w:t xml:space="preserve"> révén.A legutóbbi jelentés megállapításaival összhangban a legutóbbi hozzájárulásokban leggyakrabban megvitatott téma az EU-n belüli demokrácia védelmére és megerősítésére irányuló általános felhívás volt, amelyet az intézményi reformok iránti igény követett (lásd például az </w:t>
      </w:r>
      <w:hyperlink r:id="rId1722">
        <w:r>
          <w:rPr>
            <w:rStyle w:val="LienInternet"/>
          </w:rPr>
          <w:t>ötletet</w:t>
        </w:r>
      </w:hyperlink>
      <w:r>
        <w:rPr/>
        <w:t xml:space="preserve">). Számos ötlet megvitatta az európai választási rendszer javasolt reformjait (lásd például az </w:t>
      </w:r>
      <w:hyperlink r:id="rId1723">
        <w:r>
          <w:rPr>
            <w:rStyle w:val="LienInternet"/>
          </w:rPr>
          <w:t>ötletet</w:t>
        </w:r>
      </w:hyperlink>
      <w:r>
        <w:rPr/>
        <w:t xml:space="preserve">). </w:t>
      </w:r>
    </w:p>
    <w:p>
      <w:pPr>
        <w:pStyle w:val="Corpsdetexte"/>
        <w:jc w:val="left"/>
        <w:rPr/>
      </w:pPr>
      <w:r>
        <w:rPr/>
        <w:t xml:space="preserve">Kiemelték továbbá, hogy erőfeszítéseket kell tenni a polgárok részvételének és a konzultációknak a fokozására (lásd például az </w:t>
      </w:r>
      <w:hyperlink r:id="rId1724">
        <w:r>
          <w:rPr>
            <w:rStyle w:val="LienInternet"/>
          </w:rPr>
          <w:t>ötletet)</w:t>
        </w:r>
      </w:hyperlink>
      <w:r>
        <w:rPr/>
        <w:t>. Valójában a polgárok szerepvállalását alkalmanként a demokrácia védelmével kapcsolatban vitatták meg, például olyan közreműködők, akik a polgárokkal folytatott konzultációk állandó digitális online platformjának létrehozását szorgalmazták (lásd például az</w:t>
      </w:r>
      <w:hyperlink r:id="rId1725">
        <w:r>
          <w:rPr>
            <w:rStyle w:val="LienInternet"/>
          </w:rPr>
          <w:t xml:space="preserve"> ötletet)</w:t>
        </w:r>
      </w:hyperlink>
      <w:r>
        <w:rPr/>
        <w:t>. Javaslat született egy olyan egyedi médiaplatform létrehozására, amely az európai tartalmakat több nyelven közvetíti, összhangban a platform résztvevői által az újságírásnak és a sajtószabadságnak tulajdonított fontossággal (lásd az</w:t>
      </w:r>
      <w:hyperlink r:id="rId1726">
        <w:r>
          <w:rPr>
            <w:rStyle w:val="LienInternet"/>
          </w:rPr>
          <w:t xml:space="preserve"> </w:t>
        </w:r>
      </w:hyperlink>
      <w:hyperlink r:id="rId1727">
        <w:r>
          <w:rPr>
            <w:rStyle w:val="LienInternet"/>
          </w:rPr>
          <w:t>ötletet)</w:t>
        </w:r>
      </w:hyperlink>
      <w:r>
        <w:rPr/>
        <w:t>.</w:t>
      </w:r>
    </w:p>
    <w:p>
      <w:pPr>
        <w:pStyle w:val="Corpsdetexte"/>
        <w:jc w:val="left"/>
        <w:rPr/>
      </w:pPr>
      <w:r>
        <w:rPr/>
      </w:r>
    </w:p>
    <w:p>
      <w:pPr>
        <w:sectPr>
          <w:headerReference w:type="default" r:id="rId1728"/>
          <w:footerReference w:type="default" r:id="rId1729"/>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Corpsdetexte"/>
        <w:jc w:val="left"/>
        <w:rPr/>
      </w:pPr>
      <w:r>
        <w:rPr/>
      </w:r>
    </w:p>
    <w:p>
      <w:pPr>
        <w:pStyle w:val="Corpsdetexte"/>
        <w:jc w:val="left"/>
        <w:rPr/>
      </w:pPr>
      <w:r>
        <w:rPr/>
        <mc:AlternateContent>
          <mc:Choice Requires="wps">
            <w:drawing>
              <wp:anchor behindDoc="0" distT="0" distB="0" distL="0" distR="0" simplePos="0" locked="0" layoutInCell="0" allowOverlap="1" relativeHeight="127">
                <wp:simplePos x="0" y="0"/>
                <wp:positionH relativeFrom="column">
                  <wp:posOffset>635</wp:posOffset>
                </wp:positionH>
                <wp:positionV relativeFrom="paragraph">
                  <wp:posOffset>63500</wp:posOffset>
                </wp:positionV>
                <wp:extent cx="8348345" cy="5073650"/>
                <wp:effectExtent l="0" t="0" r="0" b="0"/>
                <wp:wrapTopAndBottom/>
                <wp:docPr id="97" name="Cadre23 – Videó letöltés mp3-ban"/>
                <a:graphic xmlns:a="http://schemas.openxmlformats.org/drawingml/2006/main">
                  <a:graphicData uri="http://schemas.microsoft.com/office/word/2010/wordprocessingShape">
                    <wps:wsp>
                      <wps:cNvSpPr/>
                      <wps:spPr>
                        <a:xfrm>
                          <a:off x="0" y="0"/>
                          <a:ext cx="8348400" cy="507348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Ábra. Elmetérkép „Európai demokrácia” téma 1. rész</w:t>
                            </w:r>
                          </w:p>
                        </w:txbxContent>
                      </wps:txbx>
                      <wps:bodyPr lIns="0" rIns="0" tIns="0" bIns="0" anchor="t">
                        <a:noAutofit/>
                      </wps:bodyPr>
                    </wps:wsp>
                  </a:graphicData>
                </a:graphic>
              </wp:anchor>
            </w:drawing>
          </mc:Choice>
          <mc:Fallback>
            <w:pict>
              <v:rect id="shape_0" ID="Cadre23 – Videó letöltés mp3-ban" path="m0,0l-2147483645,0l-2147483645,-2147483646l0,-2147483646xe" fillcolor="white" stroked="f" o:allowincell="f" style="position:absolute;margin-left:0.05pt;margin-top:5pt;width:657.3pt;height:399.4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Ábra. Elmetérkép „Európai demokrácia” téma 1. rész</w:t>
                      </w:r>
                    </w:p>
                  </w:txbxContent>
                </v:textbox>
                <w10:wrap type="topAndBottom"/>
              </v:rect>
            </w:pict>
          </mc:Fallback>
        </mc:AlternateContent>
        <mc:AlternateContent>
          <mc:Choice Requires="wpg">
            <w:drawing>
              <wp:anchor behindDoc="0" distT="0" distB="0" distL="0" distR="635" simplePos="0" locked="0" layoutInCell="0" allowOverlap="1" relativeHeight="129">
                <wp:simplePos x="0" y="0"/>
                <wp:positionH relativeFrom="column">
                  <wp:align>center</wp:align>
                </wp:positionH>
                <wp:positionV relativeFrom="paragraph">
                  <wp:posOffset>508635</wp:posOffset>
                </wp:positionV>
                <wp:extent cx="7134225" cy="4279900"/>
                <wp:effectExtent l="0" t="0" r="635" b="0"/>
                <wp:wrapTopAndBottom/>
                <wp:docPr id="99" name="Forme 1 (angol nyelven)"/>
                <a:graphic xmlns:a="http://schemas.openxmlformats.org/drawingml/2006/main">
                  <a:graphicData uri="http://schemas.microsoft.com/office/word/2010/wordprocessingGroup">
                    <wpg:wgp>
                      <wpg:cNvGrpSpPr/>
                      <wpg:grpSpPr>
                        <a:xfrm>
                          <a:off x="0" y="0"/>
                          <a:ext cx="7134120" cy="4280040"/>
                          <a:chOff x="0" y="0"/>
                          <a:chExt cx="7134120" cy="4280040"/>
                        </a:xfrm>
                      </wpg:grpSpPr>
                      <wpg:grpSp>
                        <wpg:cNvGrpSpPr/>
                        <wpg:grpSpPr>
                          <a:xfrm>
                            <a:off x="15120" y="1298520"/>
                            <a:ext cx="1917720" cy="1428840"/>
                          </a:xfrm>
                        </wpg:grpSpPr>
                        <pic:pic xmlns:pic="http://schemas.openxmlformats.org/drawingml/2006/picture">
                          <pic:nvPicPr>
                            <pic:cNvPr id="21" name="" descr=""/>
                            <pic:cNvPicPr/>
                          </pic:nvPicPr>
                          <pic:blipFill>
                            <a:blip r:embed="rId1730"/>
                            <a:stretch/>
                          </pic:blipFill>
                          <pic:spPr>
                            <a:xfrm>
                              <a:off x="0" y="0"/>
                              <a:ext cx="755640" cy="704880"/>
                            </a:xfrm>
                            <a:prstGeom prst="rect">
                              <a:avLst/>
                            </a:prstGeom>
                            <a:ln w="0">
                              <a:noFill/>
                            </a:ln>
                          </pic:spPr>
                        </pic:pic>
                        <wps:wsp>
                          <wps:cNvSpPr/>
                          <wps:spPr>
                            <a:xfrm>
                              <a:off x="4680" y="723240"/>
                              <a:ext cx="1913400" cy="70560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Európai demokrácia</w:t>
                                </w:r>
                              </w:p>
                            </w:txbxContent>
                          </wps:txbx>
                          <wps:bodyPr lIns="90000" rIns="90000" tIns="45000" bIns="45000" anchor="t">
                            <a:noAutofit/>
                          </wps:bodyPr>
                        </wps:wsp>
                      </wpg:grpSp>
                      <wpg:grpSp>
                        <wpg:cNvGrpSpPr/>
                        <wpg:grpSpPr>
                          <a:xfrm>
                            <a:off x="85680" y="0"/>
                            <a:ext cx="4552920" cy="1141200"/>
                          </a:xfrm>
                        </wpg:grpSpPr>
                        <wps:wsp>
                          <wps:cNvSpPr/>
                          <wps:spPr>
                            <a:xfrm>
                              <a:off x="3019320" y="41760"/>
                              <a:ext cx="1533600" cy="83880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Európai parlamenti választások</w:t>
                                </w:r>
                              </w:p>
                            </w:txbxContent>
                          </wps:txbx>
                          <wps:bodyPr lIns="90000" rIns="90000" tIns="45000" bIns="45000" anchor="t">
                            <a:noAutofit/>
                          </wps:bodyPr>
                        </wps:wsp>
                        <wps:wsp>
                          <wps:cNvSpPr/>
                          <wps:spPr>
                            <a:xfrm>
                              <a:off x="0" y="0"/>
                              <a:ext cx="3008160" cy="1141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Transznacionális listák létrehozása az európai parlamenti választásokhoz</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EU választási rendszerének reformja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választói korhatár csökkentése és/vagy egységesítése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digitális szavazás megkönnyítése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mobil európaiak és nem uniós polgárok szavazásának megkönnyítése az uniós választásokon</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Biztosítani kell a szavazati jogot a fogyatékkal élők és a betegek számára</w:t>
                                </w:r>
                              </w:p>
                            </w:txbxContent>
                          </wps:txbx>
                          <wps:bodyPr lIns="90000" rIns="90000" tIns="45000" bIns="45000" anchor="t">
                            <a:noAutofit/>
                          </wps:bodyPr>
                        </wps:wsp>
                      </wpg:grpSp>
                      <wpg:grpSp>
                        <wpg:cNvGrpSpPr/>
                        <wpg:grpSpPr>
                          <a:xfrm>
                            <a:off x="0" y="2744640"/>
                            <a:ext cx="5133960" cy="1535400"/>
                          </a:xfrm>
                        </wpg:grpSpPr>
                        <wps:wsp>
                          <wps:cNvSpPr/>
                          <wps:spPr>
                            <a:xfrm>
                              <a:off x="0" y="0"/>
                              <a:ext cx="3218040" cy="15354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Részvételen alapuló politikai döntéshozatal használata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Befektetés az ifjúsági szerepvállalásba és interakciókba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polgárok képviselőinek biztosítása a politikai döntéshozatalban polgári parlamenten vagy közgyűlésen keresztül</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Hosszanti konzultációk szervezése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generációkra való összpontosítás: fiatalok és idősödő népesség</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EP-képviselők és választókörzeteik közötti távolság csökkentése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Kötelezőbb uniós szintű népszavazások szervezése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Javaslatok és/vagy kritikák a többnyelvű platform javítására, azaz egy nyomonkövetési rendszer létrehozására, amely állandóvá teszi azt.</w:t>
                                </w:r>
                              </w:p>
                            </w:txbxContent>
                          </wps:txbx>
                          <wps:bodyPr lIns="90000" rIns="90000" tIns="45000" bIns="45000" anchor="t">
                            <a:noAutofit/>
                          </wps:bodyPr>
                        </wps:wsp>
                        <wps:wsp>
                          <wps:cNvSpPr/>
                          <wps:spPr>
                            <a:xfrm>
                              <a:off x="3219480" y="385920"/>
                              <a:ext cx="1914480" cy="6458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polgárok részvétele és konzultációk</w:t>
                                </w:r>
                              </w:p>
                            </w:txbxContent>
                          </wps:txbx>
                          <wps:bodyPr lIns="90000" rIns="90000" tIns="45000" bIns="45000" anchor="t">
                            <a:noAutofit/>
                          </wps:bodyPr>
                        </wps:wsp>
                      </wpg:grpSp>
                      <wpg:grpSp>
                        <wpg:cNvGrpSpPr/>
                        <wpg:grpSpPr>
                          <a:xfrm>
                            <a:off x="2828880" y="1281600"/>
                            <a:ext cx="4305240" cy="1273680"/>
                          </a:xfrm>
                        </wpg:grpSpPr>
                        <wps:wsp>
                          <wps:cNvSpPr/>
                          <wps:spPr>
                            <a:xfrm>
                              <a:off x="0" y="0"/>
                              <a:ext cx="2448000" cy="12736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Közös fiskális és gazdaságpolitika kialakítása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európai hadsereg létrehozása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Európai Alkotmány kidolgozása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Hangok a föderalizáció ellen: nagyobb hatalomra és az együttműködés szabadságára szólít fel olyan területeken, ahol az hasznos a tagállamok számára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föderalizáció átmeneti megközelítése</w:t>
                                </w:r>
                              </w:p>
                            </w:txbxContent>
                          </wps:txbx>
                          <wps:bodyPr lIns="90000" rIns="90000" tIns="45000" bIns="45000" anchor="t">
                            <a:noAutofit/>
                          </wps:bodyPr>
                        </wps:wsp>
                        <wps:wsp>
                          <wps:cNvSpPr/>
                          <wps:spPr>
                            <a:xfrm>
                              <a:off x="2439720" y="285480"/>
                              <a:ext cx="1865520" cy="5119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Európai Unió föderalizációja</w:t>
                                </w:r>
                              </w:p>
                            </w:txbxContent>
                          </wps:txbx>
                          <wps:bodyPr lIns="90000" rIns="90000" tIns="45000" bIns="45000" anchor="t">
                            <a:noAutofit/>
                          </wps:bodyPr>
                        </wps:wsp>
                      </wpg:grpSp>
                    </wpg:wgp>
                  </a:graphicData>
                </a:graphic>
              </wp:anchor>
            </w:drawing>
          </mc:Choice>
          <mc:Fallback>
            <w:pict>
              <v:group id="shape_0" alt="Forme 1 (angol nyelven)" style="position:absolute;margin-left:83.35pt;margin-top:40.05pt;width:561.75pt;height:337pt" coordorigin="1667,801" coordsize="11235,6740">
                <v:group id="shape_0" style="position:absolute;left:1691;top:2846;width:3021;height:2250">
                  <v:shape id="shape_0" stroked="f" o:allowincell="f" style="position:absolute;left:1691;top:2846;width:1189;height:1109;mso-wrap-style:none;v-text-anchor:middle;mso-position-horizontal:center" type="_x0000_t75">
                    <v:imagedata r:id="rId1730" o:detectmouseclick="t"/>
                    <v:stroke color="#3465a4" joinstyle="round" endcap="flat"/>
                    <w10:wrap type="topAndBottom"/>
                  </v:shape>
                  <v:rect id="shape_0" path="m0,0l-2147483645,0l-2147483645,-2147483646l0,-2147483646xe" stroked="f" o:allowincell="f" style="position:absolute;left:1698;top:3985;width:3012;height:1110;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Európai demokrácia</w:t>
                          </w:r>
                        </w:p>
                      </w:txbxContent>
                    </v:textbox>
                    <v:fill o:detectmouseclick="t" on="false"/>
                    <v:stroke color="#3465a4" joinstyle="round" endcap="flat"/>
                    <w10:wrap type="topAndBottom"/>
                  </v:rect>
                </v:group>
                <v:group id="shape_0" style="position:absolute;left:1802;top:801;width:7170;height:1797">
                  <v:rect id="shape_0" path="m0,0l-2147483645,0l-2147483645,-2147483646l0,-2147483646xe" fillcolor="#a3238e" stroked="t" o:allowincell="f" style="position:absolute;left:6557;top:867;width:2414;height:1320;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Európai parlamenti választások</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802;top:801;width:4736;height:179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Transznacionális listák létrehozása az európai parlamenti választásokhoz</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EU választási rendszerének reformja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választói korhatár csökkentése és/vagy egységesítése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digitális szavazás megkönnyítése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mobil európaiak és nem uniós polgárok szavazásának megkönnyítése az uniós választásokon</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Biztosítani kell a szavazati jogot a fogyatékkal élők és a betegek számára</w:t>
                          </w:r>
                        </w:p>
                      </w:txbxContent>
                    </v:textbox>
                    <v:fill o:detectmouseclick="t" type="solid" color2="#111111"/>
                    <v:stroke color="#3465a4" joinstyle="round" endcap="flat"/>
                    <w10:wrap type="topAndBottom"/>
                  </v:rect>
                </v:group>
                <v:group id="shape_0" style="position:absolute;left:1667;top:5123;width:8085;height:2418">
                  <v:rect id="shape_0" path="m0,0l-2147483645,0l-2147483645,-2147483646l0,-2147483646xe" fillcolor="#eeeeee" stroked="f" o:allowincell="f" style="position:absolute;left:1667;top:5123;width:5067;height:241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Részvételen alapuló politikai döntéshozatal használata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Befektetés az ifjúsági szerepvállalásba és interakciókba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polgárok képviselőinek biztosítása a politikai döntéshozatalban polgári parlamenten vagy közgyűlésen keresztül</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Hosszanti konzultációk szervezése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generációkra való összpontosítás: fiatalok és idősödő népesség</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EP-képviselők és választókörzeteik közötti távolság csökkentése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Kötelezőbb uniós szintű népszavazások szervezése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Javaslatok és/vagy kritikák a többnyelvű platform javítására, azaz egy nyomonkövetési rendszer létrehozására, amely állandóvá teszi azt.</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6737;top:5731;width:3014;height:101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polgárok részvétele és konzultációk</w:t>
                          </w:r>
                        </w:p>
                      </w:txbxContent>
                    </v:textbox>
                    <v:fill o:detectmouseclick="t" type="solid" color2="#5cdc71"/>
                    <v:stroke color="#3465a4" joinstyle="round" endcap="flat"/>
                    <w10:wrap type="topAndBottom"/>
                  </v:rect>
                </v:group>
                <v:group id="shape_0" style="position:absolute;left:6122;top:2819;width:6781;height:2006">
                  <v:rect id="shape_0" path="m0,0l-2147483645,0l-2147483645,-2147483646l0,-2147483646xe" fillcolor="#eeeeee" stroked="f" o:allowincell="f" style="position:absolute;left:6122;top:2819;width:3854;height:2005;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Közös fiskális és gazdaságpolitika kialakítása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európai hadsereg létrehozása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Európai Alkotmány kidolgozása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Hangok a föderalizáció ellen: nagyobb hatalomra és az együttműködés szabadságára szólít fel olyan területeken, ahol az hasznos a tagállamok számára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föderalizáció átmeneti megközelítése</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9964;top:3269;width:2937;height:805;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Európai Unió föderalizációja</w:t>
                          </w:r>
                        </w:p>
                      </w:txbxContent>
                    </v:textbox>
                    <v:fill o:detectmouseclick="t" type="solid" color2="#5cdc71"/>
                    <v:stroke color="#3465a4" joinstyle="round" endcap="flat"/>
                    <w10:wrap type="topAndBottom"/>
                  </v:rect>
                </v:group>
              </v:group>
            </w:pict>
          </mc:Fallback>
        </mc:AlternateContent>
      </w:r>
    </w:p>
    <w:p>
      <w:pPr>
        <w:pStyle w:val="Corpsdetexte"/>
        <w:jc w:val="left"/>
        <w:rPr/>
      </w:pPr>
      <w:r>
        <w:rPr/>
      </w:r>
    </w:p>
    <w:p>
      <w:pPr>
        <w:pStyle w:val="Corpsdetexte"/>
        <w:jc w:val="left"/>
        <w:rPr/>
      </w:pPr>
      <w:r>
        <w:rPr/>
      </w:r>
      <w:r>
        <w:br w:type="page"/>
      </w:r>
    </w:p>
    <w:p>
      <w:pPr>
        <w:pStyle w:val="Corpsdetexte"/>
        <w:jc w:val="left"/>
        <w:rPr/>
      </w:pPr>
      <w:r>
        <w:rPr/>
      </w:r>
    </w:p>
    <w:p>
      <w:pPr>
        <w:pStyle w:val="Corpsdetexte"/>
        <w:jc w:val="left"/>
        <w:rPr/>
      </w:pPr>
      <w:r>
        <w:rPr/>
        <mc:AlternateContent>
          <mc:Choice Requires="wps">
            <w:drawing>
              <wp:anchor behindDoc="0" distT="0" distB="0" distL="0" distR="0" simplePos="0" locked="0" layoutInCell="0" allowOverlap="1" relativeHeight="130">
                <wp:simplePos x="0" y="0"/>
                <wp:positionH relativeFrom="column">
                  <wp:posOffset>0</wp:posOffset>
                </wp:positionH>
                <wp:positionV relativeFrom="paragraph">
                  <wp:posOffset>36195</wp:posOffset>
                </wp:positionV>
                <wp:extent cx="9215755" cy="5132705"/>
                <wp:effectExtent l="0" t="0" r="0" b="0"/>
                <wp:wrapTopAndBottom/>
                <wp:docPr id="100" name="Cadre3 – Videó letöltés mp3-ban"/>
                <a:graphic xmlns:a="http://schemas.openxmlformats.org/drawingml/2006/main">
                  <a:graphicData uri="http://schemas.microsoft.com/office/word/2010/wordprocessingShape">
                    <wps:wsp>
                      <wps:cNvSpPr/>
                      <wps:spPr>
                        <a:xfrm>
                          <a:off x="0" y="0"/>
                          <a:ext cx="9215640" cy="513288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Ábra. Elmetérkép „Európai demokrácia” téma 2. rész</w:t>
                            </w:r>
                          </w:p>
                        </w:txbxContent>
                      </wps:txbx>
                      <wps:bodyPr lIns="0" rIns="0" tIns="0" bIns="0" anchor="t">
                        <a:noAutofit/>
                      </wps:bodyPr>
                    </wps:wsp>
                  </a:graphicData>
                </a:graphic>
              </wp:anchor>
            </w:drawing>
          </mc:Choice>
          <mc:Fallback>
            <w:pict>
              <v:rect id="shape_0" ID="Cadre3 – Videó letöltés mp3-ban" path="m0,0l-2147483645,0l-2147483645,-2147483646l0,-2147483646xe" fillcolor="white" stroked="f" o:allowincell="f" style="position:absolute;margin-left:0pt;margin-top:2.85pt;width:725.6pt;height:404.1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Ábra. Elmetérkép „Európai demokrácia” téma 2. rész</w:t>
                      </w:r>
                    </w:p>
                  </w:txbxContent>
                </v:textbox>
                <w10:wrap type="topAndBottom"/>
              </v:rect>
            </w:pict>
          </mc:Fallback>
        </mc:AlternateContent>
        <mc:AlternateContent>
          <mc:Choice Requires="wpg">
            <w:drawing>
              <wp:anchor behindDoc="0" distT="0" distB="0" distL="0" distR="0" simplePos="0" locked="0" layoutInCell="0" allowOverlap="1" relativeHeight="132">
                <wp:simplePos x="0" y="0"/>
                <wp:positionH relativeFrom="column">
                  <wp:align>center</wp:align>
                </wp:positionH>
                <wp:positionV relativeFrom="paragraph">
                  <wp:posOffset>434340</wp:posOffset>
                </wp:positionV>
                <wp:extent cx="8940165" cy="4441190"/>
                <wp:effectExtent l="0" t="0" r="0" b="0"/>
                <wp:wrapTopAndBottom/>
                <wp:docPr id="102" name="Forme 2 – További információk"/>
                <a:graphic xmlns:a="http://schemas.openxmlformats.org/drawingml/2006/main">
                  <a:graphicData uri="http://schemas.microsoft.com/office/word/2010/wordprocessingGroup">
                    <wpg:wgp>
                      <wpg:cNvGrpSpPr/>
                      <wpg:grpSpPr>
                        <a:xfrm>
                          <a:off x="0" y="0"/>
                          <a:ext cx="8940240" cy="4441320"/>
                          <a:chOff x="0" y="0"/>
                          <a:chExt cx="8940240" cy="4441320"/>
                        </a:xfrm>
                      </wpg:grpSpPr>
                      <wpg:grpSp>
                        <wpg:cNvGrpSpPr/>
                        <wpg:grpSpPr>
                          <a:xfrm>
                            <a:off x="0" y="1516320"/>
                            <a:ext cx="1917720" cy="1270800"/>
                          </a:xfrm>
                        </wpg:grpSpPr>
                        <pic:pic xmlns:pic="http://schemas.openxmlformats.org/drawingml/2006/picture">
                          <pic:nvPicPr>
                            <pic:cNvPr id="22" name="" descr=""/>
                            <pic:cNvPicPr/>
                          </pic:nvPicPr>
                          <pic:blipFill>
                            <a:blip r:embed="rId1731"/>
                            <a:stretch/>
                          </pic:blipFill>
                          <pic:spPr>
                            <a:xfrm>
                              <a:off x="0" y="0"/>
                              <a:ext cx="755640" cy="626760"/>
                            </a:xfrm>
                            <a:prstGeom prst="rect">
                              <a:avLst/>
                            </a:prstGeom>
                            <a:ln w="0">
                              <a:noFill/>
                            </a:ln>
                          </pic:spPr>
                        </pic:pic>
                        <wps:wsp>
                          <wps:cNvSpPr/>
                          <wps:spPr>
                            <a:xfrm>
                              <a:off x="4320" y="643320"/>
                              <a:ext cx="1913400" cy="62748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Európai demokrácia</w:t>
                                </w:r>
                              </w:p>
                            </w:txbxContent>
                          </wps:txbx>
                          <wps:bodyPr lIns="90000" rIns="90000" tIns="45000" bIns="45000" anchor="t">
                            <a:noAutofit/>
                          </wps:bodyPr>
                        </wps:wsp>
                      </wpg:grpSp>
                      <wpg:grpSp>
                        <wpg:cNvGrpSpPr/>
                        <wpg:grpSpPr>
                          <a:xfrm>
                            <a:off x="166320" y="0"/>
                            <a:ext cx="6970320" cy="1816200"/>
                          </a:xfrm>
                        </wpg:grpSpPr>
                        <wps:wsp>
                          <wps:cNvSpPr/>
                          <wps:spPr>
                            <a:xfrm>
                              <a:off x="0" y="561240"/>
                              <a:ext cx="1940400" cy="4345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Intézményi reformok</w:t>
                                </w:r>
                              </w:p>
                            </w:txbxContent>
                          </wps:txbx>
                          <wps:bodyPr lIns="90000" rIns="90000" tIns="45000" bIns="45000" anchor="t">
                            <a:noAutofit/>
                          </wps:bodyPr>
                        </wps:wsp>
                        <wps:wsp>
                          <wps:cNvSpPr/>
                          <wps:spPr>
                            <a:xfrm>
                              <a:off x="1941840" y="0"/>
                              <a:ext cx="5028480" cy="1816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Vizsgálja felül az Európai Parlament szerepét annak érdekében, hogy nagyobb jogalkotási és fiskális hatalmat biztosítson számára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Reformdöntés (egyhangú többségi szabályok)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Európai Tanács szerepének felülvizsgálata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Bizottság elnökének és biztosainak reformmegválasztási eljárása (pl. a Bizottság elnökének közvetlen megválasztása)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Újraértékeli a Régiók Bizottsága (beleértve az eurorégiók intézményesítését) és a Gazdasági és Szociális Bizottság szerepét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biztosok számának csökkentése és a politikai mandátumok korlátozása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Európai Központi Bank és az eurócsoport reform szerepe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szakpolitikai hatásvizsgálat kötelezővé tétele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Európai Bíróság hatásköreinek megerősítése kontra azok csökkentése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szakpolitikák elszámoltathatóbbá tétele a jövő generációi felé </w:t>
                                </w:r>
                              </w:p>
                            </w:txbxContent>
                          </wps:txbx>
                          <wps:bodyPr lIns="90000" rIns="90000" tIns="45000" bIns="45000" anchor="t">
                            <a:noAutofit/>
                          </wps:bodyPr>
                        </wps:wsp>
                      </wpg:grpSp>
                      <wpg:grpSp>
                        <wpg:cNvGrpSpPr/>
                        <wpg:grpSpPr>
                          <a:xfrm>
                            <a:off x="23400" y="3372480"/>
                            <a:ext cx="5875200" cy="1068840"/>
                          </a:xfrm>
                        </wpg:grpSpPr>
                        <wps:wsp>
                          <wps:cNvSpPr/>
                          <wps:spPr>
                            <a:xfrm>
                              <a:off x="0" y="138600"/>
                              <a:ext cx="2230920" cy="5529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demokrácia védelme és megerősítése</w:t>
                                </w:r>
                              </w:p>
                            </w:txbxContent>
                          </wps:txbx>
                          <wps:bodyPr lIns="90000" rIns="90000" tIns="45000" bIns="45000" anchor="t">
                            <a:noAutofit/>
                          </wps:bodyPr>
                        </wps:wsp>
                        <wps:wsp>
                          <wps:cNvSpPr/>
                          <wps:spPr>
                            <a:xfrm>
                              <a:off x="2257560" y="0"/>
                              <a:ext cx="3617640" cy="1068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uniós források elosztási módjának megváltoztatása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Küzdelem a dezinformáció ellen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lobbizás szabályozása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korrupció elleni küzdelem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Hozzon létre egy magatartási kódexet a politikusok számára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Tegyen határozott lépéseket a demokratikus elveket sértő kormányok ellen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antidemokratikus világhatalmak stratégiai eszközeinek ellenőrzése és tulajdonjogának korlátozása </w:t>
                                </w:r>
                              </w:p>
                            </w:txbxContent>
                          </wps:txbx>
                          <wps:bodyPr lIns="90000" rIns="90000" tIns="45000" bIns="45000" anchor="t">
                            <a:noAutofit/>
                          </wps:bodyPr>
                        </wps:wsp>
                      </wpg:grpSp>
                      <wpg:grpSp>
                        <wpg:cNvGrpSpPr/>
                        <wpg:grpSpPr>
                          <a:xfrm>
                            <a:off x="2660040" y="1816560"/>
                            <a:ext cx="6280200" cy="1536840"/>
                          </a:xfrm>
                        </wpg:grpSpPr>
                        <wps:wsp>
                          <wps:cNvSpPr/>
                          <wps:spPr>
                            <a:xfrm>
                              <a:off x="0" y="336600"/>
                              <a:ext cx="1881000" cy="7174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közös európai identitás és a közélet előmozdítása</w:t>
                                </w:r>
                              </w:p>
                            </w:txbxContent>
                          </wps:txbx>
                          <wps:bodyPr lIns="90000" rIns="90000" tIns="45000" bIns="45000" anchor="t">
                            <a:noAutofit/>
                          </wps:bodyPr>
                        </wps:wsp>
                        <wps:wsp>
                          <wps:cNvSpPr/>
                          <wps:spPr>
                            <a:xfrm>
                              <a:off x="1872000" y="0"/>
                              <a:ext cx="4408200" cy="1536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Közös uniós nyelv és a többnyelvűség előmozdítása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Uniós sportcsapatok létrehozása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Uniós nemzeti ünnep létrehozása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Uniós útlevél létrehozása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Ikerintézményi és csereprogramok létrehozása a munkavállalók számára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Uniós témákkal foglalkozó uniós médiaportálok létrehozása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Egységes uniós közszolgálati műsorszolgáltató létrehozása a polgárok EU-val való együttműködésének előmozdítása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Annak biztosítása, hogy a nemzeti közszolgálati műsorszolgáltató időt szánjon az uniós jelentéstételre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Uniós biztosok részvételével kötelező vitaülések létrehozása az egyes nemzeti parlamentekben az uniós ügyekről </w:t>
                                </w:r>
                              </w:p>
                            </w:txbxContent>
                          </wps:txbx>
                          <wps:bodyPr lIns="90000" rIns="90000" tIns="45000" bIns="45000" anchor="t">
                            <a:noAutofit/>
                          </wps:bodyPr>
                        </wps:wsp>
                      </wpg:grpSp>
                    </wpg:wgp>
                  </a:graphicData>
                </a:graphic>
              </wp:anchor>
            </w:drawing>
          </mc:Choice>
          <mc:Fallback>
            <w:pict>
              <v:group id="shape_0" alt="Forme 2 – További információk" style="position:absolute;margin-left:12.25pt;margin-top:34.2pt;width:703.95pt;height:349.7pt" coordorigin="245,684" coordsize="14079,6994">
                <v:group id="shape_0" style="position:absolute;left:245;top:3072;width:3020;height:2001">
                  <v:shape id="shape_0" stroked="f" o:allowincell="f" style="position:absolute;left:245;top:3072;width:1189;height:986;mso-wrap-style:none;v-text-anchor:middle;mso-position-horizontal:center" type="_x0000_t75">
                    <v:imagedata r:id="rId1730" o:detectmouseclick="t"/>
                    <v:stroke color="#3465a4" joinstyle="round" endcap="flat"/>
                    <w10:wrap type="topAndBottom"/>
                  </v:shape>
                  <v:rect id="shape_0" path="m0,0l-2147483645,0l-2147483645,-2147483646l0,-2147483646xe" stroked="f" o:allowincell="f" style="position:absolute;left:252;top:4085;width:3012;height:987;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Európai demokrácia</w:t>
                          </w:r>
                        </w:p>
                      </w:txbxContent>
                    </v:textbox>
                    <v:fill o:detectmouseclick="t" on="false"/>
                    <v:stroke color="#3465a4" joinstyle="round" endcap="flat"/>
                    <w10:wrap type="topAndBottom"/>
                  </v:rect>
                </v:group>
                <v:group id="shape_0" style="position:absolute;left:507;top:684;width:10977;height:2860">
                  <v:rect id="shape_0" path="m0,0l-2147483645,0l-2147483645,-2147483646l0,-2147483646xe" fillcolor="#a3238e" stroked="t" o:allowincell="f" style="position:absolute;left:507;top:1568;width:3055;height:683;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Intézményi reformok</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565;top:684;width:7918;height:285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Vizsgálja felül az Európai Parlament szerepét annak érdekében, hogy nagyobb jogalkotási és fiskális hatalmat biztosítson számára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Reformdöntés (egyhangú többségi szabályok)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Európai Tanács szerepének felülvizsgálata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Bizottság elnökének és biztosainak reformmegválasztási eljárása (pl. a Bizottság elnökének közvetlen megválasztása)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Újraértékeli a Régiók Bizottsága (beleértve az eurorégiók intézményesítését) és a Gazdasági és Szociális Bizottság szerepét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biztosok számának csökkentése és a politikai mandátumok korlátozása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Európai Központi Bank és az eurócsoport reform szerepe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szakpolitikai hatásvizsgálat kötelezővé tétele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Európai Bíróság hatásköreinek megerősítése kontra azok csökkentése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szakpolitikák elszámoltathatóbbá tétele a jövő generációi felé </w:t>
                          </w:r>
                        </w:p>
                      </w:txbxContent>
                    </v:textbox>
                    <v:fill o:detectmouseclick="t" type="solid" color2="#111111"/>
                    <v:stroke color="#3465a4" joinstyle="round" endcap="flat"/>
                    <w10:wrap type="topAndBottom"/>
                  </v:rect>
                </v:group>
                <v:group id="shape_0" style="position:absolute;left:282;top:5995;width:9252;height:1683">
                  <v:rect id="shape_0" path="m0,0l-2147483645,0l-2147483645,-2147483646l0,-2147483646xe" fillcolor="#a3238e" stroked="t" o:allowincell="f" style="position:absolute;left:282;top:6214;width:3512;height:870;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demokrácia védelme és megerősítése</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837;top:5995;width:5696;height:1682;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uniós források elosztási módjának megváltoztatása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Küzdelem a dezinformáció ellen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lobbizás szabályozása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korrupció elleni küzdelem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Hozzon létre egy magatartási kódexet a politikusok számára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Tegyen határozott lépéseket a demokratikus elveket sértő kormányok ellen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antidemokratikus világhatalmak stratégiai eszközeinek ellenőrzése és tulajdonjogának korlátozása </w:t>
                          </w:r>
                        </w:p>
                      </w:txbxContent>
                    </v:textbox>
                    <v:fill o:detectmouseclick="t" type="solid" color2="#111111"/>
                    <v:stroke color="#3465a4" joinstyle="round" endcap="flat"/>
                    <w10:wrap type="topAndBottom"/>
                  </v:rect>
                </v:group>
                <v:group id="shape_0" style="position:absolute;left:4434;top:3545;width:9890;height:2420">
                  <v:rect id="shape_0" path="m0,0l-2147483645,0l-2147483645,-2147483646l0,-2147483646xe" fillcolor="#a3238e" stroked="t" o:allowincell="f" style="position:absolute;left:4434;top:4075;width:2961;height:112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közös európai identitás és a közélet előmozdítása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382;top:3545;width:6941;height:241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Közös uniós nyelv és a többnyelvűség előmozdítása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Uniós sportcsapatok létrehozása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Uniós nemzeti ünnep létrehozása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Uniós útlevél létrehozása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Ikerintézményi és csereprogramok létrehozása a munkavállalók számára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Uniós témákkal foglalkozó uniós médiaportálok létrehozása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Egységes uniós közszolgálati műsorszolgáltató létrehozása a polgárok EU-val való együttműködésének előmozdítása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Annak biztosítása, hogy a nemzeti közszolgálati műsorszolgáltató időt szánjon az uniós jelentéstételre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Uniós biztosok részvételével kötelező vitaülések létrehozása az egyes nemzeti parlamentekben az uniós ügyekről </w:t>
                          </w:r>
                        </w:p>
                      </w:txbxContent>
                    </v:textbox>
                    <v:fill o:detectmouseclick="t" type="solid" color2="#111111"/>
                    <v:stroke color="#3465a4" joinstyle="round" endcap="flat"/>
                    <w10:wrap type="topAndBottom"/>
                  </v:rect>
                </v:group>
              </v:group>
            </w:pict>
          </mc:Fallback>
        </mc:AlternateContent>
      </w:r>
    </w:p>
    <w:p>
      <w:pPr>
        <w:sectPr>
          <w:headerReference w:type="default" r:id="rId1732"/>
          <w:footerReference w:type="default" r:id="rId1733"/>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Corpsdetexte"/>
        <w:jc w:val="left"/>
        <w:rPr/>
      </w:pPr>
      <w:r>
        <w:rPr/>
        <w:drawing>
          <wp:anchor behindDoc="0" distT="0" distB="0" distL="0" distR="0" simplePos="0" locked="0" layoutInCell="0" allowOverlap="1" relativeHeight="133">
            <wp:simplePos x="0" y="0"/>
            <wp:positionH relativeFrom="column">
              <wp:align>center</wp:align>
            </wp:positionH>
            <wp:positionV relativeFrom="paragraph">
              <wp:posOffset>635</wp:posOffset>
            </wp:positionV>
            <wp:extent cx="2970530" cy="1993900"/>
            <wp:effectExtent l="0" t="0" r="0" b="0"/>
            <wp:wrapSquare wrapText="largest"/>
            <wp:docPr id="103" name="Kép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Kép38" descr=""/>
                    <pic:cNvPicPr>
                      <a:picLocks noChangeAspect="1" noChangeArrowheads="1"/>
                    </pic:cNvPicPr>
                  </pic:nvPicPr>
                  <pic:blipFill>
                    <a:blip r:embed="rId1734"/>
                    <a:stretch>
                      <a:fillRect/>
                    </a:stretch>
                  </pic:blipFill>
                  <pic:spPr bwMode="auto">
                    <a:xfrm>
                      <a:off x="0" y="0"/>
                      <a:ext cx="2970530" cy="1993900"/>
                    </a:xfrm>
                    <a:prstGeom prst="rect">
                      <a:avLst/>
                    </a:prstGeom>
                  </pic:spPr>
                </pic:pic>
              </a:graphicData>
            </a:graphic>
          </wp:anchor>
        </w:drawing>
      </w:r>
    </w:p>
    <w:p>
      <w:pPr>
        <w:pStyle w:val="Titre1"/>
        <w:numPr>
          <w:ilvl w:val="0"/>
          <w:numId w:val="1"/>
        </w:numPr>
        <w:rPr/>
      </w:pPr>
      <w:bookmarkStart w:id="95" w:name="__RefHeading___Toc228950_11952128"/>
      <w:bookmarkEnd w:id="95"/>
      <w:r>
        <w:rPr/>
        <w:t>9. Migráció</w:t>
      </w:r>
    </w:p>
    <w:p>
      <w:pPr>
        <w:pStyle w:val="Corpsdetexte"/>
        <w:rPr/>
      </w:pPr>
      <w:r>
        <w:rPr/>
        <w:t xml:space="preserve">A platform elindítása óta a Migrációs téma összesen 2700 hozzászólást eredményezett, beleértve 955 ötletet, 1 539 hozzászólást és 206 eseményt. A témához tartozó legtöbb visszatérő hozzászólás három általános tendenciát mutat. Egyrészt az interakciók egyik csoportja nagyobb szolidaritást és jobb integrációs eljárásokat tesz szükségessé, míg más hozzájárulások több fellépést kívánnak a migráció ellenőrzésére és csökkentésére. Köztes álláspontot képviselve a résztvevők egy másik csoportja szeretné előmozdítani a nemzetközi mobilitást, de csak a gazdaságilag fejlett demokráciák között. Az ukrán menekültek beáramlását is megvitatták a résztvevők. Ennek megfelelően a következő témákat elemezzük: </w:t>
      </w:r>
    </w:p>
    <w:p>
      <w:pPr>
        <w:pStyle w:val="P68B1DB1Corpsdetexte12"/>
        <w:rPr>
          <w:b/>
          <w:b/>
        </w:rPr>
      </w:pPr>
      <w:r>
        <w:rPr/>
        <w:t xml:space="preserve">• </w:t>
      </w:r>
      <w:r>
        <w:rPr/>
        <w:tab/>
        <w:t xml:space="preserve">Közös uniós migrációs politika </w:t>
      </w:r>
    </w:p>
    <w:p>
      <w:pPr>
        <w:pStyle w:val="P68B1DB1Corpsdetexte12"/>
        <w:rPr>
          <w:b/>
          <w:b/>
        </w:rPr>
      </w:pPr>
      <w:r>
        <w:rPr/>
        <w:t xml:space="preserve">• </w:t>
      </w:r>
      <w:r>
        <w:rPr/>
        <w:tab/>
        <w:t xml:space="preserve">Humanista álláspont a migrációval kapcsolatban </w:t>
      </w:r>
    </w:p>
    <w:p>
      <w:pPr>
        <w:pStyle w:val="P68B1DB1Corpsdetexte12"/>
        <w:rPr>
          <w:b/>
          <w:b/>
        </w:rPr>
      </w:pPr>
      <w:r>
        <w:rPr/>
        <w:t xml:space="preserve">• </w:t>
      </w:r>
      <w:r>
        <w:rPr/>
        <w:tab/>
        <w:t xml:space="preserve">Integráció </w:t>
      </w:r>
    </w:p>
    <w:p>
      <w:pPr>
        <w:pStyle w:val="P68B1DB1Corpsdetexte12"/>
        <w:rPr>
          <w:b/>
          <w:b/>
        </w:rPr>
      </w:pPr>
      <w:r>
        <w:rPr/>
        <w:t xml:space="preserve">• </w:t>
      </w:r>
      <w:r>
        <w:rPr/>
        <w:tab/>
        <w:t xml:space="preserve">A nem uniós migráció mint fenyegetés </w:t>
      </w:r>
    </w:p>
    <w:p>
      <w:pPr>
        <w:pStyle w:val="P68B1DB1Corpsdetexte12"/>
        <w:rPr>
          <w:b/>
          <w:b/>
        </w:rPr>
      </w:pPr>
      <w:r>
        <w:rPr/>
        <w:t xml:space="preserve">• </w:t>
      </w:r>
      <w:r>
        <w:rPr/>
        <w:tab/>
        <w:t xml:space="preserve">Határellenőrzés </w:t>
      </w:r>
    </w:p>
    <w:p>
      <w:pPr>
        <w:pStyle w:val="P68B1DB1Corpsdetexte12"/>
        <w:rPr>
          <w:b/>
          <w:b/>
        </w:rPr>
      </w:pPr>
      <w:r>
        <w:rPr/>
        <w:t xml:space="preserve">• </w:t>
      </w:r>
      <w:r>
        <w:rPr/>
        <w:tab/>
        <w:t>A migráció kiváltó okainak kezelése</w:t>
      </w:r>
    </w:p>
    <w:p>
      <w:pPr>
        <w:pStyle w:val="Corpsdetexte"/>
        <w:jc w:val="left"/>
        <w:rPr/>
      </w:pPr>
      <w:r>
        <w:rPr/>
      </w:r>
    </w:p>
    <w:p>
      <w:pPr>
        <w:pStyle w:val="Corpsdetexte"/>
        <w:jc w:val="left"/>
        <w:rPr/>
      </w:pPr>
      <w:r>
        <w:rPr/>
      </w:r>
    </w:p>
    <w:p>
      <w:pPr>
        <w:pStyle w:val="Corpsdetexte"/>
        <w:jc w:val="left"/>
        <w:rPr/>
      </w:pPr>
      <w:r>
        <w:br w:type="column"/>
      </w:r>
      <w:r>
        <w:rPr/>
      </w:r>
    </w:p>
    <w:p>
      <w:pPr>
        <w:pStyle w:val="Corpsdetexte"/>
        <w:jc w:val="left"/>
        <w:rPr/>
      </w:pPr>
      <w:r>
        <w:rPr/>
      </w:r>
    </w:p>
    <w:p>
      <w:pPr>
        <w:pStyle w:val="Titre2"/>
        <w:numPr>
          <w:ilvl w:val="1"/>
          <w:numId w:val="1"/>
        </w:numPr>
        <w:jc w:val="left"/>
        <w:rPr/>
      </w:pPr>
      <w:bookmarkStart w:id="96" w:name="__RefHeading___Toc86515_2514204080"/>
      <w:bookmarkEnd w:id="96"/>
      <w:r>
        <w:rPr/>
        <w:t>Események</w:t>
      </w:r>
    </w:p>
    <w:p>
      <w:pPr>
        <w:pStyle w:val="Normal"/>
        <w:jc w:val="left"/>
        <w:rPr/>
      </w:pPr>
      <w:r>
        <w:rPr/>
      </w:r>
    </w:p>
    <w:p>
      <w:pPr>
        <w:pStyle w:val="Normal"/>
        <w:jc w:val="left"/>
        <w:rPr/>
      </w:pPr>
      <w:r>
        <w:rPr/>
        <w:t xml:space="preserve">A migrációt európai politikai szempontból megvitató közelmúltbeli események érintették az EU menekültügyi politikáját, jelezve a menekült- és menekültügyi politikák újragondolásának szükségességét, valamint a migránsok EU-n belüli közös elosztásának keretének szükségességét. A Kanári-szigetek parlamentjében szervezett rendezvényen a résztvevők megvitatták a migrációs és menekültügyi paktumról szóló tárgyalásokat, és a kísérő nélküli migráns gyermekek védelmének javítására szóltak fel (lásd az </w:t>
      </w:r>
      <w:hyperlink r:id="rId1735">
        <w:r>
          <w:rPr>
            <w:rStyle w:val="LienInternet"/>
          </w:rPr>
          <w:t>eseményt)</w:t>
        </w:r>
      </w:hyperlink>
      <w:r>
        <w:rPr/>
        <w:t>. Egy olasz katolikus szervezet által szervezett online rendezvényen megvitatták a küszöbön álló európai migrációs és menekültügyi paktumot (lásd az</w:t>
      </w:r>
      <w:hyperlink r:id="rId1736">
        <w:r>
          <w:rPr>
            <w:rStyle w:val="LienInternet"/>
          </w:rPr>
          <w:t xml:space="preserve"> </w:t>
        </w:r>
      </w:hyperlink>
      <w:hyperlink r:id="rId1737">
        <w:r>
          <w:rPr>
            <w:rStyle w:val="LienInternet"/>
          </w:rPr>
          <w:t>eseményt</w:t>
        </w:r>
      </w:hyperlink>
      <w:r>
        <w:rPr/>
        <w:t xml:space="preserve">). </w:t>
      </w:r>
    </w:p>
    <w:p>
      <w:pPr>
        <w:pStyle w:val="Normal"/>
        <w:jc w:val="left"/>
        <w:rPr/>
      </w:pPr>
      <w:r>
        <w:rPr/>
        <w:t xml:space="preserve">A dán vita arra is összpontosított, hogy Európának meg kell-e nyitnia vagy le kell-e zárnia külső határait. Ez az esemény jelentős részvételt eredményezett a különböző közönség körében, és olyan kérdéseket vetett fel, mint az európai határok kiszervezéséből, a harmadik országokban működő menekültügyi központok létrehozásából, valamint az olyan országokkal folytatott uniós együttműködésből eredő következmények, mint például Törökország és Líbia. (lásd az </w:t>
      </w:r>
      <w:hyperlink r:id="rId1738">
        <w:r>
          <w:rPr>
            <w:rStyle w:val="LienInternet"/>
          </w:rPr>
          <w:t>eseményt</w:t>
        </w:r>
      </w:hyperlink>
      <w:r>
        <w:rPr/>
        <w:t xml:space="preserve">.) </w:t>
      </w:r>
    </w:p>
    <w:p>
      <w:pPr>
        <w:pStyle w:val="Normal"/>
        <w:jc w:val="left"/>
        <w:rPr/>
      </w:pPr>
      <w:r>
        <w:rPr/>
        <w:t xml:space="preserve">Egy másik részvételi esemény megvitatta, hogy a migráció lehetőséget vagy fenyegetést jelent-e, olyan kérdéseket érintve, mint a szabályos és az irreguláris migráció, valamint az etnikai és kulturális különbségtétel, mint az ukrán menekültek esetében (lásd az </w:t>
      </w:r>
      <w:hyperlink r:id="rId1739">
        <w:r>
          <w:rPr>
            <w:rStyle w:val="LienInternet"/>
          </w:rPr>
          <w:t>eseményt</w:t>
        </w:r>
      </w:hyperlink>
      <w:r>
        <w:rPr/>
        <w:t>). Ezeket a kérdéseket egy litvániai rendezvényen is megvizsgálták (lásd az</w:t>
      </w:r>
      <w:hyperlink r:id="rId1740">
        <w:r>
          <w:rPr>
            <w:rStyle w:val="LienInternet"/>
          </w:rPr>
          <w:t xml:space="preserve"> </w:t>
        </w:r>
      </w:hyperlink>
      <w:hyperlink r:id="rId1741">
        <w:r>
          <w:rPr>
            <w:rStyle w:val="LienInternet"/>
          </w:rPr>
          <w:t>eseményt</w:t>
        </w:r>
      </w:hyperlink>
      <w:r>
        <w:rPr/>
        <w:t xml:space="preserve">). </w:t>
      </w:r>
    </w:p>
    <w:p>
      <w:pPr>
        <w:pStyle w:val="Normal"/>
        <w:jc w:val="left"/>
        <w:rPr/>
      </w:pPr>
      <w:r>
        <w:rPr/>
        <w:t>Az integráció témájával kapcsolatban egy franciaországi eseményen (lásd az eseményt) felvetették, hogy a fajgyűlölet és a megkülönböztetés elleni küzdelem érdekében jobb integrációs infrastruktúrákra és programokra van szükség (lásd az</w:t>
      </w:r>
      <w:hyperlink r:id="rId1742">
        <w:r>
          <w:rPr>
            <w:rStyle w:val="LienInternet"/>
          </w:rPr>
          <w:t xml:space="preserve"> </w:t>
        </w:r>
      </w:hyperlink>
      <w:hyperlink r:id="rId1743">
        <w:r>
          <w:rPr>
            <w:rStyle w:val="LienInternet"/>
          </w:rPr>
          <w:t>eseményt)</w:t>
        </w:r>
      </w:hyperlink>
      <w:r>
        <w:rPr/>
        <w:t xml:space="preserve">. </w:t>
      </w:r>
    </w:p>
    <w:p>
      <w:pPr>
        <w:pStyle w:val="Normal"/>
        <w:jc w:val="left"/>
        <w:rPr/>
      </w:pPr>
      <w:r>
        <w:rPr/>
        <w:t>Az ukrajnai háborúval kapcsolatban rendezvényt szerveztek a nemzetközi szolidaritás és az ukrajnai háborúra adott uniós válasz megvitatására, az ebből eredő migrációs következményekkel együtt (lásd az</w:t>
      </w:r>
      <w:hyperlink r:id="rId1744">
        <w:r>
          <w:rPr>
            <w:rStyle w:val="LienInternet"/>
          </w:rPr>
          <w:t xml:space="preserve"> </w:t>
        </w:r>
      </w:hyperlink>
      <w:hyperlink r:id="rId1745">
        <w:r>
          <w:rPr>
            <w:rStyle w:val="LienInternet"/>
          </w:rPr>
          <w:t>eseményt)</w:t>
        </w:r>
      </w:hyperlink>
      <w:r>
        <w:rPr/>
        <w:t xml:space="preserve">. </w:t>
      </w:r>
    </w:p>
    <w:p>
      <w:pPr>
        <w:pStyle w:val="Normal"/>
        <w:jc w:val="left"/>
        <w:rPr/>
      </w:pPr>
      <w:r>
        <w:rPr/>
        <w:t>Lengyelországban egy közelmúltbeli eseményre is sor került, amelyben fiatal ukránok vettek részt az európai integrációval, a migrációval és a jövővel kapcsolatos aggodalmakkal kapcsolatos vitákban (lásd az</w:t>
      </w:r>
      <w:hyperlink r:id="rId1746">
        <w:r>
          <w:rPr>
            <w:rStyle w:val="LienInternet"/>
          </w:rPr>
          <w:t xml:space="preserve"> </w:t>
        </w:r>
      </w:hyperlink>
      <w:hyperlink r:id="rId1747">
        <w:r>
          <w:rPr>
            <w:rStyle w:val="LienInternet"/>
          </w:rPr>
          <w:t>eseményt)</w:t>
        </w:r>
      </w:hyperlink>
    </w:p>
    <w:p>
      <w:pPr>
        <w:pStyle w:val="Normal"/>
        <w:jc w:val="left"/>
        <w:rPr/>
      </w:pPr>
      <w:r>
        <w:rPr/>
      </w:r>
      <w:r>
        <w:br w:type="page"/>
      </w:r>
    </w:p>
    <w:p>
      <w:pPr>
        <w:pStyle w:val="Titre2"/>
        <w:numPr>
          <w:ilvl w:val="1"/>
          <w:numId w:val="1"/>
        </w:numPr>
        <w:jc w:val="left"/>
        <w:rPr/>
      </w:pPr>
      <w:bookmarkStart w:id="97" w:name="__RefHeading___Toc86517_2514204080"/>
      <w:bookmarkEnd w:id="97"/>
      <w:r>
        <w:rPr/>
        <w:t>Közös uniós migrációs politika</w:t>
      </w:r>
    </w:p>
    <w:p>
      <w:pPr>
        <w:pStyle w:val="Normal"/>
        <w:jc w:val="left"/>
        <w:rPr/>
      </w:pPr>
      <w:r>
        <w:rPr/>
        <w:t xml:space="preserve">A témához kapcsolódó számos ötlet közös uniós migrációs politikát igényel. Ezeket gyakran kísérik az emberi jogok fokozottabb tiszteletben tartására és a hatékony újraelosztási rendszerre irányuló felhívások. A dublini rendszer reformjának szükségességét is gyakran említik. </w:t>
      </w:r>
    </w:p>
    <w:p>
      <w:pPr>
        <w:pStyle w:val="Normal"/>
        <w:jc w:val="left"/>
        <w:rPr/>
      </w:pPr>
      <w:r>
        <w:rPr/>
        <w:t xml:space="preserve">A legális migráció altémájában a szigorúbb migrációs politikákat támogatók közös uniós szelektív migrációs politikát igényelnek, amely kvótákkal, szigorúbb kiválasztási és elfogadási eljárásokkal rendelkezik (lásd például az </w:t>
      </w:r>
      <w:hyperlink r:id="rId1748">
        <w:r>
          <w:rPr>
            <w:rStyle w:val="LienInternet"/>
          </w:rPr>
          <w:t>ötletet</w:t>
        </w:r>
      </w:hyperlink>
      <w:r>
        <w:rPr/>
        <w:t xml:space="preserve">). A legális migráció alternatív megközelítéseit javasolják, például egy európai pontalapú bevándorlási rendszert, amelyet néha szükségesnek tartanak a migrációs áramlások hatékonyabb szabályozásához (lásd az </w:t>
      </w:r>
      <w:hyperlink r:id="rId1749">
        <w:r>
          <w:rPr>
            <w:rStyle w:val="LienInternet"/>
          </w:rPr>
          <w:t>ötletet)</w:t>
        </w:r>
      </w:hyperlink>
      <w:r>
        <w:rPr/>
        <w:t>. A hozzászólók szintén meg akarják vizsgálni azt a modellt, amely lehetővé teszi, hogy a menedékkérőket egy partnerországban található központokba helyezzék át esetfelülvizsgálat céljából (lásd az</w:t>
      </w:r>
      <w:hyperlink r:id="rId1750">
        <w:r>
          <w:rPr>
            <w:rStyle w:val="LienInternet"/>
          </w:rPr>
          <w:t xml:space="preserve"> </w:t>
        </w:r>
      </w:hyperlink>
      <w:hyperlink r:id="rId1751">
        <w:r>
          <w:rPr>
            <w:rStyle w:val="LienInternet"/>
          </w:rPr>
          <w:t>eseményt)</w:t>
        </w:r>
      </w:hyperlink>
      <w:r>
        <w:rPr/>
        <w:t xml:space="preserve">. </w:t>
      </w:r>
    </w:p>
    <w:p>
      <w:pPr>
        <w:pStyle w:val="Normal"/>
        <w:jc w:val="left"/>
        <w:rPr/>
      </w:pPr>
      <w:r>
        <w:rPr/>
        <w:t xml:space="preserve">A migrációra nyitottabb hozzájárulásokhoz hasonlóan egységes és hatékonyabb megközelítésre van szükség, jobban összhangban az európai (szociális) értékekkel. Például a hozzászólások külön megvitatják az egységes és hatékony uniós menekültügyi eljárást (lásd az </w:t>
      </w:r>
      <w:hyperlink r:id="rId1752">
        <w:r>
          <w:rPr>
            <w:rStyle w:val="LienInternet"/>
          </w:rPr>
          <w:t>ötletet</w:t>
        </w:r>
      </w:hyperlink>
      <w:r>
        <w:rPr/>
        <w:t xml:space="preserve">), rámutatva arra is, hogy meg kell reformálni a dublini rendeletet a menedékkérők és migránsok egyenlőtlen elosztásának megelőzése érdekében (lásd például az </w:t>
      </w:r>
      <w:hyperlink r:id="rId1753">
        <w:r>
          <w:rPr>
            <w:rStyle w:val="LienInternet"/>
          </w:rPr>
          <w:t>ötletet</w:t>
        </w:r>
      </w:hyperlink>
      <w:r>
        <w:rPr/>
        <w:t xml:space="preserve">). E hozzájárulások közül néhányan azt javasolják, hogy a migránsok ideiglenes uniós útlevelet kapjanak a munkavállaláshoz és a tartózkodási jogokhoz való hozzáféréshez (lásd például az </w:t>
      </w:r>
      <w:hyperlink r:id="rId1754">
        <w:r>
          <w:rPr>
            <w:rStyle w:val="LienInternet"/>
          </w:rPr>
          <w:t>ötletet</w:t>
        </w:r>
      </w:hyperlink>
      <w:r>
        <w:rPr/>
        <w:t xml:space="preserve">). A migráció témájában az egyik erősen támogatott ötlet szintén konkrétabb és igazságosabb európai politikát szorgalmaz a gazdasági migrációval kapcsolatban, amely legális belépési csatornákat, valamint az egyenlő bánásmódon és az emberi jogok teljes körű tiszteletben tartásán alapuló integrációs politikát foglal magában (lásd az </w:t>
      </w:r>
      <w:hyperlink r:id="rId1755">
        <w:r>
          <w:rPr>
            <w:rStyle w:val="LienInternet"/>
          </w:rPr>
          <w:t>ötletet</w:t>
        </w:r>
      </w:hyperlink>
      <w:r>
        <w:rPr/>
        <w:t xml:space="preserve">). </w:t>
      </w:r>
    </w:p>
    <w:p>
      <w:pPr>
        <w:pStyle w:val="Normal"/>
        <w:jc w:val="left"/>
        <w:rPr/>
      </w:pPr>
      <w:r>
        <w:rPr/>
        <w:t>Az egyik hozzájárulás előmozdítja azt az elképzelést, hogy létrehozzák a menekültügyért és a migrációért felelős európai biztosi posztot, akinek a többi intézménnyel együttműködve kell fellépnie a közös uniós menekültügyi rendszer felügyelete érdekében (lásd az</w:t>
      </w:r>
      <w:hyperlink r:id="rId1756">
        <w:r>
          <w:rPr>
            <w:rStyle w:val="LienInternet"/>
          </w:rPr>
          <w:t xml:space="preserve"> </w:t>
        </w:r>
      </w:hyperlink>
      <w:hyperlink r:id="rId1757">
        <w:r>
          <w:rPr>
            <w:rStyle w:val="LienInternet"/>
          </w:rPr>
          <w:t>ötletet)</w:t>
        </w:r>
      </w:hyperlink>
      <w:r>
        <w:rPr/>
        <w:t xml:space="preserve">. </w:t>
      </w:r>
    </w:p>
    <w:p>
      <w:pPr>
        <w:pStyle w:val="Normal"/>
        <w:jc w:val="left"/>
        <w:rPr/>
      </w:pPr>
      <w:r>
        <w:rPr/>
        <w:t>A harmadik országokból érkező diákok és képzett munkavállalók uniós munkaerő-migrációs politikáját vagy uniós munkaerő-felvételi stratégiáját is támogatják a polgárok. E tekintetben az egyik hozzászóló kiemeli, hogy a migrációval kapcsolatos hatáskörök bővítésére van szükség az EU számára annak érdekében, hogy a migrációt az Unió elveivel és értékeivel összhangban tudja kezelni (lásd az</w:t>
      </w:r>
      <w:hyperlink r:id="rId1758">
        <w:r>
          <w:rPr>
            <w:rStyle w:val="LienInternet"/>
          </w:rPr>
          <w:t xml:space="preserve"> </w:t>
        </w:r>
      </w:hyperlink>
      <w:hyperlink r:id="rId1759">
        <w:r>
          <w:rPr>
            <w:rStyle w:val="LienInternet"/>
          </w:rPr>
          <w:t>ötletet</w:t>
        </w:r>
      </w:hyperlink>
      <w:r>
        <w:rPr/>
        <w:t xml:space="preserve">). A hozzászólók egy csoportja előmozdítja a szelektív bevándorlás ösztönzésének gondolatát. Az ilyen résztvevők általában pozitív fényben látják a migrációt az általa teremtett gazdasági előnyök miatt. Azt javasolják, hogy konkrét országokat célozzanak meg tehetségük vonzása érdekében (lásd az </w:t>
      </w:r>
      <w:hyperlink r:id="rId1760">
        <w:r>
          <w:rPr>
            <w:rStyle w:val="LienInternet"/>
          </w:rPr>
          <w:t>ötletet</w:t>
        </w:r>
      </w:hyperlink>
      <w:r>
        <w:rPr/>
        <w:t>), vagy könnyítsék meg a gazdaságilag fejlett demokráciák közötti mobilitás kritériumait Nyugaton és Ázsiában egyaránt, különösen a szabadkereskedelmi megállapodásokkal összefüggésben (lásd az</w:t>
      </w:r>
      <w:hyperlink r:id="rId1761">
        <w:r>
          <w:rPr>
            <w:rStyle w:val="LienInternet"/>
          </w:rPr>
          <w:t xml:space="preserve"> </w:t>
        </w:r>
      </w:hyperlink>
      <w:hyperlink r:id="rId1762">
        <w:r>
          <w:rPr>
            <w:rStyle w:val="LienInternet"/>
          </w:rPr>
          <w:t>ötletet)</w:t>
        </w:r>
      </w:hyperlink>
      <w:r>
        <w:rPr/>
        <w:t>.</w:t>
      </w:r>
    </w:p>
    <w:p>
      <w:pPr>
        <w:pStyle w:val="Normal"/>
        <w:jc w:val="left"/>
        <w:rPr/>
      </w:pPr>
      <w:r>
        <w:rPr/>
      </w:r>
    </w:p>
    <w:p>
      <w:pPr>
        <w:pStyle w:val="Titre2"/>
        <w:numPr>
          <w:ilvl w:val="1"/>
          <w:numId w:val="1"/>
        </w:numPr>
        <w:jc w:val="left"/>
        <w:rPr/>
      </w:pPr>
      <w:bookmarkStart w:id="98" w:name="__RefHeading___Toc86519_2514204080"/>
      <w:bookmarkEnd w:id="98"/>
      <w:r>
        <w:rPr/>
        <w:t>Humanista álláspont a migrációval kapcsolatban</w:t>
      </w:r>
    </w:p>
    <w:p>
      <w:pPr>
        <w:pStyle w:val="Normal"/>
        <w:jc w:val="left"/>
        <w:rPr/>
      </w:pPr>
      <w:r>
        <w:rPr/>
        <w:t xml:space="preserve">A migráció humanista nézetéhez ragaszkodó hozzájárulók a migránsokkal kapcsolatos narratíva megváltoztatását támogatják, különösen annak fényében, hogy a világjárvány során egészségügyi dolgozókként járultak hozzá (lásd az </w:t>
      </w:r>
      <w:hyperlink r:id="rId1763">
        <w:r>
          <w:rPr>
            <w:rStyle w:val="LienInternet"/>
          </w:rPr>
          <w:t>eseményt</w:t>
        </w:r>
      </w:hyperlink>
      <w:r>
        <w:rPr/>
        <w:t xml:space="preserve">). </w:t>
      </w:r>
    </w:p>
    <w:p>
      <w:pPr>
        <w:pStyle w:val="Normal"/>
        <w:jc w:val="left"/>
        <w:rPr/>
      </w:pPr>
      <w:r>
        <w:rPr/>
        <w:t xml:space="preserve">Egyes hozzájárulások humanitárius folyosók vagy teljes körű nyílt határpolitika létrehozását támogatják, és bírálják a migránsok iránti szolidaritás hiányát (lásd például az </w:t>
      </w:r>
      <w:hyperlink r:id="rId1764">
        <w:r>
          <w:rPr>
            <w:rStyle w:val="LienInternet"/>
          </w:rPr>
          <w:t>ötletet</w:t>
        </w:r>
      </w:hyperlink>
      <w:r>
        <w:rPr/>
        <w:t>). Az ezen elképzeléseket megosztó résztvevők körében általában az uniós migrációs rendszer kudarcának tekintik azokat a kezdeményezéseket, amelyek célja a Földközi-tengeren járőrözni a migránsok visszaszorítása érdekében, vagy a migránsok áramlásának ellenőrzésére irányuló megállapodások, például az EU és Törökország</w:t>
      </w:r>
      <w:hyperlink r:id="rId1765">
        <w:r>
          <w:rPr>
            <w:rStyle w:val="LienInternet"/>
          </w:rPr>
          <w:t xml:space="preserve"> </w:t>
        </w:r>
      </w:hyperlink>
      <w:hyperlink r:id="rId1766">
        <w:r>
          <w:rPr>
            <w:rStyle w:val="LienInternet"/>
          </w:rPr>
          <w:t>között</w:t>
        </w:r>
      </w:hyperlink>
      <w:r>
        <w:rPr/>
        <w:t xml:space="preserve">. </w:t>
      </w:r>
    </w:p>
    <w:p>
      <w:pPr>
        <w:pStyle w:val="Normal"/>
        <w:jc w:val="left"/>
        <w:rPr/>
      </w:pPr>
      <w:r>
        <w:rPr/>
        <w:t>A hozzászólók felszólítanak az emberi jogok tiszteletben tartására a szabályozatlan migráció elleni küzdelemre irányuló megoldásokkal, valamint az EU bevándorlási politikájával, amely könnyebb és hozzáférhetőbb menekültügyi eljárásokat vezet be a származási országokban, legális és biztonságos migrációs útvonalakat, valamint az emberkereskedelem elleni fellépést annak érdekében, hogy elkerülhető legyen a menekültek halála az EU határain (lásd az</w:t>
      </w:r>
      <w:hyperlink r:id="rId1767">
        <w:r>
          <w:rPr>
            <w:rStyle w:val="LienInternet"/>
          </w:rPr>
          <w:t xml:space="preserve"> </w:t>
        </w:r>
      </w:hyperlink>
      <w:hyperlink r:id="rId1768">
        <w:r>
          <w:rPr>
            <w:rStyle w:val="LienInternet"/>
          </w:rPr>
          <w:t>ötletet)</w:t>
        </w:r>
      </w:hyperlink>
      <w:r>
        <w:rPr/>
        <w:t xml:space="preserve">. </w:t>
      </w:r>
    </w:p>
    <w:p>
      <w:pPr>
        <w:pStyle w:val="Normal"/>
        <w:jc w:val="left"/>
        <w:rPr/>
      </w:pPr>
      <w:r>
        <w:rPr/>
        <w:t xml:space="preserve">Néhány hozzászóló jogi keretet javasol az integrált személyek és családok nem biztonságos származási országokba való kényszerű visszatérésének megállítására (lásd az </w:t>
      </w:r>
      <w:hyperlink r:id="rId1769">
        <w:r>
          <w:rPr>
            <w:rStyle w:val="LienInternet"/>
          </w:rPr>
          <w:t>ötletet)</w:t>
        </w:r>
      </w:hyperlink>
      <w:r>
        <w:rPr/>
        <w:t>. Más résztvevők inkább önkéntes, mintsem kényszerített visszatérési stratégiát támogatnak, mivel az előbbi, ha a származási országokkal összehangoltan hajtják végre, sokkal hatékonyabbnak bizonyult (lásd az</w:t>
      </w:r>
      <w:hyperlink r:id="rId1770">
        <w:r>
          <w:rPr>
            <w:rStyle w:val="LienInternet"/>
          </w:rPr>
          <w:t xml:space="preserve"> </w:t>
        </w:r>
      </w:hyperlink>
      <w:hyperlink r:id="rId1771">
        <w:r>
          <w:rPr>
            <w:rStyle w:val="LienInternet"/>
          </w:rPr>
          <w:t>ötletet</w:t>
        </w:r>
      </w:hyperlink>
      <w:r>
        <w:rPr/>
        <w:t xml:space="preserve">). </w:t>
      </w:r>
    </w:p>
    <w:p>
      <w:pPr>
        <w:pStyle w:val="Normal"/>
        <w:jc w:val="left"/>
        <w:rPr/>
      </w:pPr>
      <w:r>
        <w:rPr/>
        <w:t xml:space="preserve">E hozzájárulások némelyike a jelenlegi menekültügyi eljárást érintő egyenlőtlenségekkel is foglalkozik. Kiemelik például azt a tényt, hogy a férfi menedékkérők aránya jelentősen magasabb, mint a női menedékkérők vagy családoké (lásd az </w:t>
      </w:r>
      <w:hyperlink r:id="rId1772">
        <w:r>
          <w:rPr>
            <w:rStyle w:val="LienInternet"/>
          </w:rPr>
          <w:t>ötletet</w:t>
        </w:r>
      </w:hyperlink>
      <w:r>
        <w:rPr/>
        <w:t>). Mások beszámolnak azokról a nehézségekről, amelyekkel az LMBTIQ-személyek menedékkérői szembesülnek, és nagyobb védelmet és jobb támogatást kérnek e csoport számára (lásd az</w:t>
      </w:r>
      <w:hyperlink r:id="rId1773">
        <w:r>
          <w:rPr>
            <w:rStyle w:val="LienInternet"/>
          </w:rPr>
          <w:t xml:space="preserve"> </w:t>
        </w:r>
      </w:hyperlink>
      <w:hyperlink r:id="rId1774">
        <w:r>
          <w:rPr>
            <w:rStyle w:val="LienInternet"/>
          </w:rPr>
          <w:t>ötletet)</w:t>
        </w:r>
      </w:hyperlink>
    </w:p>
    <w:p>
      <w:pPr>
        <w:pStyle w:val="Normal"/>
        <w:jc w:val="left"/>
        <w:rPr/>
      </w:pPr>
      <w:r>
        <w:rPr/>
      </w:r>
    </w:p>
    <w:p>
      <w:pPr>
        <w:pStyle w:val="Titre2"/>
        <w:numPr>
          <w:ilvl w:val="1"/>
          <w:numId w:val="1"/>
        </w:numPr>
        <w:jc w:val="left"/>
        <w:rPr/>
      </w:pPr>
      <w:bookmarkStart w:id="99" w:name="__RefHeading___Toc86521_2514204080"/>
      <w:bookmarkEnd w:id="99"/>
      <w:r>
        <w:rPr/>
        <w:t>Integráció</w:t>
      </w:r>
    </w:p>
    <w:p>
      <w:pPr>
        <w:pStyle w:val="Normal"/>
        <w:jc w:val="left"/>
        <w:rPr/>
      </w:pPr>
      <w:r>
        <w:rPr/>
        <w:t>Számos javaslat kapcsolódik a migránsok integrációjához. A résztvevők elismerik, hogy hatékonyabb integrációs programokat kell létrehozni, különös figyelmet fordítva a nyelvi képzésre. Számos résztvevő vitat meg és támogat egy olyan ötletet, amely arra kéri az EU-t, hogy hozzon létre integrációs programokat, és különböző véleményeket terjesszen elő (lásd az</w:t>
      </w:r>
      <w:hyperlink r:id="rId1775">
        <w:r>
          <w:rPr>
            <w:rStyle w:val="LienInternet"/>
          </w:rPr>
          <w:t xml:space="preserve"> </w:t>
        </w:r>
      </w:hyperlink>
      <w:hyperlink r:id="rId1776">
        <w:r>
          <w:rPr>
            <w:rStyle w:val="LienInternet"/>
          </w:rPr>
          <w:t>ötletet)</w:t>
        </w:r>
      </w:hyperlink>
      <w:r>
        <w:rPr/>
        <w:t xml:space="preserve">. </w:t>
      </w:r>
    </w:p>
    <w:p>
      <w:pPr>
        <w:pStyle w:val="Normal"/>
        <w:jc w:val="left"/>
        <w:rPr/>
      </w:pPr>
      <w:r>
        <w:rPr/>
        <w:t xml:space="preserve">Az integrációról szóló elképzelések közül sokan a migránsok nyomon követésének nyomon követésére szólítanak fel annak érdekében, hogy biztosítsák a teljes körű integrációt az uniós tagállamokban. Egy ötlet nagy potenciált lát a migránsok és a befogadó közösségek tagjai mint változásszervezők felismerésében és további aktiválásában (lásd az </w:t>
      </w:r>
      <w:hyperlink r:id="rId1777">
        <w:r>
          <w:rPr>
            <w:rStyle w:val="LienInternet"/>
          </w:rPr>
          <w:t>ötletet</w:t>
        </w:r>
      </w:hyperlink>
      <w:r>
        <w:rPr/>
        <w:t xml:space="preserve">). A migránsok helyi projektekbe és önkéntes tevékenységekbe való bevonásának fontosságát számos alkalommal kiemelték (lásd például az </w:t>
      </w:r>
      <w:hyperlink r:id="rId1778">
        <w:r>
          <w:rPr>
            <w:rStyle w:val="LienInternet"/>
          </w:rPr>
          <w:t>ötletet)</w:t>
        </w:r>
      </w:hyperlink>
      <w:r>
        <w:rPr/>
        <w:t xml:space="preserve">. Az egyik válaszadó hangsúlyozza az integráció transzverzális megközelítésének fontosságát, amely a helyi szinten elfogadott politikák átruházhatóságára, valamint az intézményektől a helyi szövetségekre kiterjedő megközelítésre összpontosít, amelynek keretében az EU felelős az ilyen típusú keret biztosításáért (lásd az </w:t>
      </w:r>
      <w:hyperlink r:id="rId1779">
        <w:r>
          <w:rPr>
            <w:rStyle w:val="LienInternet"/>
          </w:rPr>
          <w:t>ötletet)</w:t>
        </w:r>
      </w:hyperlink>
      <w:r>
        <w:rPr/>
        <w:t>. Az oktatás kulcsfontosságú az integráció szempontjából, a nyelv és az európai értékek központi szerepet játszanak. Ebben az összefüggésben a hozzászólók úgy érzik, hogy megfelelően finanszírozott programokra van szükség az iskolás korú migráns gyermekek közoktatási rendszerbe való bevonásának támogatása érdekében (lásd az</w:t>
      </w:r>
      <w:hyperlink r:id="rId1780">
        <w:r>
          <w:rPr>
            <w:rStyle w:val="LienInternet"/>
          </w:rPr>
          <w:t xml:space="preserve"> </w:t>
        </w:r>
      </w:hyperlink>
      <w:hyperlink r:id="rId1781">
        <w:r>
          <w:rPr>
            <w:rStyle w:val="LienInternet"/>
          </w:rPr>
          <w:t>ötletet)</w:t>
        </w:r>
      </w:hyperlink>
      <w:r>
        <w:rPr/>
        <w:t xml:space="preserve">. Más ötletek a felsőoktatásra összpontosítanak, mint a nagyobb integráció kulcsfontosságú mozgatórugói. E tekintetben az egyik résztvevő támogatja a fiatal menekültek egyetemi programokhoz való hozzáférésének javítását (lásd az </w:t>
      </w:r>
      <w:hyperlink r:id="rId1782">
        <w:r>
          <w:rPr>
            <w:rStyle w:val="LienInternet"/>
          </w:rPr>
          <w:t>ötletet)</w:t>
        </w:r>
      </w:hyperlink>
      <w:r>
        <w:rPr/>
        <w:t>. Külön javaslat foglalkozik a nyelvi akadályok kérdésével, előmozdítva azt az elképzelést, hogy a mesterséges intelligenciát a nyelvi szakadék áthidalására használják (lásd az</w:t>
      </w:r>
      <w:hyperlink r:id="rId1783">
        <w:r>
          <w:rPr>
            <w:rStyle w:val="LienInternet"/>
          </w:rPr>
          <w:t xml:space="preserve"> </w:t>
        </w:r>
      </w:hyperlink>
      <w:hyperlink r:id="rId1784">
        <w:r>
          <w:rPr>
            <w:rStyle w:val="LienInternet"/>
          </w:rPr>
          <w:t>ötletet</w:t>
        </w:r>
      </w:hyperlink>
      <w:r>
        <w:rPr/>
        <w:t xml:space="preserve">). </w:t>
      </w:r>
    </w:p>
    <w:p>
      <w:pPr>
        <w:pStyle w:val="Normal"/>
        <w:jc w:val="left"/>
        <w:rPr/>
      </w:pPr>
      <w:r>
        <w:rPr/>
        <w:t xml:space="preserve">A migránsoknak a helyi munkaerőpiacon való sikeres integrációja előnyös az európai gazdaság számára. Ez különösen igaz a világjárvány utáni helyzetre, amint azt az Európai Bizottság és az Európai Gazdasági és Szociális Bizottság által Brüsszelben szervezett kétnapos rendezvényen (lásd az </w:t>
      </w:r>
      <w:hyperlink r:id="rId1785">
        <w:r>
          <w:rPr>
            <w:rStyle w:val="LienInternet"/>
          </w:rPr>
          <w:t>eseményt</w:t>
        </w:r>
      </w:hyperlink>
      <w:r>
        <w:rPr/>
        <w:t>) kiemelték. Az egyik résztvevő különösen a gazdaságilag depressziós területekre irányuló bevándorlás kedvező eredményeit emeli ki (lásd például az</w:t>
      </w:r>
      <w:hyperlink r:id="rId1786">
        <w:r>
          <w:rPr>
            <w:rStyle w:val="LienInternet"/>
          </w:rPr>
          <w:t xml:space="preserve"> </w:t>
        </w:r>
      </w:hyperlink>
      <w:hyperlink r:id="rId1787">
        <w:r>
          <w:rPr>
            <w:rStyle w:val="LienInternet"/>
          </w:rPr>
          <w:t>ötletet)</w:t>
        </w:r>
      </w:hyperlink>
      <w:r>
        <w:rPr/>
        <w:t>. Tájékoztató kampányokra és programokra szólít fel annak érdekében, hogy az uniós polgárokat érzékenyebbé tegyék a rasszizmus elleni küzdelemre és egy nagyobb társadalom felé való elmozdulásra. Az egyik hozzászóló azt kéri, hogy a migrációval kapcsolatos politikai döntéshozó szervekben és közszolgáltatásokban dolgozó személyzet körében nagyobb legyen a sokszínűség (lásd az</w:t>
      </w:r>
      <w:hyperlink r:id="rId1788">
        <w:r>
          <w:rPr>
            <w:rStyle w:val="LienInternet"/>
          </w:rPr>
          <w:t xml:space="preserve"> </w:t>
        </w:r>
      </w:hyperlink>
      <w:hyperlink r:id="rId1789">
        <w:r>
          <w:rPr>
            <w:rStyle w:val="LienInternet"/>
          </w:rPr>
          <w:t>ötletet</w:t>
        </w:r>
      </w:hyperlink>
      <w:r>
        <w:rPr/>
        <w:t xml:space="preserve">). A rasszizmussal és a munkaerő-piaci kirekesztéssel kapcsolatos véleményekkel kapcsolatban a jogszerűen tartózkodó harmadik országbeli állampolgárokkal szembeni egyenlő és méltányos bánásmódra van szükség (lásd az </w:t>
      </w:r>
      <w:hyperlink r:id="rId1790">
        <w:r>
          <w:rPr>
            <w:rStyle w:val="LienInternet"/>
          </w:rPr>
          <w:t>ötletet)</w:t>
        </w:r>
      </w:hyperlink>
      <w:r>
        <w:rPr/>
        <w:t>. Ami a munkaerő-piaci diszkriminációt illeti, az egyik résztvevő rámutat arra, hogy a politikai döntéshozatal hatékony tájékoztatásához szükség van a migránsok etnikai hátterére vonatkozó (census) adatokra (lásd az</w:t>
      </w:r>
      <w:hyperlink r:id="rId1791">
        <w:r>
          <w:rPr>
            <w:rStyle w:val="LienInternet"/>
          </w:rPr>
          <w:t xml:space="preserve"> </w:t>
        </w:r>
      </w:hyperlink>
      <w:hyperlink r:id="rId1792">
        <w:r>
          <w:rPr>
            <w:rStyle w:val="LienInternet"/>
          </w:rPr>
          <w:t>ötletet</w:t>
        </w:r>
      </w:hyperlink>
      <w:r>
        <w:rPr/>
        <w:t xml:space="preserve">). </w:t>
      </w:r>
    </w:p>
    <w:p>
      <w:pPr>
        <w:pStyle w:val="Normal"/>
        <w:jc w:val="left"/>
        <w:rPr/>
      </w:pPr>
      <w:r>
        <w:rPr/>
        <w:t>Néhány résztvevő sajnálatát fejezi ki amiatt, hogy az állandó lakosok jogai korlátozottak az EU-ban. Megjegyzik, hogy az Unió nem biztosít szavazati jogot állandó lakosainak, és követeli, hogy a szavazati jogok a lakóhelyen alapuljanak (lásd az</w:t>
      </w:r>
      <w:hyperlink r:id="rId1793">
        <w:r>
          <w:rPr>
            <w:rStyle w:val="LienInternet"/>
          </w:rPr>
          <w:t xml:space="preserve"> </w:t>
        </w:r>
      </w:hyperlink>
      <w:hyperlink r:id="rId1794">
        <w:r>
          <w:rPr>
            <w:rStyle w:val="LienInternet"/>
          </w:rPr>
          <w:t>ötletet)</w:t>
        </w:r>
      </w:hyperlink>
      <w:r>
        <w:rPr/>
        <w:t xml:space="preserve">. </w:t>
      </w:r>
    </w:p>
    <w:p>
      <w:pPr>
        <w:pStyle w:val="Normal"/>
        <w:jc w:val="left"/>
        <w:rPr/>
      </w:pPr>
      <w:r>
        <w:rPr/>
        <w:t>Ezt a kérdést néhány hozzászóló különösen sürgetőnek tartja, amikor az Egyesült Királyság polgárairól van szó, akik a brexit előtt az EU-ban éltek. Ellentmondásos vita alapjául szolgáló egyik ötlet egy gyorsított eljárás bevezetése annak érdekében, hogy a Brexit előtt az EU-ban élő brit állampolgárok uniós szintű jogokat kapjanak (lásd az</w:t>
      </w:r>
      <w:hyperlink r:id="rId1795">
        <w:r>
          <w:rPr>
            <w:rStyle w:val="LienInternet"/>
          </w:rPr>
          <w:t xml:space="preserve"> </w:t>
        </w:r>
      </w:hyperlink>
      <w:hyperlink r:id="rId1796">
        <w:r>
          <w:rPr>
            <w:rStyle w:val="LienInternet"/>
          </w:rPr>
          <w:t>ötletet)</w:t>
        </w:r>
      </w:hyperlink>
      <w:r>
        <w:rPr/>
        <w:t>.</w:t>
      </w:r>
    </w:p>
    <w:p>
      <w:pPr>
        <w:pStyle w:val="Normal"/>
        <w:jc w:val="left"/>
        <w:rPr/>
      </w:pPr>
      <w:r>
        <w:rPr/>
      </w:r>
    </w:p>
    <w:p>
      <w:pPr>
        <w:pStyle w:val="Titre2"/>
        <w:numPr>
          <w:ilvl w:val="1"/>
          <w:numId w:val="1"/>
        </w:numPr>
        <w:jc w:val="left"/>
        <w:rPr/>
      </w:pPr>
      <w:bookmarkStart w:id="100" w:name="__RefHeading___Toc86523_2514204080"/>
      <w:bookmarkEnd w:id="100"/>
      <w:r>
        <w:rPr/>
        <w:t>A nem uniós migráció mint fenyegetés</w:t>
      </w:r>
    </w:p>
    <w:p>
      <w:pPr>
        <w:pStyle w:val="Normal"/>
        <w:jc w:val="left"/>
        <w:rPr/>
      </w:pPr>
      <w:r>
        <w:rPr/>
        <w:t>Annak ellenére, hogy egyesek ellenzik a migrációt, azok az elképzelések, amelyek a migrációt nyíltan az európai civilizációt vagy a politikai stabilitást fenyegető veszélyként határozzák meg, viszonylag kevésbé támogatottak, mint az integrációval és az emberi jogok tiszteletben tartásával kapcsolatos elképzelések. Adott esetben az európai civilizációval és a politikai stabilitással kapcsolatos aggályokat vetnek fel, és azokat a résztvevők jelentős mértékben támogatják (lásd például a nagymértékben támogatott</w:t>
      </w:r>
      <w:hyperlink r:id="rId1797">
        <w:r>
          <w:rPr>
            <w:rStyle w:val="LienInternet"/>
          </w:rPr>
          <w:t xml:space="preserve"> </w:t>
        </w:r>
      </w:hyperlink>
      <w:hyperlink r:id="rId1798">
        <w:r>
          <w:rPr>
            <w:rStyle w:val="LienInternet"/>
          </w:rPr>
          <w:t>ötlet példáját)</w:t>
        </w:r>
      </w:hyperlink>
      <w:r>
        <w:rPr/>
        <w:t xml:space="preserve">. </w:t>
      </w:r>
    </w:p>
    <w:p>
      <w:pPr>
        <w:pStyle w:val="Normal"/>
        <w:jc w:val="left"/>
        <w:rPr/>
      </w:pPr>
      <w:r>
        <w:rPr/>
        <w:t>Egy magyarországi rendezvény a migrációval kapcsolatos alapvető jogi kérdéseket tárgyalt. Az esemény által megválaszolni kívánt kérdések között volt „a társadalom joga” is, hogy megőrizze saját nemzeti kultúráját, identitását és életmódját a tömeges migrációval szemben (lásd az</w:t>
      </w:r>
      <w:hyperlink r:id="rId1799">
        <w:r>
          <w:rPr>
            <w:rStyle w:val="LienInternet"/>
          </w:rPr>
          <w:t xml:space="preserve"> </w:t>
        </w:r>
      </w:hyperlink>
      <w:hyperlink r:id="rId1800">
        <w:r>
          <w:rPr>
            <w:rStyle w:val="LienInternet"/>
          </w:rPr>
          <w:t>eseményt)</w:t>
        </w:r>
      </w:hyperlink>
      <w:r>
        <w:rPr/>
        <w:t xml:space="preserve">. </w:t>
      </w:r>
    </w:p>
    <w:p>
      <w:pPr>
        <w:pStyle w:val="Normal"/>
        <w:jc w:val="left"/>
        <w:rPr/>
      </w:pPr>
      <w:r>
        <w:rPr/>
        <w:t xml:space="preserve">Az ilyen típusú hozzászólások kommentátorai kimondottan fogalmaznak a migráció témájával kapcsolatos elképzeléseikben és hozzászólásaikban. Az egyik megfigyelt téma az az érzés, hogy a nem uniós országokból érkező migráció fenyegetést jelent az uniós civilizációra, identitásra, értékekre és kultúrára (lásd az </w:t>
      </w:r>
      <w:hyperlink r:id="rId1801">
        <w:r>
          <w:rPr>
            <w:rStyle w:val="LienInternet"/>
          </w:rPr>
          <w:t>ötletet)</w:t>
        </w:r>
      </w:hyperlink>
      <w:r>
        <w:rPr/>
        <w:t>. Ezek a hozzászólók olyan intézkedéseket sürgetnek, amelyek korlátozzák a nem uniós migrációt, szigorúbb hazatelepítési politikát és a migránsok mobilitását akadályozó stratégiákat, például szigorúbb határellenőrzést (lásd például az</w:t>
      </w:r>
      <w:hyperlink r:id="rId1802">
        <w:r>
          <w:rPr>
            <w:rStyle w:val="LienInternet"/>
          </w:rPr>
          <w:t xml:space="preserve"> </w:t>
        </w:r>
      </w:hyperlink>
      <w:hyperlink r:id="rId1803">
        <w:r>
          <w:rPr>
            <w:rStyle w:val="LienInternet"/>
          </w:rPr>
          <w:t>ötletet</w:t>
        </w:r>
      </w:hyperlink>
      <w:r>
        <w:rPr/>
        <w:t xml:space="preserve">). </w:t>
      </w:r>
    </w:p>
    <w:p>
      <w:pPr>
        <w:pStyle w:val="Normal"/>
        <w:jc w:val="left"/>
        <w:rPr/>
      </w:pPr>
      <w:r>
        <w:rPr/>
        <w:t xml:space="preserve">Több résztvevő is óva int az illegális migráció (politikai) fegyverként való felhasználásától, különös tekintettel a Fehéroroszországból a litván és a lengyel határra érkező migránsok nagymértékű beáramlására (lásd például az </w:t>
      </w:r>
      <w:hyperlink r:id="rId1804">
        <w:r>
          <w:rPr>
            <w:rStyle w:val="LienInternet"/>
          </w:rPr>
          <w:t>ötletet</w:t>
        </w:r>
      </w:hyperlink>
      <w:r>
        <w:rPr/>
        <w:t>). A fehérorosz határon kialakult migránsválság kapcsán a válaszadók véleménye eltér egymástól.</w:t>
      </w:r>
    </w:p>
    <w:p>
      <w:pPr>
        <w:pStyle w:val="Normal"/>
        <w:jc w:val="left"/>
        <w:rPr/>
      </w:pPr>
      <w:r>
        <w:rPr/>
      </w:r>
    </w:p>
    <w:p>
      <w:pPr>
        <w:pStyle w:val="Titre2"/>
        <w:numPr>
          <w:ilvl w:val="1"/>
          <w:numId w:val="1"/>
        </w:numPr>
        <w:jc w:val="left"/>
        <w:rPr/>
      </w:pPr>
      <w:bookmarkStart w:id="101" w:name="__RefHeading___Toc86525_2514204080"/>
      <w:bookmarkEnd w:id="101"/>
      <w:r>
        <w:rPr/>
        <w:t>Határellenőrzés</w:t>
      </w:r>
    </w:p>
    <w:p>
      <w:pPr>
        <w:pStyle w:val="Normal"/>
        <w:jc w:val="left"/>
        <w:rPr/>
      </w:pPr>
      <w:r>
        <w:rPr/>
        <w:t xml:space="preserve">Viszonylag sok ötlet támasztja alá a bevándorlással kapcsolatos kemény álláspontot. Azok a résztvevők, akik elfogadják ezt a vonalat, ellenzik az illegális bevándorlók rendezését, és felszólítanak az európai határellenőrzési hatóságok, például a Frontex további felhatalmazására. Néhányan azonban inkább nemzeti, mintsem európai megközelítést részesítenek előnyben a bevándorlás ellenőrzésével kapcsolatban, attól tartva, hogy az EU túlságosan megengedő lenne a menedékkérőkkel szemben. </w:t>
      </w:r>
    </w:p>
    <w:p>
      <w:pPr>
        <w:pStyle w:val="Normal"/>
        <w:jc w:val="left"/>
        <w:rPr/>
      </w:pPr>
      <w:r>
        <w:rPr/>
        <w:t xml:space="preserve">Általában véve támogatják a határellenőrzéssel kapcsolatos szervezettebb és összehangoltabb erőfeszítéseket, amelyek átfogóbb határellenőrzést szorgalmaznak, beleértve a visszatoloncolást (lásd az </w:t>
      </w:r>
      <w:hyperlink r:id="rId1805">
        <w:r>
          <w:rPr>
            <w:rStyle w:val="LienInternet"/>
          </w:rPr>
          <w:t>ötletet)</w:t>
        </w:r>
      </w:hyperlink>
      <w:r>
        <w:rPr/>
        <w:t>, a Frontex nagyobb mértékű támogatását, funkcióinak jobb meghatározását (lásd az</w:t>
      </w:r>
      <w:hyperlink r:id="rId1806">
        <w:r>
          <w:rPr>
            <w:rStyle w:val="LienInternet"/>
          </w:rPr>
          <w:t xml:space="preserve"> ötletet)</w:t>
        </w:r>
      </w:hyperlink>
      <w:r>
        <w:rPr/>
        <w:t xml:space="preserve">, valamint jogilag kötelező erejű megközelítést a földközi-tengeri térségben végzett kutatási és mentési erőfeszítésekhez (lásd az </w:t>
      </w:r>
      <w:hyperlink r:id="rId1807">
        <w:r>
          <w:rPr>
            <w:rStyle w:val="LienInternet"/>
          </w:rPr>
          <w:t>ötletet)</w:t>
        </w:r>
      </w:hyperlink>
      <w:r>
        <w:rPr/>
        <w:t xml:space="preserve">. A Frontex és a tengeri járőrözési kezdeményezések szerepét azonban gyakran vitatják meg a platformon, más résztvevők pedig a működésük nagyobb ellenőrzését kérik annak érdekében, hogy biztosítsák az emberi jogok tiszteletben tartását (lásd az </w:t>
      </w:r>
      <w:hyperlink r:id="rId1808">
        <w:r>
          <w:rPr>
            <w:rStyle w:val="LienInternet"/>
          </w:rPr>
          <w:t>ötletet</w:t>
        </w:r>
      </w:hyperlink>
      <w:r>
        <w:rPr/>
        <w:t xml:space="preserve">). Egy elfogadottabb elképzelés gyors kitoloncolást követel az EU-ból azon migránsok számára, akik súlyos bűncselekményt követnek el (lásd például az </w:t>
      </w:r>
      <w:hyperlink r:id="rId1809">
        <w:r>
          <w:rPr>
            <w:rStyle w:val="LienInternet"/>
          </w:rPr>
          <w:t>ötletet)</w:t>
        </w:r>
      </w:hyperlink>
      <w:r>
        <w:rPr/>
        <w:t xml:space="preserve">. Az irreguláris migránsok visszatérését szorgalmazó hasonló elképzelés vitát vált ki a hozzájárulók között az azonnali hazaszállítás és az ellenük állók között (lásd az </w:t>
      </w:r>
      <w:hyperlink r:id="rId1810">
        <w:r>
          <w:rPr>
            <w:rStyle w:val="LienInternet"/>
          </w:rPr>
          <w:t>ötletet</w:t>
        </w:r>
      </w:hyperlink>
      <w:r>
        <w:rPr/>
        <w:t>). Az egyik válaszadó azt javasolja, hogy szakítsák meg a külföldi segélyeket azon országoknak, amelyek nem fogadják el állampolgáraik hazaszállítását (lásd</w:t>
      </w:r>
      <w:hyperlink r:id="rId1811">
        <w:r>
          <w:rPr>
            <w:rStyle w:val="LienInternet"/>
          </w:rPr>
          <w:t xml:space="preserve"> </w:t>
        </w:r>
      </w:hyperlink>
      <w:hyperlink r:id="rId1812">
        <w:r>
          <w:rPr>
            <w:rStyle w:val="LienInternet"/>
          </w:rPr>
          <w:t>az ötletet</w:t>
        </w:r>
      </w:hyperlink>
      <w:r>
        <w:rPr/>
        <w:t xml:space="preserve">). </w:t>
      </w:r>
    </w:p>
    <w:p>
      <w:pPr>
        <w:pStyle w:val="Normal"/>
        <w:jc w:val="left"/>
        <w:rPr/>
      </w:pPr>
      <w:r>
        <w:rPr/>
        <w:t>Az egyéb hozzájárulások nagyobb szolidaritást és az emberi jogok tiszteletben tartását teszik szükségessé. Az itt tárgyalt ötletek közé tartozik például a szolidaritáson alapuló központosított uniós elosztási rendszer, a határátvételi infrastruktúra (lakás és élelmiszer) javítását célzó finanszírozás, vagy az európai menekülttáborokat irányító, különböző országok által közösen irányított és uniós forrásokból finanszírozott szupranacionális ügynökség (lásd például az</w:t>
      </w:r>
      <w:hyperlink r:id="rId1813">
        <w:r>
          <w:rPr>
            <w:rStyle w:val="LienInternet"/>
          </w:rPr>
          <w:t xml:space="preserve"> </w:t>
        </w:r>
      </w:hyperlink>
      <w:hyperlink r:id="rId1814">
        <w:r>
          <w:rPr>
            <w:rStyle w:val="LienInternet"/>
          </w:rPr>
          <w:t>ötletet</w:t>
        </w:r>
      </w:hyperlink>
      <w:r>
        <w:rPr/>
        <w:t xml:space="preserve">). </w:t>
      </w:r>
    </w:p>
    <w:p>
      <w:pPr>
        <w:pStyle w:val="Normal"/>
        <w:jc w:val="left"/>
        <w:rPr/>
      </w:pPr>
      <w:r>
        <w:rPr/>
        <w:t>Az uniós finanszírozásnak a migránsok elleni nemzeti akadályok kiépítésének finanszírozására történő kiterjesztéséről szóló közelmúltbeli vita részben tükröződik néhány olyan hozzájárulásban, amelyek az EU-tól a tagállamok számára nyújtott pénzügyi támogatás növelését követelik meg a fizikai határvédelem megerősítése érdekében (lásd az</w:t>
      </w:r>
      <w:hyperlink r:id="rId1815">
        <w:r>
          <w:rPr>
            <w:rStyle w:val="LienInternet"/>
          </w:rPr>
          <w:t xml:space="preserve"> </w:t>
        </w:r>
      </w:hyperlink>
      <w:hyperlink r:id="rId1816">
        <w:r>
          <w:rPr>
            <w:rStyle w:val="LienInternet"/>
          </w:rPr>
          <w:t>ötletet</w:t>
        </w:r>
      </w:hyperlink>
      <w:r>
        <w:rPr/>
        <w:t xml:space="preserve">). </w:t>
      </w:r>
    </w:p>
    <w:p>
      <w:pPr>
        <w:pStyle w:val="Normal"/>
        <w:jc w:val="left"/>
        <w:rPr/>
      </w:pPr>
      <w:r>
        <w:rPr/>
        <w:t>Amikor azonban a résztvevők nagyobb pénzügyi támogatást kérnek az EU-tól a határokon történő migráció kezeléséhez, nem mindig támogatják új akadályok kiépítését. Néhányan elismerik a nemzeti határokon működő helyi és regionális önkormányzatok kulcsszerepét, és nagyobb finanszírozást szeretnének a migránsok befogadásával és integrációjával kapcsolatos projektekhez (lásd például az</w:t>
      </w:r>
      <w:hyperlink r:id="rId1817">
        <w:r>
          <w:rPr>
            <w:rStyle w:val="LienInternet"/>
          </w:rPr>
          <w:t xml:space="preserve"> </w:t>
        </w:r>
      </w:hyperlink>
      <w:hyperlink r:id="rId1818">
        <w:r>
          <w:rPr>
            <w:rStyle w:val="LienInternet"/>
          </w:rPr>
          <w:t>ötletet)</w:t>
        </w:r>
      </w:hyperlink>
      <w:r>
        <w:rPr/>
        <w:t xml:space="preserve">. </w:t>
      </w:r>
    </w:p>
    <w:p>
      <w:pPr>
        <w:pStyle w:val="Normal"/>
        <w:jc w:val="left"/>
        <w:rPr/>
      </w:pPr>
      <w:r>
        <w:rPr/>
        <w:t>Az „Erősebb határok, erősebb Európa” elnevezésű rendezvényen, amelyre Budapesten került sor, a résztvevők pragmatikusabb és szigorúbb határpolitikát szorgalmaztak (lásd az</w:t>
      </w:r>
      <w:hyperlink r:id="rId1819">
        <w:r>
          <w:rPr>
            <w:rStyle w:val="LienInternet"/>
          </w:rPr>
          <w:t xml:space="preserve"> </w:t>
        </w:r>
      </w:hyperlink>
      <w:hyperlink r:id="rId1820">
        <w:r>
          <w:rPr>
            <w:rStyle w:val="LienInternet"/>
          </w:rPr>
          <w:t>eseményt)</w:t>
        </w:r>
      </w:hyperlink>
      <w:r>
        <w:rPr/>
        <w:t>.</w:t>
      </w:r>
    </w:p>
    <w:p>
      <w:pPr>
        <w:pStyle w:val="Normal"/>
        <w:jc w:val="left"/>
        <w:rPr/>
      </w:pPr>
      <w:r>
        <w:rPr/>
      </w:r>
    </w:p>
    <w:p>
      <w:pPr>
        <w:pStyle w:val="Titre2"/>
        <w:numPr>
          <w:ilvl w:val="1"/>
          <w:numId w:val="1"/>
        </w:numPr>
        <w:jc w:val="left"/>
        <w:rPr/>
      </w:pPr>
      <w:bookmarkStart w:id="102" w:name="__RefHeading___Toc86527_2514204080"/>
      <w:bookmarkEnd w:id="102"/>
      <w:r>
        <w:rPr/>
        <w:t>A migráció kiváltó okainak kezelése</w:t>
      </w:r>
    </w:p>
    <w:p>
      <w:pPr>
        <w:pStyle w:val="Normal"/>
        <w:jc w:val="left"/>
        <w:rPr/>
      </w:pPr>
      <w:r>
        <w:rPr/>
        <w:t>Az ötletek egy kisebb része mélyebbre hatol a migrációs kérdésbe, és úgy véli, hogy az EU-n belüli migrációt kezelő szakpolitikai intézkedések mellett intézkedéseket kell hozni a migráció kiváltó okainak másutt történő kezelése érdekében. Az európai és harmadik világ országai, különösen az afrikai országok közötti együttműködést kulcsfontosságúnak tekintik a migráció kiváltó okainak kezelésében (lásd például az</w:t>
      </w:r>
      <w:hyperlink r:id="rId1821">
        <w:r>
          <w:rPr>
            <w:rStyle w:val="LienInternet"/>
          </w:rPr>
          <w:t xml:space="preserve"> ötletet)</w:t>
        </w:r>
      </w:hyperlink>
      <w:r>
        <w:rPr/>
        <w:t>. Európa jövőjét illetően a hozzászólók hangsúlyozzák, hogy foglalkozni kell a migráció kiváltó okaival annak érdekében, hogy kezelni lehessen azokat a migrációs kérdéseket, amelyekkel az EU jelenleg szembesül. A nemzetközi partnerségeknek – beleértve a harmadik világországokkal kötött megállapodásokat is – a bevándorlási áramlások kezelésében játszott szerepe Portugáliában egy esemény tárgyát képezte (lásd az</w:t>
      </w:r>
      <w:hyperlink r:id="rId1822">
        <w:r>
          <w:rPr>
            <w:rStyle w:val="LienInternet"/>
          </w:rPr>
          <w:t xml:space="preserve"> </w:t>
        </w:r>
      </w:hyperlink>
      <w:hyperlink r:id="rId1823">
        <w:r>
          <w:rPr>
            <w:rStyle w:val="LienInternet"/>
          </w:rPr>
          <w:t>eseményt)</w:t>
        </w:r>
      </w:hyperlink>
      <w:r>
        <w:rPr/>
        <w:t xml:space="preserve">. </w:t>
      </w:r>
    </w:p>
    <w:p>
      <w:pPr>
        <w:pStyle w:val="Normal"/>
        <w:jc w:val="left"/>
        <w:rPr/>
      </w:pPr>
      <w:r>
        <w:rPr/>
        <w:t>E tekintetben a javaslatok az egyenlő kereskedelmi kapcsolatok kialakításától, a fejlesztési segélyezési tervekbe és a tudományos képzésbe való beruházástól, valamint a harmadik világ országaiban élő emberek szakmai fejlődésétől (lásd az</w:t>
      </w:r>
      <w:hyperlink r:id="rId1824">
        <w:r>
          <w:rPr>
            <w:rStyle w:val="LienInternet"/>
          </w:rPr>
          <w:t xml:space="preserve"> ötletet)</w:t>
        </w:r>
      </w:hyperlink>
      <w:r>
        <w:rPr/>
        <w:t xml:space="preserve"> terjednek. Közös aggodalomra ad okot, hogy a fogadó országok visszaélnek a fejlesztési segélyekkel, ami hatástalanná teszi azt. E tekintetben az egyik résztvevő javasolta az alapok nyomon követhetőségének javítását, és ezáltal azok felhasználásának nyomon követését a blokklánc-technológiák és az intelligens tanúsítványok alkalmazásával (lásd az</w:t>
      </w:r>
      <w:hyperlink r:id="rId1825">
        <w:r>
          <w:rPr>
            <w:rStyle w:val="LienInternet"/>
          </w:rPr>
          <w:t xml:space="preserve"> </w:t>
        </w:r>
      </w:hyperlink>
      <w:hyperlink r:id="rId1826">
        <w:r>
          <w:rPr>
            <w:rStyle w:val="LienInternet"/>
          </w:rPr>
          <w:t>ötletet)</w:t>
        </w:r>
      </w:hyperlink>
      <w:r>
        <w:rPr/>
        <w:t xml:space="preserve">. </w:t>
      </w:r>
    </w:p>
    <w:p>
      <w:pPr>
        <w:pStyle w:val="Normal"/>
        <w:jc w:val="left"/>
        <w:rPr/>
      </w:pPr>
      <w:r>
        <w:rPr/>
        <w:t>A hozzájárulások egy bizonyos csoportja feladata az, hogy az EU részt vegyen a regionális destabilizációban, például a fejlődő országokba irányuló támogatott mezőgazdasági export révén (lásd az</w:t>
      </w:r>
      <w:hyperlink r:id="rId1827">
        <w:r>
          <w:rPr>
            <w:rStyle w:val="LienInternet"/>
          </w:rPr>
          <w:t xml:space="preserve"> ötletet</w:t>
        </w:r>
      </w:hyperlink>
      <w:r>
        <w:rPr/>
        <w:t xml:space="preserve">). A fejlett és a fejlődő országok közötti gazdasági egyenlőtlenségek kezelése érdekében egyes résztvevők támogatják a fenntartható, éghajlatváltozás hatásaival szemben ellenálló mezőgazdaság előmozdítását a harmadik világ országaiban (lásd az </w:t>
      </w:r>
      <w:hyperlink r:id="rId1828">
        <w:r>
          <w:rPr>
            <w:rStyle w:val="LienInternet"/>
          </w:rPr>
          <w:t>ötletet)</w:t>
        </w:r>
      </w:hyperlink>
      <w:r>
        <w:rPr/>
        <w:t xml:space="preserve">. Ez elősegítené az „éghajlat-migráció” (lásd az </w:t>
      </w:r>
      <w:hyperlink r:id="rId1829">
        <w:r>
          <w:rPr>
            <w:rStyle w:val="LienInternet"/>
          </w:rPr>
          <w:t xml:space="preserve">ötlet </w:t>
        </w:r>
      </w:hyperlink>
      <w:r>
        <w:rPr/>
        <w:t xml:space="preserve">és az </w:t>
      </w:r>
      <w:hyperlink r:id="rId1830">
        <w:r>
          <w:rPr>
            <w:rStyle w:val="LienInternet"/>
          </w:rPr>
          <w:t>esemény példáját)</w:t>
        </w:r>
      </w:hyperlink>
      <w:r>
        <w:rPr/>
        <w:t xml:space="preserve"> elleni fellépést is. Az „éghajlat-migráció” jelenségével valóban nagyrészt foglalkoznak a résztvevők, akik azt szeretnék, ha a közvélemény nagyobb figyelmet fordítana erre a kérdésre, és hogy a nemzetközi jogban elismerjék a klímamenekült státuszát (lásd az </w:t>
      </w:r>
      <w:hyperlink r:id="rId1831">
        <w:r>
          <w:rPr>
            <w:rStyle w:val="LienInternet"/>
          </w:rPr>
          <w:t>ötletet</w:t>
        </w:r>
      </w:hyperlink>
      <w:r>
        <w:rPr/>
        <w:t xml:space="preserve">). </w:t>
      </w:r>
    </w:p>
    <w:p>
      <w:pPr>
        <w:pStyle w:val="Normal"/>
        <w:jc w:val="left"/>
        <w:rPr/>
      </w:pPr>
      <w:r>
        <w:rPr/>
      </w:r>
    </w:p>
    <w:p>
      <w:pPr>
        <w:pStyle w:val="Titre2"/>
        <w:numPr>
          <w:ilvl w:val="1"/>
          <w:numId w:val="1"/>
        </w:numPr>
        <w:jc w:val="left"/>
        <w:rPr/>
      </w:pPr>
      <w:bookmarkStart w:id="103" w:name="__RefHeading___Toc86529_2514204080"/>
      <w:bookmarkEnd w:id="103"/>
      <w:r>
        <w:rPr/>
        <w:t>Új ötletek az elmúlt időszakban (21/02/2022–09/05/2022)</w:t>
      </w:r>
    </w:p>
    <w:p>
      <w:pPr>
        <w:pStyle w:val="Normal"/>
        <w:jc w:val="left"/>
        <w:rPr/>
      </w:pPr>
      <w:r>
        <w:rPr/>
        <w:t xml:space="preserve">Az elmúlt időszakban a migráció témájával kapcsolatos hozzájárulások megerősítették a korábban megfigyelt témákat és altémákat. </w:t>
      </w:r>
    </w:p>
    <w:p>
      <w:pPr>
        <w:pStyle w:val="Normal"/>
        <w:jc w:val="left"/>
        <w:rPr/>
      </w:pPr>
      <w:r>
        <w:rPr/>
        <w:t>Számos javaslat szorgalmazta a meglévő migrációs és menekültügyi rendszerek javítását. E tekintetben kulcsfontosságúnak tekintik a menedékjog iránti kérelmek feldolgozásának közös európai keretét (lásd az</w:t>
      </w:r>
      <w:hyperlink r:id="rId1832">
        <w:r>
          <w:rPr>
            <w:rStyle w:val="LienInternet"/>
          </w:rPr>
          <w:t xml:space="preserve"> </w:t>
        </w:r>
      </w:hyperlink>
      <w:hyperlink r:id="rId1833">
        <w:r>
          <w:rPr>
            <w:rStyle w:val="LienInternet"/>
          </w:rPr>
          <w:t>ötletet)</w:t>
        </w:r>
      </w:hyperlink>
      <w:r>
        <w:rPr/>
        <w:t>, beleértve a dublini rendszer reformját (lásd például egy</w:t>
      </w:r>
      <w:hyperlink r:id="rId1834">
        <w:r>
          <w:rPr>
            <w:rStyle w:val="LienInternet"/>
          </w:rPr>
          <w:t xml:space="preserve"> </w:t>
        </w:r>
      </w:hyperlink>
      <w:hyperlink r:id="rId1835">
        <w:r>
          <w:rPr>
            <w:rStyle w:val="LienInternet"/>
          </w:rPr>
          <w:t>ötletet</w:t>
        </w:r>
      </w:hyperlink>
      <w:r>
        <w:rPr/>
        <w:t xml:space="preserve">). </w:t>
      </w:r>
    </w:p>
    <w:p>
      <w:pPr>
        <w:pStyle w:val="Normal"/>
        <w:jc w:val="left"/>
        <w:rPr/>
      </w:pPr>
      <w:r>
        <w:rPr/>
        <w:t xml:space="preserve">Néhány ötlet azt javasolta, hogy minden újonnan érkezőt összekapcsoljon egy „referenssel”, aki már letelepedett az érkezési országban (lásd egy </w:t>
      </w:r>
      <w:hyperlink r:id="rId1836">
        <w:r>
          <w:rPr>
            <w:rStyle w:val="LienInternet"/>
          </w:rPr>
          <w:t>ötlet példáját)</w:t>
        </w:r>
      </w:hyperlink>
      <w:r>
        <w:rPr/>
        <w:t xml:space="preserve">. Más résztvevők kiemelték a legális migrációs útvonalak fontosságát az integrációs folyamatok megkönnyítése érdekében (lásd az </w:t>
      </w:r>
      <w:hyperlink r:id="rId1837">
        <w:r>
          <w:rPr>
            <w:rStyle w:val="LienInternet"/>
          </w:rPr>
          <w:t>ötletet</w:t>
        </w:r>
      </w:hyperlink>
      <w:r>
        <w:rPr/>
        <w:t>), és szorgalmazták a munkavállalásra jogosító vízumok engedélyezését (lásd az</w:t>
      </w:r>
      <w:hyperlink r:id="rId1838">
        <w:r>
          <w:rPr>
            <w:rStyle w:val="LienInternet"/>
          </w:rPr>
          <w:t xml:space="preserve"> ötletet</w:t>
        </w:r>
      </w:hyperlink>
      <w:r>
        <w:rPr/>
        <w:t>), vagy biztonságosabb migrációs útvonalak létrehozását annak érdekében, hogy korlátozzák a migráns áldozatok számát az Európába vezető úton, különösen a tengeren (lásd például az</w:t>
      </w:r>
      <w:hyperlink r:id="rId1839">
        <w:r>
          <w:rPr>
            <w:rStyle w:val="LienInternet"/>
          </w:rPr>
          <w:t xml:space="preserve"> </w:t>
        </w:r>
      </w:hyperlink>
      <w:hyperlink r:id="rId1840">
        <w:r>
          <w:rPr>
            <w:rStyle w:val="LienInternet"/>
          </w:rPr>
          <w:t>ötletet)</w:t>
        </w:r>
      </w:hyperlink>
      <w:r>
        <w:rPr/>
        <w:t xml:space="preserve">. </w:t>
      </w:r>
    </w:p>
    <w:p>
      <w:pPr>
        <w:pStyle w:val="Normal"/>
        <w:jc w:val="left"/>
        <w:rPr/>
      </w:pPr>
      <w:r>
        <w:rPr/>
        <w:t>A migrációra vonatkozó közelmúltbeli bejegyzések nagyrészt polarizáltak, amint azt korábban megjegyeztük. Egyrészt egyes résztvevők a migrációt a társadalom forrásának tekintik (lásd például egy</w:t>
      </w:r>
      <w:hyperlink r:id="rId1841">
        <w:r>
          <w:rPr>
            <w:rStyle w:val="LienInternet"/>
          </w:rPr>
          <w:t xml:space="preserve"> </w:t>
        </w:r>
      </w:hyperlink>
      <w:hyperlink r:id="rId1842">
        <w:r>
          <w:rPr>
            <w:rStyle w:val="LienInternet"/>
          </w:rPr>
          <w:t>ötletet)</w:t>
        </w:r>
      </w:hyperlink>
      <w:r>
        <w:rPr/>
        <w:t xml:space="preserve">. Másrészt egyes résztvevők ellenzik a további migrációt, mivel sok migránst nem integrálnak (lásd az </w:t>
      </w:r>
      <w:hyperlink r:id="rId1843">
        <w:r>
          <w:rPr>
            <w:rStyle w:val="LienInternet"/>
          </w:rPr>
          <w:t>ötletet</w:t>
        </w:r>
      </w:hyperlink>
      <w:r>
        <w:rPr/>
        <w:t xml:space="preserve">). Az integráció elősegítése és ösztönzése érdekében az egyik résztvevő a bürokrácia csökkentésére szólított fel a munkát kereső migránsok előtt álló akadályok csökkentése érdekében (lásd az </w:t>
      </w:r>
      <w:hyperlink r:id="rId1844">
        <w:r>
          <w:rPr>
            <w:rStyle w:val="LienInternet"/>
          </w:rPr>
          <w:t>ötletet)</w:t>
        </w:r>
      </w:hyperlink>
      <w:r>
        <w:rPr/>
        <w:t>. A bevándorlással kapcsolatos pozitívabb kommunikációt is szorgalmazták, hogy megkönnyítsék a zökkenőmentesebb integrációt a fogadó ország részéről (lásd az</w:t>
      </w:r>
      <w:hyperlink r:id="rId1845">
        <w:r>
          <w:rPr>
            <w:rStyle w:val="LienInternet"/>
          </w:rPr>
          <w:t xml:space="preserve"> </w:t>
        </w:r>
      </w:hyperlink>
      <w:hyperlink r:id="rId1846">
        <w:r>
          <w:rPr>
            <w:rStyle w:val="LienInternet"/>
          </w:rPr>
          <w:t>ötletet</w:t>
        </w:r>
      </w:hyperlink>
      <w:r>
        <w:rPr/>
        <w:t>).</w:t>
      </w:r>
    </w:p>
    <w:p>
      <w:pPr>
        <w:pStyle w:val="Normal"/>
        <w:jc w:val="left"/>
        <w:rPr/>
      </w:pPr>
      <w:r>
        <w:rPr/>
      </w:r>
    </w:p>
    <w:p>
      <w:pPr>
        <w:sectPr>
          <w:headerReference w:type="default" r:id="rId1847"/>
          <w:footerReference w:type="default" r:id="rId1848"/>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Corpsdetexte"/>
        <w:jc w:val="left"/>
        <w:rPr/>
      </w:pPr>
      <w:r>
        <w:rPr/>
      </w:r>
    </w:p>
    <w:p>
      <w:pPr>
        <w:pStyle w:val="Corpsdetexte"/>
        <w:jc w:val="left"/>
        <w:rPr/>
      </w:pPr>
      <w:r>
        <w:rPr/>
        <mc:AlternateContent>
          <mc:Choice Requires="wps">
            <w:drawing>
              <wp:anchor behindDoc="0" distT="0" distB="0" distL="0" distR="0" simplePos="0" locked="0" layoutInCell="0" allowOverlap="1" relativeHeight="134">
                <wp:simplePos x="0" y="0"/>
                <wp:positionH relativeFrom="column">
                  <wp:posOffset>82550</wp:posOffset>
                </wp:positionH>
                <wp:positionV relativeFrom="paragraph">
                  <wp:posOffset>41910</wp:posOffset>
                </wp:positionV>
                <wp:extent cx="9152890" cy="5057140"/>
                <wp:effectExtent l="0" t="0" r="0" b="0"/>
                <wp:wrapTopAndBottom/>
                <wp:docPr id="104" name="Cadre24"/>
                <a:graphic xmlns:a="http://schemas.openxmlformats.org/drawingml/2006/main">
                  <a:graphicData uri="http://schemas.microsoft.com/office/word/2010/wordprocessingShape">
                    <wps:wsp>
                      <wps:cNvSpPr/>
                      <wps:spPr>
                        <a:xfrm>
                          <a:off x="0" y="0"/>
                          <a:ext cx="9153000" cy="505728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Ábra. Elmetérkép „Migráció” téma 1. rész</w:t>
                            </w:r>
                          </w:p>
                        </w:txbxContent>
                      </wps:txbx>
                      <wps:bodyPr lIns="0" rIns="0" tIns="0" bIns="0" anchor="t">
                        <a:noAutofit/>
                      </wps:bodyPr>
                    </wps:wsp>
                  </a:graphicData>
                </a:graphic>
              </wp:anchor>
            </w:drawing>
          </mc:Choice>
          <mc:Fallback>
            <w:pict>
              <v:rect id="shape_0" ID="Cadre24" path="m0,0l-2147483645,0l-2147483645,-2147483646l0,-2147483646xe" fillcolor="white" stroked="f" o:allowincell="f" style="position:absolute;margin-left:6.5pt;margin-top:3.3pt;width:720.65pt;height:398.1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Ábra. Elmetérkép „Migráció” téma 1. rész</w:t>
                      </w:r>
                    </w:p>
                  </w:txbxContent>
                </v:textbox>
                <w10:wrap type="topAndBottom"/>
              </v:rect>
            </w:pict>
          </mc:Fallback>
        </mc:AlternateContent>
        <mc:AlternateContent>
          <mc:Choice Requires="wpg">
            <w:drawing>
              <wp:anchor behindDoc="0" distT="0" distB="0" distL="0" distR="635" simplePos="0" locked="0" layoutInCell="0" allowOverlap="1" relativeHeight="136">
                <wp:simplePos x="0" y="0"/>
                <wp:positionH relativeFrom="column">
                  <wp:align>center</wp:align>
                </wp:positionH>
                <wp:positionV relativeFrom="paragraph">
                  <wp:posOffset>635</wp:posOffset>
                </wp:positionV>
                <wp:extent cx="9151620" cy="4856480"/>
                <wp:effectExtent l="0" t="0" r="635" b="0"/>
                <wp:wrapTopAndBottom/>
                <wp:docPr id="106" name="Forme18_ 1"/>
                <a:graphic xmlns:a="http://schemas.openxmlformats.org/drawingml/2006/main">
                  <a:graphicData uri="http://schemas.microsoft.com/office/word/2010/wordprocessingGroup">
                    <wpg:wgp>
                      <wpg:cNvGrpSpPr/>
                      <wpg:grpSpPr>
                        <a:xfrm>
                          <a:off x="0" y="0"/>
                          <a:ext cx="9151560" cy="4856400"/>
                          <a:chOff x="0" y="0"/>
                          <a:chExt cx="9151560" cy="4856400"/>
                        </a:xfrm>
                      </wpg:grpSpPr>
                      <wpg:grpSp>
                        <wpg:cNvGrpSpPr/>
                        <wpg:grpSpPr>
                          <a:xfrm>
                            <a:off x="7798320" y="840600"/>
                            <a:ext cx="1184760" cy="906120"/>
                          </a:xfrm>
                        </wpg:grpSpPr>
                        <wps:wsp>
                          <wps:cNvSpPr/>
                          <wps:spPr>
                            <a:xfrm>
                              <a:off x="0" y="582480"/>
                              <a:ext cx="1184760" cy="32400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Migráció</w:t>
                                </w:r>
                              </w:p>
                            </w:txbxContent>
                          </wps:txbx>
                          <wps:bodyPr lIns="90000" rIns="90000" tIns="45000" bIns="45000" anchor="t">
                            <a:noAutofit/>
                          </wps:bodyPr>
                        </wps:wsp>
                        <pic:pic xmlns:pic="http://schemas.openxmlformats.org/drawingml/2006/picture">
                          <pic:nvPicPr>
                            <pic:cNvPr id="23" name="" descr=""/>
                            <pic:cNvPicPr/>
                          </pic:nvPicPr>
                          <pic:blipFill>
                            <a:blip r:embed="rId1849"/>
                            <a:stretch/>
                          </pic:blipFill>
                          <pic:spPr>
                            <a:xfrm>
                              <a:off x="40680" y="0"/>
                              <a:ext cx="689760" cy="574560"/>
                            </a:xfrm>
                            <a:prstGeom prst="rect">
                              <a:avLst/>
                            </a:prstGeom>
                            <a:ln w="0">
                              <a:noFill/>
                            </a:ln>
                          </pic:spPr>
                        </pic:pic>
                      </wpg:grpSp>
                      <wpg:grpSp>
                        <wpg:cNvGrpSpPr/>
                        <wpg:grpSpPr>
                          <a:xfrm>
                            <a:off x="0" y="0"/>
                            <a:ext cx="8038440" cy="1535400"/>
                          </a:xfrm>
                        </wpg:grpSpPr>
                        <wps:wsp>
                          <wps:cNvSpPr/>
                          <wps:spPr>
                            <a:xfrm>
                              <a:off x="6243840" y="205200"/>
                              <a:ext cx="1794600" cy="5479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Közös uniós migrációs politika </w:t>
                                </w:r>
                              </w:p>
                            </w:txbxContent>
                          </wps:txbx>
                          <wps:bodyPr lIns="90000" rIns="90000" tIns="45000" bIns="45000" anchor="t">
                            <a:noAutofit/>
                          </wps:bodyPr>
                        </wps:wsp>
                        <wps:wsp>
                          <wps:cNvSpPr/>
                          <wps:spPr>
                            <a:xfrm>
                              <a:off x="0" y="0"/>
                              <a:ext cx="6291720" cy="15354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szelektív migrációra vonatkozó egységes uniós politika kialakítása: kvóták és szigorúbb kiválasztási eljárások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dublini egyezmény reformja a menedékkérők és migránsok egyenlőbb elosztása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emberi jogokat tiszteletben tartó migrációs rendszerre szólít fel az uniós értékekkel összhangban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migrációval kapcsolatos uniós hatáskörök bővítése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 munkaerő-migrációs politikájának kidolgozása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legális migrációra vonatkozó szigorúbb elfogadási eljárásokra való felhívás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Közös uniós bevándorlási politika létrehozása központosított kérelmezési szervvel és eljárással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Partnerségi rendszer létrehozása, amely lehetővé teszi a migránsok számára, hogy származási országukban menedékjogot kérjenek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Szelektív bevándorlási típus lehetővé tétele, amely csak a képzett migránsokat célozza meg, és előnyben részesíti a gazdaságilag fejlett demokráciák közötti mobilitást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menekültügyért és az integrációért felelős európai biztos létrehozása </w:t>
                                </w:r>
                              </w:p>
                            </w:txbxContent>
                          </wps:txbx>
                          <wps:bodyPr lIns="90000" rIns="90000" tIns="45000" bIns="45000" anchor="t">
                            <a:noAutofit/>
                          </wps:bodyPr>
                        </wps:wsp>
                      </wpg:grpSp>
                      <wpg:grpSp>
                        <wpg:cNvGrpSpPr/>
                        <wpg:grpSpPr>
                          <a:xfrm>
                            <a:off x="8280" y="1567080"/>
                            <a:ext cx="4333320" cy="1536840"/>
                          </a:xfrm>
                        </wpg:grpSpPr>
                        <wps:wsp>
                          <wps:cNvSpPr/>
                          <wps:spPr>
                            <a:xfrm>
                              <a:off x="3107160" y="179640"/>
                              <a:ext cx="1226160" cy="6591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Humanista álláspont a migrációval kapcsolatban</w:t>
                                </w:r>
                              </w:p>
                            </w:txbxContent>
                          </wps:txbx>
                          <wps:bodyPr lIns="90000" rIns="90000" tIns="45000" bIns="45000" anchor="t">
                            <a:noAutofit/>
                          </wps:bodyPr>
                        </wps:wsp>
                        <wps:wsp>
                          <wps:cNvSpPr/>
                          <wps:spPr>
                            <a:xfrm>
                              <a:off x="0" y="0"/>
                              <a:ext cx="3105720" cy="1536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Könnyebb és hozzáférhetőbb menekültügyi eljárások a származási országokban, valamint humanitárius folyosók létrehozása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illegális migráció elleni küzdelem, az emberkereskedelem és az embercsempészek elleni fellépés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Legális és biztonságos migrációs útvonalak és csatornák létrehozása a halálesetek elkerülése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Jogi keret létrehozása az integrált személyek nem biztonságos származási országokba történő kitoloncolásának megállítására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önkéntes hazatelepülések előnyben részesítése a származási országokkal való partnerségek révén, a kitoloncolással szemben </w:t>
                                </w:r>
                              </w:p>
                            </w:txbxContent>
                          </wps:txbx>
                          <wps:bodyPr lIns="90000" rIns="90000" tIns="45000" bIns="45000" anchor="t">
                            <a:noAutofit/>
                          </wps:bodyPr>
                        </wps:wsp>
                      </wpg:grpSp>
                      <wpg:grpSp>
                        <wpg:cNvGrpSpPr/>
                        <wpg:grpSpPr>
                          <a:xfrm>
                            <a:off x="4597920" y="1873800"/>
                            <a:ext cx="4553640" cy="2982600"/>
                          </a:xfrm>
                        </wpg:grpSpPr>
                        <wps:wsp>
                          <wps:cNvSpPr/>
                          <wps:spPr>
                            <a:xfrm>
                              <a:off x="3420360" y="421560"/>
                              <a:ext cx="1133640" cy="28080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Integráció</w:t>
                                </w:r>
                              </w:p>
                            </w:txbxContent>
                          </wps:txbx>
                          <wps:bodyPr lIns="90000" rIns="90000" tIns="45000" bIns="45000" anchor="t">
                            <a:noAutofit/>
                          </wps:bodyPr>
                        </wps:wsp>
                        <wps:wsp>
                          <wps:cNvSpPr/>
                          <wps:spPr>
                            <a:xfrm>
                              <a:off x="0" y="0"/>
                              <a:ext cx="3369240" cy="29826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bevándorlók bürokratikus eljárásainak csökkentése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Uniós szintű integrációs programok létrehozása az álláskeresés során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uniós polgárok érzékenysége: beruházás a befogadással kapcsolatos oktatásba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Nyomon követési pálya kialakítása a migránsok és menedékkérők számára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Oktatási rendszer létrehozása az iskolás korú migráns gyermekek befogadásának támogatására, valamint a nyelv és az értékek oktatásának előtérbe helyezése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hátrányos megkülönböztetés elleni küzdelem, valamint a migránsokkal és a jogszerűen tartózkodó harmadik országbeli állampolgárokkal szembeni egyenlő és tisztességes bánásmód, például a munkaerőpiacon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migránsok önkéntes tevékenységeihez való hozzáférés javítása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migrációs szolgálatok és a politikai testületek személyzetének sokszínűségének növelése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EU-ban jóval a brexit előtt tartózkodó brit állampolgárok támogatása abban, hogy gyorsított eljárás révén uniós szintű jogokat szerezzenek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Szavazati jog biztosítása az EU-ban állandó lakóhellyel rendelkező személyek számára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uniós országok közötti integrációval kapcsolatos szakpolitikák és bevált gyakorlatok átruházhatóságának előmozdítása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Csatlakoztasson minden újoncot egy „referens” bevándorlóhoz, aki már letelepedett </w:t>
                                </w:r>
                              </w:p>
                            </w:txbxContent>
                          </wps:txbx>
                          <wps:bodyPr lIns="90000" rIns="90000" tIns="45000" bIns="45000" anchor="t">
                            <a:noAutofit/>
                          </wps:bodyPr>
                        </wps:wsp>
                      </wpg:grpSp>
                    </wpg:wgp>
                  </a:graphicData>
                </a:graphic>
              </wp:anchor>
            </w:drawing>
          </mc:Choice>
          <mc:Fallback>
            <w:pict>
              <v:group id="shape_0" alt="Forme18_ 1" style="position:absolute;margin-left:3.95pt;margin-top:0.05pt;width:720.6pt;height:382.4pt" coordorigin="79,1" coordsize="14412,7648">
                <v:group id="shape_0" style="position:absolute;left:12360;top:1325;width:1866;height:1427">
                  <v:rect id="shape_0" path="m0,0l-2147483645,0l-2147483645,-2147483646l0,-2147483646xe" stroked="f" o:allowincell="f" style="position:absolute;left:12360;top:2242;width:1865;height:509;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Migráció</w:t>
                          </w:r>
                        </w:p>
                      </w:txbxContent>
                    </v:textbox>
                    <v:fill o:detectmouseclick="t" on="false"/>
                    <v:stroke color="#3465a4" joinstyle="round" endcap="flat"/>
                    <w10:wrap type="topAndBottom"/>
                  </v:rect>
                  <v:shape id="shape_0" stroked="f" o:allowincell="f" style="position:absolute;left:12424;top:1325;width:1085;height:904;mso-wrap-style:none;v-text-anchor:middle;mso-position-horizontal:center" type="_x0000_t75">
                    <v:imagedata r:id="rId1849" o:detectmouseclick="t"/>
                    <v:stroke color="#3465a4" joinstyle="round" endcap="flat"/>
                    <w10:wrap type="topAndBottom"/>
                  </v:shape>
                </v:group>
                <v:group id="shape_0" style="position:absolute;left:79;top:1;width:12659;height:2418">
                  <v:rect id="shape_0" path="m0,0l-2147483645,0l-2147483645,-2147483646l0,-2147483646xe" fillcolor="#a3238e" stroked="t" o:allowincell="f" style="position:absolute;left:9912;top:324;width:2825;height:862;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Közös uniós migrációs politika </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9;top:1;width:9907;height:241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szelektív migrációra vonatkozó egységes uniós politika kialakítása: kvóták és szigorúbb kiválasztási eljárások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dublini egyezmény reformja a menedékkérők és migránsok egyenlőbb elosztása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emberi jogokat tiszteletben tartó migrációs rendszerre szólít fel az uniós értékekkel összhangban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migrációval kapcsolatos uniós hatáskörök bővítése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 munkaerő-migrációs politikájának kidolgozása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legális migrációra vonatkozó szigorúbb elfogadási eljárásokra való felhívás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Közös uniós bevándorlási politika létrehozása központosított kérelmezési szervvel és eljárással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Partnerségi rendszer létrehozása, amely lehetővé teszi a migránsok számára, hogy származási országukban menedékjogot kérjenek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Szelektív bevándorlási típus lehetővé tétele, amely csak a képzett migránsokat célozza meg, és előnyben részesíti a gazdaságilag fejlett demokráciák közötti mobilitást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menekültügyért és az integrációért felelős európai biztos létrehozása </w:t>
                          </w:r>
                        </w:p>
                      </w:txbxContent>
                    </v:textbox>
                    <v:fill o:detectmouseclick="t" type="solid" color2="#111111"/>
                    <v:stroke color="#3465a4" joinstyle="round" endcap="flat"/>
                    <w10:wrap type="topAndBottom"/>
                  </v:rect>
                </v:group>
                <v:group id="shape_0" style="position:absolute;left:92;top:2469;width:6824;height:2420">
                  <v:rect id="shape_0" path="m0,0l-2147483645,0l-2147483645,-2147483646l0,-2147483646xe" fillcolor="#a3238e" stroked="t" o:allowincell="f" style="position:absolute;left:4985;top:2752;width:1930;height:103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Humanista álláspont a migrációval kapcsolatban</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2;top:2469;width:4890;height:241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Könnyebb és hozzáférhetőbb menekültügyi eljárások a származási országokban, valamint humanitárius folyosók létrehozása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illegális migráció elleni küzdelem, az emberkereskedelem és az embercsempészek elleni fellépés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Legális és biztonságos migrációs útvonalak és csatornák létrehozása a halálesetek elkerülése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Jogi keret létrehozása az integrált személyek nem biztonságos származási országokba történő kitoloncolásának megállítására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önkéntes hazatelepülések előnyben részesítése a származási országokkal való partnerségek révén, a kitoloncolással szemben </w:t>
                          </w:r>
                        </w:p>
                      </w:txbxContent>
                    </v:textbox>
                    <v:fill o:detectmouseclick="t" type="solid" color2="#111111"/>
                    <v:stroke color="#3465a4" joinstyle="round" endcap="flat"/>
                    <w10:wrap type="topAndBottom"/>
                  </v:rect>
                </v:group>
                <v:group id="shape_0" style="position:absolute;left:7320;top:2952;width:7172;height:4697">
                  <v:rect id="shape_0" path="m0,0l-2147483645,0l-2147483645,-2147483646l0,-2147483646xe" fillcolor="#a3238e" stroked="t" o:allowincell="f" style="position:absolute;left:12706;top:3616;width:1784;height:441;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Integráció</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320;top:2952;width:5305;height:469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bevándorlók bürokratikus eljárásainak csökkentése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Uniós szintű integrációs programok létrehozása az álláskeresés során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uniós polgárok érzékenysége: beruházás a befogadással kapcsolatos oktatásba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Nyomon követési pálya kialakítása a migránsok és menedékkérők számára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Oktatási rendszer létrehozása az iskolás korú migráns gyermekek befogadásának támogatására, valamint a nyelv és az értékek oktatásának előtérbe helyezése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hátrányos megkülönböztetés elleni küzdelem, valamint a migránsokkal és a jogszerűen tartózkodó harmadik országbeli állampolgárokkal szembeni egyenlő és tisztességes bánásmód, például a munkaerőpiacon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migránsok önkéntes tevékenységeihez való hozzáférés javítása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migrációs szolgálatok és a politikai testületek személyzetének sokszínűségének növelése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EU-ban jóval a brexit előtt tartózkodó brit állampolgárok támogatása abban, hogy gyorsított eljárás révén uniós szintű jogokat szerezzenek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Szavazati jog biztosítása az EU-ban állandó lakóhellyel rendelkező személyek számára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uniós országok közötti integrációval kapcsolatos szakpolitikák és bevált gyakorlatok átruházhatóságának előmozdítása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Csatlakoztasson minden újoncot egy „referens” bevándorlóhoz, aki már letelepedett </w:t>
                          </w:r>
                        </w:p>
                      </w:txbxContent>
                    </v:textbox>
                    <v:fill o:detectmouseclick="t" type="solid" color2="#111111"/>
                    <v:stroke color="#3465a4" joinstyle="round" endcap="flat"/>
                    <w10:wrap type="topAndBottom"/>
                  </v:rect>
                </v:group>
              </v:group>
            </w:pict>
          </mc:Fallback>
        </mc:AlternateContent>
      </w:r>
    </w:p>
    <w:p>
      <w:pPr>
        <w:pStyle w:val="Corpsdetexte"/>
        <w:jc w:val="left"/>
        <w:rPr/>
      </w:pPr>
      <w:r>
        <w:rPr/>
      </w:r>
      <w:r>
        <w:br w:type="page"/>
      </w:r>
    </w:p>
    <w:p>
      <w:pPr>
        <w:pStyle w:val="Corpsdetexte"/>
        <w:jc w:val="left"/>
        <w:rPr/>
      </w:pPr>
      <w:r>
        <w:rPr/>
      </w:r>
    </w:p>
    <w:p>
      <w:pPr>
        <w:pStyle w:val="Corpsdetexte"/>
        <w:jc w:val="left"/>
        <w:rPr/>
      </w:pPr>
      <w:r>
        <w:rPr/>
        <mc:AlternateContent>
          <mc:Choice Requires="wps">
            <w:drawing>
              <wp:anchor behindDoc="0" distT="0" distB="0" distL="0" distR="0" simplePos="0" locked="0" layoutInCell="0" allowOverlap="1" relativeHeight="137">
                <wp:simplePos x="0" y="0"/>
                <wp:positionH relativeFrom="column">
                  <wp:posOffset>635</wp:posOffset>
                </wp:positionH>
                <wp:positionV relativeFrom="paragraph">
                  <wp:posOffset>-5080</wp:posOffset>
                </wp:positionV>
                <wp:extent cx="7515860" cy="4809490"/>
                <wp:effectExtent l="0" t="0" r="0" b="0"/>
                <wp:wrapTopAndBottom/>
                <wp:docPr id="107" name="Cadre25"/>
                <a:graphic xmlns:a="http://schemas.openxmlformats.org/drawingml/2006/main">
                  <a:graphicData uri="http://schemas.microsoft.com/office/word/2010/wordprocessingShape">
                    <wps:wsp>
                      <wps:cNvSpPr/>
                      <wps:spPr>
                        <a:xfrm>
                          <a:off x="0" y="0"/>
                          <a:ext cx="7515720" cy="480960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Ábra. Elmetérkép „Migráció” téma 2. rész</w:t>
                            </w:r>
                          </w:p>
                        </w:txbxContent>
                      </wps:txbx>
                      <wps:bodyPr lIns="0" rIns="0" tIns="0" bIns="0" anchor="t">
                        <a:noAutofit/>
                      </wps:bodyPr>
                    </wps:wsp>
                  </a:graphicData>
                </a:graphic>
              </wp:anchor>
            </w:drawing>
          </mc:Choice>
          <mc:Fallback>
            <w:pict>
              <v:rect id="shape_0" ID="Cadre25" path="m0,0l-2147483645,0l-2147483645,-2147483646l0,-2147483646xe" fillcolor="white" stroked="f" o:allowincell="f" style="position:absolute;margin-left:0.05pt;margin-top:-0.4pt;width:591.75pt;height:378.6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Ábra. Elmetérkép „Migráció” téma 2. rész</w:t>
                      </w:r>
                    </w:p>
                  </w:txbxContent>
                </v:textbox>
                <w10:wrap type="topAndBottom"/>
              </v:rect>
            </w:pict>
          </mc:Fallback>
        </mc:AlternateContent>
        <mc:AlternateContent>
          <mc:Choice Requires="wpg">
            <w:drawing>
              <wp:anchor behindDoc="0" distT="0" distB="0" distL="0" distR="635" simplePos="0" locked="0" layoutInCell="0" allowOverlap="1" relativeHeight="139">
                <wp:simplePos x="0" y="0"/>
                <wp:positionH relativeFrom="column">
                  <wp:posOffset>137795</wp:posOffset>
                </wp:positionH>
                <wp:positionV relativeFrom="paragraph">
                  <wp:posOffset>794385</wp:posOffset>
                </wp:positionV>
                <wp:extent cx="7515225" cy="3733800"/>
                <wp:effectExtent l="0" t="635" r="0" b="0"/>
                <wp:wrapTopAndBottom/>
                <wp:docPr id="109" name="Forme 3 – Videó letöltés mp3-ban"/>
                <a:graphic xmlns:a="http://schemas.openxmlformats.org/drawingml/2006/main">
                  <a:graphicData uri="http://schemas.microsoft.com/office/word/2010/wordprocessingGroup">
                    <wpg:wgp>
                      <wpg:cNvGrpSpPr/>
                      <wpg:grpSpPr>
                        <a:xfrm>
                          <a:off x="0" y="0"/>
                          <a:ext cx="7515360" cy="3733920"/>
                          <a:chOff x="0" y="0"/>
                          <a:chExt cx="7515360" cy="3733920"/>
                        </a:xfrm>
                      </wpg:grpSpPr>
                      <wpg:grpSp>
                        <wpg:cNvGrpSpPr/>
                        <wpg:grpSpPr>
                          <a:xfrm>
                            <a:off x="47520" y="0"/>
                            <a:ext cx="3942000" cy="659160"/>
                          </a:xfrm>
                        </wpg:grpSpPr>
                        <wps:wsp>
                          <wps:cNvSpPr/>
                          <wps:spPr>
                            <a:xfrm>
                              <a:off x="0" y="0"/>
                              <a:ext cx="1235880" cy="6591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nem uniós migráció mint fenyegetés </w:t>
                                </w:r>
                              </w:p>
                            </w:txbxContent>
                          </wps:txbx>
                          <wps:bodyPr lIns="90000" rIns="90000" tIns="45000" bIns="45000" anchor="t">
                            <a:noAutofit/>
                          </wps:bodyPr>
                        </wps:wsp>
                        <wps:wsp>
                          <wps:cNvSpPr/>
                          <wps:spPr>
                            <a:xfrm>
                              <a:off x="1293480" y="3240"/>
                              <a:ext cx="2648520" cy="6152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A nem uniós migráció korlátozása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Intézkedések meghozatala a nem uniós migráció szabályozására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Az EU-nak határozottabban kell védekeznie az illegális migráció politikai fegyverként való használata ellen </w:t>
                                </w:r>
                              </w:p>
                            </w:txbxContent>
                          </wps:txbx>
                          <wps:bodyPr lIns="90000" rIns="90000" tIns="45000" bIns="45000" anchor="t">
                            <a:noAutofit/>
                          </wps:bodyPr>
                        </wps:wsp>
                      </wpg:grpSp>
                      <wpg:grpSp>
                        <wpg:cNvGrpSpPr/>
                        <wpg:grpSpPr>
                          <a:xfrm>
                            <a:off x="0" y="579600"/>
                            <a:ext cx="1388880" cy="1476360"/>
                          </a:xfrm>
                        </wpg:grpSpPr>
                        <wps:wsp>
                          <wps:cNvSpPr/>
                          <wps:spPr>
                            <a:xfrm>
                              <a:off x="0" y="1143720"/>
                              <a:ext cx="1388880" cy="33264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Migráció</w:t>
                                </w:r>
                              </w:p>
                            </w:txbxContent>
                          </wps:txbx>
                          <wps:bodyPr lIns="90000" rIns="90000" tIns="45000" bIns="45000" anchor="t">
                            <a:noAutofit/>
                          </wps:bodyPr>
                        </wps:wsp>
                        <pic:pic xmlns:pic="http://schemas.openxmlformats.org/drawingml/2006/picture">
                          <pic:nvPicPr>
                            <pic:cNvPr id="24" name="" descr=""/>
                            <pic:cNvPicPr/>
                          </pic:nvPicPr>
                          <pic:blipFill>
                            <a:blip r:embed="rId1850"/>
                            <a:stretch/>
                          </pic:blipFill>
                          <pic:spPr>
                            <a:xfrm>
                              <a:off x="47520" y="0"/>
                              <a:ext cx="808200" cy="1127880"/>
                            </a:xfrm>
                            <a:prstGeom prst="rect">
                              <a:avLst/>
                            </a:prstGeom>
                            <a:ln w="0">
                              <a:noFill/>
                            </a:ln>
                          </pic:spPr>
                        </pic:pic>
                      </wpg:grpSp>
                      <wpg:grpSp>
                        <wpg:cNvGrpSpPr/>
                        <wpg:grpSpPr>
                          <a:xfrm>
                            <a:off x="1495440" y="1036800"/>
                            <a:ext cx="6019920" cy="1273680"/>
                          </a:xfrm>
                        </wpg:grpSpPr>
                        <wps:wsp>
                          <wps:cNvSpPr/>
                          <wps:spPr>
                            <a:xfrm>
                              <a:off x="0" y="57240"/>
                              <a:ext cx="1208520" cy="66600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Határellenőrzés</w:t>
                                </w:r>
                              </w:p>
                            </w:txbxContent>
                          </wps:txbx>
                          <wps:bodyPr lIns="90000" rIns="90000" tIns="45000" bIns="45000" anchor="t">
                            <a:noAutofit/>
                          </wps:bodyPr>
                        </wps:wsp>
                        <wps:wsp>
                          <wps:cNvSpPr/>
                          <wps:spPr>
                            <a:xfrm>
                              <a:off x="1238400" y="0"/>
                              <a:ext cx="4781520" cy="12736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Átfogóbb határellenőrzés, visszatoloncolási hatóság biztosítása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emberi jogok tiszteletben tartásának prioritása a migrációs áramlások kezelése során</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határátvételi infrastruktúra (lakás és élelmiszer) finanszírozása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földközi-tengeri térségben folytatott kutatási és mentési erőfeszítések koordinálása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Európai menekülttáborokat kezelő szupranacionális ügynökség létrehozása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Szolidaritáson alapuló központosított uniós elosztási rendszer biztosítása a menedékkérők számára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Fokozott pénzügyi támogatás a tagállamok számára a fizikai határvédelem megerősítése vagy a határátvételi projektek finanszírozása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bűncselekményt elkövető migránsok és/vagy irreguláris migránsok azonnali kiutasítására irányuló intézkedések </w:t>
                                </w:r>
                              </w:p>
                            </w:txbxContent>
                          </wps:txbx>
                          <wps:bodyPr lIns="90000" rIns="90000" tIns="45000" bIns="45000" anchor="t">
                            <a:noAutofit/>
                          </wps:bodyPr>
                        </wps:wsp>
                      </wpg:grpSp>
                      <wpg:grpSp>
                        <wpg:cNvGrpSpPr/>
                        <wpg:grpSpPr>
                          <a:xfrm>
                            <a:off x="1723320" y="2724120"/>
                            <a:ext cx="5696640" cy="1009800"/>
                          </a:xfrm>
                        </wpg:grpSpPr>
                        <wps:wsp>
                          <wps:cNvSpPr/>
                          <wps:spPr>
                            <a:xfrm>
                              <a:off x="0" y="47520"/>
                              <a:ext cx="1189440" cy="67500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migráció kiváltó okainak kezelése </w:t>
                                </w:r>
                              </w:p>
                            </w:txbxContent>
                          </wps:txbx>
                          <wps:bodyPr lIns="90000" rIns="90000" tIns="45000" bIns="45000" anchor="t">
                            <a:noAutofit/>
                          </wps:bodyPr>
                        </wps:wsp>
                        <wps:wsp>
                          <wps:cNvSpPr/>
                          <wps:spPr>
                            <a:xfrm>
                              <a:off x="1162800" y="0"/>
                              <a:ext cx="4533840" cy="1009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Célzott megállapodások és partnerségek előmozdítása a származási országokkal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éghajlatváltozás elleni küzdelem a származási országokban az éghajlatváltozás elleni küzdelem és a klímamenekültek státuszának elismerése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Egyenlő kereskedelmi kapcsolatok kialakítása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Több fejlesztési támogatási tervbe fektessenek be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Szüntesse meg az európai katonai szerepvállalást a fejlődő országokban, és állítsa le a destabilizáló gyakorlatokat, például a támogatott mezőgazdasági exportot </w:t>
                                </w:r>
                              </w:p>
                            </w:txbxContent>
                          </wps:txbx>
                          <wps:bodyPr lIns="90000" rIns="90000" tIns="45000" bIns="45000" anchor="t">
                            <a:noAutofit/>
                          </wps:bodyPr>
                        </wps:wsp>
                      </wpg:grpSp>
                    </wpg:wgp>
                  </a:graphicData>
                </a:graphic>
              </wp:anchor>
            </w:drawing>
          </mc:Choice>
          <mc:Fallback>
            <w:pict>
              <v:group id="shape_0" alt="Forme 3 – Videó letöltés mp3-ban" style="position:absolute;margin-left:10.85pt;margin-top:62.55pt;width:591.75pt;height:294pt" coordorigin="217,1251" coordsize="11835,5880">
                <v:group id="shape_0" style="position:absolute;left:292;top:1251;width:6208;height:1038">
                  <v:rect id="shape_0" path="m0,0l-2147483645,0l-2147483645,-2147483646l0,-2147483646xe" fillcolor="#a3238e" stroked="t" o:allowincell="f" style="position:absolute;left:292;top:1251;width:1945;height:103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nem uniós migráció mint fenyegetés </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2329;top:1256;width:4170;height:96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A nem uniós migráció korlátozása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Intézkedések meghozatala a nem uniós migráció szabályozására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Az EU-nak határozottabban kell védekeznie az illegális migráció politikai fegyverként való használata ellen </w:t>
                          </w:r>
                        </w:p>
                      </w:txbxContent>
                    </v:textbox>
                    <v:fill o:detectmouseclick="t" type="solid" color2="#111111"/>
                    <v:stroke color="#3465a4" joinstyle="round" endcap="flat"/>
                    <w10:wrap type="topAndBottom"/>
                  </v:rect>
                </v:group>
                <v:group id="shape_0" style="position:absolute;left:217;top:2164;width:2187;height:2325">
                  <v:rect id="shape_0" path="m0,0l-2147483645,0l-2147483645,-2147483646l0,-2147483646xe" stroked="f" o:allowincell="f" style="position:absolute;left:217;top:3965;width:2186;height:523;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Migráció</w:t>
                          </w:r>
                        </w:p>
                      </w:txbxContent>
                    </v:textbox>
                    <v:fill o:detectmouseclick="t" on="false"/>
                    <v:stroke color="#3465a4" joinstyle="round" endcap="flat"/>
                    <w10:wrap type="topAndBottom"/>
                  </v:rect>
                  <v:shape id="shape_0" stroked="f" o:allowincell="f" style="position:absolute;left:292;top:2164;width:1272;height:1775;mso-wrap-style:none;v-text-anchor:middle" type="_x0000_t75">
                    <v:imagedata r:id="rId1849" o:detectmouseclick="t"/>
                    <v:stroke color="#3465a4" joinstyle="round" endcap="flat"/>
                    <w10:wrap type="topAndBottom"/>
                  </v:shape>
                </v:group>
                <v:group id="shape_0" style="position:absolute;left:2572;top:2884;width:9480;height:2006">
                  <v:rect id="shape_0" path="m0,0l-2147483645,0l-2147483645,-2147483646l0,-2147483646xe" fillcolor="#a3238e" stroked="t" o:allowincell="f" style="position:absolute;left:2572;top:2974;width:1902;height:104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Határellenőrzés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4522;top:2884;width:7529;height:2005;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Átfogóbb határellenőrzés, visszatoloncolási hatóság biztosítása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emberi jogok tiszteletben tartásának prioritása a migrációs áramlások kezelése során</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határátvételi infrastruktúra (lakás és élelmiszer) finanszírozása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földközi-tengeri térségben folytatott kutatási és mentési erőfeszítések koordinálása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Európai menekülttáborokat kezelő szupranacionális ügynökség létrehozása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Szolidaritáson alapuló központosított uniós elosztási rendszer biztosítása a menedékkérők számára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Fokozott pénzügyi támogatás a tagállamok számára a fizikai határvédelem megerősítése vagy a határátvételi projektek finanszírozása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bűncselekményt elkövető migránsok és/vagy irreguláris migránsok azonnali kiutasítására irányuló intézkedések </w:t>
                          </w:r>
                        </w:p>
                      </w:txbxContent>
                    </v:textbox>
                    <v:fill o:detectmouseclick="t" type="solid" color2="#111111"/>
                    <v:stroke color="#3465a4" joinstyle="round" endcap="flat"/>
                    <w10:wrap type="topAndBottom"/>
                  </v:rect>
                </v:group>
                <v:group id="shape_0" style="position:absolute;left:2931;top:5541;width:8971;height:1590">
                  <v:rect id="shape_0" path="m0,0l-2147483645,0l-2147483645,-2147483646l0,-2147483646xe" fillcolor="#a3238e" stroked="t" o:allowincell="f" style="position:absolute;left:2931;top:5616;width:1872;height:106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migráció kiváltó okainak kezelése </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4762;top:5541;width:7139;height:158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Célzott megállapodások és partnerségek előmozdítása a származási országokkal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éghajlatváltozás elleni küzdelem a származási országokban az éghajlatváltozás elleni küzdelem és a klímamenekültek státuszának elismerése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Egyenlő kereskedelmi kapcsolatok kialakítása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Több fejlesztési támogatási tervbe fektessenek be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Szüntesse meg az európai katonai szerepvállalást a fejlődő országokban, és állítsa le a destabilizáló gyakorlatokat, például a támogatott mezőgazdasági exportot </w:t>
                          </w:r>
                        </w:p>
                      </w:txbxContent>
                    </v:textbox>
                    <v:fill o:detectmouseclick="t" type="solid" color2="#111111"/>
                    <v:stroke color="#3465a4" joinstyle="round" endcap="flat"/>
                    <w10:wrap type="topAndBottom"/>
                  </v:rect>
                </v:group>
              </v:group>
            </w:pict>
          </mc:Fallback>
        </mc:AlternateContent>
      </w:r>
    </w:p>
    <w:p>
      <w:pPr>
        <w:sectPr>
          <w:headerReference w:type="default" r:id="rId1851"/>
          <w:footerReference w:type="default" r:id="rId1852"/>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Corpsdetexte"/>
        <w:jc w:val="left"/>
        <w:rPr/>
      </w:pPr>
      <w:r>
        <w:rPr/>
      </w:r>
    </w:p>
    <w:p>
      <w:pPr>
        <w:pStyle w:val="Corpsdetexte"/>
        <w:jc w:val="left"/>
        <w:rPr/>
      </w:pPr>
      <w:r>
        <w:rPr/>
        <w:drawing>
          <wp:anchor behindDoc="0" distT="0" distB="0" distL="0" distR="0" simplePos="0" locked="0" layoutInCell="0" allowOverlap="1" relativeHeight="140">
            <wp:simplePos x="0" y="0"/>
            <wp:positionH relativeFrom="column">
              <wp:align>center</wp:align>
            </wp:positionH>
            <wp:positionV relativeFrom="paragraph">
              <wp:posOffset>635</wp:posOffset>
            </wp:positionV>
            <wp:extent cx="2970530" cy="1978025"/>
            <wp:effectExtent l="0" t="0" r="0" b="0"/>
            <wp:wrapSquare wrapText="largest"/>
            <wp:docPr id="110" name="Kép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Kép39" descr=""/>
                    <pic:cNvPicPr>
                      <a:picLocks noChangeAspect="1" noChangeArrowheads="1"/>
                    </pic:cNvPicPr>
                  </pic:nvPicPr>
                  <pic:blipFill>
                    <a:blip r:embed="rId1853"/>
                    <a:stretch>
                      <a:fillRect/>
                    </a:stretch>
                  </pic:blipFill>
                  <pic:spPr bwMode="auto">
                    <a:xfrm>
                      <a:off x="0" y="0"/>
                      <a:ext cx="2970530" cy="1978025"/>
                    </a:xfrm>
                    <a:prstGeom prst="rect">
                      <a:avLst/>
                    </a:prstGeom>
                  </pic:spPr>
                </pic:pic>
              </a:graphicData>
            </a:graphic>
          </wp:anchor>
        </w:drawing>
      </w:r>
    </w:p>
    <w:p>
      <w:pPr>
        <w:pStyle w:val="Titre1"/>
        <w:numPr>
          <w:ilvl w:val="0"/>
          <w:numId w:val="1"/>
        </w:numPr>
        <w:rPr/>
      </w:pPr>
      <w:bookmarkStart w:id="104" w:name="__RefHeading___Toc228952_11952128"/>
      <w:bookmarkEnd w:id="104"/>
      <w:r>
        <w:rPr/>
        <w:t>10. Oktatás, kultúra, ifjúság és sport</w:t>
      </w:r>
    </w:p>
    <w:p>
      <w:pPr>
        <w:pStyle w:val="Corpsdetexte"/>
        <w:jc w:val="left"/>
        <w:rPr/>
      </w:pPr>
      <w:r>
        <w:rPr/>
      </w:r>
    </w:p>
    <w:p>
      <w:pPr>
        <w:pStyle w:val="Corpsdetexte"/>
        <w:jc w:val="left"/>
        <w:rPr/>
      </w:pPr>
      <w:r>
        <w:rPr/>
        <w:t xml:space="preserve">Az Oktatás, kultúra, ifjúság és sport témakörében közzétett ötletek számos témát fednek le, tekintettel annak több tematikus jellegére. A platform más részeihez hasonlóan a közös uniós identitás erősítésére irányuló felhívás az e témában azonosított témák visszatérő érzése, amely többek között a cserékhez, a különböző kultúráknak való kitettséghez és a mobilitáshoz kapcsolódik. Ez a téma összesen 4976 hozzászólást generált, amely 2063 ötletből, 1 757 hozzászólásból és 1156 eseményből állt. A különböző ötletek a következő témákban csoportosíthatók: </w:t>
      </w:r>
    </w:p>
    <w:p>
      <w:pPr>
        <w:pStyle w:val="Corpsdetexte"/>
        <w:jc w:val="left"/>
        <w:rPr/>
      </w:pPr>
      <w:r>
        <w:rPr/>
      </w:r>
    </w:p>
    <w:p>
      <w:pPr>
        <w:pStyle w:val="P68B1DB1Corpsdetexte12"/>
        <w:jc w:val="left"/>
        <w:rPr>
          <w:b/>
          <w:b/>
        </w:rPr>
      </w:pPr>
      <w:r>
        <w:rPr/>
        <w:t xml:space="preserve">• </w:t>
      </w:r>
      <w:r>
        <w:rPr/>
        <w:t xml:space="preserve">A közös uniós identitás előmozdítása </w:t>
      </w:r>
    </w:p>
    <w:p>
      <w:pPr>
        <w:pStyle w:val="P68B1DB1Corpsdetexte12"/>
        <w:jc w:val="left"/>
        <w:rPr>
          <w:b/>
          <w:b/>
        </w:rPr>
      </w:pPr>
      <w:r>
        <w:rPr/>
        <w:t xml:space="preserve">• </w:t>
      </w:r>
      <w:r>
        <w:rPr/>
        <w:t xml:space="preserve">EU-n belüli mobilitás </w:t>
      </w:r>
    </w:p>
    <w:p>
      <w:pPr>
        <w:pStyle w:val="P68B1DB1Corpsdetexte12"/>
        <w:jc w:val="left"/>
        <w:rPr>
          <w:b/>
          <w:b/>
        </w:rPr>
      </w:pPr>
      <w:r>
        <w:rPr/>
        <w:t xml:space="preserve">• </w:t>
      </w:r>
      <w:r>
        <w:rPr/>
        <w:t xml:space="preserve">Időtálló oktatás </w:t>
      </w:r>
    </w:p>
    <w:p>
      <w:pPr>
        <w:pStyle w:val="P68B1DB1Corpsdetexte12"/>
        <w:jc w:val="left"/>
        <w:rPr>
          <w:b/>
          <w:b/>
        </w:rPr>
      </w:pPr>
      <w:r>
        <w:rPr/>
        <w:t xml:space="preserve">• </w:t>
      </w:r>
      <w:r>
        <w:rPr/>
        <w:t xml:space="preserve">Munkabizonytalanság és munkanélküliség a fiatalok körében </w:t>
      </w:r>
    </w:p>
    <w:p>
      <w:pPr>
        <w:pStyle w:val="P68B1DB1Corpsdetexte12"/>
        <w:jc w:val="left"/>
        <w:rPr>
          <w:b/>
          <w:b/>
        </w:rPr>
      </w:pPr>
      <w:r>
        <w:rPr/>
        <w:t xml:space="preserve">• </w:t>
      </w:r>
      <w:r>
        <w:rPr/>
        <w:t xml:space="preserve">Európai örökség </w:t>
      </w:r>
    </w:p>
    <w:p>
      <w:pPr>
        <w:pStyle w:val="P68B1DB1Corpsdetexte12"/>
        <w:jc w:val="left"/>
        <w:rPr>
          <w:b/>
          <w:b/>
        </w:rPr>
      </w:pPr>
      <w:r>
        <w:rPr/>
        <w:t xml:space="preserve">• </w:t>
      </w:r>
      <w:r>
        <w:rPr/>
        <w:t xml:space="preserve">Az oktatáshoz és a kultúrához való hozzáférés </w:t>
      </w:r>
    </w:p>
    <w:p>
      <w:pPr>
        <w:pStyle w:val="P68B1DB1Corpsdetexte12"/>
        <w:jc w:val="left"/>
        <w:rPr>
          <w:b/>
          <w:b/>
        </w:rPr>
      </w:pPr>
      <w:r>
        <w:rPr/>
        <w:t xml:space="preserve">• </w:t>
      </w:r>
      <w:r>
        <w:rPr/>
        <w:t>Kreatív és tudományos szakemberek</w:t>
      </w:r>
    </w:p>
    <w:p>
      <w:pPr>
        <w:pStyle w:val="P68B1DB1Corpsdetexte12"/>
        <w:jc w:val="left"/>
        <w:rPr>
          <w:b/>
          <w:b/>
        </w:rPr>
      </w:pPr>
      <w:r>
        <w:rPr/>
        <w:t xml:space="preserve">• </w:t>
      </w:r>
      <w:r>
        <w:rPr/>
        <w:t>Inkluzivitás a sportban</w:t>
      </w:r>
    </w:p>
    <w:p>
      <w:pPr>
        <w:pStyle w:val="Corpsdetexte"/>
        <w:jc w:val="left"/>
        <w:rPr/>
      </w:pPr>
      <w:r>
        <w:rPr/>
      </w:r>
    </w:p>
    <w:p>
      <w:pPr>
        <w:pStyle w:val="Corpsdetexte"/>
        <w:jc w:val="left"/>
        <w:rPr/>
      </w:pPr>
      <w:r>
        <w:rPr/>
      </w:r>
    </w:p>
    <w:p>
      <w:pPr>
        <w:pStyle w:val="Titre2"/>
        <w:numPr>
          <w:ilvl w:val="1"/>
          <w:numId w:val="1"/>
        </w:numPr>
        <w:jc w:val="left"/>
        <w:rPr/>
      </w:pPr>
      <w:bookmarkStart w:id="105" w:name="__RefHeading___Toc228954_11952128"/>
      <w:bookmarkEnd w:id="105"/>
      <w:r>
        <w:rPr/>
        <w:t xml:space="preserve">Események </w:t>
      </w:r>
    </w:p>
    <w:p>
      <w:pPr>
        <w:pStyle w:val="Corpsdetexte"/>
        <w:jc w:val="left"/>
        <w:rPr/>
      </w:pPr>
      <w:r>
        <w:rPr/>
        <w:t xml:space="preserve">Az elmúlt időszakban az események számos témát tárgyaltak, például a felsőoktatáshoz való hozzáférést, a mobilitást, valamint az oktatási rendszerek és címek harmonizációját. Példaként egy 30 fiatal résztvevő részvételével szervezett részvételi munkaértekezletet szerveztek egy franciaországi vidéki városban azzal a céllal, hogy megvitassák, hogyan lehetne javítani a fiatalok mobilitását a vidéki területeken (lásd az </w:t>
      </w:r>
      <w:hyperlink r:id="rId1854">
        <w:r>
          <w:rPr>
            <w:rStyle w:val="LienInternet"/>
          </w:rPr>
          <w:t>eseményt</w:t>
        </w:r>
      </w:hyperlink>
      <w:r>
        <w:rPr/>
        <w:t xml:space="preserve">). </w:t>
      </w:r>
    </w:p>
    <w:p>
      <w:pPr>
        <w:pStyle w:val="Normal"/>
        <w:jc w:val="left"/>
        <w:rPr/>
      </w:pPr>
      <w:r>
        <w:rPr/>
        <w:t>Lengyelországban, amely az e témában a legtöbb rendezvényt regisztrálta, a résztvevők megvitatták az Ukrajnából érkező fiatal migránsok szerepét is, beleértve az integrációjuk fokozásának módjait (lásd az</w:t>
      </w:r>
      <w:hyperlink r:id="rId1855">
        <w:r>
          <w:rPr>
            <w:rStyle w:val="LienInternet"/>
          </w:rPr>
          <w:t xml:space="preserve"> </w:t>
        </w:r>
      </w:hyperlink>
      <w:hyperlink r:id="rId1856">
        <w:r>
          <w:rPr>
            <w:rStyle w:val="LienInternet"/>
          </w:rPr>
          <w:t>eseményt)</w:t>
        </w:r>
      </w:hyperlink>
      <w:r>
        <w:rPr/>
        <w:t xml:space="preserve">. Ebben az esetben, amely vita formájában zajlott, a résztvevők különösen olyan megoldásokat vitattak meg, amelyek segítik a nyelvet nem ismerő gyermekeket abban, hogy gyorsan alkalmazkodjanak az új helyzethez. </w:t>
      </w:r>
    </w:p>
    <w:p>
      <w:pPr>
        <w:pStyle w:val="Normal"/>
        <w:jc w:val="left"/>
        <w:rPr/>
      </w:pPr>
      <w:r>
        <w:rPr/>
        <w:t>Spanyolországban, egy másik országban, ahol nagyszámú esemény kapcsolódik ehhez a témához, a megvitatott témák különösen a fiatalok lehetőségeire és foglalkoztatási kilátásaira vonatkoztak. A Navarra régió egyik rendezvényén a fiatal résztvevők általános érzése meglehetősen pesszimista volt, többségük az emancipációs lehetőségek hiányára panaszkodott, és az iskolai közlekedés javítására, az ösztöndíjak elérhetőségének növelésére és a mobilitási programokra való nagyobb mértékű segítségnyújtásra (lásd az</w:t>
      </w:r>
      <w:hyperlink r:id="rId1857">
        <w:r>
          <w:rPr>
            <w:rStyle w:val="LienInternet"/>
          </w:rPr>
          <w:t xml:space="preserve"> </w:t>
        </w:r>
      </w:hyperlink>
      <w:hyperlink r:id="rId1858">
        <w:r>
          <w:rPr>
            <w:rStyle w:val="LienInternet"/>
          </w:rPr>
          <w:t>eseményt)</w:t>
        </w:r>
      </w:hyperlink>
      <w:r>
        <w:rPr/>
        <w:t xml:space="preserve"> hívta fel a figyelmet.</w:t>
      </w:r>
    </w:p>
    <w:p>
      <w:pPr>
        <w:pStyle w:val="Corpsdetexte"/>
        <w:jc w:val="left"/>
        <w:rPr/>
      </w:pPr>
      <w:r>
        <w:rPr/>
      </w:r>
    </w:p>
    <w:p>
      <w:pPr>
        <w:pStyle w:val="Corpsdetexte"/>
        <w:jc w:val="left"/>
        <w:rPr/>
      </w:pPr>
      <w:r>
        <w:rPr/>
      </w:r>
    </w:p>
    <w:p>
      <w:pPr>
        <w:pStyle w:val="Corpsdetexte"/>
        <w:jc w:val="left"/>
        <w:rPr/>
      </w:pPr>
      <w:r>
        <w:rPr/>
      </w:r>
    </w:p>
    <w:p>
      <w:pPr>
        <w:pStyle w:val="Corpsdetexte"/>
        <w:jc w:val="left"/>
        <w:rPr/>
      </w:pPr>
      <w:r>
        <w:rPr/>
      </w:r>
    </w:p>
    <w:p>
      <w:pPr>
        <w:pStyle w:val="Corpsdetexte"/>
        <w:jc w:val="left"/>
        <w:rPr/>
      </w:pPr>
      <w:r>
        <w:rPr/>
      </w:r>
    </w:p>
    <w:p>
      <w:pPr>
        <w:pStyle w:val="Corpsdetexte"/>
        <w:jc w:val="left"/>
        <w:rPr/>
      </w:pPr>
      <w:r>
        <w:rPr/>
      </w:r>
      <w:r>
        <w:br w:type="page"/>
      </w:r>
    </w:p>
    <w:p>
      <w:pPr>
        <w:pStyle w:val="Corpsdetexte"/>
        <w:jc w:val="left"/>
        <w:rPr/>
      </w:pPr>
      <w:r>
        <w:rPr/>
      </w:r>
    </w:p>
    <w:p>
      <w:pPr>
        <w:pStyle w:val="Titre2"/>
        <w:numPr>
          <w:ilvl w:val="1"/>
          <w:numId w:val="1"/>
        </w:numPr>
        <w:jc w:val="left"/>
        <w:rPr/>
      </w:pPr>
      <w:bookmarkStart w:id="106" w:name="__RefHeading___Toc86535_2514204080"/>
      <w:bookmarkEnd w:id="106"/>
      <w:r>
        <w:rPr/>
        <w:t>A közös uniós identitás előmozdítása</w:t>
      </w:r>
    </w:p>
    <w:p>
      <w:pPr>
        <w:pStyle w:val="Normal"/>
        <w:jc w:val="left"/>
        <w:rPr/>
      </w:pPr>
      <w:r>
        <w:rPr/>
        <w:t xml:space="preserve">Ami az európai identitás témáját illeti, az egyik leginkább megvitatott téma a nyelvtanulás. </w:t>
      </w:r>
    </w:p>
    <w:p>
      <w:pPr>
        <w:pStyle w:val="Normal"/>
        <w:jc w:val="left"/>
        <w:rPr/>
      </w:pPr>
      <w:r>
        <w:rPr/>
        <w:t xml:space="preserve">A nyelvoktatás mint az interkulturális cserekapcsolatok előmozdításának és annak közös uniós identitáshoz való hozzájárulásának eszközeként számos hozzászólás hangsúlyozza az egynyelvű oktatás leküzdésének szükségességét, és felszólít Európa mint erőforrás heterogén és többnyelvű jellegének elismerésére (lásd például egy </w:t>
      </w:r>
      <w:hyperlink r:id="rId1859">
        <w:r>
          <w:rPr>
            <w:rStyle w:val="LienInternet"/>
          </w:rPr>
          <w:t>ötletet)</w:t>
        </w:r>
      </w:hyperlink>
      <w:r>
        <w:rPr/>
        <w:t xml:space="preserve">. Ehhez hasonlóan egy berlini panelbeszélgetés is foglalkozott Európa többnyelvűségével, valamint a többnyelvűség elismerésének és ösztönzésének módjaival (lásd az </w:t>
      </w:r>
      <w:hyperlink r:id="rId1860">
        <w:r>
          <w:rPr>
            <w:rStyle w:val="LienInternet"/>
          </w:rPr>
          <w:t>eseményt</w:t>
        </w:r>
      </w:hyperlink>
      <w:r>
        <w:rPr/>
        <w:t xml:space="preserve">). A többnyelvűséget támogató másik résztvevő nagyobb támogatást kér a kisebbségi nyelvek iskolai oktatásához (lásd az </w:t>
      </w:r>
      <w:hyperlink r:id="rId1861">
        <w:r>
          <w:rPr>
            <w:rStyle w:val="LienInternet"/>
          </w:rPr>
          <w:t>ötletet)</w:t>
        </w:r>
      </w:hyperlink>
      <w:r>
        <w:rPr/>
        <w:t>. Az egyik hozzászóló azt javasolja, hogy vezessenek be uniós finanszírozású utazási utalványokat a nyelvi csereprogramokhoz (lásd</w:t>
      </w:r>
      <w:hyperlink r:id="rId1862">
        <w:r>
          <w:rPr>
            <w:rStyle w:val="LienInternet"/>
          </w:rPr>
          <w:t xml:space="preserve"> </w:t>
        </w:r>
      </w:hyperlink>
      <w:hyperlink r:id="rId1863">
        <w:r>
          <w:rPr>
            <w:rStyle w:val="LienInternet"/>
          </w:rPr>
          <w:t>az ötletet)</w:t>
        </w:r>
      </w:hyperlink>
      <w:r>
        <w:rPr/>
        <w:t xml:space="preserve">. </w:t>
      </w:r>
    </w:p>
    <w:p>
      <w:pPr>
        <w:pStyle w:val="Normal"/>
        <w:jc w:val="left"/>
        <w:rPr/>
      </w:pPr>
      <w:r>
        <w:rPr/>
        <w:t xml:space="preserve">Egy közös európai nyelv létrehozását olyannak tekintik, amely számos résztvevő szerint elősegítheti az európai integrációt (lásd például az </w:t>
      </w:r>
      <w:hyperlink r:id="rId1864">
        <w:r>
          <w:rPr>
            <w:rStyle w:val="LienInternet"/>
          </w:rPr>
          <w:t>ötletet)</w:t>
        </w:r>
      </w:hyperlink>
      <w:r>
        <w:rPr/>
        <w:t>. Ezt széles körben tárgyalják az Egyéb ötletek témájában is (lásd az</w:t>
      </w:r>
      <w:hyperlink r:id="rId1865">
        <w:r>
          <w:rPr>
            <w:rStyle w:val="LienInternet"/>
          </w:rPr>
          <w:t xml:space="preserve"> </w:t>
        </w:r>
      </w:hyperlink>
      <w:hyperlink r:id="rId1866">
        <w:r>
          <w:rPr>
            <w:rStyle w:val="LienInternet"/>
          </w:rPr>
          <w:t>ötlet példáját</w:t>
        </w:r>
      </w:hyperlink>
      <w:r>
        <w:rPr/>
        <w:t>). A vita egy ilyen közös európai nyelv és a különböző lehetséges nyelvek különböző előnyeivel és hátrányaival foglalkozik, beleértve az eszperantót (lásd az eszperantót</w:t>
      </w:r>
      <w:hyperlink r:id="rId1867">
        <w:r>
          <w:rPr>
            <w:rStyle w:val="LienInternet"/>
          </w:rPr>
          <w:t xml:space="preserve">, </w:t>
        </w:r>
      </w:hyperlink>
      <w:hyperlink r:id="rId1868">
        <w:r>
          <w:rPr>
            <w:rStyle w:val="LienInternet"/>
          </w:rPr>
          <w:t xml:space="preserve"> </w:t>
        </w:r>
      </w:hyperlink>
      <w:hyperlink r:id="rId1869">
        <w:r>
          <w:rPr/>
          <w:t xml:space="preserve"> mindkettő erősen támogatott), a latint (lásd az </w:t>
        </w:r>
      </w:hyperlink>
      <w:hyperlink r:id="rId1870">
        <w:r>
          <w:rPr>
            <w:rStyle w:val="LienInternet"/>
          </w:rPr>
          <w:t>ötlet példáját)</w:t>
        </w:r>
      </w:hyperlink>
      <w:r>
        <w:rPr/>
        <w:t xml:space="preserve"> vagy az angolt (lásd az</w:t>
      </w:r>
      <w:hyperlink r:id="rId1871">
        <w:r>
          <w:rPr>
            <w:rStyle w:val="LienInternet"/>
          </w:rPr>
          <w:t xml:space="preserve"> </w:t>
        </w:r>
      </w:hyperlink>
      <w:hyperlink r:id="rId1872">
        <w:r>
          <w:rPr>
            <w:rStyle w:val="LienInternet"/>
          </w:rPr>
          <w:t>ötlet példáját)</w:t>
        </w:r>
      </w:hyperlink>
      <w:r>
        <w:rPr/>
        <w:t>. Különösen az eszperantóról folytatott beszélgetés váltott ki bizonyos érdeklődést az interneten, tükrözve a vita élénkségét az összes uniós ország számára egy semleges nyelv körül (lásd az</w:t>
      </w:r>
      <w:hyperlink r:id="rId1873">
        <w:r>
          <w:rPr>
            <w:rStyle w:val="LienInternet"/>
          </w:rPr>
          <w:t xml:space="preserve"> </w:t>
        </w:r>
      </w:hyperlink>
      <w:hyperlink r:id="rId1874">
        <w:r>
          <w:rPr>
            <w:rStyle w:val="LienInternet"/>
          </w:rPr>
          <w:t>eseményt)</w:t>
        </w:r>
      </w:hyperlink>
      <w:r>
        <w:rPr/>
        <w:t xml:space="preserve">. </w:t>
      </w:r>
    </w:p>
    <w:p>
      <w:pPr>
        <w:pStyle w:val="Normal"/>
        <w:jc w:val="left"/>
        <w:rPr/>
      </w:pPr>
      <w:r>
        <w:rPr/>
        <w:t xml:space="preserve">A legelfogadottabb ötletek közül egy másik ötlet egy európai közszolgálati műsorszolgáltató létrehozására vonatkozik (lásd az </w:t>
      </w:r>
      <w:hyperlink r:id="rId1875">
        <w:r>
          <w:rPr>
            <w:rStyle w:val="LienInternet"/>
          </w:rPr>
          <w:t>ötletet</w:t>
        </w:r>
      </w:hyperlink>
      <w:r>
        <w:rPr/>
        <w:t xml:space="preserve">). Számos ötlet kapcsolódik több uniós médiaportál (TV, rádió és közösségi média) létrehozásához, hogy jobban bevonják az európai polgárokat az uniós ügyekbe és kérdésekbe, azzal a végső céllal, hogy megerősítsék az európai identitást és az alapvető értékeket (lásd például az </w:t>
      </w:r>
      <w:hyperlink r:id="rId1876">
        <w:r>
          <w:rPr>
            <w:rStyle w:val="LienInternet"/>
          </w:rPr>
          <w:t>ötletet</w:t>
        </w:r>
      </w:hyperlink>
      <w:r>
        <w:rPr/>
        <w:t>). Az európai médiaprodukciók terjesztésének előnyben részesítése, például a közös uniós médiapiac létrehozása révén, számos résztvevő ötleteként is előmozdítható (lásd például az</w:t>
      </w:r>
      <w:hyperlink r:id="rId1877">
        <w:r>
          <w:rPr>
            <w:rStyle w:val="LienInternet"/>
          </w:rPr>
          <w:t xml:space="preserve"> ötletet)</w:t>
        </w:r>
      </w:hyperlink>
      <w:r>
        <w:rPr/>
        <w:t xml:space="preserve">. Az egyik ötlet egy speciális uniós médiaplatform létrehozása, amely a nyelvtanuláshoz igazodik (lásd az </w:t>
      </w:r>
      <w:hyperlink r:id="rId1878">
        <w:r>
          <w:rPr>
            <w:rStyle w:val="LienInternet"/>
          </w:rPr>
          <w:t>ötletet</w:t>
        </w:r>
      </w:hyperlink>
      <w:r>
        <w:rPr/>
        <w:t xml:space="preserve">). </w:t>
      </w:r>
    </w:p>
    <w:p>
      <w:pPr>
        <w:pStyle w:val="Normal"/>
        <w:jc w:val="left"/>
        <w:rPr/>
      </w:pPr>
      <w:r>
        <w:rPr/>
        <w:t xml:space="preserve">Az ötletek altémája az oktatáshoz kapcsolódik, ahol a hozzászólók azt javasolják, hogy valamennyi európai középiskolában vezessenek be kötelező kurzust az EU történelméről és intézményeiről, amely eszköz a fiatalabb generációk számára az érdeklődés és az EU iránti felelősségvállalás kiépítéséhez, ezáltal erősítve az uniós identitásépítési folyamatot (lásd például az </w:t>
      </w:r>
      <w:hyperlink r:id="rId1879">
        <w:r>
          <w:rPr>
            <w:rStyle w:val="LienInternet"/>
          </w:rPr>
          <w:t>ötletet</w:t>
        </w:r>
      </w:hyperlink>
      <w:r>
        <w:rPr/>
        <w:t>). Az európai történelemismeretet egy másik résztvevő is kulcsfontosságúnak tartja, aki európai felmérés indítását javasolja a fiatalok történelmi tudatosságának mérésére (lásd az</w:t>
      </w:r>
      <w:hyperlink r:id="rId1880">
        <w:r>
          <w:rPr>
            <w:rStyle w:val="LienInternet"/>
          </w:rPr>
          <w:t xml:space="preserve"> ötletet)</w:t>
        </w:r>
      </w:hyperlink>
      <w:r>
        <w:rPr/>
        <w:t>, míg egy másik elősegíti egy hivatalos európai történelemkönyv létrehozásának gondolatát (lásd az</w:t>
      </w:r>
      <w:hyperlink r:id="rId1881">
        <w:r>
          <w:rPr>
            <w:rStyle w:val="LienInternet"/>
          </w:rPr>
          <w:t xml:space="preserve"> </w:t>
        </w:r>
      </w:hyperlink>
      <w:hyperlink r:id="rId1882">
        <w:r>
          <w:rPr>
            <w:rStyle w:val="LienInternet"/>
          </w:rPr>
          <w:t>ötletet</w:t>
        </w:r>
      </w:hyperlink>
      <w:r>
        <w:rPr/>
        <w:t xml:space="preserve">). </w:t>
      </w:r>
    </w:p>
    <w:p>
      <w:pPr>
        <w:pStyle w:val="Normal"/>
        <w:jc w:val="left"/>
        <w:rPr/>
      </w:pPr>
      <w:r>
        <w:rPr/>
        <w:t>Számos résztvevő kulcsfontosságúnak tartja az EU-val kapcsolatos iskolai események meglétét (lásd az</w:t>
      </w:r>
      <w:hyperlink r:id="rId1883">
        <w:r>
          <w:rPr>
            <w:rStyle w:val="LienInternet"/>
          </w:rPr>
          <w:t xml:space="preserve"> ötlet példáját)</w:t>
        </w:r>
      </w:hyperlink>
      <w:r>
        <w:rPr/>
        <w:t xml:space="preserve">, és egyikük javasolja egy, az EU-val kapcsolatos események és programok koordinálásáért felelős tanár létrehozását (lásd az </w:t>
      </w:r>
      <w:hyperlink r:id="rId1884">
        <w:r>
          <w:rPr>
            <w:rStyle w:val="LienInternet"/>
          </w:rPr>
          <w:t>ötletet</w:t>
        </w:r>
      </w:hyperlink>
      <w:r>
        <w:rPr/>
        <w:t xml:space="preserve">). A közös uniós identitás előmozdításával kapcsolatos számos ötlet a különböző tagállamok iskolái közötti csere vagy ikerintézményi együttműködés különböző formáira utal a tagállamok határain átnyúló barátság előmozdítása érdekében (lásd az </w:t>
      </w:r>
      <w:hyperlink r:id="rId1885">
        <w:r>
          <w:rPr>
            <w:rStyle w:val="LienInternet"/>
          </w:rPr>
          <w:t>ötletet</w:t>
        </w:r>
      </w:hyperlink>
      <w:r>
        <w:rPr/>
        <w:t>). Egy ötlet azt javasolja, hogy népszerűsítsék az európai történelem tanulmányozását az iskolai tantervekben, beleértve az egyes európai országok történelmét is (lásd az</w:t>
      </w:r>
      <w:hyperlink r:id="rId1886">
        <w:r>
          <w:rPr>
            <w:rStyle w:val="LienInternet"/>
          </w:rPr>
          <w:t xml:space="preserve"> </w:t>
        </w:r>
      </w:hyperlink>
      <w:hyperlink r:id="rId1887">
        <w:r>
          <w:rPr>
            <w:rStyle w:val="LienInternet"/>
          </w:rPr>
          <w:t>ötletet</w:t>
        </w:r>
      </w:hyperlink>
      <w:r>
        <w:rPr/>
        <w:t xml:space="preserve">). </w:t>
      </w:r>
    </w:p>
    <w:p>
      <w:pPr>
        <w:pStyle w:val="Normal"/>
        <w:jc w:val="left"/>
        <w:rPr/>
      </w:pPr>
      <w:r>
        <w:rPr/>
        <w:t xml:space="preserve">A sportnak a közös uniós identitás előmozdításával kapcsolatos altémája a transznacionálisabb, Európán belüli sportesemények megszervezését (lásd egy </w:t>
      </w:r>
      <w:hyperlink r:id="rId1888">
        <w:r>
          <w:rPr>
            <w:rStyle w:val="LienInternet"/>
          </w:rPr>
          <w:t>ötlet</w:t>
        </w:r>
      </w:hyperlink>
      <w:r>
        <w:rPr/>
        <w:t>példáját) és egy olyan európai sportcsapat létrehozásának lehetőségét tárgyalja, amely nemzetközi rendezvényeken versenyezhet (lásd az</w:t>
      </w:r>
      <w:hyperlink r:id="rId1889">
        <w:r>
          <w:rPr>
            <w:rStyle w:val="LienInternet"/>
          </w:rPr>
          <w:t xml:space="preserve"> </w:t>
        </w:r>
      </w:hyperlink>
      <w:hyperlink r:id="rId1890">
        <w:r>
          <w:rPr>
            <w:rStyle w:val="LienInternet"/>
          </w:rPr>
          <w:t>ötlet példáját)</w:t>
        </w:r>
      </w:hyperlink>
      <w:r>
        <w:rPr/>
        <w:t>. Emellett a közös uniós szimbólumok fontosságát is felvetették a közös uniós identitás megteremtésében, többek között azzal az elképzeléssel, hogy az uniós zászlókat az uniós tagállamok sporteszközeire és egyenruháira kell beépíteni (lásd az</w:t>
      </w:r>
      <w:hyperlink r:id="rId1891">
        <w:r>
          <w:rPr>
            <w:rStyle w:val="LienInternet"/>
          </w:rPr>
          <w:t xml:space="preserve"> </w:t>
        </w:r>
      </w:hyperlink>
      <w:hyperlink r:id="rId1892">
        <w:r>
          <w:rPr>
            <w:rStyle w:val="LienInternet"/>
          </w:rPr>
          <w:t>ötletet)</w:t>
        </w:r>
      </w:hyperlink>
      <w:r>
        <w:rPr/>
        <w:t xml:space="preserve">. </w:t>
      </w:r>
    </w:p>
    <w:p>
      <w:pPr>
        <w:pStyle w:val="Normal"/>
        <w:jc w:val="left"/>
        <w:rPr/>
      </w:pPr>
      <w:r>
        <w:rPr/>
        <w:t xml:space="preserve">Egy másik ötlet, amelyet jobban támogatnak és más témákban is széles körben említenek, támogatja egy május 9-i európai munkaszüneti nap létrehozását a közös európai szellem előmozdítása érdekében (lásd például az </w:t>
      </w:r>
      <w:hyperlink r:id="rId1893">
        <w:r>
          <w:rPr>
            <w:rStyle w:val="LienInternet"/>
          </w:rPr>
          <w:t>ötletet</w:t>
        </w:r>
      </w:hyperlink>
      <w:r>
        <w:rPr/>
        <w:t xml:space="preserve">). </w:t>
      </w:r>
    </w:p>
    <w:p>
      <w:pPr>
        <w:pStyle w:val="Normal"/>
        <w:jc w:val="left"/>
        <w:rPr/>
      </w:pPr>
      <w:r>
        <w:rPr/>
        <w:t>Az európai kultúra, például a zene különböző európai nyelveken történő népszerűsítését az egyik résztvevő megemlíti, aki azt szeretné, ha a rádiók legalább 20%-ban nem angol zenét közvetítenének (lásd az</w:t>
      </w:r>
      <w:hyperlink r:id="rId1894">
        <w:r>
          <w:rPr>
            <w:rStyle w:val="LienInternet"/>
          </w:rPr>
          <w:t xml:space="preserve"> </w:t>
        </w:r>
      </w:hyperlink>
      <w:hyperlink r:id="rId1895">
        <w:r>
          <w:rPr>
            <w:rStyle w:val="LienInternet"/>
          </w:rPr>
          <w:t>ötletet</w:t>
        </w:r>
      </w:hyperlink>
      <w:r>
        <w:rPr/>
        <w:t xml:space="preserve">). </w:t>
      </w:r>
    </w:p>
    <w:p>
      <w:pPr>
        <w:pStyle w:val="Normal"/>
        <w:jc w:val="left"/>
        <w:rPr/>
      </w:pPr>
      <w:r>
        <w:rPr/>
        <w:t>Az élelmiszert úgy is tekintik, mint az európai országok és kultúrák közötti hidak építésének módját (lásd az</w:t>
      </w:r>
      <w:hyperlink r:id="rId1896">
        <w:r>
          <w:rPr>
            <w:rStyle w:val="LienInternet"/>
          </w:rPr>
          <w:t xml:space="preserve"> ötletet)</w:t>
        </w:r>
      </w:hyperlink>
      <w:r>
        <w:rPr/>
        <w:t>, ami arra készteti a résztvevőt, hogy javaslatot tegyen egy uniós finanszírozású európai receptalkalmazás létrehozására (lásd az</w:t>
      </w:r>
      <w:hyperlink r:id="rId1897">
        <w:r>
          <w:rPr>
            <w:rStyle w:val="LienInternet"/>
          </w:rPr>
          <w:t xml:space="preserve"> </w:t>
        </w:r>
      </w:hyperlink>
      <w:hyperlink r:id="rId1898">
        <w:r>
          <w:rPr>
            <w:rStyle w:val="LienInternet"/>
          </w:rPr>
          <w:t>ötletet</w:t>
        </w:r>
      </w:hyperlink>
      <w:r>
        <w:rPr/>
        <w:t>).</w:t>
      </w:r>
    </w:p>
    <w:p>
      <w:pPr>
        <w:pStyle w:val="Normal"/>
        <w:jc w:val="left"/>
        <w:rPr/>
      </w:pPr>
      <w:r>
        <w:rPr/>
      </w:r>
    </w:p>
    <w:p>
      <w:pPr>
        <w:pStyle w:val="Titre2"/>
        <w:numPr>
          <w:ilvl w:val="1"/>
          <w:numId w:val="1"/>
        </w:numPr>
        <w:jc w:val="left"/>
        <w:rPr/>
      </w:pPr>
      <w:bookmarkStart w:id="107" w:name="__RefHeading___Toc86537_2514204080"/>
      <w:bookmarkEnd w:id="107"/>
      <w:r>
        <w:rPr/>
        <w:t>EU-n belüli mobilitás</w:t>
      </w:r>
    </w:p>
    <w:p>
      <w:pPr>
        <w:pStyle w:val="Normal"/>
        <w:jc w:val="left"/>
        <w:rPr/>
      </w:pPr>
      <w:r>
        <w:rPr/>
        <w:t xml:space="preserve">Az EU-n belüli mobilitás témája viszonylag nagy számú hozzájárulást eredményez. </w:t>
      </w:r>
    </w:p>
    <w:p>
      <w:pPr>
        <w:pStyle w:val="Normal"/>
        <w:jc w:val="left"/>
        <w:rPr/>
      </w:pPr>
      <w:r>
        <w:rPr/>
        <w:t xml:space="preserve">Ezek vagy előmozdítják a meglévő mobilitási programok javítását célzó elképzeléseket, vagy új, eredeti javaslatokat fogalmaznak meg. </w:t>
      </w:r>
    </w:p>
    <w:p>
      <w:pPr>
        <w:pStyle w:val="Normal"/>
        <w:jc w:val="left"/>
        <w:rPr/>
      </w:pPr>
      <w:r>
        <w:rPr/>
        <w:t>Egyes résztvevők azt javasolják, hogy hozzanak létre egy uniós vezetésű online portált a felsőoktatási képzésekre való jelentkezéshez az EU-ban. Ez a portál azt is lehetővé tenné a diákok számára, hogy egyidejűleg pályázzanak az Európai Unión belüli különböző programokra (lásd például az</w:t>
      </w:r>
      <w:hyperlink r:id="rId1899">
        <w:r>
          <w:rPr>
            <w:rStyle w:val="LienInternet"/>
          </w:rPr>
          <w:t xml:space="preserve"> </w:t>
        </w:r>
      </w:hyperlink>
      <w:hyperlink r:id="rId1900">
        <w:r>
          <w:rPr>
            <w:rStyle w:val="LienInternet"/>
          </w:rPr>
          <w:t>ötletet</w:t>
        </w:r>
      </w:hyperlink>
      <w:hyperlink r:id="rId1901">
        <w:r>
          <w:rPr>
            <w:rStyle w:val="LienInternet"/>
          </w:rPr>
          <w:t>)</w:t>
        </w:r>
      </w:hyperlink>
      <w:r>
        <w:rPr/>
        <w:t xml:space="preserve">. </w:t>
      </w:r>
    </w:p>
    <w:p>
      <w:pPr>
        <w:pStyle w:val="Normal"/>
        <w:jc w:val="left"/>
        <w:rPr/>
      </w:pPr>
      <w:r>
        <w:rPr/>
        <w:t>A több hozzászóló által felvetett másik altéma az Erasmus programnak az egyetemeken kívüli fiatalokra való kiterjesztésével foglalkozik, például azáltal, hogy kiterjeszti azt a középiskolásokra, köztük a szakképzésben részt vevő diákokra is. Ez lehetőséget adna azoknak, akik még nem jártak a felsőoktatásba, hogy külföldön éljenek, kicseréljék a bevált gyakorlatokat, új nyelveket és kultúrákat tanuljanak, és általában bővítsék készségeiket (lásd az</w:t>
      </w:r>
      <w:hyperlink r:id="rId1902">
        <w:r>
          <w:rPr>
            <w:rStyle w:val="LienInternet"/>
          </w:rPr>
          <w:t xml:space="preserve"> </w:t>
        </w:r>
      </w:hyperlink>
      <w:hyperlink r:id="rId1903">
        <w:r>
          <w:rPr>
            <w:rStyle w:val="LienInternet"/>
          </w:rPr>
          <w:t>ötlet példáját</w:t>
        </w:r>
      </w:hyperlink>
      <w:hyperlink r:id="rId1904">
        <w:r>
          <w:rPr>
            <w:rStyle w:val="LienInternet"/>
          </w:rPr>
          <w:t>)</w:t>
        </w:r>
      </w:hyperlink>
      <w:r>
        <w:rPr/>
        <w:t xml:space="preserve">. </w:t>
      </w:r>
    </w:p>
    <w:p>
      <w:pPr>
        <w:pStyle w:val="Normal"/>
        <w:jc w:val="left"/>
        <w:rPr/>
      </w:pPr>
      <w:r>
        <w:rPr/>
        <w:t xml:space="preserve">A résztvevők hangsúlyozták továbbá, hogy az Erasmus programot inkluzívabbá kell tenni az alacsony jövedelmű diákok számára. Az egyik ötlet az Erasmus-ösztöndíjaknak az egyes országok megélhetési költségeihez való igazítása (lásd az </w:t>
      </w:r>
      <w:hyperlink r:id="rId1905">
        <w:r>
          <w:rPr>
            <w:rStyle w:val="LienInternet"/>
          </w:rPr>
          <w:t>ötletet</w:t>
        </w:r>
      </w:hyperlink>
      <w:r>
        <w:rPr/>
        <w:t>). Ebben a tekintetben az egyik résztvevő azt javasolja, hogy bízzák meg a célországbeli egyetemet Erasmus ösztöndíjak kiosztásával, hogy a pályázók közvetlenül pályázhassanak az előnyben részesített célegyetemre, ahelyett, hogy saját egyetemükön keresztül pályáznának (lásd az</w:t>
      </w:r>
      <w:hyperlink r:id="rId1906">
        <w:r>
          <w:rPr>
            <w:rStyle w:val="LienInternet"/>
          </w:rPr>
          <w:t xml:space="preserve"> </w:t>
        </w:r>
      </w:hyperlink>
      <w:hyperlink r:id="rId1907">
        <w:r>
          <w:rPr>
            <w:rStyle w:val="LienInternet"/>
          </w:rPr>
          <w:t>ötletet</w:t>
        </w:r>
      </w:hyperlink>
      <w:r>
        <w:rPr/>
        <w:t>). A program jelenlegi formájának javítására irányuló törekvés felhívja a figyelmet az oktatási mobilitási programok fontosságára. Ezt bizonyítja az e témához kapcsolódó és a fent említett két elképzeléshez kapcsolódó különböző események megléte is (lásd az</w:t>
      </w:r>
      <w:hyperlink r:id="rId1908">
        <w:r>
          <w:rPr>
            <w:rStyle w:val="LienInternet"/>
          </w:rPr>
          <w:t xml:space="preserve"> </w:t>
        </w:r>
      </w:hyperlink>
      <w:hyperlink r:id="rId1909">
        <w:r>
          <w:rPr>
            <w:rStyle w:val="LienInternet"/>
          </w:rPr>
          <w:t>eseményt</w:t>
        </w:r>
      </w:hyperlink>
      <w:hyperlink r:id="rId1910">
        <w:r>
          <w:rPr>
            <w:rStyle w:val="LienInternet"/>
          </w:rPr>
          <w:t>)</w:t>
        </w:r>
      </w:hyperlink>
      <w:r>
        <w:rPr/>
        <w:t xml:space="preserve">. </w:t>
      </w:r>
    </w:p>
    <w:p>
      <w:pPr>
        <w:pStyle w:val="Normal"/>
        <w:jc w:val="left"/>
        <w:rPr/>
      </w:pPr>
      <w:r>
        <w:rPr/>
        <w:t xml:space="preserve">Az egyik résztvevő azt kéri, hogy az egyesült királyságbeli hallgatókat újra integrálják az Erasmus+ programba (lásd </w:t>
      </w:r>
      <w:hyperlink r:id="rId1911">
        <w:r>
          <w:rPr>
            <w:rStyle w:val="LienInternet"/>
          </w:rPr>
          <w:t>az ötletet</w:t>
        </w:r>
      </w:hyperlink>
      <w:r>
        <w:rPr/>
        <w:t xml:space="preserve">). </w:t>
      </w:r>
    </w:p>
    <w:p>
      <w:pPr>
        <w:pStyle w:val="Normal"/>
        <w:jc w:val="left"/>
        <w:rPr/>
      </w:pPr>
      <w:r>
        <w:rPr/>
        <w:t>Általánosságban elmondható, hogy az Erasmus program hozzáférhetőségével és inkluzivitásával kapcsolatos elképzelések gyakran jelennek meg újra. Például a legutóbbi hozzájárulások azt javasolják, hogy az Erasmus programot más képzési kategóriákra, például a mezőgazdaságra és más kézművesekre is kiterjesszék (lásd az</w:t>
      </w:r>
      <w:hyperlink r:id="rId1912">
        <w:r>
          <w:rPr>
            <w:rStyle w:val="LienInternet"/>
          </w:rPr>
          <w:t xml:space="preserve"> </w:t>
        </w:r>
      </w:hyperlink>
      <w:hyperlink r:id="rId1913">
        <w:r>
          <w:rPr>
            <w:rStyle w:val="LienInternet"/>
          </w:rPr>
          <w:t>ötletet</w:t>
        </w:r>
      </w:hyperlink>
      <w:hyperlink r:id="rId1914">
        <w:r>
          <w:rPr>
            <w:rStyle w:val="LienInternet"/>
          </w:rPr>
          <w:t>)</w:t>
        </w:r>
      </w:hyperlink>
      <w:r>
        <w:rPr/>
        <w:t>.</w:t>
      </w:r>
    </w:p>
    <w:p>
      <w:pPr>
        <w:pStyle w:val="Normal"/>
        <w:jc w:val="left"/>
        <w:rPr/>
      </w:pPr>
      <w:r>
        <w:rPr/>
        <w:t>Egy másik kiemelt terület a „DiscoverEU” kezdeményezés. Egyes résztvevők azt javasolják, hogy a DiscoverEU kezdeményezést minden 18 éves kortól minden európai fiatalra terjesszék ki (lásd például az</w:t>
      </w:r>
      <w:hyperlink r:id="rId1915">
        <w:r>
          <w:rPr>
            <w:rStyle w:val="LienInternet"/>
          </w:rPr>
          <w:t xml:space="preserve"> </w:t>
        </w:r>
      </w:hyperlink>
      <w:hyperlink r:id="rId1916">
        <w:r>
          <w:rPr>
            <w:rStyle w:val="LienInternet"/>
          </w:rPr>
          <w:t>ötletet</w:t>
        </w:r>
      </w:hyperlink>
      <w:r>
        <w:rPr/>
        <w:t xml:space="preserve">). </w:t>
      </w:r>
    </w:p>
    <w:p>
      <w:pPr>
        <w:pStyle w:val="Normal"/>
        <w:jc w:val="left"/>
        <w:rPr/>
      </w:pPr>
      <w:r>
        <w:rPr/>
        <w:t>Végezetül a tudományos mobilitással kapcsolatos elképzelés a Lisszaboni Elismerési Egyezmény ratifikálását érinti a görögországi szakmai és akadémiai mobilitás megkönnyítése érdekében (lásd az</w:t>
      </w:r>
      <w:hyperlink r:id="rId1917">
        <w:r>
          <w:rPr>
            <w:rStyle w:val="LienInternet"/>
          </w:rPr>
          <w:t xml:space="preserve"> </w:t>
        </w:r>
      </w:hyperlink>
      <w:hyperlink r:id="rId1918">
        <w:r>
          <w:rPr>
            <w:rStyle w:val="LienInternet"/>
          </w:rPr>
          <w:t>ötletet</w:t>
        </w:r>
      </w:hyperlink>
      <w:r>
        <w:rPr/>
        <w:t xml:space="preserve">). </w:t>
      </w:r>
    </w:p>
    <w:p>
      <w:pPr>
        <w:pStyle w:val="Normal"/>
        <w:jc w:val="left"/>
        <w:rPr/>
      </w:pPr>
      <w:r>
        <w:rPr/>
        <w:t>A mobilitásra vonatkozó egyedi elképzelés, amely potenciálisan nem uniós országokból származik, egy európai „Kockázatban lévő diák” ösztöndíjprogram létrehozására vonatkozik, amely a saját országukban a tudományos élet szabadságának védelme érdekében büntetőeljárás alá vont diákokat célozza (lásd az</w:t>
      </w:r>
      <w:hyperlink r:id="rId1919">
        <w:r>
          <w:rPr>
            <w:rStyle w:val="LienInternet"/>
          </w:rPr>
          <w:t xml:space="preserve"> </w:t>
        </w:r>
      </w:hyperlink>
      <w:hyperlink r:id="rId1920">
        <w:r>
          <w:rPr>
            <w:rStyle w:val="LienInternet"/>
          </w:rPr>
          <w:t>ötletet</w:t>
        </w:r>
      </w:hyperlink>
      <w:r>
        <w:rPr/>
        <w:t>).</w:t>
      </w:r>
    </w:p>
    <w:p>
      <w:pPr>
        <w:pStyle w:val="Normal"/>
        <w:jc w:val="left"/>
        <w:rPr/>
      </w:pPr>
      <w:r>
        <w:rPr/>
      </w:r>
    </w:p>
    <w:p>
      <w:pPr>
        <w:pStyle w:val="Titre2"/>
        <w:numPr>
          <w:ilvl w:val="1"/>
          <w:numId w:val="1"/>
        </w:numPr>
        <w:jc w:val="left"/>
        <w:rPr/>
      </w:pPr>
      <w:bookmarkStart w:id="108" w:name="__RefHeading___Toc86539_2514204080"/>
      <w:bookmarkEnd w:id="108"/>
      <w:r>
        <w:rPr/>
        <w:t>Időtálló oktatás</w:t>
      </w:r>
    </w:p>
    <w:p>
      <w:pPr>
        <w:pStyle w:val="Normal"/>
        <w:jc w:val="left"/>
        <w:rPr/>
      </w:pPr>
      <w:r>
        <w:rPr/>
        <w:t>Számos ötlet fejezi ki, hogy a jelenlegi digitalizált korszakban újra kell gondolni az oktatást, különösen azt követően, hogy a Covid19-világjárvány megváltoztatta az iskolai és egyetemi tanítási gyakorlatokat. Számos hozzászóló szerint az oktatás újragondolása a digitális korban Európa jövőbeli globális versenyképességének és modernizációjának előfeltétele (lásd például az</w:t>
      </w:r>
      <w:hyperlink r:id="rId1921">
        <w:r>
          <w:rPr>
            <w:rStyle w:val="LienInternet"/>
          </w:rPr>
          <w:t xml:space="preserve"> </w:t>
        </w:r>
      </w:hyperlink>
      <w:hyperlink r:id="rId1922">
        <w:r>
          <w:rPr>
            <w:rStyle w:val="LienInternet"/>
          </w:rPr>
          <w:t>ötletet</w:t>
        </w:r>
      </w:hyperlink>
      <w:r>
        <w:rPr/>
        <w:t xml:space="preserve">). </w:t>
      </w:r>
    </w:p>
    <w:p>
      <w:pPr>
        <w:pStyle w:val="Normal"/>
        <w:jc w:val="left"/>
        <w:rPr/>
      </w:pPr>
      <w:r>
        <w:rPr/>
        <w:t xml:space="preserve">A tanfolyamokhoz való hozzáférés megkönnyítése érdekében a résztvevők digitális hitelesítő adatokat és kutatási anyagokat javasolnak, valamint az összes tudományos erőforrás egységes adattárának létrehozását, vagy egy egységes európai digitális platform létrehozását, amely valamennyi akkreditált uniós felsőoktatási intézmény számára nyitva áll (lásd az </w:t>
      </w:r>
      <w:hyperlink r:id="rId1923">
        <w:r>
          <w:rPr>
            <w:rStyle w:val="LienInternet"/>
          </w:rPr>
          <w:t>ötletet</w:t>
        </w:r>
      </w:hyperlink>
      <w:r>
        <w:rPr/>
        <w:t xml:space="preserve">). Ez a felhívás együtt jár azzal, hogy támogatni kell az IKT-t az iskolákban és az egyetemeken, többek között azáltal, hogy támogatják az iskolák hardvervásárlását (lásd például az </w:t>
      </w:r>
      <w:hyperlink r:id="rId1924">
        <w:r>
          <w:rPr>
            <w:rStyle w:val="LienInternet"/>
          </w:rPr>
          <w:t>ötletet</w:t>
        </w:r>
      </w:hyperlink>
      <w:r>
        <w:rPr/>
        <w:t xml:space="preserve">). </w:t>
      </w:r>
    </w:p>
    <w:p>
      <w:pPr>
        <w:pStyle w:val="Normal"/>
        <w:jc w:val="left"/>
        <w:rPr/>
      </w:pPr>
      <w:r>
        <w:rPr/>
        <w:t xml:space="preserve">A megfelelő oktatási eszközök és terek kérdésével kapcsolatban a platform felhasználói által erősen jóváhagyott javaslat az európai oktatási terv. Ez egy olyan európai stratégia lenne, amely az oktatási infrastruktúrába történő közvetlen beruházások támogatására, valamint az oktatás és az egész életen át tartó tanulás hozzáférhetőségének, összekapcsoltságának és minőségének javítására összpontosítana (lásd az </w:t>
      </w:r>
      <w:hyperlink r:id="rId1925">
        <w:r>
          <w:rPr>
            <w:rStyle w:val="LienInternet"/>
          </w:rPr>
          <w:t>ötletet</w:t>
        </w:r>
      </w:hyperlink>
      <w:r>
        <w:rPr/>
        <w:t>). Egy másik erősen támogatott ötlet az egész életen át tartó tanuláshoz és képzéshez való jog megteremtését javasolja (lásd</w:t>
      </w:r>
      <w:hyperlink r:id="rId1926">
        <w:r>
          <w:rPr>
            <w:rStyle w:val="LienInternet"/>
          </w:rPr>
          <w:t xml:space="preserve"> </w:t>
        </w:r>
      </w:hyperlink>
      <w:hyperlink r:id="rId1927">
        <w:r>
          <w:rPr>
            <w:rStyle w:val="LienInternet"/>
          </w:rPr>
          <w:t>az ötletet)</w:t>
        </w:r>
      </w:hyperlink>
      <w:r>
        <w:rPr/>
        <w:t xml:space="preserve">. </w:t>
      </w:r>
    </w:p>
    <w:p>
      <w:pPr>
        <w:pStyle w:val="Normal"/>
        <w:jc w:val="left"/>
        <w:rPr/>
      </w:pPr>
      <w:r>
        <w:rPr/>
        <w:t>A puha készségek, és különösen a művészi tevékenységek előmozdítását a közreműködők gyakran tekintik az uniós diákok kritikus gondolkodásának fejlesztése és globális értékeik megerősítése terén, különösen fiatal korban (lásd például az</w:t>
      </w:r>
      <w:hyperlink r:id="rId1928">
        <w:r>
          <w:rPr>
            <w:rStyle w:val="LienInternet"/>
          </w:rPr>
          <w:t xml:space="preserve"> </w:t>
        </w:r>
      </w:hyperlink>
      <w:hyperlink r:id="rId1929">
        <w:r>
          <w:rPr>
            <w:rStyle w:val="LienInternet"/>
          </w:rPr>
          <w:t>ötletet)</w:t>
        </w:r>
      </w:hyperlink>
      <w:r>
        <w:rPr/>
        <w:t xml:space="preserve">. </w:t>
      </w:r>
    </w:p>
    <w:p>
      <w:pPr>
        <w:pStyle w:val="Normal"/>
        <w:jc w:val="left"/>
        <w:rPr/>
      </w:pPr>
      <w:r>
        <w:rPr/>
        <w:t>Az inkluzív oktatási módszerek alkalmazását és általánosabban az oktatás sokszínűségének előmozdítását az oktatás jövője szempontjából fontos célkitűzésnek tekintik (lásd az</w:t>
      </w:r>
      <w:hyperlink r:id="rId1930">
        <w:r>
          <w:rPr>
            <w:rStyle w:val="LienInternet"/>
          </w:rPr>
          <w:t xml:space="preserve"> </w:t>
        </w:r>
      </w:hyperlink>
      <w:hyperlink r:id="rId1931">
        <w:r>
          <w:rPr>
            <w:rStyle w:val="LienInternet"/>
          </w:rPr>
          <w:t>ötletet)</w:t>
        </w:r>
      </w:hyperlink>
      <w:r>
        <w:rPr/>
        <w:t xml:space="preserve">. Ez tükrözi a nőigyilkosságok (lásd az </w:t>
      </w:r>
      <w:hyperlink r:id="rId1932">
        <w:r>
          <w:rPr>
            <w:rStyle w:val="LienInternet"/>
          </w:rPr>
          <w:t>ötletet)</w:t>
        </w:r>
      </w:hyperlink>
      <w:r>
        <w:rPr/>
        <w:t xml:space="preserve"> és az antiszemitizmus elleni küzdelem szükségességét az oktatáson keresztül (lásd az</w:t>
      </w:r>
      <w:hyperlink r:id="rId1933">
        <w:r>
          <w:rPr>
            <w:rStyle w:val="LienInternet"/>
          </w:rPr>
          <w:t xml:space="preserve"> </w:t>
        </w:r>
      </w:hyperlink>
      <w:hyperlink r:id="rId1934">
        <w:r>
          <w:rPr>
            <w:rStyle w:val="LienInternet"/>
          </w:rPr>
          <w:t>ötletet)</w:t>
        </w:r>
      </w:hyperlink>
      <w:r>
        <w:rPr/>
        <w:t xml:space="preserve">. </w:t>
      </w:r>
    </w:p>
    <w:p>
      <w:pPr>
        <w:pStyle w:val="Normal"/>
        <w:jc w:val="left"/>
        <w:rPr/>
      </w:pPr>
      <w:r>
        <w:rPr/>
        <w:t xml:space="preserve">Az ötletek altémája azzal foglalkozik, hogy meg kell reformálni az oktatási gyakorlatokat annak érdekében, hogy olyan felnőtteket hozzanak létre, akik képesek aktív uniós polgárokká válni. Az EU-val kapcsolatos cserék és oktatás mellett ez az altéma a fiatal diákok iskolákban való aktív társadalmi részvételének ösztönzésére (lásd az </w:t>
      </w:r>
      <w:hyperlink r:id="rId1935">
        <w:r>
          <w:rPr>
            <w:rStyle w:val="LienInternet"/>
          </w:rPr>
          <w:t>ötletet)</w:t>
        </w:r>
      </w:hyperlink>
      <w:r>
        <w:rPr/>
        <w:t xml:space="preserve"> vagy a kultúrák közötti készségek elsajátításának szükségességére vonatkozó elképzeléseket is magában foglal, például több idegennyelv-tanulási gyakorlattal (lásd az </w:t>
      </w:r>
      <w:hyperlink r:id="rId1936">
        <w:r>
          <w:rPr>
            <w:rStyle w:val="LienInternet"/>
          </w:rPr>
          <w:t>ötletet</w:t>
        </w:r>
      </w:hyperlink>
      <w:r>
        <w:rPr/>
        <w:t>). Számos eseményen (lásd például egy</w:t>
      </w:r>
      <w:hyperlink r:id="rId1937">
        <w:r>
          <w:rPr>
            <w:rStyle w:val="LienInternet"/>
          </w:rPr>
          <w:t xml:space="preserve"> </w:t>
        </w:r>
      </w:hyperlink>
      <w:hyperlink r:id="rId1938">
        <w:r>
          <w:rPr>
            <w:rStyle w:val="LienInternet"/>
          </w:rPr>
          <w:t>esemény példáját)</w:t>
        </w:r>
      </w:hyperlink>
      <w:r>
        <w:rPr/>
        <w:t xml:space="preserve"> egy ehhez kapcsolódó elképzelést tártak fel, nevezetesen a nyelvek sokféleségét és a média által a tanulás megkönnyítésében és a közös európai identitás megteremtésében játszott szerepet. A hozzászólók egy csoportja felhívta a figyelmet arra, hogy újra kell gondolni a jelenlegi oktatási rendszert annak érdekében, hogy felkészítsük a fiatalokat a jövő világára. A hozzászólók a gazdasági és pénzügyi oktatást (lásd az</w:t>
      </w:r>
      <w:hyperlink r:id="rId1939">
        <w:r>
          <w:rPr>
            <w:rStyle w:val="LienInternet"/>
          </w:rPr>
          <w:t xml:space="preserve"> </w:t>
        </w:r>
      </w:hyperlink>
      <w:hyperlink r:id="rId1940">
        <w:r>
          <w:rPr>
            <w:rStyle w:val="LienInternet"/>
          </w:rPr>
          <w:t>ötletet)</w:t>
        </w:r>
      </w:hyperlink>
      <w:r>
        <w:rPr/>
        <w:t xml:space="preserve"> és az éghajlatváltozást (lásd az </w:t>
      </w:r>
      <w:hyperlink r:id="rId1941">
        <w:r>
          <w:rPr>
            <w:rStyle w:val="LienInternet"/>
          </w:rPr>
          <w:t>ötlet példáját)</w:t>
        </w:r>
      </w:hyperlink>
      <w:r>
        <w:rPr/>
        <w:t xml:space="preserve"> kérik, beleértve az Európai Éghajlat-változási Hadtest létrehozását (lásd az </w:t>
      </w:r>
      <w:hyperlink r:id="rId1942">
        <w:r>
          <w:rPr>
            <w:rStyle w:val="LienInternet"/>
          </w:rPr>
          <w:t>ötletet</w:t>
        </w:r>
      </w:hyperlink>
      <w:r>
        <w:rPr/>
        <w:t xml:space="preserve">). Ezenkívül olyan mechanizmusokat szorgalmaznak, amelyek javítják a fiatalok tudományos, technológiai, mérnöki és matematikai készségeit, például egy uniós szintű TTMM alapkészség programon keresztül (lásd az </w:t>
      </w:r>
      <w:hyperlink r:id="rId1943">
        <w:r>
          <w:rPr>
            <w:rStyle w:val="LienInternet"/>
          </w:rPr>
          <w:t>ötletet)</w:t>
        </w:r>
      </w:hyperlink>
      <w:r>
        <w:rPr/>
        <w:t>. Továbbá, amint azt a digitális átalakulás témájában felvetették, a hozzászólók azt kérik, hogy a fiatalokat képezzék ki a digitális jóllét terén (lásd például egy</w:t>
      </w:r>
      <w:hyperlink r:id="rId1944">
        <w:r>
          <w:rPr>
            <w:rStyle w:val="LienInternet"/>
          </w:rPr>
          <w:t xml:space="preserve"> ötletet)</w:t>
        </w:r>
      </w:hyperlink>
      <w:r>
        <w:rPr/>
        <w:t>. A digitális jóllét kérdése az iskolákban a mentális egészség támogatására irányuló általánosabb felhívás hatálya alá is tartozhat (lásd az</w:t>
      </w:r>
      <w:hyperlink r:id="rId1945">
        <w:r>
          <w:rPr>
            <w:rStyle w:val="LienInternet"/>
          </w:rPr>
          <w:t xml:space="preserve"> ötletet)</w:t>
        </w:r>
      </w:hyperlink>
      <w:r>
        <w:rPr/>
        <w:t xml:space="preserve">. Az egyes résztvevők által kidolgozott, időtálló oktatás gondolatában az iskolai tantervek rugalmasak (lásd az </w:t>
      </w:r>
      <w:hyperlink r:id="rId1946">
        <w:r>
          <w:rPr>
            <w:rStyle w:val="LienInternet"/>
          </w:rPr>
          <w:t>ötletet</w:t>
        </w:r>
      </w:hyperlink>
      <w:r>
        <w:rPr/>
        <w:t>), és az iskolák támogatják a diákok egyesületeit és tevékenységeit, amelyek a diákok önálló felnőttként való képzését szolgálják (lásd az</w:t>
      </w:r>
      <w:hyperlink r:id="rId1947">
        <w:r>
          <w:rPr>
            <w:rStyle w:val="LienInternet"/>
          </w:rPr>
          <w:t xml:space="preserve"> </w:t>
        </w:r>
      </w:hyperlink>
      <w:hyperlink r:id="rId1948">
        <w:r>
          <w:rPr>
            <w:rStyle w:val="LienInternet"/>
          </w:rPr>
          <w:t>ötletet)</w:t>
        </w:r>
      </w:hyperlink>
      <w:r>
        <w:rPr/>
        <w:t xml:space="preserve">. E tekintetben a civil társadalmi szervezetek iskolai befolyásának növelésére irányuló javaslat együtt járhat az iskola e „részvételes” koncepciójával (lásd az </w:t>
      </w:r>
      <w:hyperlink r:id="rId1949">
        <w:r>
          <w:rPr>
            <w:rStyle w:val="LienInternet"/>
          </w:rPr>
          <w:t>ötletet)</w:t>
        </w:r>
      </w:hyperlink>
      <w:r>
        <w:rPr/>
        <w:t xml:space="preserve">. Ezzel a véleménnyel is összhangban van a sportgyakorlás ösztönzése és az iskolai sportórák számának növelése (lásd az </w:t>
      </w:r>
      <w:hyperlink r:id="rId1950">
        <w:r>
          <w:rPr>
            <w:rStyle w:val="LienInternet"/>
          </w:rPr>
          <w:t>ötletet</w:t>
        </w:r>
      </w:hyperlink>
      <w:r>
        <w:rPr/>
        <w:t>). A tanárok értékelését – ideális esetben az Európai Unió koordinálja – más résztvevők is támogatják (lásd az</w:t>
      </w:r>
      <w:hyperlink r:id="rId1951">
        <w:r>
          <w:rPr>
            <w:rStyle w:val="LienInternet"/>
          </w:rPr>
          <w:t xml:space="preserve"> </w:t>
        </w:r>
      </w:hyperlink>
      <w:hyperlink r:id="rId1952">
        <w:r>
          <w:rPr>
            <w:rStyle w:val="LienInternet"/>
          </w:rPr>
          <w:t>ötletet</w:t>
        </w:r>
      </w:hyperlink>
      <w:r>
        <w:rPr/>
        <w:t xml:space="preserve">). </w:t>
      </w:r>
    </w:p>
    <w:p>
      <w:pPr>
        <w:pStyle w:val="Normal"/>
        <w:jc w:val="left"/>
        <w:rPr/>
      </w:pPr>
      <w:r>
        <w:rPr/>
        <w:t xml:space="preserve">Az ötletek egy része kitér a (szakmai) oktatásnak a munka világával való összehangolására (lásd például az </w:t>
      </w:r>
      <w:hyperlink r:id="rId1953">
        <w:r>
          <w:rPr>
            <w:rStyle w:val="LienInternet"/>
          </w:rPr>
          <w:t>ötletet)</w:t>
        </w:r>
      </w:hyperlink>
      <w:r>
        <w:rPr/>
        <w:t xml:space="preserve">, valamint a vállalkozói készségek oktatásban való ösztönzésének szükségességére (lásd az </w:t>
      </w:r>
      <w:hyperlink r:id="rId1954">
        <w:r>
          <w:rPr>
            <w:rStyle w:val="LienInternet"/>
          </w:rPr>
          <w:t>ötletet</w:t>
        </w:r>
      </w:hyperlink>
      <w:r>
        <w:rPr/>
        <w:t xml:space="preserve">). A platformon hozzáadott néhány ötlet az innovációt és a vállalkozói szellemet célzó képzésre (lásd például az </w:t>
      </w:r>
      <w:hyperlink r:id="rId1955">
        <w:r>
          <w:rPr>
            <w:rStyle w:val="LienInternet"/>
          </w:rPr>
          <w:t>ötletet</w:t>
        </w:r>
      </w:hyperlink>
      <w:r>
        <w:rPr/>
        <w:t>), valamint az informális tanulás jobb elismerésének szükségességére összpontosít (lásd például az</w:t>
      </w:r>
      <w:hyperlink r:id="rId1956">
        <w:r>
          <w:rPr>
            <w:rStyle w:val="LienInternet"/>
          </w:rPr>
          <w:t xml:space="preserve"> </w:t>
        </w:r>
      </w:hyperlink>
      <w:hyperlink r:id="rId1957">
        <w:r>
          <w:rPr>
            <w:rStyle w:val="LienInternet"/>
          </w:rPr>
          <w:t>ötletet</w:t>
        </w:r>
      </w:hyperlink>
      <w:r>
        <w:rPr/>
        <w:t xml:space="preserve">). E tekintetben egy másik javaslat magában foglalja egy kötelező szakmai orientáció bevezetését, amely felméri a tanulók tehetségét és érdeklődési körét az iskolai pályájuk korai szakaszában (lásd az </w:t>
      </w:r>
      <w:hyperlink r:id="rId1958">
        <w:r>
          <w:rPr>
            <w:rStyle w:val="LienInternet"/>
          </w:rPr>
          <w:t>ötletet</w:t>
        </w:r>
      </w:hyperlink>
      <w:r>
        <w:rPr/>
        <w:t xml:space="preserve">). </w:t>
      </w:r>
    </w:p>
    <w:p>
      <w:pPr>
        <w:pStyle w:val="Normal"/>
        <w:jc w:val="left"/>
        <w:rPr/>
      </w:pPr>
      <w:r>
        <w:rPr/>
        <w:t xml:space="preserve">Egy másik téma, amely az online órák terjedését követően merült fel a világjárvány alatt, az otthoni oktatás. Az egyik résztvevő azt kéri, hogy valamennyi uniós országban ismerjék el az otthoni iskoláztatást (lásd </w:t>
      </w:r>
      <w:hyperlink r:id="rId1959">
        <w:r>
          <w:rPr>
            <w:rStyle w:val="LienInternet"/>
          </w:rPr>
          <w:t>az ötletet</w:t>
        </w:r>
      </w:hyperlink>
      <w:r>
        <w:rPr/>
        <w:t xml:space="preserve">). </w:t>
      </w:r>
    </w:p>
    <w:p>
      <w:pPr>
        <w:pStyle w:val="Normal"/>
        <w:jc w:val="left"/>
        <w:rPr/>
      </w:pPr>
      <w:r>
        <w:rPr/>
        <w:t>Egy résztvevő javasolja az összes uniós országban közös standard záróvizsga létrehozásának ötletét (lásd az</w:t>
      </w:r>
      <w:hyperlink r:id="rId1960">
        <w:r>
          <w:rPr>
            <w:rStyle w:val="LienInternet"/>
          </w:rPr>
          <w:t xml:space="preserve"> </w:t>
        </w:r>
      </w:hyperlink>
      <w:hyperlink r:id="rId1961">
        <w:r>
          <w:rPr>
            <w:rStyle w:val="LienInternet"/>
          </w:rPr>
          <w:t>ötletet</w:t>
        </w:r>
      </w:hyperlink>
      <w:r>
        <w:rPr/>
        <w:t>).</w:t>
      </w:r>
    </w:p>
    <w:p>
      <w:pPr>
        <w:pStyle w:val="Normal"/>
        <w:jc w:val="left"/>
        <w:rPr/>
      </w:pPr>
      <w:r>
        <w:rPr/>
      </w:r>
    </w:p>
    <w:p>
      <w:pPr>
        <w:pStyle w:val="Titre2"/>
        <w:numPr>
          <w:ilvl w:val="1"/>
          <w:numId w:val="1"/>
        </w:numPr>
        <w:jc w:val="left"/>
        <w:rPr/>
      </w:pPr>
      <w:bookmarkStart w:id="109" w:name="__RefHeading___Toc86541_2514204080"/>
      <w:bookmarkEnd w:id="109"/>
      <w:r>
        <w:rPr/>
        <w:t>Munkahelyi bizonytalanság és munkanélküliség a fiatalok körében</w:t>
      </w:r>
    </w:p>
    <w:p>
      <w:pPr>
        <w:pStyle w:val="Normal"/>
        <w:jc w:val="left"/>
        <w:rPr/>
      </w:pPr>
      <w:r>
        <w:rPr/>
        <w:t>A fiatalok foglalkoztatása visszatérő téma a platformon, mivel ez szigorúan kapcsolódik az oktatáshoz és a képzéshez. Az oktatási programokat megvitató számos ötlet a foglalkoztathatóságra és a munkaerőpiacra való átmenetre is összpontosít (lásd például az</w:t>
      </w:r>
      <w:hyperlink r:id="rId1962">
        <w:r>
          <w:rPr>
            <w:rStyle w:val="LienInternet"/>
          </w:rPr>
          <w:t xml:space="preserve"> </w:t>
        </w:r>
      </w:hyperlink>
      <w:hyperlink r:id="rId1963">
        <w:r>
          <w:rPr>
            <w:rStyle w:val="LienInternet"/>
          </w:rPr>
          <w:t>ötletet</w:t>
        </w:r>
      </w:hyperlink>
      <w:r>
        <w:rPr/>
        <w:t xml:space="preserve">). A fiatalok esetében azonban a munkanélküliség, valamint a „nem foglalkoztatott, oktatásban vagy képzésben nem részesülő” fiatalok (NEET-fiatalok) kérdését is kulcsfontosságúnak tekintik a résztvevők, és néhány ezzel kapcsolatos elképzelést erősen támogatnak (lásd például az </w:t>
      </w:r>
      <w:hyperlink r:id="rId1964">
        <w:r>
          <w:rPr>
            <w:rStyle w:val="LienInternet"/>
          </w:rPr>
          <w:t>ötletet)</w:t>
        </w:r>
      </w:hyperlink>
      <w:r>
        <w:rPr/>
        <w:t xml:space="preserve">. A fiatalok körében a munka bizonytalanságának témáját több résztvevő is megvitatja, akik arra szólítanak fel, hogy minőségi munkahelyek, méltányos díjazás és a szociális védelemhez való hozzáférés révén támogassák a fiatalokat a bizonytalan munkakörülmények között (lásd az </w:t>
      </w:r>
      <w:hyperlink r:id="rId1965">
        <w:r>
          <w:rPr>
            <w:rStyle w:val="LienInternet"/>
          </w:rPr>
          <w:t xml:space="preserve">ötletet </w:t>
        </w:r>
      </w:hyperlink>
      <w:r>
        <w:rPr/>
        <w:t xml:space="preserve">és az </w:t>
      </w:r>
      <w:hyperlink r:id="rId1966">
        <w:r>
          <w:rPr>
            <w:rStyle w:val="LienInternet"/>
          </w:rPr>
          <w:t>ötletet)</w:t>
        </w:r>
      </w:hyperlink>
      <w:r>
        <w:rPr/>
        <w:t xml:space="preserve">. A bizonytalan foglalkoztatással kapcsolatban az egyik válaszadó arra kéri az EU-t, hogy szüntesse meg a fizetés nélküli szakmai gyakorlatokat (lásd </w:t>
      </w:r>
      <w:hyperlink r:id="rId1967">
        <w:r>
          <w:rPr>
            <w:rStyle w:val="LienInternet"/>
          </w:rPr>
          <w:t>az ötletet</w:t>
        </w:r>
      </w:hyperlink>
      <w:r>
        <w:rPr/>
        <w:t xml:space="preserve">). Mások azt javasolják, hogy a fiatalokat célzó foglalkoztatási támogatás bizonyos garanciáit és formáit bővítsék ki (lásd az </w:t>
      </w:r>
      <w:hyperlink r:id="rId1968">
        <w:r>
          <w:rPr>
            <w:rStyle w:val="LienInternet"/>
          </w:rPr>
          <w:t>ötletet</w:t>
        </w:r>
      </w:hyperlink>
      <w:r>
        <w:rPr/>
        <w:t>), vagy akár olyan minőségi előírások végrehajtását, amelyek az EU és a nemzeti helyreállítási tervek keretében létrehozott valamennyi munkahelyre kötelezőek lennének</w:t>
      </w:r>
      <w:hyperlink r:id="rId1969">
        <w:r>
          <w:rPr>
            <w:rStyle w:val="LienInternet"/>
          </w:rPr>
          <w:t xml:space="preserve"> (lásd </w:t>
        </w:r>
      </w:hyperlink>
      <w:r>
        <w:rPr/>
        <w:t>az</w:t>
      </w:r>
      <w:hyperlink r:id="rId1970">
        <w:r>
          <w:rPr>
            <w:rStyle w:val="LienInternet"/>
          </w:rPr>
          <w:t xml:space="preserve">ötletet). A fiatalok munkanélkülisége által jobban érintett tagállamok, például a földközi-tengeri térség (lásd az ötletet) </w:t>
        </w:r>
      </w:hyperlink>
      <w:r>
        <w:rPr/>
        <w:t>különleges figyelmet fordítanak egyes, az ifjúsági munkanélküliség által jobban érintett tagállamokra (lásd az</w:t>
      </w:r>
      <w:hyperlink r:id="rId1971">
        <w:r>
          <w:rPr>
            <w:rStyle w:val="LienInternet"/>
          </w:rPr>
          <w:t xml:space="preserve"> </w:t>
        </w:r>
      </w:hyperlink>
      <w:hyperlink r:id="rId1972">
        <w:r>
          <w:rPr>
            <w:rStyle w:val="LienInternet"/>
          </w:rPr>
          <w:t>ötletet)</w:t>
        </w:r>
      </w:hyperlink>
      <w:r>
        <w:rPr/>
        <w:t xml:space="preserve">. </w:t>
      </w:r>
    </w:p>
    <w:p>
      <w:pPr>
        <w:pStyle w:val="Normal"/>
        <w:jc w:val="left"/>
        <w:rPr/>
      </w:pPr>
      <w:r>
        <w:rPr/>
        <w:t>Egy litvániai esemény arra összpontosított, hogy a fiatalok milyen sokrétű kihívásokkal szembesültek a világjárvány utáni időszakban, beleértve a munkanélküliséget is. A rendezvény megvitatta, hogy az Európai Tanács 2019–2024-es időszakra szóló stratégiai menetrendje teljes mértékben figyelembe veszi-e a fiatalok sajátos problémáit (lásd az</w:t>
      </w:r>
      <w:hyperlink r:id="rId1973">
        <w:r>
          <w:rPr>
            <w:rStyle w:val="LienInternet"/>
          </w:rPr>
          <w:t xml:space="preserve"> </w:t>
        </w:r>
      </w:hyperlink>
      <w:hyperlink r:id="rId1974">
        <w:r>
          <w:rPr>
            <w:rStyle w:val="LienInternet"/>
          </w:rPr>
          <w:t>eseményt</w:t>
        </w:r>
      </w:hyperlink>
      <w:r>
        <w:rPr/>
        <w:t>).</w:t>
      </w:r>
    </w:p>
    <w:p>
      <w:pPr>
        <w:pStyle w:val="Normal"/>
        <w:jc w:val="left"/>
        <w:rPr/>
      </w:pPr>
      <w:r>
        <w:rPr/>
      </w:r>
    </w:p>
    <w:p>
      <w:pPr>
        <w:pStyle w:val="Titre2"/>
        <w:numPr>
          <w:ilvl w:val="1"/>
          <w:numId w:val="1"/>
        </w:numPr>
        <w:jc w:val="left"/>
        <w:rPr/>
      </w:pPr>
      <w:bookmarkStart w:id="110" w:name="__RefHeading___Toc86543_2514204080"/>
      <w:bookmarkEnd w:id="110"/>
      <w:r>
        <w:rPr/>
        <w:t>Európai örökség</w:t>
      </w:r>
    </w:p>
    <w:p>
      <w:pPr>
        <w:pStyle w:val="Normal"/>
        <w:jc w:val="left"/>
        <w:rPr/>
      </w:pPr>
      <w:r>
        <w:rPr/>
        <w:t>A hozzájárulások viszonylag kisebb kategóriája azok, amelyek az európai kultúra és örökség védelmét és megünneplését kérik, például egy uniós kulturális biztos (lásd az</w:t>
      </w:r>
      <w:hyperlink r:id="rId1975">
        <w:r>
          <w:rPr>
            <w:rStyle w:val="LienInternet"/>
          </w:rPr>
          <w:t xml:space="preserve"> ötletet</w:t>
        </w:r>
      </w:hyperlink>
      <w:r>
        <w:rPr/>
        <w:t>) bevezetésével és általában a közös uniós kulturális örökség megőrzésébe történő beruházások növelésével. Felszólítunk továbbá különösen a kisebbségi csoportok által kifejezésre juttatott hagyományok megőrzésére (lásd az</w:t>
      </w:r>
      <w:hyperlink r:id="rId1976">
        <w:r>
          <w:rPr>
            <w:rStyle w:val="LienInternet"/>
          </w:rPr>
          <w:t xml:space="preserve"> </w:t>
        </w:r>
      </w:hyperlink>
      <w:hyperlink r:id="rId1977">
        <w:r>
          <w:rPr>
            <w:rStyle w:val="LienInternet"/>
          </w:rPr>
          <w:t>eseményt)</w:t>
        </w:r>
      </w:hyperlink>
      <w:r>
        <w:rPr/>
        <w:t>, valamint a vallási kulturális örökség megőrzésére (lásd az</w:t>
      </w:r>
      <w:hyperlink r:id="rId1978">
        <w:r>
          <w:rPr>
            <w:rStyle w:val="LienInternet"/>
          </w:rPr>
          <w:t xml:space="preserve"> </w:t>
        </w:r>
      </w:hyperlink>
      <w:hyperlink r:id="rId1979">
        <w:r>
          <w:rPr>
            <w:rStyle w:val="LienInternet"/>
          </w:rPr>
          <w:t>ötletet)</w:t>
        </w:r>
      </w:hyperlink>
      <w:r>
        <w:rPr/>
        <w:t xml:space="preserve">. </w:t>
      </w:r>
    </w:p>
    <w:p>
      <w:pPr>
        <w:pStyle w:val="Normal"/>
        <w:jc w:val="left"/>
        <w:rPr/>
      </w:pPr>
      <w:r>
        <w:rPr/>
        <w:t>Általánosabb szinten a különböző uniós tagállamok könyvtáraival összekapcsolt virtuális könyvtár létrehozását javasolták azzal a céllal, hogy a ritka könyveket és műalkotásokat szélesebb körben hozzáférhetővé tegyék valamennyi uniós polgár számára (lásd az</w:t>
      </w:r>
      <w:hyperlink r:id="rId1980">
        <w:r>
          <w:rPr>
            <w:rStyle w:val="LienInternet"/>
          </w:rPr>
          <w:t xml:space="preserve"> </w:t>
        </w:r>
      </w:hyperlink>
      <w:hyperlink r:id="rId1981">
        <w:r>
          <w:rPr>
            <w:rStyle w:val="LienInternet"/>
          </w:rPr>
          <w:t>ötletet)</w:t>
        </w:r>
      </w:hyperlink>
      <w:r>
        <w:rPr/>
        <w:t>.</w:t>
      </w:r>
    </w:p>
    <w:p>
      <w:pPr>
        <w:pStyle w:val="Normal"/>
        <w:jc w:val="left"/>
        <w:rPr/>
      </w:pPr>
      <w:r>
        <w:rPr/>
      </w:r>
    </w:p>
    <w:p>
      <w:pPr>
        <w:pStyle w:val="Titre2"/>
        <w:numPr>
          <w:ilvl w:val="1"/>
          <w:numId w:val="1"/>
        </w:numPr>
        <w:jc w:val="left"/>
        <w:rPr/>
      </w:pPr>
      <w:bookmarkStart w:id="111" w:name="__RefHeading___Toc86545_2514204080"/>
      <w:bookmarkEnd w:id="111"/>
      <w:r>
        <w:rPr/>
        <w:t>Hozzáférés az oktatáshoz és a kultúrához</w:t>
      </w:r>
    </w:p>
    <w:p>
      <w:pPr>
        <w:pStyle w:val="Normal"/>
        <w:jc w:val="left"/>
        <w:rPr/>
      </w:pPr>
      <w:r>
        <w:rPr/>
        <w:t>Az oktatáshoz való hozzáférés témáját gyakran említik. Ez magában foglalja a hozzáférés terén mutatkozó egyenlőtlenségek különböző típusait, valamint a különböző oktatási szinteket, különös tekintettel a felsőoktatásra. Bár az ezzel a témával kapcsolatos elképzeléseket viszonylag kevésbé vitatják meg, néhány résztvevő pozitívan fogadta a mindenki számára ingyenes oktatáshoz való hozzáférésre irányuló javaslatot (lásd az</w:t>
      </w:r>
      <w:hyperlink r:id="rId1982">
        <w:r>
          <w:rPr>
            <w:rStyle w:val="LienInternet"/>
          </w:rPr>
          <w:t xml:space="preserve"> </w:t>
        </w:r>
      </w:hyperlink>
      <w:hyperlink r:id="rId1983">
        <w:r>
          <w:rPr>
            <w:rStyle w:val="LienInternet"/>
          </w:rPr>
          <w:t>ötletet</w:t>
        </w:r>
      </w:hyperlink>
      <w:r>
        <w:rPr/>
        <w:t xml:space="preserve">). </w:t>
      </w:r>
    </w:p>
    <w:p>
      <w:pPr>
        <w:pStyle w:val="Normal"/>
        <w:jc w:val="left"/>
        <w:rPr/>
      </w:pPr>
      <w:r>
        <w:rPr/>
        <w:t xml:space="preserve">A résztvevők által kulcsfontosságúnak tartott átmenet a közép- és felsőfokú oktatás közötti átmenet. E tekintetben a résztvevők több felhívást fogalmaznak meg arra vonatkozóan, hogy támogassák a hallgatókat ebben a kulcsfontosságú átmenetben (lásd az </w:t>
      </w:r>
      <w:hyperlink r:id="rId1984">
        <w:r>
          <w:rPr>
            <w:rStyle w:val="LienInternet"/>
          </w:rPr>
          <w:t>ötlet példáját)</w:t>
        </w:r>
      </w:hyperlink>
      <w:r>
        <w:rPr/>
        <w:t xml:space="preserve">, többek között jobb egyetemi orientációs programok révén (lásd az </w:t>
      </w:r>
      <w:hyperlink r:id="rId1985">
        <w:r>
          <w:rPr>
            <w:rStyle w:val="LienInternet"/>
          </w:rPr>
          <w:t>ötletet)</w:t>
        </w:r>
      </w:hyperlink>
      <w:r>
        <w:rPr/>
        <w:t xml:space="preserve">. Egyes kategóriák különösen hátrányos helyzetben vannak a felsőoktatáshoz való hozzáférés tekintetében. E tekintetben felszólítanak arra, hogy támogassák az etnikai kisebbségeket és a fogyatékkal élőket a felsőfokú tanulmányokhoz való hozzáférésben (lásd az </w:t>
      </w:r>
      <w:hyperlink r:id="rId1986">
        <w:r>
          <w:rPr>
            <w:rStyle w:val="LienInternet"/>
          </w:rPr>
          <w:t>ötletet)</w:t>
        </w:r>
      </w:hyperlink>
      <w:r>
        <w:rPr/>
        <w:t xml:space="preserve">. Más résztvevők tisztában vannak azzal, hogy az oktatás egyéb akadályai földrajzi vagy gazdasági jellegűek lehetnek. Ezeknek az akadályoknak a leküzdése érdekében több résztvevő kéri, hogy a vidéki területeken több oktatási forrás álljon rendelkezésre (lásd például az </w:t>
      </w:r>
      <w:hyperlink r:id="rId1987">
        <w:r>
          <w:rPr>
            <w:rStyle w:val="LienInternet"/>
          </w:rPr>
          <w:t>ötletet)</w:t>
        </w:r>
      </w:hyperlink>
      <w:r>
        <w:rPr/>
        <w:t>, és egyesek azt javasolják, hogy hozzanak létre különböző típusú uniós finanszírozású jóléti juttatásokat a diákok pénzügyi autonómiájának biztosítása érdekében (lásd például az</w:t>
      </w:r>
      <w:hyperlink r:id="rId1988">
        <w:r>
          <w:rPr>
            <w:rStyle w:val="LienInternet"/>
          </w:rPr>
          <w:t xml:space="preserve"> </w:t>
        </w:r>
      </w:hyperlink>
      <w:hyperlink r:id="rId1989">
        <w:r>
          <w:rPr>
            <w:rStyle w:val="LienInternet"/>
          </w:rPr>
          <w:t>ötletet)</w:t>
        </w:r>
      </w:hyperlink>
      <w:r>
        <w:rPr/>
        <w:t xml:space="preserve">. </w:t>
      </w:r>
    </w:p>
    <w:p>
      <w:pPr>
        <w:pStyle w:val="Normal"/>
        <w:jc w:val="left"/>
        <w:rPr/>
      </w:pPr>
      <w:r>
        <w:rPr/>
        <w:t xml:space="preserve">A hozzáférés terén mutatkozó egyenlőtlenségek nemcsak a felsőoktatást, hanem a kulturális létesítményeket és a múzeumokat is érintik. Ezért az egyik résztvevő felhívása a fogyatékossággal élő személyek múzeumaihoz való hozzáférés megkönnyítésére (lásd az </w:t>
      </w:r>
      <w:hyperlink r:id="rId1990">
        <w:r>
          <w:rPr>
            <w:rStyle w:val="LienInternet"/>
          </w:rPr>
          <w:t>ötletet</w:t>
        </w:r>
      </w:hyperlink>
      <w:r>
        <w:rPr/>
        <w:t xml:space="preserve">). Ez volt a témája a We All Need Theatre kampánynak (lásd az </w:t>
      </w:r>
      <w:hyperlink r:id="rId1991">
        <w:r>
          <w:rPr>
            <w:rStyle w:val="LienInternet"/>
          </w:rPr>
          <w:t>eseményt</w:t>
        </w:r>
      </w:hyperlink>
      <w:r>
        <w:rPr/>
        <w:t>), amely kifejezetten a fogyatékossággal élő személyek színházakhoz való hozzáférését tűzte ki célul. Egy másik javaslat egy uniós múzeumi bérlet bevezetésére vonatkozik, amelynek célja a múzeumok megfizethetőbbé tétele (lásd</w:t>
      </w:r>
      <w:hyperlink r:id="rId1992">
        <w:r>
          <w:rPr>
            <w:rStyle w:val="LienInternet"/>
          </w:rPr>
          <w:t xml:space="preserve"> </w:t>
        </w:r>
      </w:hyperlink>
      <w:hyperlink r:id="rId1993">
        <w:r>
          <w:rPr>
            <w:rStyle w:val="LienInternet"/>
          </w:rPr>
          <w:t>az ötletet)</w:t>
        </w:r>
      </w:hyperlink>
      <w:r>
        <w:rPr/>
        <w:t xml:space="preserve">. Ez az elképzelés tükrözi a több résztvevő által előadott kulturális bérletek vagy utalványok bevezetését (lásd az </w:t>
      </w:r>
      <w:hyperlink r:id="rId1994">
        <w:r>
          <w:rPr>
            <w:rStyle w:val="LienInternet"/>
          </w:rPr>
          <w:t>ötlet példáját</w:t>
        </w:r>
      </w:hyperlink>
      <w:r>
        <w:rPr/>
        <w:t>). Egy másik ötlet ehelyett e kérdés szélesebb perspektívából történő kezelését célozza, javasolva a kultúra állami finanszírozásának növelését, ezáltal csökkentve a magánforrásoktól való függését (lásd az</w:t>
      </w:r>
      <w:hyperlink r:id="rId1995">
        <w:r>
          <w:rPr>
            <w:rStyle w:val="LienInternet"/>
          </w:rPr>
          <w:t xml:space="preserve"> </w:t>
        </w:r>
      </w:hyperlink>
      <w:hyperlink r:id="rId1996">
        <w:r>
          <w:rPr>
            <w:rStyle w:val="LienInternet"/>
          </w:rPr>
          <w:t>ötletet</w:t>
        </w:r>
      </w:hyperlink>
      <w:r>
        <w:rPr/>
        <w:t xml:space="preserve">). </w:t>
      </w:r>
    </w:p>
    <w:p>
      <w:pPr>
        <w:pStyle w:val="Normal"/>
        <w:jc w:val="left"/>
        <w:rPr/>
      </w:pPr>
      <w:r>
        <w:rPr/>
        <w:t>Az egyik résztvevő által kiemelt hátrányos helyzet a korábbi fogvatartottak helyzete. Annak ellenére, hogy letöltötték a büntetésüket, sok volt fogoly küzd azért, hogy visszatérjen a normális társadalmi életbe, ami növeli annak kockázatát, hogy ismétlődő elkövetőkké váljanak. Ezért különösen fontos a börtönök oktatása és képzése (lásd az</w:t>
      </w:r>
      <w:hyperlink r:id="rId1997">
        <w:r>
          <w:rPr>
            <w:rStyle w:val="LienInternet"/>
          </w:rPr>
          <w:t xml:space="preserve"> </w:t>
        </w:r>
      </w:hyperlink>
      <w:hyperlink r:id="rId1998">
        <w:r>
          <w:rPr>
            <w:rStyle w:val="LienInternet"/>
          </w:rPr>
          <w:t>ötletet)</w:t>
        </w:r>
      </w:hyperlink>
      <w:r>
        <w:rPr/>
        <w:t xml:space="preserve">. </w:t>
      </w:r>
    </w:p>
    <w:p>
      <w:pPr>
        <w:pStyle w:val="Normal"/>
        <w:jc w:val="left"/>
        <w:rPr/>
      </w:pPr>
      <w:r>
        <w:rPr/>
        <w:t>Az e kérdésekkel kapcsolatos tudatosság növelése érdekében az egyik résztvevő előmozdítja az esélyegyenlőség európai szintű létrehozásának ötletét (lásd az</w:t>
      </w:r>
      <w:hyperlink r:id="rId1999">
        <w:r>
          <w:rPr>
            <w:rStyle w:val="LienInternet"/>
          </w:rPr>
          <w:t xml:space="preserve"> ötletet)</w:t>
        </w:r>
      </w:hyperlink>
    </w:p>
    <w:p>
      <w:pPr>
        <w:pStyle w:val="Normal"/>
        <w:jc w:val="left"/>
        <w:rPr/>
      </w:pPr>
      <w:r>
        <w:rPr/>
      </w:r>
    </w:p>
    <w:p>
      <w:pPr>
        <w:pStyle w:val="Titre2"/>
        <w:numPr>
          <w:ilvl w:val="1"/>
          <w:numId w:val="1"/>
        </w:numPr>
        <w:jc w:val="left"/>
        <w:rPr/>
      </w:pPr>
      <w:bookmarkStart w:id="112" w:name="__RefHeading___Toc86547_2514204080"/>
      <w:bookmarkEnd w:id="112"/>
      <w:r>
        <w:rPr/>
        <w:t>Kreatív és tudományos szakemberek</w:t>
      </w:r>
    </w:p>
    <w:p>
      <w:pPr>
        <w:pStyle w:val="Normal"/>
        <w:jc w:val="left"/>
        <w:rPr/>
      </w:pPr>
      <w:r>
        <w:rPr/>
        <w:t xml:space="preserve">Mint már említettük, a munka előtti munka kérdése, különösen a fiatalok körében, olyan kérdés, amely jelentős figyelmet generált a platform résztvevői részéről. A kreatív ágazatot különösen a bizonytalan munka befolyásolja. </w:t>
      </w:r>
    </w:p>
    <w:p>
      <w:pPr>
        <w:pStyle w:val="Normal"/>
        <w:jc w:val="left"/>
        <w:rPr/>
      </w:pPr>
      <w:r>
        <w:rPr/>
        <w:t xml:space="preserve">A Covid19-világjárványnak a kulturális szakemberek és a kreatív közösségek munkakörülményeire gyakorolt hatása komoly gondolkodást váltott ki státuszukról és az uniós intézmények szerepéről egy olyan jogi keret biztosításában, amely javítaná az ágazat bizonytalanságát (lásd például egy </w:t>
      </w:r>
      <w:hyperlink r:id="rId2000">
        <w:r>
          <w:rPr>
            <w:rStyle w:val="LienInternet"/>
          </w:rPr>
          <w:t>ötletet</w:t>
        </w:r>
      </w:hyperlink>
      <w:r>
        <w:rPr/>
        <w:t xml:space="preserve">). Az egyik résztvevő arra kéri az EU-t, hogy támogassa a kreatív ágazatot a kreatív munkavállalók méltányos díjazásának biztosítása érdekében (lásd </w:t>
      </w:r>
      <w:hyperlink r:id="rId2001">
        <w:r>
          <w:rPr>
            <w:rStyle w:val="LienInternet"/>
          </w:rPr>
          <w:t>az ötletet</w:t>
        </w:r>
      </w:hyperlink>
      <w:r>
        <w:rPr/>
        <w:t xml:space="preserve">). Egy másik hozzájárulás szerint a Helyreállítási Alap pénzét a kulturális ágazat, és különösen a könyvszektor (lásd az </w:t>
      </w:r>
      <w:hyperlink r:id="rId2002">
        <w:r>
          <w:rPr>
            <w:rStyle w:val="LienInternet"/>
          </w:rPr>
          <w:t>ötletet)</w:t>
        </w:r>
      </w:hyperlink>
      <w:r>
        <w:rPr/>
        <w:t xml:space="preserve"> finanszírozására kell felhasználni, míg az egyik hozzájárulás kifejezetten a táncintézetek pénzügyi támogatásának növelését követeli meg (lásd az</w:t>
      </w:r>
      <w:hyperlink r:id="rId2003">
        <w:r>
          <w:rPr>
            <w:rStyle w:val="LienInternet"/>
          </w:rPr>
          <w:t xml:space="preserve"> </w:t>
        </w:r>
      </w:hyperlink>
      <w:hyperlink r:id="rId2004">
        <w:r>
          <w:rPr>
            <w:rStyle w:val="LienInternet"/>
          </w:rPr>
          <w:t>ötletet</w:t>
        </w:r>
      </w:hyperlink>
      <w:r>
        <w:rPr/>
        <w:t xml:space="preserve">). </w:t>
      </w:r>
    </w:p>
    <w:p>
      <w:pPr>
        <w:pStyle w:val="Normal"/>
        <w:jc w:val="left"/>
        <w:rPr/>
      </w:pPr>
      <w:r>
        <w:rPr/>
        <w:t xml:space="preserve">A kulturális munkások professzionalizálása kulcsfontosságú téma volt a kultúra körül Európa-szerte szervezett számos rendezvényen (lásd például egy </w:t>
      </w:r>
      <w:hyperlink r:id="rId2005">
        <w:r>
          <w:rPr>
            <w:rStyle w:val="LienInternet"/>
          </w:rPr>
          <w:t>rendezvényt)</w:t>
        </w:r>
      </w:hyperlink>
      <w:r>
        <w:rPr/>
        <w:t>. Az egyik résztvevő azt javasolja, hogy az EU ismerje el a művészek státuszát, ami a kulturális cseréket is megkönnyítené (lásd az</w:t>
      </w:r>
      <w:hyperlink r:id="rId2006">
        <w:r>
          <w:rPr>
            <w:rStyle w:val="LienInternet"/>
          </w:rPr>
          <w:t xml:space="preserve"> </w:t>
        </w:r>
      </w:hyperlink>
      <w:hyperlink r:id="rId2007">
        <w:r>
          <w:rPr>
            <w:rStyle w:val="LienInternet"/>
          </w:rPr>
          <w:t>ötletet)</w:t>
        </w:r>
      </w:hyperlink>
      <w:r>
        <w:rPr/>
        <w:t xml:space="preserve">. </w:t>
      </w:r>
    </w:p>
    <w:p>
      <w:pPr>
        <w:pStyle w:val="Normal"/>
        <w:jc w:val="left"/>
        <w:rPr/>
      </w:pPr>
      <w:r>
        <w:rPr/>
        <w:t>A kreatív szférával kapcsolatos egyéb ajánlások egyaránt érintik a helyi szinten működő szervezetek támogatását, valamint a nemzeti és regionális társfinanszírozás integrált rendszerének létrehozását, amely elősegítené a nemzetközi kulturális együttműködést (lásd például egy</w:t>
      </w:r>
      <w:hyperlink r:id="rId2008">
        <w:r>
          <w:rPr>
            <w:rStyle w:val="LienInternet"/>
          </w:rPr>
          <w:t xml:space="preserve"> </w:t>
        </w:r>
      </w:hyperlink>
      <w:hyperlink r:id="rId2009">
        <w:r>
          <w:rPr>
            <w:rStyle w:val="LienInternet"/>
          </w:rPr>
          <w:t>ötletet)</w:t>
        </w:r>
      </w:hyperlink>
      <w:r>
        <w:rPr/>
        <w:t xml:space="preserve">. </w:t>
      </w:r>
    </w:p>
    <w:p>
      <w:pPr>
        <w:pStyle w:val="Normal"/>
        <w:jc w:val="left"/>
        <w:rPr/>
      </w:pPr>
      <w:r>
        <w:rPr/>
        <w:t>A tudományos szakemberek és a kutatók egy másik szakmai kategória, amelyet erősen érint a munkahelyi precaritás. Az egyik ötlet a kutatási támogatások odaítélési módjának megváltoztatását javasolja annak érdekében, hogy alkalmasabbá váljon az interszekcionális kutatásra (lásd az</w:t>
      </w:r>
      <w:hyperlink r:id="rId2010">
        <w:r>
          <w:rPr>
            <w:rStyle w:val="LienInternet"/>
          </w:rPr>
          <w:t xml:space="preserve"> </w:t>
        </w:r>
      </w:hyperlink>
      <w:hyperlink r:id="rId2011">
        <w:r>
          <w:rPr>
            <w:rStyle w:val="LienInternet"/>
          </w:rPr>
          <w:t>ötletet)</w:t>
        </w:r>
      </w:hyperlink>
      <w:r>
        <w:rPr/>
        <w:t>.</w:t>
      </w:r>
    </w:p>
    <w:p>
      <w:pPr>
        <w:pStyle w:val="Normal"/>
        <w:jc w:val="left"/>
        <w:rPr/>
      </w:pPr>
      <w:r>
        <w:rPr/>
      </w:r>
    </w:p>
    <w:p>
      <w:pPr>
        <w:pStyle w:val="Titre2"/>
        <w:numPr>
          <w:ilvl w:val="1"/>
          <w:numId w:val="1"/>
        </w:numPr>
        <w:jc w:val="left"/>
        <w:rPr/>
      </w:pPr>
      <w:bookmarkStart w:id="113" w:name="__RefHeading___Toc86549_2514204080"/>
      <w:bookmarkEnd w:id="113"/>
      <w:r>
        <w:rPr/>
        <w:t>Inkluzivitás a sportban</w:t>
      </w:r>
    </w:p>
    <w:p>
      <w:pPr>
        <w:pStyle w:val="Normal"/>
        <w:jc w:val="left"/>
        <w:rPr/>
      </w:pPr>
      <w:r>
        <w:rPr/>
        <w:t xml:space="preserve">A sporthoz kapcsolódó ötletek, különösen, ha ezt önmagában témáként tárgyalják, valamivel kisebb helyet foglalnak el a platformon. A sport témáját azonban több résztvevő is megvitatta. </w:t>
      </w:r>
    </w:p>
    <w:p>
      <w:pPr>
        <w:pStyle w:val="Normal"/>
        <w:jc w:val="left"/>
        <w:rPr/>
      </w:pPr>
      <w:r>
        <w:rPr/>
        <w:t xml:space="preserve">Mint már említettük, sok résztvevő egy európai sportcsapatot támogat, mások pedig több sportgyakorlatot szorgalmaznak az iskolákban, de a sport témáját gyakran más témákkal, például az inkluzivitással kapcsolatban is megemlítik. A résztvevők megkérdőjelezik a sport befogadóképességét (lásd az </w:t>
      </w:r>
      <w:hyperlink r:id="rId2012">
        <w:r>
          <w:rPr>
            <w:rStyle w:val="LienInternet"/>
          </w:rPr>
          <w:t>ötlet példáját)</w:t>
        </w:r>
      </w:hyperlink>
      <w:r>
        <w:rPr/>
        <w:t xml:space="preserve">, és ötleteket javasolnak a sport inkluzivitásának javítására (lásd például az ötletet). Az egyik hozzászólás arra kéri az EU-t, hogy garantálja a nemek közötti egyenlőséget a sport területén, többek között egy erre a célra létrehozott európai hatóság létrehozása révén (lásd </w:t>
      </w:r>
      <w:hyperlink r:id="rId2013">
        <w:r>
          <w:rPr>
            <w:rStyle w:val="LienInternet"/>
          </w:rPr>
          <w:t>az ötletet</w:t>
        </w:r>
      </w:hyperlink>
      <w:r>
        <w:rPr/>
        <w:t>). Az Europa Press által szervezett találkozón a résztvevők megvitatták, hogy a sportdivat szexualizálja-e egy másik közreműködőt az EU-ban az egyetemi adórendszerek széles – egyes esetekben magas – sokféleségét illetően, méltányos egyetemi adózást szorgalmazva (lásd az</w:t>
      </w:r>
      <w:hyperlink r:id="rId2014">
        <w:r>
          <w:rPr>
            <w:rStyle w:val="LienInternet"/>
          </w:rPr>
          <w:t xml:space="preserve"> </w:t>
        </w:r>
      </w:hyperlink>
      <w:hyperlink r:id="rId2015">
        <w:r>
          <w:rPr>
            <w:rStyle w:val="LienInternet"/>
          </w:rPr>
          <w:t>ötletet</w:t>
        </w:r>
      </w:hyperlink>
      <w:r>
        <w:rPr/>
        <w:t xml:space="preserve">). </w:t>
      </w:r>
    </w:p>
    <w:p>
      <w:pPr>
        <w:pStyle w:val="Normal"/>
        <w:jc w:val="left"/>
        <w:rPr/>
      </w:pPr>
      <w:r>
        <w:rPr/>
        <w:t>A sport másik gyakran említett aspektusa a kevésbé mainstream sportokkal kapcsolatos egyenlőtlen köztudat (lásd az</w:t>
      </w:r>
      <w:hyperlink r:id="rId2016">
        <w:r>
          <w:rPr>
            <w:rStyle w:val="LienInternet"/>
          </w:rPr>
          <w:t xml:space="preserve"> ötlet példáját)</w:t>
        </w:r>
      </w:hyperlink>
      <w:r>
        <w:rPr/>
        <w:t>. E tekintetben az egyik elképzelés szerint az intézményeknek be kell avatkozniuk a kevésbé széles körben gyakorolt sport támogatása érdekében (lásd az</w:t>
      </w:r>
      <w:hyperlink r:id="rId2017">
        <w:r>
          <w:rPr>
            <w:rStyle w:val="LienInternet"/>
          </w:rPr>
          <w:t xml:space="preserve"> </w:t>
        </w:r>
      </w:hyperlink>
      <w:hyperlink r:id="rId2018">
        <w:r>
          <w:rPr>
            <w:rStyle w:val="LienInternet"/>
          </w:rPr>
          <w:t>ötletet)</w:t>
        </w:r>
      </w:hyperlink>
      <w:r>
        <w:rPr/>
        <w:t xml:space="preserve">. </w:t>
      </w:r>
    </w:p>
    <w:p>
      <w:pPr>
        <w:pStyle w:val="Normal"/>
        <w:jc w:val="left"/>
        <w:rPr/>
      </w:pPr>
      <w:r>
        <w:rPr/>
        <w:t>Egy németországi rendezvény megvitatta, hogy a sport hogyan járulhat hozzá az éghajlat-politikai fellépéshez, a résztvevőkkel, akik többnyire sportklubok tagjai voltak, megosztva a bevált gyakorlatok példáit (lásd az</w:t>
      </w:r>
      <w:hyperlink r:id="rId2019">
        <w:r>
          <w:rPr>
            <w:rStyle w:val="LienInternet"/>
          </w:rPr>
          <w:t xml:space="preserve"> </w:t>
        </w:r>
      </w:hyperlink>
      <w:hyperlink r:id="rId2020">
        <w:r>
          <w:rPr>
            <w:rStyle w:val="LienInternet"/>
          </w:rPr>
          <w:t>eseményt</w:t>
        </w:r>
      </w:hyperlink>
      <w:r>
        <w:rPr/>
        <w:t>).</w:t>
      </w:r>
    </w:p>
    <w:p>
      <w:pPr>
        <w:pStyle w:val="Corpsdetexte"/>
        <w:jc w:val="left"/>
        <w:rPr/>
      </w:pPr>
      <w:r>
        <w:rPr/>
      </w:r>
    </w:p>
    <w:p>
      <w:pPr>
        <w:pStyle w:val="Titre2"/>
        <w:numPr>
          <w:ilvl w:val="1"/>
          <w:numId w:val="1"/>
        </w:numPr>
        <w:jc w:val="left"/>
        <w:rPr/>
      </w:pPr>
      <w:bookmarkStart w:id="114" w:name="__RefHeading___Toc228956_11952128"/>
      <w:bookmarkEnd w:id="114"/>
      <w:r>
        <w:rPr/>
        <w:t>Új ötletek az elmúlt időszakban (21/02/2022–09/05/2022)</w:t>
      </w:r>
    </w:p>
    <w:p>
      <w:pPr>
        <w:pStyle w:val="Corpsdetexte"/>
        <w:jc w:val="left"/>
        <w:rPr/>
      </w:pPr>
      <w:r>
        <w:rPr/>
        <w:t xml:space="preserve">A legutóbbi hozzájárulásokban nem került sor új témákra vagy altémákra. </w:t>
      </w:r>
    </w:p>
    <w:p>
      <w:pPr>
        <w:pStyle w:val="Corpsdetexte"/>
        <w:jc w:val="left"/>
        <w:rPr/>
      </w:pPr>
      <w:r>
        <w:rPr/>
        <w:t>Ami az ötleteket illeti, számos javaslat kapcsolódik a jövőálló oktatás témájához, például az iskolai tantervek korszerűsítéséhez (lásd például</w:t>
      </w:r>
      <w:hyperlink r:id="rId2021">
        <w:r>
          <w:rPr>
            <w:rStyle w:val="LienInternet"/>
          </w:rPr>
          <w:t>:</w:t>
        </w:r>
      </w:hyperlink>
      <w:r>
        <w:rPr/>
        <w:t>i dea) vagy az eltérő oktatási rendszerek reformjához és összehangolásához (lásd például az</w:t>
      </w:r>
      <w:hyperlink r:id="rId2022">
        <w:r>
          <w:rPr>
            <w:rStyle w:val="LienInternet"/>
          </w:rPr>
          <w:t xml:space="preserve"> ötletet</w:t>
        </w:r>
      </w:hyperlink>
      <w:r>
        <w:rPr/>
        <w:t xml:space="preserve">). A tanároknak szóló képzési rendszerek létrehozását is javasolták, amelynek keretében egy olaszországi rendezvény résztvevői hangsúlyozták, hogy a tanárokat az EU által kínált lehetőségekről kell képezni (lásd az </w:t>
      </w:r>
      <w:hyperlink r:id="rId2023">
        <w:r>
          <w:rPr>
            <w:rStyle w:val="LienInternet"/>
          </w:rPr>
          <w:t>ötletet</w:t>
        </w:r>
      </w:hyperlink>
      <w:r>
        <w:rPr/>
        <w:t xml:space="preserve"> és az </w:t>
      </w:r>
      <w:hyperlink r:id="rId2024">
        <w:r>
          <w:rPr>
            <w:rStyle w:val="LienInternet"/>
          </w:rPr>
          <w:t>eseményt</w:t>
        </w:r>
      </w:hyperlink>
      <w:r>
        <w:rPr/>
        <w:t>). A mentális egészség témáját is felvetették, egy hozzászóló pedig ingyenes pszichológiai segítséget javasolt az iskolákban (lásd az</w:t>
      </w:r>
      <w:hyperlink r:id="rId2025">
        <w:r>
          <w:rPr>
            <w:rStyle w:val="LienInternet"/>
          </w:rPr>
          <w:t xml:space="preserve"> </w:t>
        </w:r>
      </w:hyperlink>
      <w:hyperlink r:id="rId2026">
        <w:r>
          <w:rPr>
            <w:rStyle w:val="LienInternet"/>
          </w:rPr>
          <w:t>ötletet)</w:t>
        </w:r>
      </w:hyperlink>
      <w:r>
        <w:rPr/>
        <w:t xml:space="preserve">. </w:t>
      </w:r>
    </w:p>
    <w:p>
      <w:pPr>
        <w:pStyle w:val="Normal"/>
        <w:jc w:val="left"/>
        <w:rPr/>
      </w:pPr>
      <w:r>
        <w:rPr/>
        <w:t xml:space="preserve">Egy másik téma, amely gyakran megjelent, a közös uniós identitás előmozdításával kapcsolatos (lásd az </w:t>
      </w:r>
      <w:hyperlink r:id="rId2027">
        <w:r>
          <w:rPr>
            <w:rStyle w:val="LienInternet"/>
          </w:rPr>
          <w:t>ötlet példáját</w:t>
        </w:r>
      </w:hyperlink>
      <w:r>
        <w:rPr/>
        <w:t xml:space="preserve">). Amint arról korábban beszámoltak, a válaszadók úgy érzik, hogy a csereprogramok kulcsszerepet játszanak a sokszínűség előmozdításában és az emberek EU-ba vetett bizalmának növelésében (lásd az ötletet). </w:t>
      </w:r>
    </w:p>
    <w:p>
      <w:pPr>
        <w:pStyle w:val="Normal"/>
        <w:jc w:val="left"/>
        <w:rPr/>
      </w:pPr>
      <w:r>
        <w:rPr/>
        <w:t xml:space="preserve">Számos ötlet kapcsolódik az EU-n belüli mobilitáshoz, a résztvevők a cserekezdeményezések kiterjesztését kérik (lásd például az ötletet). </w:t>
      </w:r>
    </w:p>
    <w:p>
      <w:pPr>
        <w:pStyle w:val="Normal"/>
        <w:jc w:val="left"/>
        <w:rPr/>
      </w:pPr>
      <w:r>
        <w:rPr/>
        <w:t xml:space="preserve">A Europe Direct által Nápolyban szervezett ifjúsági vita számos ötletet váltott ki az oktatás témájában, például egy közös európai oktatási rendszer létrehozásának szükségességét, amelynek keretében a különböző uniós országok között el kell ismerni az egyetemi képesítéseket, amelyek kulcsfontosságú lépést jelentenek ebbe az irányba (lásd az ötletet). Egy másik javaslat szerint növelni kell a felsőoktatáshoz és a kultúrához való hozzáférést (lásd az ötletet). </w:t>
      </w:r>
    </w:p>
    <w:p>
      <w:pPr>
        <w:pStyle w:val="Normal"/>
        <w:jc w:val="left"/>
        <w:rPr/>
      </w:pPr>
      <w:r>
        <w:rPr/>
        <w:t>Az ifjúság témájában a hozzájárulások a fiatalok foglalkoztatásának más témákban is tárgyalt kérdéseit vitatják meg. Emellett egy hozzájáruló támogatja a fiatalok médiában betöltött szerepének megerősítését a tisztességes képviselet és a kevésbé sztereotípia típusú, negatív beszámolók (lásd az</w:t>
      </w:r>
      <w:hyperlink r:id="rId2028">
        <w:r>
          <w:rPr>
            <w:rStyle w:val="LienInternet"/>
          </w:rPr>
          <w:t xml:space="preserve"> </w:t>
        </w:r>
      </w:hyperlink>
      <w:hyperlink r:id="rId2029">
        <w:r>
          <w:rPr>
            <w:rStyle w:val="LienInternet"/>
          </w:rPr>
          <w:t>ötletet)</w:t>
        </w:r>
      </w:hyperlink>
      <w:r>
        <w:rPr/>
        <w:t xml:space="preserve"> biztosítása érdekében. </w:t>
      </w:r>
    </w:p>
    <w:p>
      <w:pPr>
        <w:pStyle w:val="Normal"/>
        <w:jc w:val="left"/>
        <w:rPr/>
      </w:pPr>
      <w:r>
        <w:rPr/>
        <w:t xml:space="preserve">A sport- és szabadidős tevékenységek fontosságát számos résztvevő is kiemelte, akik hangsúlyozták a sportoktatás kulcsszerepét, de az ehhez kapcsolódó páneurópai tevékenységeket is (lásd például a </w:t>
      </w:r>
      <w:hyperlink r:id="rId2030">
        <w:r>
          <w:rPr>
            <w:rStyle w:val="LienInternet"/>
          </w:rPr>
          <w:t>sportoktatással kapcsolatos ötletet</w:t>
        </w:r>
      </w:hyperlink>
      <w:r>
        <w:rPr/>
        <w:t xml:space="preserve">). </w:t>
      </w:r>
    </w:p>
    <w:p>
      <w:pPr>
        <w:pStyle w:val="Corpsdetexte"/>
        <w:jc w:val="left"/>
        <w:rPr/>
      </w:pPr>
      <w:r>
        <w:rPr/>
        <w:t xml:space="preserve">A kreatív és tudományos szakemberekkel kapcsolatos, ritkábban említett ötletek, valamint a határokon átnyúló tudományos kutatás és tudományos együttműködés támogatása (lásd például az </w:t>
      </w:r>
      <w:hyperlink r:id="rId2031">
        <w:r>
          <w:rPr>
            <w:rStyle w:val="LienInternet"/>
          </w:rPr>
          <w:t>ötletet</w:t>
        </w:r>
      </w:hyperlink>
      <w:r>
        <w:rPr/>
        <w:t>).</w:t>
      </w:r>
    </w:p>
    <w:p>
      <w:pPr>
        <w:pStyle w:val="Corpsdetexte"/>
        <w:jc w:val="left"/>
        <w:rPr/>
      </w:pPr>
      <w:r>
        <w:rPr/>
      </w:r>
    </w:p>
    <w:p>
      <w:pPr>
        <w:sectPr>
          <w:headerReference w:type="default" r:id="rId2032"/>
          <w:footerReference w:type="default" r:id="rId2033"/>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Corpsdetexte"/>
        <w:jc w:val="left"/>
        <w:rPr/>
      </w:pPr>
      <w:r>
        <w:rPr/>
        <mc:AlternateContent>
          <mc:Choice Requires="wps">
            <w:drawing>
              <wp:anchor behindDoc="0" distT="0" distB="0" distL="0" distR="0" simplePos="0" locked="0" layoutInCell="0" allowOverlap="1" relativeHeight="141">
                <wp:simplePos x="0" y="0"/>
                <wp:positionH relativeFrom="column">
                  <wp:posOffset>295275</wp:posOffset>
                </wp:positionH>
                <wp:positionV relativeFrom="paragraph">
                  <wp:posOffset>92075</wp:posOffset>
                </wp:positionV>
                <wp:extent cx="8726170" cy="5244465"/>
                <wp:effectExtent l="0" t="0" r="0" b="0"/>
                <wp:wrapTopAndBottom/>
                <wp:docPr id="111" name="Cadre27"/>
                <a:graphic xmlns:a="http://schemas.openxmlformats.org/drawingml/2006/main">
                  <a:graphicData uri="http://schemas.microsoft.com/office/word/2010/wordprocessingShape">
                    <wps:wsp>
                      <wps:cNvSpPr/>
                      <wps:spPr>
                        <a:xfrm>
                          <a:off x="0" y="0"/>
                          <a:ext cx="8726040" cy="524448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Ábra. Elmetérkép „Oktatás, kultúra, ifjúság és sport” témakör 1. rész </w:t>
                            </w:r>
                          </w:p>
                        </w:txbxContent>
                      </wps:txbx>
                      <wps:bodyPr lIns="0" rIns="0" tIns="0" bIns="0" anchor="t">
                        <a:noAutofit/>
                      </wps:bodyPr>
                    </wps:wsp>
                  </a:graphicData>
                </a:graphic>
              </wp:anchor>
            </w:drawing>
          </mc:Choice>
          <mc:Fallback>
            <w:pict>
              <v:rect id="shape_0" ID="Cadre27" path="m0,0l-2147483645,0l-2147483645,-2147483646l0,-2147483646xe" fillcolor="white" stroked="f" o:allowincell="f" style="position:absolute;margin-left:23.25pt;margin-top:7.25pt;width:687.05pt;height:412.9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Ábra. Elmetérkép „Oktatás, kultúra, ifjúság és sport” témakör 1. rész </w:t>
                      </w:r>
                    </w:p>
                  </w:txbxContent>
                </v:textbox>
                <w10:wrap type="topAndBottom"/>
              </v:rect>
            </w:pict>
          </mc:Fallback>
        </mc:AlternateContent>
        <mc:AlternateContent>
          <mc:Choice Requires="wpg">
            <w:drawing>
              <wp:anchor behindDoc="0" distT="0" distB="0" distL="0" distR="0" simplePos="0" locked="0" layoutInCell="0" allowOverlap="1" relativeHeight="143">
                <wp:simplePos x="0" y="0"/>
                <wp:positionH relativeFrom="column">
                  <wp:align>center</wp:align>
                </wp:positionH>
                <wp:positionV relativeFrom="paragraph">
                  <wp:posOffset>449580</wp:posOffset>
                </wp:positionV>
                <wp:extent cx="8725535" cy="4615180"/>
                <wp:effectExtent l="0" t="0" r="0" b="0"/>
                <wp:wrapTopAndBottom/>
                <wp:docPr id="113" name="Forme 4 (angol nyelven)"/>
                <a:graphic xmlns:a="http://schemas.openxmlformats.org/drawingml/2006/main">
                  <a:graphicData uri="http://schemas.microsoft.com/office/word/2010/wordprocessingGroup">
                    <wpg:wgp>
                      <wpg:cNvGrpSpPr/>
                      <wpg:grpSpPr>
                        <a:xfrm>
                          <a:off x="0" y="0"/>
                          <a:ext cx="8725680" cy="4615200"/>
                          <a:chOff x="0" y="0"/>
                          <a:chExt cx="8725680" cy="4615200"/>
                        </a:xfrm>
                      </wpg:grpSpPr>
                      <wpg:grpSp>
                        <wpg:cNvGrpSpPr/>
                        <wpg:grpSpPr>
                          <a:xfrm>
                            <a:off x="7128000" y="878040"/>
                            <a:ext cx="1597680" cy="1501920"/>
                          </a:xfrm>
                        </wpg:grpSpPr>
                        <pic:pic xmlns:pic="http://schemas.openxmlformats.org/drawingml/2006/picture">
                          <pic:nvPicPr>
                            <pic:cNvPr id="25" name="" descr=""/>
                            <pic:cNvPicPr/>
                          </pic:nvPicPr>
                          <pic:blipFill>
                            <a:blip r:embed="rId2034"/>
                            <a:stretch/>
                          </pic:blipFill>
                          <pic:spPr>
                            <a:xfrm>
                              <a:off x="0" y="0"/>
                              <a:ext cx="911160" cy="664200"/>
                            </a:xfrm>
                            <a:prstGeom prst="rect">
                              <a:avLst/>
                            </a:prstGeom>
                            <a:ln w="0">
                              <a:noFill/>
                            </a:ln>
                          </pic:spPr>
                        </pic:pic>
                        <wps:wsp>
                          <wps:cNvSpPr/>
                          <wps:spPr>
                            <a:xfrm>
                              <a:off x="28440" y="708120"/>
                              <a:ext cx="1569240" cy="79380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Oktatás, kultúra, ifjúság és sport</w:t>
                                </w:r>
                              </w:p>
                            </w:txbxContent>
                          </wps:txbx>
                          <wps:bodyPr lIns="90000" rIns="90000" tIns="45000" bIns="45000" anchor="t">
                            <a:noAutofit/>
                          </wps:bodyPr>
                        </wps:wsp>
                      </wpg:grpSp>
                      <wpg:grpSp>
                        <wpg:cNvGrpSpPr/>
                        <wpg:grpSpPr>
                          <a:xfrm>
                            <a:off x="833040" y="0"/>
                            <a:ext cx="6903720" cy="1670760"/>
                          </a:xfrm>
                        </wpg:grpSpPr>
                        <wps:wsp>
                          <wps:cNvSpPr/>
                          <wps:spPr>
                            <a:xfrm>
                              <a:off x="4335120" y="417240"/>
                              <a:ext cx="2568600" cy="406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közös uniós identitás előmozdítása</w:t>
                                </w:r>
                              </w:p>
                            </w:txbxContent>
                          </wps:txbx>
                          <wps:bodyPr lIns="90000" rIns="90000" tIns="45000" bIns="45000" anchor="t">
                            <a:noAutofit/>
                          </wps:bodyPr>
                        </wps:wsp>
                        <wps:wsp>
                          <wps:cNvSpPr/>
                          <wps:spPr>
                            <a:xfrm>
                              <a:off x="0" y="0"/>
                              <a:ext cx="4321800" cy="16707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Több uniós médiaportál létrehozása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európai történelem ismeretének előmozdítása azáltal, hogy bemutatja az EU iskolai történelméről szóló tanfolyamot, és létrehozza az európai történelem kézikönyvét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Nyelvek: közös nyelv (angol/esperanto) elfogadása vagy a többnyelvűség előmozdítása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Európai munkaszüneti nap május 9-én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Ösztöndíj Fedezze fel az EU-n belüli ingyenes sínközi bérletet mind az 18 évesek számára az EU-ban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Több országra kiterjedő, Európa-közi sportesemény szervezése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Nemzetközi versenyek európai csapatainak létrehozása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idegennyelv-oktatás ösztönzése az interkulturális csere előmozdítása érdekében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tagállamok határain átnyúló barátságok előmozdítása iskolák cseréje vagy ikerintézményi kapcsolatok révén </w:t>
                                </w:r>
                              </w:p>
                            </w:txbxContent>
                          </wps:txbx>
                          <wps:bodyPr lIns="90000" rIns="90000" tIns="45000" bIns="45000" anchor="t">
                            <a:noAutofit/>
                          </wps:bodyPr>
                        </wps:wsp>
                      </wpg:grpSp>
                      <wpg:grpSp>
                        <wpg:cNvGrpSpPr/>
                        <wpg:grpSpPr>
                          <a:xfrm>
                            <a:off x="0" y="2282760"/>
                            <a:ext cx="3877200" cy="1667520"/>
                          </a:xfrm>
                        </wpg:grpSpPr>
                        <wps:wsp>
                          <wps:cNvSpPr/>
                          <wps:spPr>
                            <a:xfrm>
                              <a:off x="2749680" y="372960"/>
                              <a:ext cx="112788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EU-n belüli mobilitás</w:t>
                                </w:r>
                              </w:p>
                            </w:txbxContent>
                          </wps:txbx>
                          <wps:bodyPr lIns="90000" rIns="90000" tIns="45000" bIns="45000" anchor="t">
                            <a:noAutofit/>
                          </wps:bodyPr>
                        </wps:wsp>
                        <wps:wsp>
                          <wps:cNvSpPr/>
                          <wps:spPr>
                            <a:xfrm>
                              <a:off x="0" y="0"/>
                              <a:ext cx="2757960" cy="166752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felsőoktatási képesítések elismerése az EU-országokban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Európa-közi oktatási mobilitás előmozdítása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Európa-közi oktatási mobilitás megkönnyítése az EU által vezetett, felsőoktatási kurzusokat gyűjtő online portálon keresztül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Erasmus ösztöndíj befogadóbbá és hozzáférhetőbbé tétele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Ratifikálja a Lisszaboni Elismerési Egyezményt a görögországi szakmai és egyetemi mobilitás megkönnyítése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Egyesült Királyság diákjainak újrabeilleszkedése az Erasmus+ programban</w:t>
                                </w:r>
                              </w:p>
                            </w:txbxContent>
                          </wps:txbx>
                          <wps:bodyPr lIns="90000" rIns="90000" tIns="45000" bIns="45000" anchor="t">
                            <a:noAutofit/>
                          </wps:bodyPr>
                        </wps:wsp>
                      </wpg:grpSp>
                      <wpg:grpSp>
                        <wpg:cNvGrpSpPr/>
                        <wpg:grpSpPr>
                          <a:xfrm>
                            <a:off x="4178160" y="1764000"/>
                            <a:ext cx="4341600" cy="2851200"/>
                          </a:xfrm>
                        </wpg:grpSpPr>
                        <wps:wsp>
                          <wps:cNvSpPr/>
                          <wps:spPr>
                            <a:xfrm>
                              <a:off x="2673000" y="806400"/>
                              <a:ext cx="166896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Időtálló oktatás</w:t>
                                </w:r>
                              </w:p>
                            </w:txbxContent>
                          </wps:txbx>
                          <wps:bodyPr lIns="90000" rIns="90000" tIns="45000" bIns="45000" anchor="t">
                            <a:noAutofit/>
                          </wps:bodyPr>
                        </wps:wsp>
                        <wps:wsp>
                          <wps:cNvSpPr/>
                          <wps:spPr>
                            <a:xfrm>
                              <a:off x="0" y="0"/>
                              <a:ext cx="2654280" cy="2851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(szakmai) oktatás jobb összehangolása a munka világával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Beruházás az oktatásba és az oktatási infrastruktúrába az oktatást szolgáló európai beruházási stratégiával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Integrálja a soft-skills tanulást</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oktatás digitalizálásának fokozása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STEM-készségek fejlesztésének integrálása az oktatási rendszerbe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éghajlatváltozás integrálása az oktatási rendszerbe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kultúrák közötti készségek elsajátítása és az aktív társadalmi részvétel ösztönzése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Inkluzív oktatási módszerek alkalmazása és a sokszínűség előmozdítása az oktatásban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Rugalmasabb iskolai tantervek, az iskolai osztályok nagyobb választékával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Szabványos záróvizsga létrehozása minden uniós ország számára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egész életen át tartó tanulás és képzés mint jog előmozdítása és létrehozása </w:t>
                                </w:r>
                              </w:p>
                            </w:txbxContent>
                          </wps:txbx>
                          <wps:bodyPr lIns="90000" rIns="90000" tIns="45000" bIns="45000" anchor="t">
                            <a:noAutofit/>
                          </wps:bodyPr>
                        </wps:wsp>
                      </wpg:grpSp>
                    </wpg:wgp>
                  </a:graphicData>
                </a:graphic>
              </wp:anchor>
            </w:drawing>
          </mc:Choice>
          <mc:Fallback>
            <w:pict>
              <v:group id="shape_0" alt="Forme 4 (angol nyelven)" style="position:absolute;margin-left:20.7pt;margin-top:35.4pt;width:687.05pt;height:363.4pt" coordorigin="414,708" coordsize="13741,7268">
                <v:group id="shape_0" style="position:absolute;left:11639;top:2091;width:2516;height:2365">
                  <v:shape id="shape_0" stroked="f" o:allowincell="f" style="position:absolute;left:11639;top:2091;width:1434;height:1045;mso-wrap-style:none;v-text-anchor:middle;mso-position-horizontal:center" type="_x0000_t75">
                    <v:imagedata r:id="rId2034" o:detectmouseclick="t"/>
                    <v:stroke color="#3465a4" joinstyle="round" endcap="flat"/>
                    <w10:wrap type="topAndBottom"/>
                  </v:shape>
                  <v:rect id="shape_0" path="m0,0l-2147483645,0l-2147483645,-2147483646l0,-2147483646xe" stroked="f" o:allowincell="f" style="position:absolute;left:11684;top:3206;width:2470;height:1249;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Oktatás, kultúra, ifjúság és sport</w:t>
                          </w:r>
                        </w:p>
                      </w:txbxContent>
                    </v:textbox>
                    <v:fill o:detectmouseclick="t" on="false"/>
                    <v:stroke color="#3465a4" joinstyle="round" endcap="flat"/>
                    <w10:wrap type="topAndBottom"/>
                  </v:rect>
                </v:group>
                <v:group id="shape_0" style="position:absolute;left:1726;top:708;width:10872;height:2631">
                  <v:rect id="shape_0" path="m0,0l-2147483645,0l-2147483645,-2147483646l0,-2147483646xe" fillcolor="#a3238e" stroked="t" o:allowincell="f" style="position:absolute;left:8553;top:1365;width:4044;height:63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 közös uniós identitás előmozdítása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726;top:708;width:6805;height:2630;mso-wrap-style:square;v-text-anchor:top;mso-position-horizontal:center">
                    <v:textbox>
                      <w:txbxContent>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Több uniós médiaportál létrehozása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európai történelem ismeretének előmozdítása azáltal, hogy bemutatja az EU iskolai történelméről szóló tanfolyamot, és létrehozza az európai történelem kézikönyvét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Nyelvek: közös nyelv (angol/esperanto) elfogadása vagy a többnyelvűség előmozdítása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Európai munkaszüneti nap május 9-én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Ösztöndíj Fedezze fel az EU-n belüli ingyenes sínközi bérletet mind az 18 évesek számára az EU-ban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Több országra kiterjedő, Európa-közi sportesemény szervezése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Nemzetközi versenyek európai csapatainak létrehozása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idegennyelv-oktatás ösztönzése az interkulturális csere előmozdítása érdekében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tagállamok határain átnyúló barátságok előmozdítása iskolák cseréje vagy ikerintézményi kapcsolatok révén </w:t>
                          </w:r>
                        </w:p>
                      </w:txbxContent>
                    </v:textbox>
                    <v:fill o:detectmouseclick="t" type="solid" color2="#111111"/>
                    <v:stroke color="#3465a4" joinstyle="round" endcap="flat"/>
                    <w10:wrap type="topAndBottom"/>
                  </v:rect>
                </v:group>
                <v:group id="shape_0" style="position:absolute;left:414;top:4303;width:6106;height:2626">
                  <v:rect id="shape_0" path="m0,0l-2147483645,0l-2147483645,-2147483646l0,-2147483646xe" fillcolor="#a3238e" stroked="t" o:allowincell="f" style="position:absolute;left:4744;top:4890;width:1775;height:73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EU-n belüli mobilitás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414;top:4303;width:4342;height:2625;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felsőoktatási képesítések elismerése az EU-országokban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Európa-közi oktatási mobilitás előmozdítása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Európa-közi oktatási mobilitás megkönnyítése az EU által vezetett, felsőoktatási kurzusokat gyűjtő online portálon keresztül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Erasmus ösztöndíj befogadóbbá és hozzáférhetőbbé tétele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Ratifikálja a Lisszaboni Elismerési Egyezményt a görögországi szakmai és egyetemi mobilitás megkönnyítése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Az Egyesült Királyság diákjainak újrabeilleszkedése az Erasmus+ programban</w:t>
                          </w:r>
                        </w:p>
                      </w:txbxContent>
                    </v:textbox>
                    <v:fill o:detectmouseclick="t" type="solid" color2="#111111"/>
                    <v:stroke color="#3465a4" joinstyle="round" endcap="flat"/>
                    <w10:wrap type="topAndBottom"/>
                  </v:rect>
                </v:group>
                <v:group id="shape_0" style="position:absolute;left:6994;top:3486;width:6837;height:4490">
                  <v:rect id="shape_0" path="m0,0l-2147483645,0l-2147483645,-2147483646l0,-2147483646xe" fillcolor="#a3238e" stroked="t" o:allowincell="f" style="position:absolute;left:11203;top:4756;width:2627;height:73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Időtálló oktatás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6994;top:3486;width:4179;height:4489;mso-wrap-style:square;v-text-anchor:top;mso-position-horizontal:center">
                    <v:textbox>
                      <w:txbxContent>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(szakmai) oktatás jobb összehangolása a munka világával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Beruházás az oktatásba és az oktatási infrastruktúrába az oktatást szolgáló európai beruházási stratégiával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Integrálja a soft-skills tanulást</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oktatás digitalizálásának fokozása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STEM-készségek fejlesztésének integrálása az oktatási rendszerbe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éghajlatváltozás integrálása az oktatási rendszerbe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kultúrák közötti készségek elsajátítása és az aktív társadalmi részvétel ösztönzése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Inkluzív oktatási módszerek alkalmazása és a sokszínűség előmozdítása az oktatásban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Rugalmasabb iskolai tantervek, az iskolai osztályok nagyobb választékával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Szabványos záróvizsga létrehozása minden uniós ország számára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egész életen át tartó tanulás és képzés mint jog előmozdítása és létrehozása </w:t>
                          </w:r>
                        </w:p>
                      </w:txbxContent>
                    </v:textbox>
                    <v:fill o:detectmouseclick="t" type="solid" color2="#111111"/>
                    <v:stroke color="#3465a4" joinstyle="round" endcap="flat"/>
                    <w10:wrap type="topAndBottom"/>
                  </v:rect>
                </v:group>
              </v:group>
            </w:pict>
          </mc:Fallback>
        </mc:AlternateContent>
      </w:r>
    </w:p>
    <w:p>
      <w:pPr>
        <w:pStyle w:val="Corpsdetexte"/>
        <w:jc w:val="left"/>
        <w:rPr/>
      </w:pPr>
      <w:r>
        <w:rPr/>
      </w:r>
    </w:p>
    <w:p>
      <w:pPr>
        <w:pStyle w:val="Corpsdetexte"/>
        <w:jc w:val="left"/>
        <w:rPr/>
      </w:pPr>
      <w:r>
        <w:rPr/>
      </w:r>
      <w:r>
        <w:br w:type="page"/>
      </w:r>
    </w:p>
    <w:p>
      <w:pPr>
        <w:pStyle w:val="Corpsdetexte"/>
        <w:jc w:val="left"/>
        <w:rPr/>
      </w:pPr>
      <w:r>
        <w:rPr/>
      </w:r>
    </w:p>
    <w:p>
      <w:pPr>
        <w:sectPr>
          <w:headerReference w:type="default" r:id="rId2036"/>
          <w:footerReference w:type="default" r:id="rId2037"/>
          <w:type w:val="nextPage"/>
          <w:pgSz w:orient="landscape" w:w="16838" w:h="11906"/>
          <w:pgMar w:left="1134" w:right="1134" w:gutter="0" w:header="1134" w:top="1417" w:footer="0" w:bottom="1134"/>
          <w:pgNumType w:fmt="decimal"/>
          <w:formProt w:val="false"/>
          <w:textDirection w:val="lrTb"/>
          <w:docGrid w:type="default" w:linePitch="600" w:charSpace="40960"/>
        </w:sectPr>
        <w:pStyle w:val="Corpsdetexte"/>
        <w:jc w:val="left"/>
        <w:rPr/>
      </w:pPr>
      <w:r>
        <w:rPr/>
        <mc:AlternateContent>
          <mc:Choice Requires="wps">
            <w:drawing>
              <wp:anchor behindDoc="0" distT="0" distB="0" distL="0" distR="0" simplePos="0" locked="0" layoutInCell="0" allowOverlap="1" relativeHeight="144">
                <wp:simplePos x="0" y="0"/>
                <wp:positionH relativeFrom="column">
                  <wp:posOffset>0</wp:posOffset>
                </wp:positionH>
                <wp:positionV relativeFrom="paragraph">
                  <wp:posOffset>147320</wp:posOffset>
                </wp:positionV>
                <wp:extent cx="9174480" cy="4660265"/>
                <wp:effectExtent l="0" t="0" r="0" b="0"/>
                <wp:wrapTopAndBottom/>
                <wp:docPr id="114" name="Cadre28"/>
                <a:graphic xmlns:a="http://schemas.openxmlformats.org/drawingml/2006/main">
                  <a:graphicData uri="http://schemas.microsoft.com/office/word/2010/wordprocessingShape">
                    <wps:wsp>
                      <wps:cNvSpPr/>
                      <wps:spPr>
                        <a:xfrm>
                          <a:off x="0" y="0"/>
                          <a:ext cx="9174600" cy="466020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Ábra. Elmetérkép „Oktatás, kultúra, ifjúság és sport” témakör, 2. rész </w:t>
                            </w:r>
                          </w:p>
                        </w:txbxContent>
                      </wps:txbx>
                      <wps:bodyPr lIns="0" rIns="0" tIns="0" bIns="0" anchor="t">
                        <a:noAutofit/>
                      </wps:bodyPr>
                    </wps:wsp>
                  </a:graphicData>
                </a:graphic>
              </wp:anchor>
            </w:drawing>
          </mc:Choice>
          <mc:Fallback>
            <w:pict>
              <v:rect id="shape_0" ID="Cadre28" path="m0,0l-2147483645,0l-2147483645,-2147483646l0,-2147483646xe" fillcolor="white" stroked="f" o:allowincell="f" style="position:absolute;margin-left:0pt;margin-top:11.6pt;width:722.35pt;height:366.9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Ábra. Elmetérkép „Oktatás, kultúra, ifjúság és sport” témakör, 2. rész </w:t>
                      </w:r>
                    </w:p>
                  </w:txbxContent>
                </v:textbox>
                <w10:wrap type="topAndBottom"/>
              </v:rect>
            </w:pict>
          </mc:Fallback>
        </mc:AlternateContent>
        <mc:AlternateContent>
          <mc:Choice Requires="wpg">
            <w:drawing>
              <wp:anchor behindDoc="0" distT="0" distB="0" distL="0" distR="0" simplePos="0" locked="0" layoutInCell="0" allowOverlap="1" relativeHeight="146">
                <wp:simplePos x="0" y="0"/>
                <wp:positionH relativeFrom="column">
                  <wp:posOffset>213995</wp:posOffset>
                </wp:positionH>
                <wp:positionV relativeFrom="paragraph">
                  <wp:posOffset>466725</wp:posOffset>
                </wp:positionV>
                <wp:extent cx="8810625" cy="4404360"/>
                <wp:effectExtent l="635" t="0" r="0" b="0"/>
                <wp:wrapTopAndBottom/>
                <wp:docPr id="116" name="Forme 5"/>
                <a:graphic xmlns:a="http://schemas.openxmlformats.org/drawingml/2006/main">
                  <a:graphicData uri="http://schemas.microsoft.com/office/word/2010/wordprocessingGroup">
                    <wpg:wgp>
                      <wpg:cNvGrpSpPr/>
                      <wpg:grpSpPr>
                        <a:xfrm>
                          <a:off x="0" y="0"/>
                          <a:ext cx="8810640" cy="4404240"/>
                          <a:chOff x="0" y="0"/>
                          <a:chExt cx="8810640" cy="4404240"/>
                        </a:xfrm>
                      </wpg:grpSpPr>
                      <wpg:grpSp>
                        <wpg:cNvGrpSpPr/>
                        <wpg:grpSpPr>
                          <a:xfrm>
                            <a:off x="100440" y="1526040"/>
                            <a:ext cx="1671840" cy="1537200"/>
                          </a:xfrm>
                        </wpg:grpSpPr>
                        <pic:pic xmlns:pic="http://schemas.openxmlformats.org/drawingml/2006/picture">
                          <pic:nvPicPr>
                            <pic:cNvPr id="26" name="" descr=""/>
                            <pic:cNvPicPr/>
                          </pic:nvPicPr>
                          <pic:blipFill>
                            <a:blip r:embed="rId2035"/>
                            <a:stretch/>
                          </pic:blipFill>
                          <pic:spPr>
                            <a:xfrm>
                              <a:off x="0" y="0"/>
                              <a:ext cx="952560" cy="698040"/>
                            </a:xfrm>
                            <a:prstGeom prst="rect">
                              <a:avLst/>
                            </a:prstGeom>
                            <a:ln w="0">
                              <a:noFill/>
                            </a:ln>
                          </pic:spPr>
                        </pic:pic>
                        <wps:wsp>
                          <wps:cNvSpPr/>
                          <wps:spPr>
                            <a:xfrm>
                              <a:off x="27720" y="744840"/>
                              <a:ext cx="1644120" cy="79236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Oktatás, kultúra, ifjúság és sport</w:t>
                                </w:r>
                              </w:p>
                            </w:txbxContent>
                          </wps:txbx>
                          <wps:bodyPr lIns="90000" rIns="90000" tIns="45000" bIns="45000" anchor="t">
                            <a:noAutofit/>
                          </wps:bodyPr>
                        </wps:wsp>
                      </wpg:grpSp>
                      <wpg:grpSp>
                        <wpg:cNvGrpSpPr/>
                        <wpg:grpSpPr>
                          <a:xfrm>
                            <a:off x="0" y="0"/>
                            <a:ext cx="5186520" cy="746640"/>
                          </a:xfrm>
                        </wpg:grpSpPr>
                        <wps:wsp>
                          <wps:cNvSpPr/>
                          <wps:spPr>
                            <a:xfrm>
                              <a:off x="0" y="2520"/>
                              <a:ext cx="2232000" cy="6591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Munkahelyi bizonytalanság és munkanélküliség a fiatalok körében</w:t>
                                </w:r>
                              </w:p>
                            </w:txbxContent>
                          </wps:txbx>
                          <wps:bodyPr lIns="90000" rIns="90000" tIns="45000" bIns="45000" anchor="t">
                            <a:noAutofit/>
                          </wps:bodyPr>
                        </wps:wsp>
                        <wps:wsp>
                          <wps:cNvSpPr/>
                          <wps:spPr>
                            <a:xfrm>
                              <a:off x="2238480" y="0"/>
                              <a:ext cx="2948400" cy="7466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Azonnali és konkrét intézkedések a fiatalok munkanélkülisége elleni küzdelem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Jobb munkakörülmények biztosítása a fiatalok számára az EU-ban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informális tanulás elismerése </w:t>
                                </w:r>
                              </w:p>
                            </w:txbxContent>
                          </wps:txbx>
                          <wps:bodyPr lIns="90000" rIns="90000" tIns="45000" bIns="45000" anchor="t">
                            <a:noAutofit/>
                          </wps:bodyPr>
                        </wps:wsp>
                      </wpg:grpSp>
                      <wpg:grpSp>
                        <wpg:cNvGrpSpPr/>
                        <wpg:grpSpPr>
                          <a:xfrm>
                            <a:off x="4356000" y="708840"/>
                            <a:ext cx="4454640" cy="1536840"/>
                          </a:xfrm>
                        </wpg:grpSpPr>
                        <wps:wsp>
                          <wps:cNvSpPr/>
                          <wps:spPr>
                            <a:xfrm>
                              <a:off x="187560" y="580320"/>
                              <a:ext cx="210960" cy="323280"/>
                            </a:xfrm>
                            <a:prstGeom prst="rect">
                              <a:avLst/>
                            </a:prstGeom>
                            <a:solidFill>
                              <a:srgbClr val="eeeeee"/>
                            </a:solidFill>
                            <a:ln w="0">
                              <a:noFill/>
                            </a:ln>
                          </wps:spPr>
                          <wps:style>
                            <a:lnRef idx="0"/>
                            <a:fillRef idx="0"/>
                            <a:effectRef idx="0"/>
                            <a:fontRef idx="minor"/>
                          </wps:style>
                          <wps:bodyPr/>
                        </wps:wsp>
                        <wps:wsp>
                          <wps:cNvSpPr/>
                          <wps:spPr>
                            <a:xfrm>
                              <a:off x="0" y="138240"/>
                              <a:ext cx="1590840" cy="8488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Hozzáférés a felsőoktatáshoz és a kultúrához</w:t>
                                </w:r>
                              </w:p>
                            </w:txbxContent>
                          </wps:txbx>
                          <wps:bodyPr lIns="90000" rIns="90000" tIns="45000" bIns="45000" anchor="t">
                            <a:noAutofit/>
                          </wps:bodyPr>
                        </wps:wsp>
                        <wps:wsp>
                          <wps:cNvSpPr/>
                          <wps:spPr>
                            <a:xfrm>
                              <a:off x="1601640" y="0"/>
                              <a:ext cx="2853000" cy="1536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középfokú oktatásból a felsőoktatásba való átmenet támogatása célzott orientációs programokon keresztül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etnikai, fizikai és társadalmi-gazdasági egyenlőtlenségek szerepe a felsőoktatáshoz való egyenlőtlen hozzáférés meghatározásában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kulturális helyszínekhez, például a színházakhoz való hozzáférés javítása a fogyatékkal élők számára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fogvatartottak képzésének és oktatásának biztosítása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informális tanulás elismerése </w:t>
                                </w:r>
                              </w:p>
                            </w:txbxContent>
                          </wps:txbx>
                          <wps:bodyPr lIns="90000" rIns="90000" tIns="45000" bIns="45000" anchor="t">
                            <a:noAutofit/>
                          </wps:bodyPr>
                        </wps:wsp>
                      </wpg:grpSp>
                      <wpg:grpSp>
                        <wpg:cNvGrpSpPr/>
                        <wpg:grpSpPr>
                          <a:xfrm>
                            <a:off x="5431320" y="3526200"/>
                            <a:ext cx="3129120" cy="878040"/>
                          </a:xfrm>
                        </wpg:grpSpPr>
                        <wps:wsp>
                          <wps:cNvSpPr/>
                          <wps:spPr>
                            <a:xfrm>
                              <a:off x="0" y="29880"/>
                              <a:ext cx="111132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Inkluzivitás a sportban</w:t>
                                </w:r>
                              </w:p>
                            </w:txbxContent>
                          </wps:txbx>
                          <wps:bodyPr lIns="90000" rIns="90000" tIns="45000" bIns="45000" anchor="t">
                            <a:noAutofit/>
                          </wps:bodyPr>
                        </wps:wsp>
                        <wps:wsp>
                          <wps:cNvSpPr/>
                          <wps:spPr>
                            <a:xfrm>
                              <a:off x="1130760" y="0"/>
                              <a:ext cx="1998360" cy="8780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kevésbé mainstream sportok népszerűsítése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etnikai és nemi inkluzivitás növelése a sportban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sport, mint az inkluzivitás eszköze </w:t>
                                </w:r>
                              </w:p>
                            </w:txbxContent>
                          </wps:txbx>
                          <wps:bodyPr lIns="90000" rIns="90000" tIns="45000" bIns="45000" anchor="t">
                            <a:noAutofit/>
                          </wps:bodyPr>
                        </wps:wsp>
                      </wpg:grpSp>
                      <wpg:grpSp>
                        <wpg:cNvGrpSpPr/>
                        <wpg:grpSpPr>
                          <a:xfrm>
                            <a:off x="1984320" y="1886760"/>
                            <a:ext cx="3636720" cy="1010880"/>
                          </a:xfrm>
                        </wpg:grpSpPr>
                        <wps:wsp>
                          <wps:cNvSpPr/>
                          <wps:spPr>
                            <a:xfrm>
                              <a:off x="0" y="83160"/>
                              <a:ext cx="1414800" cy="4705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Európai örökség</w:t>
                                </w:r>
                              </w:p>
                            </w:txbxContent>
                          </wps:txbx>
                          <wps:bodyPr lIns="90000" rIns="90000" tIns="45000" bIns="45000" anchor="t">
                            <a:noAutofit/>
                          </wps:bodyPr>
                        </wps:wsp>
                        <wps:wsp>
                          <wps:cNvSpPr/>
                          <wps:spPr>
                            <a:xfrm>
                              <a:off x="1414800" y="0"/>
                              <a:ext cx="2221920" cy="10108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Ünnepeljük, védjük és értékeljük az európai kultúrát és örökséget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 kulturális biztosának kinevezése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Kisebbségi és vallási csoportok hagyományainak és kulturális örökségének megőrzése </w:t>
                                </w:r>
                              </w:p>
                            </w:txbxContent>
                          </wps:txbx>
                          <wps:bodyPr lIns="90000" rIns="90000" tIns="45000" bIns="45000" anchor="t">
                            <a:noAutofit/>
                          </wps:bodyPr>
                        </wps:wsp>
                      </wpg:grpSp>
                      <wpg:grpSp>
                        <wpg:cNvGrpSpPr/>
                        <wpg:grpSpPr>
                          <a:xfrm>
                            <a:off x="108000" y="2975760"/>
                            <a:ext cx="4347360" cy="1404000"/>
                          </a:xfrm>
                        </wpg:grpSpPr>
                        <wps:wsp>
                          <wps:cNvSpPr/>
                          <wps:spPr>
                            <a:xfrm>
                              <a:off x="0" y="151560"/>
                              <a:ext cx="1355760" cy="6591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Kreatív és tudományos szakemberek</w:t>
                                </w:r>
                              </w:p>
                            </w:txbxContent>
                          </wps:txbx>
                          <wps:bodyPr lIns="90000" rIns="90000" tIns="45000" bIns="45000" anchor="t">
                            <a:noAutofit/>
                          </wps:bodyPr>
                        </wps:wsp>
                        <wps:wsp>
                          <wps:cNvSpPr/>
                          <wps:spPr>
                            <a:xfrm>
                              <a:off x="1375920" y="0"/>
                              <a:ext cx="2971080" cy="14040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Jogi keret biztosítása a kulturális, kreatív és kulturális bizonytalanság csökkentésére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tudományos szektor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kulturális munkások professzionalizálása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határokon átnyúló és nemzetközi kulturális együttműködés fokozása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Finanszírozza a tudományos kutatást és változtassa meg a források elosztásának módját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Helyreállítási Alap forrásainak felhasználása a kulturális ágazat támogatására </w:t>
                                </w:r>
                              </w:p>
                            </w:txbxContent>
                          </wps:txbx>
                          <wps:bodyPr lIns="90000" rIns="90000" tIns="45000" bIns="45000" anchor="t">
                            <a:noAutofit/>
                          </wps:bodyPr>
                        </wps:wsp>
                      </wpg:grpSp>
                    </wpg:wgp>
                  </a:graphicData>
                </a:graphic>
              </wp:anchor>
            </w:drawing>
          </mc:Choice>
          <mc:Fallback>
            <w:pict>
              <v:group id="shape_0" alt="Forme 5" style="position:absolute;margin-left:16.85pt;margin-top:36.75pt;width:693.75pt;height:346.8pt" coordorigin="337,735" coordsize="13875,6936">
                <v:group id="shape_0" style="position:absolute;left:495;top:3138;width:2632;height:2421">
                  <v:shape id="shape_0" stroked="f" o:allowincell="f" style="position:absolute;left:495;top:3138;width:1499;height:1098;mso-wrap-style:none;v-text-anchor:middle" type="_x0000_t75">
                    <v:imagedata r:id="rId2034" o:detectmouseclick="t"/>
                    <v:stroke color="#3465a4" joinstyle="round" endcap="flat"/>
                    <w10:wrap type="topAndBottom"/>
                  </v:shape>
                  <v:rect id="shape_0" path="m0,0l-2147483645,0l-2147483645,-2147483646l0,-2147483646xe" stroked="f" o:allowincell="f" style="position:absolute;left:539;top:4311;width:2588;height:1247;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Oktatás, kultúra, ifjúság és sport</w:t>
                          </w:r>
                        </w:p>
                      </w:txbxContent>
                    </v:textbox>
                    <v:fill o:detectmouseclick="t" on="false"/>
                    <v:stroke color="#3465a4" joinstyle="round" endcap="flat"/>
                    <w10:wrap type="topAndBottom"/>
                  </v:rect>
                </v:group>
                <v:group id="shape_0" style="position:absolute;left:337;top:735;width:8168;height:1176">
                  <v:rect id="shape_0" path="m0,0l-2147483645,0l-2147483645,-2147483646l0,-2147483646xe" fillcolor="#a3238e" stroked="t" o:allowincell="f" style="position:absolute;left:337;top:739;width:3514;height:103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Munkahelyi bizonytalanság és munkanélküliség a fiatalok körében</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862;top:735;width:4642;height:1175;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Azonnali és konkrét intézkedések a fiatalok munkanélkülisége elleni küzdelem érdekében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Jobb munkakörülmények biztosítása a fiatalok számára az EU-ban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informális tanulás elismerése </w:t>
                          </w:r>
                        </w:p>
                      </w:txbxContent>
                    </v:textbox>
                    <v:fill o:detectmouseclick="t" type="solid" color2="#111111"/>
                    <v:stroke color="#3465a4" joinstyle="round" endcap="flat"/>
                    <w10:wrap type="topAndBottom"/>
                  </v:rect>
                </v:group>
                <v:group id="shape_0" style="position:absolute;left:7197;top:1851;width:7015;height:2420">
                  <v:rect id="shape_0" path="m0,0l-2147483645,0l-2147483645,-2147483646l0,-2147483646xe" fillcolor="#eeeeee" stroked="f" o:allowincell="f" style="position:absolute;left:7492;top:2765;width:331;height:508;mso-wrap-style:none;v-text-anchor:middle">
                    <v:fill o:detectmouseclick="t" type="solid" color2="#111111"/>
                    <v:stroke color="#3465a4" joinstyle="round" endcap="flat"/>
                    <w10:wrap type="topAndBottom"/>
                  </v:rect>
                  <v:rect id="shape_0" path="m0,0l-2147483645,0l-2147483645,-2147483646l0,-2147483646xe" fillcolor="#a3238e" stroked="t" o:allowincell="f" style="position:absolute;left:7197;top:2069;width:2504;height:133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Hozzáférés a felsőoktatáshoz és a kultúrához</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719;top:1851;width:4492;height:241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középfokú oktatásból a felsőoktatásba való átmenet támogatása célzott orientációs programokon keresztül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etnikai, fizikai és társadalmi-gazdasági egyenlőtlenségek szerepe a felsőoktatáshoz való egyenlőtlen hozzáférés meghatározásában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kulturális helyszínekhez, például a színházakhoz való hozzáférés javítása a fogyatékkal élők számára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fogvatartottak képzésének és oktatásának biztosítása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informális tanulás elismerése </w:t>
                          </w:r>
                        </w:p>
                      </w:txbxContent>
                    </v:textbox>
                    <v:fill o:detectmouseclick="t" type="solid" color2="#111111"/>
                    <v:stroke color="#3465a4" joinstyle="round" endcap="flat"/>
                    <w10:wrap type="topAndBottom"/>
                  </v:rect>
                </v:group>
                <v:group id="shape_0" style="position:absolute;left:8890;top:6288;width:4928;height:1383">
                  <v:rect id="shape_0" path="m0,0l-2147483645,0l-2147483645,-2147483646l0,-2147483646xe" fillcolor="#a3238e" stroked="t" o:allowincell="f" style="position:absolute;left:8890;top:6335;width:1749;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Inkluzivitás a sportban</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0671;top:6288;width:3146;height:138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kevésbé mainstream sportok népszerűsítése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etnikai és nemi inkluzivitás növelése a sportban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sport, mint az inkluzivitás eszköze </w:t>
                          </w:r>
                        </w:p>
                      </w:txbxContent>
                    </v:textbox>
                    <v:fill o:detectmouseclick="t" type="solid" color2="#111111"/>
                    <v:stroke color="#3465a4" joinstyle="round" endcap="flat"/>
                    <w10:wrap type="topAndBottom"/>
                  </v:rect>
                </v:group>
                <v:group id="shape_0" style="position:absolute;left:3462;top:3706;width:5727;height:1592">
                  <v:rect id="shape_0" path="m0,0l-2147483645,0l-2147483645,-2147483646l0,-2147483646xe" fillcolor="#a3238e" stroked="t" o:allowincell="f" style="position:absolute;left:3462;top:3837;width:2227;height:74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Európai örökség</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5690;top:3706;width:3498;height:1591;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Ünnepeljük, védjük és értékeljük az európai kultúrát és örökséget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 EU kulturális biztosának kinevezése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Kisebbségi és vallási csoportok hagyományainak és kulturális örökségének megőrzése </w:t>
                          </w:r>
                        </w:p>
                      </w:txbxContent>
                    </v:textbox>
                    <v:fill o:detectmouseclick="t" type="solid" color2="#111111"/>
                    <v:stroke color="#3465a4" joinstyle="round" endcap="flat"/>
                    <w10:wrap type="topAndBottom"/>
                  </v:rect>
                </v:group>
                <v:group id="shape_0" style="position:absolute;left:507;top:5421;width:6845;height:2211">
                  <v:rect id="shape_0" path="m0,0l-2147483645,0l-2147483645,-2147483646l0,-2147483646xe" fillcolor="#a3238e" stroked="t" o:allowincell="f" style="position:absolute;left:507;top:5660;width:2134;height:103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Kreatív és tudományos szakemberek</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2674;top:5421;width:4678;height:221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Jogi keret biztosítása a kulturális, kreatív és kulturális bizonytalanság csökkentésére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tudományos szektor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kulturális munkások professzionalizálása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határokon átnyúló és nemzetközi kulturális együttműködés fokozása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Finanszírozza a tudományos kutatást és változtassa meg a források elosztásának módját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 Helyreállítási Alap forrásainak felhasználása a kulturális ágazat támogatására </w:t>
                          </w:r>
                        </w:p>
                      </w:txbxContent>
                    </v:textbox>
                    <v:fill o:detectmouseclick="t" type="solid" color2="#111111"/>
                    <v:stroke color="#3465a4" joinstyle="round" endcap="flat"/>
                    <w10:wrap type="topAndBottom"/>
                  </v:rect>
                </v:group>
              </v:group>
            </w:pict>
          </mc:Fallback>
        </mc:AlternateContent>
      </w:r>
    </w:p>
    <w:p>
      <w:pPr>
        <w:pStyle w:val="Normal"/>
        <w:jc w:val="left"/>
        <w:rPr/>
      </w:pPr>
      <w:r>
        <w:rPr/>
      </w:r>
    </w:p>
    <w:p>
      <w:pPr>
        <w:pStyle w:val="Titre1"/>
        <w:numPr>
          <w:ilvl w:val="0"/>
          <w:numId w:val="1"/>
        </w:numPr>
        <w:rPr/>
      </w:pPr>
      <w:bookmarkStart w:id="115" w:name="__RefHeading___Toc86553_2514204080"/>
      <w:bookmarkEnd w:id="115"/>
      <w:r>
        <w:drawing>
          <wp:anchor behindDoc="0" distT="0" distB="0" distL="0" distR="0" simplePos="0" locked="0" layoutInCell="0" allowOverlap="1" relativeHeight="147">
            <wp:simplePos x="0" y="0"/>
            <wp:positionH relativeFrom="column">
              <wp:posOffset>1134110</wp:posOffset>
            </wp:positionH>
            <wp:positionV relativeFrom="paragraph">
              <wp:posOffset>85725</wp:posOffset>
            </wp:positionV>
            <wp:extent cx="4014470" cy="2685415"/>
            <wp:effectExtent l="0" t="0" r="0" b="0"/>
            <wp:wrapTopAndBottom/>
            <wp:docPr id="117" name="Kép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Kép40" descr=""/>
                    <pic:cNvPicPr>
                      <a:picLocks noChangeAspect="1" noChangeArrowheads="1"/>
                    </pic:cNvPicPr>
                  </pic:nvPicPr>
                  <pic:blipFill>
                    <a:blip r:embed="rId2038"/>
                    <a:stretch>
                      <a:fillRect/>
                    </a:stretch>
                  </pic:blipFill>
                  <pic:spPr bwMode="auto">
                    <a:xfrm>
                      <a:off x="0" y="0"/>
                      <a:ext cx="4014470" cy="2685415"/>
                    </a:xfrm>
                    <a:prstGeom prst="rect">
                      <a:avLst/>
                    </a:prstGeom>
                  </pic:spPr>
                </pic:pic>
              </a:graphicData>
            </a:graphic>
          </wp:anchor>
        </w:drawing>
      </w:r>
      <w:r>
        <w:rPr/>
        <w:t>I. MELLÉKLET: A jelenleg leginkább támogatott és kommentált ötletek listája témánként</w:t>
      </w:r>
    </w:p>
    <w:p>
      <w:pPr>
        <w:pStyle w:val="Titre2"/>
        <w:numPr>
          <w:ilvl w:val="1"/>
          <w:numId w:val="1"/>
        </w:numPr>
        <w:jc w:val="left"/>
        <w:rPr/>
      </w:pPr>
      <w:bookmarkStart w:id="116" w:name="__RefHeading___Toc86555_2514204080"/>
      <w:bookmarkEnd w:id="116"/>
      <w:r>
        <w:rPr/>
        <w:t xml:space="preserve">A legtöbb kommentált és jóváhagyott ötlet téma szerint (19/04/2021–09/05/2022) </w:t>
      </w:r>
    </w:p>
    <w:p>
      <w:pPr>
        <w:pStyle w:val="Normal"/>
        <w:jc w:val="left"/>
        <w:rPr/>
      </w:pPr>
      <w:r>
        <w:rPr/>
        <w:t xml:space="preserve">Ez a melléklet 2022. május 9-től mutatja be az egyes témákban a leginkább jóváhagyott és kommentált ötleteket, beleértve az egyének által tett javaslatokat, valamint a szervezetek által támogatott ötleteket. Magában foglalja az „Egyéb ötletek” témakörben nyilvántartásba vett ötleteket is; a jelentés többi részében az ezzel a témával kapcsolatos ötleteket a kilenc tematikus téma egyikébe, illetve több területet érintő kérdések esetében több témába sorolták. Ennek a mellékletnek az a célja, hogy tükrözze a platformon található egyes ötletek iránti nagyfokú érdeklődést vagy az azokról folytatott vitát. </w:t>
      </w:r>
    </w:p>
    <w:p>
      <w:pPr>
        <w:pStyle w:val="Normal"/>
        <w:jc w:val="left"/>
        <w:rPr/>
      </w:pPr>
      <w:r>
        <w:rPr/>
        <w:t>Vegye figyelembe, hogy a jóváhagyások hasonlóak a közösségi médiában megjelenő „hasonló/felülszavazáshoz”. Jelzik, hogy a résztvevők érdeklődést mutatnak egy ötlet iránt, és általános előnyben részesítik őket, ugyanakkor nem jeleznek semmilyen ellenvetést. Ezért a jóváhagyások száma nem az ötlet általános támogatásának mutatója, hanem csak egy a platformhoz való hozzájárulás elemzésénél figyelembe veendő számos szempont közül. A megjegyzések egy sor visszajelzésre vonatkozhatnak, a semlegestől az egyetértésig vagy erősen nem ért egyet. A platformon nyújtott hozzájárulások elemzésével kapcsolatos további háttérért lásd a II. mellékletet.</w:t>
      </w:r>
    </w:p>
    <w:p>
      <w:pPr>
        <w:pStyle w:val="Normal"/>
        <w:jc w:val="left"/>
        <w:rPr/>
      </w:pPr>
      <w:r>
        <w:rPr/>
      </w:r>
    </w:p>
    <w:p>
      <w:pPr>
        <w:pStyle w:val="Normal"/>
        <w:jc w:val="left"/>
        <w:rPr/>
      </w:pPr>
      <w:r>
        <w:rPr/>
      </w:r>
    </w:p>
    <w:p>
      <w:pPr>
        <w:pStyle w:val="Normal"/>
        <w:jc w:val="left"/>
        <w:rPr/>
      </w:pPr>
      <w:r>
        <w:rPr/>
      </w:r>
      <w:r>
        <w:br w:type="page"/>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921"/>
        <w:gridCol w:w="129"/>
        <w:gridCol w:w="2999"/>
        <w:gridCol w:w="123"/>
        <w:gridCol w:w="207"/>
        <w:gridCol w:w="2986"/>
        <w:gridCol w:w="249"/>
      </w:tblGrid>
      <w:tr>
        <w:trPr>
          <w:trHeight w:val="386" w:hRule="atLeast"/>
        </w:trPr>
        <w:tc>
          <w:tcPr>
            <w:tcW w:w="2921"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129"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99"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A legtöbb támogatott </w:t>
            </w:r>
          </w:p>
        </w:tc>
        <w:tc>
          <w:tcPr>
            <w:tcW w:w="123"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7"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86"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A legtöbb hozzászólás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921"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4"/>
              <w:widowControl w:val="false"/>
              <w:spacing w:before="51" w:after="57"/>
              <w:ind w:left="91" w:right="0" w:hanging="0"/>
              <w:jc w:val="left"/>
              <w:rPr>
                <w:rFonts w:ascii="Arial-BoldMT;serif" w:hAnsi="Arial-BoldMT;serif"/>
                <w:b/>
                <w:b/>
                <w:color w:val="000000"/>
                <w:sz w:val="18"/>
              </w:rPr>
            </w:pPr>
            <w:r>
              <w:rPr/>
              <w:t xml:space="preserve">Az éghajlatváltozás és a </w:t>
            </w:r>
          </w:p>
          <w:p>
            <w:pPr>
              <w:pStyle w:val="P68B1DB1Contenudetableau14"/>
              <w:widowControl w:val="false"/>
              <w:spacing w:before="0" w:after="57"/>
              <w:ind w:left="91" w:right="0" w:hanging="0"/>
              <w:jc w:val="left"/>
              <w:rPr>
                <w:rFonts w:ascii="Arial-BoldMT;serif" w:hAnsi="Arial-BoldMT;serif"/>
                <w:b/>
                <w:b/>
                <w:color w:val="000000"/>
                <w:sz w:val="18"/>
              </w:rPr>
            </w:pPr>
            <w:r>
              <w:rPr/>
              <w:t xml:space="preserve">környezet </w:t>
            </w:r>
          </w:p>
        </w:tc>
        <w:tc>
          <w:tcPr>
            <w:tcW w:w="325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Az ötlet: Méltányos átmenet</w:t>
            </w:r>
            <w:r>
              <w:rPr>
                <w:rFonts w:ascii="Times New Roman;serif" w:hAnsi="Times New Roman;serif"/>
                <w:color w:val="000000"/>
                <w:sz w:val="22"/>
              </w:rPr>
              <w:t xml:space="preserve"> </w:t>
            </w:r>
            <w:r>
              <w:rPr>
                <w:rFonts w:ascii="ArialMT;serif" w:hAnsi="ArialMT;serif"/>
                <w:color w:val="000000"/>
                <w:sz w:val="18"/>
              </w:rPr>
              <w:t xml:space="preserve">(lásd </w:t>
            </w:r>
            <w:hyperlink r:id="rId2039">
              <w:r>
                <w:rPr>
                  <w:rStyle w:val="LienInternet"/>
                  <w:rFonts w:ascii="ArialMT;serif" w:hAnsi="ArialMT;serif"/>
                  <w:color w:val="0563C1"/>
                  <w:sz w:val="18"/>
                </w:rPr>
                <w:t>az ötletet</w:t>
              </w:r>
            </w:hyperlink>
            <w:r>
              <w:rPr>
                <w:rFonts w:ascii="ArialMT;serif" w:hAnsi="ArialMT;serif"/>
                <w:color w:val="000000"/>
                <w:sz w:val="18"/>
              </w:rPr>
              <w:t xml:space="preserve">) </w:t>
            </w:r>
            <w:r>
              <w:rPr>
                <w:rFonts w:ascii="Times New Roman;serif" w:hAnsi="Times New Roman;serif"/>
                <w:sz w:val="22"/>
              </w:rPr>
              <w:br/>
            </w:r>
            <w:r>
              <w:rPr>
                <w:rFonts w:ascii="ArialMT;serif" w:hAnsi="ArialMT;serif"/>
                <w:color w:val="000000"/>
                <w:sz w:val="18"/>
              </w:rPr>
              <w:t xml:space="preserve">Jóváhagyások: 477 </w:t>
            </w:r>
          </w:p>
          <w:p>
            <w:pPr>
              <w:pStyle w:val="P68B1DB1Corpsdetexte15"/>
              <w:widowControl w:val="false"/>
              <w:spacing w:lineRule="atLeast" w:line="272" w:before="23" w:after="140"/>
              <w:ind w:left="0" w:right="0" w:hanging="0"/>
              <w:jc w:val="left"/>
              <w:rPr>
                <w:rFonts w:ascii="ArialMT;serif" w:hAnsi="ArialMT;serif"/>
                <w:color w:val="000000"/>
                <w:sz w:val="18"/>
              </w:rPr>
            </w:pPr>
            <w:r>
              <w:rPr/>
              <w:t xml:space="preserve">Hozzászólások: 19 </w:t>
            </w:r>
          </w:p>
          <w:p>
            <w:pPr>
              <w:pStyle w:val="Contenudetableau"/>
              <w:widowControl w:val="false"/>
              <w:spacing w:before="0" w:after="57"/>
              <w:ind w:left="0" w:right="0" w:hanging="0"/>
              <w:jc w:val="left"/>
              <w:rPr/>
            </w:pPr>
            <w:r>
              <w:rPr/>
            </w:r>
          </w:p>
        </w:tc>
        <w:tc>
          <w:tcPr>
            <w:tcW w:w="344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Az ötlet: Az atomenergia előmozdítása</w:t>
            </w:r>
            <w:r>
              <w:rPr>
                <w:rFonts w:ascii="Times New Roman;serif" w:hAnsi="Times New Roman;serif"/>
                <w:color w:val="000000"/>
                <w:sz w:val="22"/>
              </w:rPr>
              <w:t xml:space="preserve"> </w:t>
            </w:r>
            <w:r>
              <w:rPr>
                <w:rFonts w:ascii="Arial-BoldMT;serif" w:hAnsi="Arial-BoldMT;serif"/>
                <w:b/>
                <w:color w:val="000000"/>
                <w:sz w:val="18"/>
              </w:rPr>
              <w:t>azokban az esetekben, ahol</w:t>
            </w:r>
            <w:r>
              <w:rPr>
                <w:rFonts w:ascii="Times New Roman;serif" w:hAnsi="Times New Roman;serif"/>
                <w:sz w:val="22"/>
              </w:rPr>
              <w:t>a</w:t>
            </w:r>
            <w:r>
              <w:rPr>
                <w:rFonts w:ascii="Times New Roman;serif" w:hAnsi="Times New Roman;serif"/>
                <w:color w:val="000000"/>
                <w:sz w:val="22"/>
              </w:rPr>
              <w:t xml:space="preserve"> </w:t>
            </w:r>
            <w:r>
              <w:rPr>
                <w:rFonts w:ascii="Arial-BoldMT;serif" w:hAnsi="Arial-BoldMT;serif"/>
                <w:b/>
                <w:color w:val="000000"/>
                <w:sz w:val="18"/>
              </w:rPr>
              <w:t>megújuló</w:t>
            </w:r>
            <w:r>
              <w:rPr>
                <w:rFonts w:ascii="Times New Roman;serif" w:hAnsi="Times New Roman;serif"/>
                <w:color w:val="000000"/>
                <w:sz w:val="22"/>
              </w:rPr>
              <w:t xml:space="preserve">  </w:t>
            </w:r>
            <w:r>
              <w:rPr>
                <w:rFonts w:ascii="Arial-BoldMT;serif" w:hAnsi="Arial-BoldMT;serif"/>
                <w:b/>
                <w:color w:val="000000"/>
                <w:sz w:val="18"/>
              </w:rPr>
              <w:t xml:space="preserve">energianem használható fel (fordítva) </w:t>
            </w:r>
            <w:r>
              <w:rPr>
                <w:rFonts w:ascii="Times New Roman;serif" w:hAnsi="Times New Roman;serif"/>
                <w:sz w:val="22"/>
              </w:rPr>
              <w:br/>
            </w:r>
            <w:r>
              <w:rPr>
                <w:rFonts w:ascii="ArialMT;serif" w:hAnsi="ArialMT;serif"/>
                <w:color w:val="000000"/>
                <w:sz w:val="18"/>
              </w:rPr>
              <w:t xml:space="preserve">(lásd </w:t>
            </w:r>
            <w:hyperlink r:id="rId2040">
              <w:r>
                <w:rPr>
                  <w:rStyle w:val="LienInternet"/>
                  <w:rFonts w:ascii="ArialMT;serif" w:hAnsi="ArialMT;serif"/>
                  <w:color w:val="0563C1"/>
                  <w:sz w:val="18"/>
                </w:rPr>
                <w:t>az ötletet</w:t>
              </w:r>
            </w:hyperlink>
            <w:r>
              <w:rPr>
                <w:rFonts w:ascii="ArialMT;serif" w:hAnsi="ArialMT;serif"/>
                <w:color w:val="000000"/>
                <w:sz w:val="18"/>
              </w:rPr>
              <w:t>)</w:t>
            </w:r>
            <w:r>
              <w:rPr>
                <w:rFonts w:ascii="Times New Roman;serif" w:hAnsi="Times New Roman;serif"/>
                <w:color w:val="000000"/>
                <w:sz w:val="22"/>
              </w:rPr>
              <w:t xml:space="preserve"> </w:t>
            </w:r>
          </w:p>
          <w:p>
            <w:pPr>
              <w:pStyle w:val="Corpsdetexte"/>
              <w:widowControl w:val="false"/>
              <w:spacing w:lineRule="atLeast" w:line="351" w:before="0" w:after="140"/>
              <w:ind w:left="0" w:right="0" w:hanging="0"/>
              <w:jc w:val="left"/>
              <w:rPr>
                <w:rFonts w:ascii="Times New Roman;serif" w:hAnsi="Times New Roman;serif"/>
                <w:sz w:val="22"/>
              </w:rPr>
            </w:pPr>
            <w:r>
              <w:rPr>
                <w:rFonts w:ascii="ArialMT;serif" w:hAnsi="ArialMT;serif"/>
                <w:color w:val="000000"/>
                <w:sz w:val="18"/>
              </w:rPr>
              <w:t xml:space="preserve">Jóváhagyások: 120 </w:t>
            </w:r>
            <w:r>
              <w:rPr>
                <w:rFonts w:ascii="Times New Roman;serif" w:hAnsi="Times New Roman;serif"/>
                <w:sz w:val="22"/>
              </w:rPr>
              <w:br/>
            </w:r>
            <w:r>
              <w:rPr>
                <w:rFonts w:ascii="ArialMT;serif" w:hAnsi="ArialMT;serif"/>
                <w:color w:val="000000"/>
                <w:sz w:val="18"/>
              </w:rPr>
              <w:t xml:space="preserve">Hozzászólások: 162 </w:t>
            </w:r>
          </w:p>
          <w:p>
            <w:pPr>
              <w:pStyle w:val="Contenudetableau"/>
              <w:widowControl w:val="false"/>
              <w:spacing w:before="0" w:after="57"/>
              <w:ind w:left="0" w:right="0" w:hanging="0"/>
              <w:jc w:val="left"/>
              <w:rPr/>
            </w:pPr>
            <w:r>
              <w:rPr/>
            </w:r>
          </w:p>
        </w:tc>
      </w:tr>
      <w:tr>
        <w:trPr/>
        <w:tc>
          <w:tcPr>
            <w:tcW w:w="29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25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Az ötlet: Állítsa le az összes fosszilis tüzelőanyag-támogatást (fordítva)</w:t>
            </w:r>
            <w:r>
              <w:rPr>
                <w:rFonts w:ascii="Times New Roman;serif" w:hAnsi="Times New Roman;serif"/>
                <w:color w:val="000000"/>
                <w:sz w:val="22"/>
              </w:rPr>
              <w:t xml:space="preserve"> </w:t>
            </w:r>
            <w:r>
              <w:rPr>
                <w:rFonts w:ascii="ArialMT;serif" w:hAnsi="ArialMT;serif"/>
                <w:color w:val="000000"/>
                <w:sz w:val="18"/>
              </w:rPr>
              <w:t>(lásd</w:t>
            </w:r>
            <w:r>
              <w:rPr>
                <w:rFonts w:ascii="Times New Roman;serif" w:hAnsi="Times New Roman;serif"/>
                <w:color w:val="000000"/>
                <w:sz w:val="22"/>
              </w:rPr>
              <w:t xml:space="preserve"> </w:t>
            </w:r>
            <w:hyperlink r:id="rId2041">
              <w:r>
                <w:rPr>
                  <w:rStyle w:val="LienInternet"/>
                  <w:rFonts w:ascii="ArialMT;serif" w:hAnsi="ArialMT;serif"/>
                  <w:color w:val="0563C1"/>
                  <w:sz w:val="18"/>
                </w:rPr>
                <w:t>az ötletet</w:t>
              </w:r>
            </w:hyperlink>
            <w:r>
              <w:rPr>
                <w:rFonts w:ascii="ArialMT;serif" w:hAnsi="ArialMT;serif"/>
                <w:color w:val="000000"/>
                <w:sz w:val="18"/>
              </w:rPr>
              <w:t xml:space="preserve">) </w:t>
            </w:r>
          </w:p>
          <w:p>
            <w:pPr>
              <w:pStyle w:val="P68B1DB1Contenudetableau16"/>
              <w:widowControl w:val="false"/>
              <w:spacing w:before="11" w:after="57"/>
              <w:ind w:left="91" w:right="1208" w:hanging="0"/>
              <w:jc w:val="left"/>
              <w:rPr>
                <w:rFonts w:ascii="Times New Roman;serif" w:hAnsi="Times New Roman;serif"/>
                <w:color w:val="000000"/>
                <w:sz w:val="22"/>
              </w:rPr>
            </w:pPr>
            <w:r>
              <w:rPr>
                <w:rFonts w:ascii="ArialMT;serif" w:hAnsi="ArialMT;serif"/>
                <w:sz w:val="18"/>
              </w:rPr>
              <w:t>Jóváhagyások: 326 hozzászólás: 28</w:t>
            </w:r>
            <w:r>
              <w:rPr>
                <w:rFonts w:ascii="Times New Roman;serif" w:hAnsi="Times New Roman;serif"/>
                <w:sz w:val="22"/>
              </w:rPr>
              <w:t xml:space="preserve"> </w:t>
            </w:r>
          </w:p>
        </w:tc>
        <w:tc>
          <w:tcPr>
            <w:tcW w:w="344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Az ötlet: A természet, a környezet, a biológiai sokféleség</w:t>
            </w:r>
            <w:r>
              <w:rPr>
                <w:rFonts w:ascii="Times New Roman;serif" w:hAnsi="Times New Roman;serif"/>
                <w:color w:val="000000"/>
                <w:sz w:val="22"/>
              </w:rPr>
              <w:t xml:space="preserve"> </w:t>
            </w:r>
            <w:r>
              <w:rPr>
                <w:rFonts w:ascii="Arial-BoldMT;serif" w:hAnsi="Arial-BoldMT;serif"/>
                <w:b/>
                <w:color w:val="000000"/>
                <w:sz w:val="18"/>
              </w:rPr>
              <w:t>és</w:t>
            </w:r>
            <w:r>
              <w:rPr>
                <w:rFonts w:ascii="Times New Roman;serif" w:hAnsi="Times New Roman;serif"/>
                <w:color w:val="000000"/>
                <w:sz w:val="22"/>
              </w:rPr>
              <w:t xml:space="preserve"> az </w:t>
            </w:r>
            <w:r>
              <w:rPr>
                <w:rFonts w:ascii="Arial-BoldMT;serif" w:hAnsi="Arial-BoldMT;serif"/>
                <w:b/>
                <w:color w:val="000000"/>
                <w:sz w:val="18"/>
              </w:rPr>
              <w:t>emberek</w:t>
            </w:r>
            <w:r>
              <w:rPr>
                <w:rFonts w:ascii="Times New Roman;serif" w:hAnsi="Times New Roman;serif"/>
                <w:color w:val="000000"/>
                <w:sz w:val="22"/>
              </w:rPr>
              <w:t xml:space="preserve"> védelmének javítása az európai </w:t>
            </w:r>
            <w:r>
              <w:rPr>
                <w:rFonts w:ascii="Arial-BoldMT;serif" w:hAnsi="Arial-BoldMT;serif"/>
                <w:b/>
                <w:color w:val="000000"/>
                <w:sz w:val="18"/>
              </w:rPr>
              <w:t>ipari szélerőművek fejlesztése során</w:t>
            </w:r>
            <w:r>
              <w:rPr>
                <w:rFonts w:ascii="Times New Roman;serif" w:hAnsi="Times New Roman;serif"/>
                <w:color w:val="000000"/>
                <w:sz w:val="22"/>
              </w:rPr>
              <w:t xml:space="preserve">   </w:t>
            </w:r>
            <w:r>
              <w:rPr>
                <w:rFonts w:ascii="ArialMT;serif" w:hAnsi="ArialMT;serif"/>
                <w:color w:val="000000"/>
                <w:sz w:val="18"/>
              </w:rPr>
              <w:t xml:space="preserve">(lásd az </w:t>
            </w:r>
            <w:hyperlink r:id="rId2042">
              <w:r>
                <w:rPr>
                  <w:rStyle w:val="LienInternet"/>
                  <w:rFonts w:ascii="ArialMT;serif" w:hAnsi="ArialMT;serif"/>
                  <w:color w:val="0563C1"/>
                  <w:sz w:val="18"/>
                </w:rPr>
                <w:t>ötletet</w:t>
              </w:r>
            </w:hyperlink>
            <w:r>
              <w:rPr>
                <w:rFonts w:ascii="ArialMT;serif" w:hAnsi="ArialMT;serif"/>
                <w:color w:val="000000"/>
                <w:sz w:val="18"/>
              </w:rPr>
              <w:t xml:space="preserve">) </w:t>
            </w:r>
          </w:p>
          <w:p>
            <w:pPr>
              <w:pStyle w:val="P68B1DB1Contenudetableau16"/>
              <w:widowControl w:val="false"/>
              <w:spacing w:before="17" w:after="57"/>
              <w:ind w:left="91" w:right="1321" w:hanging="0"/>
              <w:jc w:val="left"/>
              <w:rPr>
                <w:rFonts w:ascii="Times New Roman;serif" w:hAnsi="Times New Roman;serif"/>
                <w:color w:val="000000"/>
                <w:sz w:val="22"/>
              </w:rPr>
            </w:pPr>
            <w:r>
              <w:rPr>
                <w:rFonts w:ascii="ArialMT;serif" w:hAnsi="ArialMT;serif"/>
                <w:sz w:val="18"/>
              </w:rPr>
              <w:t>Jóváhagyások: 36 hozzászólás: 96</w:t>
            </w:r>
            <w:r>
              <w:rPr>
                <w:rFonts w:ascii="Times New Roman;serif" w:hAnsi="Times New Roman;serif"/>
                <w:sz w:val="22"/>
              </w:rPr>
              <w:t xml:space="preserve"> </w:t>
            </w:r>
          </w:p>
        </w:tc>
      </w:tr>
      <w:tr>
        <w:trPr/>
        <w:tc>
          <w:tcPr>
            <w:tcW w:w="29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25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Az ötlet:</w:t>
            </w:r>
            <w:r>
              <w:rPr>
                <w:rFonts w:ascii="Times New Roman;serif" w:hAnsi="Times New Roman;serif"/>
                <w:color w:val="000000"/>
                <w:sz w:val="22"/>
              </w:rPr>
              <w:t xml:space="preserve"> </w:t>
            </w:r>
            <w:r>
              <w:rPr>
                <w:rFonts w:ascii="Arial-BoldMT;serif" w:hAnsi="Arial-BoldMT;serif"/>
                <w:b/>
                <w:color w:val="000000"/>
                <w:sz w:val="18"/>
              </w:rPr>
              <w:t xml:space="preserve">Az európai vasúti hálózat hozzáférhetőbbé  és tanácsosabbá tétele </w:t>
            </w:r>
            <w:r>
              <w:rPr>
                <w:rFonts w:ascii="Times New Roman;serif" w:hAnsi="Times New Roman;serif"/>
                <w:color w:val="000000"/>
                <w:sz w:val="22"/>
              </w:rPr>
              <w:t xml:space="preserve"> </w:t>
            </w:r>
            <w:r>
              <w:rPr>
                <w:rFonts w:ascii="Arial-BoldMT;serif" w:hAnsi="Arial-BoldMT;serif"/>
                <w:b/>
                <w:color w:val="000000"/>
                <w:sz w:val="18"/>
              </w:rPr>
              <w:t>az EU-n belüli összeköttetések helyettesítésére</w:t>
            </w:r>
            <w:r>
              <w:rPr>
                <w:rFonts w:ascii="Times New Roman;serif" w:hAnsi="Times New Roman;serif"/>
                <w:color w:val="000000"/>
                <w:sz w:val="22"/>
              </w:rPr>
              <w:t xml:space="preserve"> </w:t>
            </w:r>
            <w:r>
              <w:rPr>
                <w:rFonts w:ascii="ArialMT;serif" w:hAnsi="ArialMT;serif"/>
                <w:color w:val="000000"/>
                <w:sz w:val="18"/>
              </w:rPr>
              <w:t xml:space="preserve">(lásd az </w:t>
            </w:r>
            <w:hyperlink r:id="rId2043">
              <w:r>
                <w:rPr>
                  <w:rStyle w:val="LienInternet"/>
                  <w:rFonts w:ascii="ArialMT;serif" w:hAnsi="ArialMT;serif"/>
                  <w:color w:val="0563C1"/>
                  <w:sz w:val="18"/>
                </w:rPr>
                <w:t>ötletet</w:t>
              </w:r>
            </w:hyperlink>
            <w:r>
              <w:rPr>
                <w:rFonts w:ascii="ArialMT;serif" w:hAnsi="ArialMT;serif"/>
                <w:color w:val="000000"/>
                <w:sz w:val="18"/>
              </w:rPr>
              <w:t xml:space="preserve">) </w:t>
            </w:r>
          </w:p>
          <w:p>
            <w:pPr>
              <w:pStyle w:val="P68B1DB1Contenudetableau16"/>
              <w:widowControl w:val="false"/>
              <w:spacing w:before="11" w:after="57"/>
              <w:ind w:left="91" w:right="1208" w:hanging="0"/>
              <w:jc w:val="left"/>
              <w:rPr>
                <w:rFonts w:ascii="Times New Roman;serif" w:hAnsi="Times New Roman;serif"/>
                <w:color w:val="000000"/>
                <w:sz w:val="22"/>
              </w:rPr>
            </w:pPr>
            <w:r>
              <w:rPr>
                <w:rFonts w:ascii="ArialMT;serif" w:hAnsi="ArialMT;serif"/>
                <w:sz w:val="18"/>
              </w:rPr>
              <w:t>Jóváhagyások: 240 hozzászólás: 35</w:t>
            </w:r>
            <w:r>
              <w:rPr>
                <w:rFonts w:ascii="Times New Roman;serif" w:hAnsi="Times New Roman;serif"/>
                <w:sz w:val="22"/>
              </w:rPr>
              <w:t xml:space="preserve"> </w:t>
            </w:r>
          </w:p>
        </w:tc>
        <w:tc>
          <w:tcPr>
            <w:tcW w:w="344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Az ötlet:</w:t>
            </w:r>
            <w:r>
              <w:rPr>
                <w:rFonts w:ascii="Times New Roman;serif" w:hAnsi="Times New Roman;serif"/>
                <w:color w:val="000000"/>
                <w:sz w:val="22"/>
              </w:rPr>
              <w:t xml:space="preserve"> </w:t>
            </w:r>
            <w:r>
              <w:rPr>
                <w:rFonts w:ascii="Arial-BoldMT;serif" w:hAnsi="Arial-BoldMT;serif"/>
                <w:b/>
                <w:color w:val="000000"/>
                <w:sz w:val="18"/>
              </w:rPr>
              <w:t>Tegye</w:t>
            </w:r>
            <w:r>
              <w:rPr>
                <w:rFonts w:ascii="Times New Roman;serif" w:hAnsi="Times New Roman;serif"/>
                <w:color w:val="000000"/>
                <w:sz w:val="22"/>
              </w:rPr>
              <w:t xml:space="preserve"> </w:t>
            </w:r>
            <w:r>
              <w:rPr>
                <w:rFonts w:ascii="Arial-BoldMT;serif" w:hAnsi="Arial-BoldMT;serif"/>
                <w:b/>
                <w:color w:val="000000"/>
                <w:sz w:val="18"/>
              </w:rPr>
              <w:t xml:space="preserve">az atomenergiát  a zöld átalakulás középpontjába </w:t>
            </w:r>
            <w:r>
              <w:rPr>
                <w:rFonts w:ascii="ArialMT;serif" w:hAnsi="ArialMT;serif"/>
                <w:color w:val="000000"/>
                <w:sz w:val="18"/>
              </w:rPr>
              <w:t xml:space="preserve">(lásd az </w:t>
            </w:r>
            <w:hyperlink r:id="rId2044">
              <w:r>
                <w:rPr>
                  <w:rStyle w:val="LienInternet"/>
                  <w:rFonts w:ascii="ArialMT;serif" w:hAnsi="ArialMT;serif"/>
                  <w:color w:val="0563C1"/>
                  <w:sz w:val="18"/>
                </w:rPr>
                <w:t>ötletet</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6"/>
              <w:widowControl w:val="false"/>
              <w:spacing w:before="11" w:after="57"/>
              <w:ind w:left="91" w:right="1321" w:hanging="0"/>
              <w:jc w:val="left"/>
              <w:rPr>
                <w:rFonts w:ascii="Times New Roman;serif" w:hAnsi="Times New Roman;serif"/>
                <w:color w:val="000000"/>
                <w:sz w:val="22"/>
              </w:rPr>
            </w:pPr>
            <w:r>
              <w:rPr>
                <w:rFonts w:ascii="ArialMT;serif" w:hAnsi="ArialMT;serif"/>
                <w:sz w:val="18"/>
              </w:rPr>
              <w:t>Jóváhagyások: 37 hozzászólás: 79</w:t>
            </w:r>
            <w:r>
              <w:rPr>
                <w:rFonts w:ascii="Times New Roman;serif" w:hAnsi="Times New Roman;serif"/>
                <w:sz w:val="22"/>
              </w:rPr>
              <w:t xml:space="preserve"> </w:t>
            </w:r>
          </w:p>
        </w:tc>
      </w:tr>
      <w:tr>
        <w:trPr/>
        <w:tc>
          <w:tcPr>
            <w:tcW w:w="29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25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Az ötlet: Euro Trainscanner (fordított)</w:t>
            </w:r>
            <w:r>
              <w:rPr>
                <w:rFonts w:ascii="Times New Roman;serif" w:hAnsi="Times New Roman;serif"/>
                <w:color w:val="000000"/>
                <w:sz w:val="22"/>
              </w:rPr>
              <w:t xml:space="preserve"> </w:t>
            </w:r>
            <w:r>
              <w:rPr>
                <w:rFonts w:ascii="ArialMT;serif" w:hAnsi="ArialMT;serif"/>
                <w:color w:val="000000"/>
                <w:sz w:val="18"/>
              </w:rPr>
              <w:t>(lásd</w:t>
            </w:r>
            <w:hyperlink r:id="rId2045">
              <w:r>
                <w:rPr>
                  <w:rStyle w:val="LienInternet"/>
                  <w:rFonts w:ascii="Times New Roman;serif" w:hAnsi="Times New Roman;serif"/>
                  <w:sz w:val="22"/>
                </w:rPr>
                <w:t xml:space="preserve"> </w:t>
              </w:r>
            </w:hyperlink>
            <w:hyperlink r:id="rId2046">
              <w:r>
                <w:rPr>
                  <w:rStyle w:val="LienInternet"/>
                  <w:rFonts w:ascii="ArialMT;serif" w:hAnsi="ArialMT;serif"/>
                  <w:color w:val="0563C1"/>
                  <w:sz w:val="18"/>
                </w:rPr>
                <w:t>az ötletet</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Jóváhagyások: 203 Megjegyzések: 63 </w:t>
            </w:r>
          </w:p>
        </w:tc>
        <w:tc>
          <w:tcPr>
            <w:tcW w:w="344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Az ötlet: A környezetszennyezés csökkentése</w:t>
            </w:r>
            <w:r>
              <w:rPr>
                <w:rFonts w:ascii="Times New Roman;serif" w:hAnsi="Times New Roman;serif"/>
                <w:color w:val="000000"/>
                <w:sz w:val="22"/>
              </w:rPr>
              <w:t xml:space="preserve"> </w:t>
            </w:r>
            <w:r>
              <w:rPr>
                <w:rFonts w:ascii="Arial-BoldMT;serif" w:hAnsi="Arial-BoldMT;serif"/>
                <w:b/>
                <w:color w:val="000000"/>
                <w:sz w:val="18"/>
              </w:rPr>
              <w:t xml:space="preserve">bevándorlási politikával </w:t>
            </w:r>
            <w:r>
              <w:rPr>
                <w:rFonts w:ascii="ArialMT;serif" w:hAnsi="ArialMT;serif"/>
                <w:color w:val="000000"/>
                <w:sz w:val="18"/>
              </w:rPr>
              <w:t xml:space="preserve">(lásd </w:t>
            </w:r>
            <w:r>
              <w:rPr>
                <w:rFonts w:ascii="ArialMT;serif" w:hAnsi="ArialMT;serif"/>
                <w:color w:val="0563C1"/>
                <w:sz w:val="18"/>
              </w:rPr>
              <w:t>i</w:t>
            </w:r>
            <w:hyperlink r:id="rId2047">
              <w:r>
                <w:rPr>
                  <w:rStyle w:val="LienInternet"/>
                  <w:rFonts w:ascii="Times New Roman;serif" w:hAnsi="Times New Roman;serif"/>
                  <w:sz w:val="22"/>
                </w:rPr>
                <w:t>dea</w:t>
              </w:r>
            </w:hyperlink>
            <w:r>
              <w:rPr>
                <w:rFonts w:ascii="ArialMT;serif" w:hAnsi="ArialMT;serif"/>
                <w:color w:val="000000"/>
                <w:sz w:val="18"/>
              </w:rPr>
              <w:t xml:space="preserve">) </w:t>
            </w:r>
          </w:p>
          <w:p>
            <w:pPr>
              <w:pStyle w:val="P68B1DB1Contenudetableau17"/>
              <w:widowControl w:val="false"/>
              <w:spacing w:before="79" w:after="57"/>
              <w:ind w:left="91" w:right="0" w:hanging="0"/>
              <w:jc w:val="left"/>
              <w:rPr>
                <w:rFonts w:ascii="ArialMT;serif" w:hAnsi="ArialMT;serif"/>
                <w:color w:val="000000"/>
                <w:sz w:val="18"/>
              </w:rPr>
            </w:pPr>
            <w:r>
              <w:rPr/>
              <w:t xml:space="preserve">Jóváhagyások: 8 </w:t>
            </w:r>
          </w:p>
          <w:p>
            <w:pPr>
              <w:pStyle w:val="Normal"/>
              <w:widowControl w:val="false"/>
              <w:spacing w:lineRule="auto" w:line="240" w:before="95" w:after="0"/>
              <w:ind w:left="113" w:right="-18" w:hanging="0"/>
              <w:jc w:val="left"/>
              <w:rPr>
                <w:rFonts w:ascii="ArialMT" w:hAnsi="ArialMT" w:eastAsia="Times New Roman" w:cs="ArialMT"/>
                <w:color w:val="000000"/>
                <w:kern w:val="0"/>
                <w:sz w:val="19"/>
              </w:rPr>
            </w:pPr>
            <w:r>
              <mc:AlternateContent>
                <mc:Choice Requires="wps">
                  <w:drawing>
                    <wp:anchor behindDoc="1" distT="0" distB="635" distL="0" distR="635" simplePos="0" locked="0" layoutInCell="1" allowOverlap="1" relativeHeight="2">
                      <wp:simplePos x="0" y="0"/>
                      <wp:positionH relativeFrom="page">
                        <wp:posOffset>2038985</wp:posOffset>
                      </wp:positionH>
                      <wp:positionV relativeFrom="line">
                        <wp:posOffset>5715</wp:posOffset>
                      </wp:positionV>
                      <wp:extent cx="6350" cy="6350"/>
                      <wp:effectExtent l="0" t="0" r="635" b="635"/>
                      <wp:wrapNone/>
                      <wp:docPr id="118" name="Freeform 3688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3">
                      <wp:simplePos x="0" y="0"/>
                      <wp:positionH relativeFrom="page">
                        <wp:posOffset>2038985</wp:posOffset>
                      </wp:positionH>
                      <wp:positionV relativeFrom="line">
                        <wp:posOffset>5715</wp:posOffset>
                      </wp:positionV>
                      <wp:extent cx="6350" cy="6350"/>
                      <wp:effectExtent l="0" t="0" r="635" b="635"/>
                      <wp:wrapNone/>
                      <wp:docPr id="119" name="Freeform 3689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MT" w:ascii="ArialMT" w:hAnsi="ArialMT"/>
                <w:color w:val="000000"/>
                <w:kern w:val="0"/>
                <w:sz w:val="19"/>
              </w:rPr>
              <w:t xml:space="preserve">Hozzászólások: 74 </w:t>
            </w:r>
          </w:p>
        </w:tc>
      </w:tr>
      <w:tr>
        <w:trPr/>
        <w:tc>
          <w:tcPr>
            <w:tcW w:w="2921" w:type="dxa"/>
            <w:tcBorders>
              <w:left w:val="single" w:sz="2" w:space="0" w:color="000000"/>
              <w:bottom w:val="single" w:sz="2" w:space="0" w:color="000000"/>
              <w:right w:val="single" w:sz="2" w:space="0" w:color="000000"/>
            </w:tcBorders>
            <w:tcMar>
              <w:top w:w="28" w:type="dxa"/>
              <w:left w:w="28" w:type="dxa"/>
            </w:tcMar>
          </w:tcPr>
          <w:p>
            <w:pPr>
              <w:pStyle w:val="Contenudetableau"/>
              <w:widowControl w:val="false"/>
              <w:jc w:val="left"/>
              <w:rPr>
                <w:sz w:val="4"/>
              </w:rPr>
            </w:pPr>
            <w:r>
              <w:rPr>
                <w:sz w:val="4"/>
              </w:rPr>
            </w:r>
          </w:p>
        </w:tc>
        <w:tc>
          <w:tcPr>
            <w:tcW w:w="3251" w:type="dxa"/>
            <w:gridSpan w:val="3"/>
            <w:tcBorders>
              <w:left w:val="single" w:sz="2" w:space="0" w:color="000000"/>
              <w:bottom w:val="single" w:sz="2" w:space="0" w:color="000000"/>
              <w:right w:val="single" w:sz="2" w:space="0" w:color="000000"/>
            </w:tcBorders>
            <w:tcMar>
              <w:top w:w="28" w:type="dxa"/>
              <w:left w:w="28" w:type="dxa"/>
            </w:tcMar>
          </w:tcPr>
          <w:p>
            <w:pPr>
              <w:pStyle w:val="Normal"/>
              <w:widowControl w:val="false"/>
              <w:spacing w:lineRule="exact" w:line="230" w:before="104" w:after="0"/>
              <w:ind w:left="92" w:right="-50" w:hanging="0"/>
              <w:jc w:val="left"/>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4">
                      <wp:simplePos x="0" y="0"/>
                      <wp:positionH relativeFrom="page">
                        <wp:posOffset>2037715</wp:posOffset>
                      </wp:positionH>
                      <wp:positionV relativeFrom="paragraph">
                        <wp:posOffset>1106805</wp:posOffset>
                      </wp:positionV>
                      <wp:extent cx="6350" cy="6350"/>
                      <wp:effectExtent l="0" t="0" r="635" b="635"/>
                      <wp:wrapNone/>
                      <wp:docPr id="120" name="Freeform 3692_0"/>
                      <a:graphic xmlns:a="http://schemas.openxmlformats.org/drawingml/2006/main">
                        <a:graphicData uri="http://schemas.microsoft.com/office/word/2010/wordprocessingShape">
                          <wps:wsp>
                            <wps:cNvSpPr/>
                            <wps:spPr>
                              <a:xfrm>
                                <a:off x="0" y="0"/>
                                <a:ext cx="6480" cy="6480"/>
                              </a:xfrm>
                              <a:custGeom>
                                <a:avLst/>
                                <a:gdLst/>
                                <a:ahLst/>
                                <a:rect l="l" t="t" r="r" b="b"/>
                                <a:pathLst>
                                  <a:path w="6096" h="6109">
                                    <a:moveTo>
                                      <a:pt x="0" y="6109"/>
                                    </a:moveTo>
                                    <a:lnTo>
                                      <a:pt x="6096" y="6109"/>
                                    </a:lnTo>
                                    <a:lnTo>
                                      <a:pt x="6096" y="0"/>
                                    </a:lnTo>
                                    <a:lnTo>
                                      <a:pt x="0" y="0"/>
                                    </a:lnTo>
                                    <a:lnTo>
                                      <a:pt x="0" y="6109"/>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5">
                      <wp:simplePos x="0" y="0"/>
                      <wp:positionH relativeFrom="page">
                        <wp:posOffset>2037715</wp:posOffset>
                      </wp:positionH>
                      <wp:positionV relativeFrom="line">
                        <wp:posOffset>635</wp:posOffset>
                      </wp:positionV>
                      <wp:extent cx="6350" cy="6350"/>
                      <wp:effectExtent l="0" t="0" r="635" b="635"/>
                      <wp:wrapNone/>
                      <wp:docPr id="121" name="Freeform 3690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Az ötlet: Az élő csali halászatának tilalma az EU-n </w:t>
            </w:r>
            <w:r>
              <mc:AlternateContent>
                <mc:Choice Requires="wps">
                  <w:drawing>
                    <wp:anchor behindDoc="1" distT="0" distB="635" distL="635" distR="0" simplePos="0" locked="0" layoutInCell="1" allowOverlap="1" relativeHeight="6">
                      <wp:simplePos x="0" y="0"/>
                      <wp:positionH relativeFrom="page">
                        <wp:posOffset>1193165</wp:posOffset>
                      </wp:positionH>
                      <wp:positionV relativeFrom="line">
                        <wp:posOffset>-146685</wp:posOffset>
                      </wp:positionV>
                      <wp:extent cx="239395" cy="8890"/>
                      <wp:effectExtent l="635" t="0" r="0" b="635"/>
                      <wp:wrapNone/>
                      <wp:docPr id="122" name="Freeform 3691_0"/>
                      <a:graphic xmlns:a="http://schemas.openxmlformats.org/drawingml/2006/main">
                        <a:graphicData uri="http://schemas.microsoft.com/office/word/2010/wordprocessingShape">
                          <wps:wsp>
                            <wps:cNvSpPr/>
                            <wps:spPr>
                              <a:xfrm>
                                <a:off x="0" y="0"/>
                                <a:ext cx="239400" cy="9000"/>
                              </a:xfrm>
                              <a:custGeom>
                                <a:avLst/>
                                <a:gdLst/>
                                <a:ahLst/>
                                <a:rect l="l" t="t" r="r" b="b"/>
                                <a:pathLst>
                                  <a:path w="239280" h="9144">
                                    <a:moveTo>
                                      <a:pt x="0" y="9144"/>
                                    </a:moveTo>
                                    <a:lnTo>
                                      <a:pt x="239280" y="9144"/>
                                    </a:lnTo>
                                    <a:lnTo>
                                      <a:pt x="239280"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 xml:space="preserve">belül </w:t>
            </w:r>
            <w:r>
              <w:rPr>
                <w:rFonts w:eastAsia="Times New Roman" w:cs="ArialMT" w:ascii="ArialMT" w:hAnsi="ArialMT"/>
                <w:color w:val="000000"/>
                <w:kern w:val="0"/>
                <w:sz w:val="19"/>
              </w:rPr>
              <w:t xml:space="preserve">(lásd </w:t>
            </w:r>
            <w:hyperlink r:id="rId2048">
              <w:r>
                <w:rPr>
                  <w:rStyle w:val="LienInternet"/>
                  <w:rFonts w:eastAsia="Times New Roman" w:cs="ArialMT" w:ascii="ArialMT" w:hAnsi="ArialMT"/>
                  <w:color w:val="0563C1"/>
                  <w:kern w:val="0"/>
                  <w:sz w:val="19"/>
                </w:rPr>
                <w:t>az ötletet</w:t>
              </w:r>
            </w:hyperlink>
            <w:r>
              <w:rPr>
                <w:rFonts w:eastAsia="Times New Roman" w:cs="ArialMT" w:ascii="ArialMT" w:hAnsi="ArialMT"/>
                <w:color w:val="000000"/>
                <w:kern w:val="0"/>
                <w:sz w:val="19"/>
              </w:rPr>
              <w:t>)</w:t>
            </w:r>
            <w:r>
              <w:rPr>
                <w:rFonts w:eastAsia="Times New Roman" w:cs="Arial-BoldMT" w:ascii="Arial-BoldMT" w:hAnsi="Arial-BoldMT"/>
                <w:b/>
                <w:color w:val="000000"/>
                <w:kern w:val="0"/>
                <w:sz w:val="19"/>
              </w:rPr>
              <w:t xml:space="preserve"> </w:t>
            </w:r>
          </w:p>
          <w:p>
            <w:pPr>
              <w:pStyle w:val="P68B1DB1Normal18"/>
              <w:widowControl w:val="false"/>
              <w:spacing w:lineRule="exact" w:line="348" w:before="12" w:after="0"/>
              <w:ind w:left="92" w:right="1206" w:hanging="0"/>
              <w:jc w:val="left"/>
              <w:rPr>
                <w:rFonts w:ascii="ArialMT" w:hAnsi="ArialMT" w:eastAsia="Times New Roman" w:cs="ArialMT"/>
                <w:color w:val="000000"/>
                <w:kern w:val="0"/>
                <w:sz w:val="19"/>
              </w:rPr>
            </w:pPr>
            <w:r>
              <w:rPr/>
              <w:t xml:space="preserve">Jóváhagyások: 177 Megjegyzések: 23 </w:t>
            </w:r>
          </w:p>
        </w:tc>
        <w:tc>
          <w:tcPr>
            <w:tcW w:w="3442" w:type="dxa"/>
            <w:gridSpan w:val="3"/>
            <w:tcBorders>
              <w:left w:val="single" w:sz="2" w:space="0" w:color="000000"/>
              <w:bottom w:val="single" w:sz="2" w:space="0" w:color="000000"/>
              <w:right w:val="single" w:sz="2" w:space="0" w:color="000000"/>
            </w:tcBorders>
            <w:tcMar>
              <w:top w:w="28" w:type="dxa"/>
              <w:left w:w="28" w:type="dxa"/>
            </w:tcMar>
          </w:tcPr>
          <w:p>
            <w:pPr>
              <w:pStyle w:val="Normal"/>
              <w:widowControl w:val="false"/>
              <w:tabs>
                <w:tab w:val="clear" w:pos="709"/>
                <w:tab w:val="left" w:pos="1059" w:leader="none"/>
                <w:tab w:val="left" w:pos="1921" w:leader="none"/>
              </w:tabs>
              <w:spacing w:lineRule="exact" w:line="230" w:before="104" w:after="0"/>
              <w:ind w:left="93" w:right="-48" w:hanging="0"/>
              <w:jc w:val="left"/>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7">
                      <wp:simplePos x="0" y="0"/>
                      <wp:positionH relativeFrom="page">
                        <wp:posOffset>2038985</wp:posOffset>
                      </wp:positionH>
                      <wp:positionV relativeFrom="line">
                        <wp:posOffset>635</wp:posOffset>
                      </wp:positionV>
                      <wp:extent cx="6350" cy="6350"/>
                      <wp:effectExtent l="0" t="0" r="635" b="635"/>
                      <wp:wrapNone/>
                      <wp:docPr id="123" name="Freeform 3693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0" distT="0" distB="635" distL="0" distR="635" simplePos="0" locked="0" layoutInCell="1" allowOverlap="1" relativeHeight="148">
                      <wp:simplePos x="0" y="0"/>
                      <wp:positionH relativeFrom="page">
                        <wp:posOffset>2038985</wp:posOffset>
                      </wp:positionH>
                      <wp:positionV relativeFrom="paragraph">
                        <wp:posOffset>1106805</wp:posOffset>
                      </wp:positionV>
                      <wp:extent cx="6350" cy="6350"/>
                      <wp:effectExtent l="0" t="0" r="635" b="635"/>
                      <wp:wrapNone/>
                      <wp:docPr id="124" name="Freeform 3696_0"/>
                      <a:graphic xmlns:a="http://schemas.openxmlformats.org/drawingml/2006/main">
                        <a:graphicData uri="http://schemas.microsoft.com/office/word/2010/wordprocessingShape">
                          <wps:wsp>
                            <wps:cNvSpPr/>
                            <wps:spPr>
                              <a:xfrm>
                                <a:off x="0" y="0"/>
                                <a:ext cx="6480" cy="6480"/>
                              </a:xfrm>
                              <a:custGeom>
                                <a:avLst/>
                                <a:gdLst/>
                                <a:ahLst/>
                                <a:rect l="l" t="t" r="r" b="b"/>
                                <a:pathLst>
                                  <a:path w="6096" h="6109">
                                    <a:moveTo>
                                      <a:pt x="0" y="6109"/>
                                    </a:moveTo>
                                    <a:lnTo>
                                      <a:pt x="6096" y="6109"/>
                                    </a:lnTo>
                                    <a:lnTo>
                                      <a:pt x="6096" y="0"/>
                                    </a:lnTo>
                                    <a:lnTo>
                                      <a:pt x="0" y="0"/>
                                    </a:lnTo>
                                    <a:lnTo>
                                      <a:pt x="0" y="6109"/>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0" distT="0" distB="635" distL="0" distR="635" simplePos="0" locked="0" layoutInCell="1" allowOverlap="1" relativeHeight="149">
                      <wp:simplePos x="0" y="0"/>
                      <wp:positionH relativeFrom="page">
                        <wp:posOffset>2038985</wp:posOffset>
                      </wp:positionH>
                      <wp:positionV relativeFrom="paragraph">
                        <wp:posOffset>1106805</wp:posOffset>
                      </wp:positionV>
                      <wp:extent cx="6350" cy="6350"/>
                      <wp:effectExtent l="0" t="0" r="635" b="635"/>
                      <wp:wrapNone/>
                      <wp:docPr id="125" name="Freeform 3695_0"/>
                      <a:graphic xmlns:a="http://schemas.openxmlformats.org/drawingml/2006/main">
                        <a:graphicData uri="http://schemas.microsoft.com/office/word/2010/wordprocessingShape">
                          <wps:wsp>
                            <wps:cNvSpPr/>
                            <wps:spPr>
                              <a:xfrm>
                                <a:off x="0" y="0"/>
                                <a:ext cx="6480" cy="6480"/>
                              </a:xfrm>
                              <a:custGeom>
                                <a:avLst/>
                                <a:gdLst/>
                                <a:ahLst/>
                                <a:rect l="l" t="t" r="r" b="b"/>
                                <a:pathLst>
                                  <a:path w="6096" h="6109">
                                    <a:moveTo>
                                      <a:pt x="0" y="6109"/>
                                    </a:moveTo>
                                    <a:lnTo>
                                      <a:pt x="6096" y="6109"/>
                                    </a:lnTo>
                                    <a:lnTo>
                                      <a:pt x="6096" y="0"/>
                                    </a:lnTo>
                                    <a:lnTo>
                                      <a:pt x="0" y="0"/>
                                    </a:lnTo>
                                    <a:lnTo>
                                      <a:pt x="0" y="6109"/>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Az ötlet: Euro Trainscanner </w:t>
            </w:r>
            <w:r>
              <mc:AlternateContent>
                <mc:Choice Requires="wps">
                  <w:drawing>
                    <wp:anchor behindDoc="1" distT="0" distB="635" distL="1270" distR="0" simplePos="0" locked="0" layoutInCell="1" allowOverlap="1" relativeHeight="8">
                      <wp:simplePos x="0" y="0"/>
                      <wp:positionH relativeFrom="page">
                        <wp:posOffset>1080135</wp:posOffset>
                      </wp:positionH>
                      <wp:positionV relativeFrom="line">
                        <wp:posOffset>-146685</wp:posOffset>
                      </wp:positionV>
                      <wp:extent cx="239395" cy="8890"/>
                      <wp:effectExtent l="1270" t="0" r="0" b="635"/>
                      <wp:wrapNone/>
                      <wp:docPr id="126" name="Freeform 3694_0"/>
                      <a:graphic xmlns:a="http://schemas.openxmlformats.org/drawingml/2006/main">
                        <a:graphicData uri="http://schemas.microsoft.com/office/word/2010/wordprocessingShape">
                          <wps:wsp>
                            <wps:cNvSpPr/>
                            <wps:spPr>
                              <a:xfrm>
                                <a:off x="0" y="0"/>
                                <a:ext cx="239400" cy="9000"/>
                              </a:xfrm>
                              <a:custGeom>
                                <a:avLst/>
                                <a:gdLst/>
                                <a:ahLst/>
                                <a:rect l="l" t="t" r="r" b="b"/>
                                <a:pathLst>
                                  <a:path w="239280" h="9144">
                                    <a:moveTo>
                                      <a:pt x="0" y="9144"/>
                                    </a:moveTo>
                                    <a:lnTo>
                                      <a:pt x="239280" y="9144"/>
                                    </a:lnTo>
                                    <a:lnTo>
                                      <a:pt x="239280"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(fordított)</w:t>
            </w:r>
            <w:r>
              <w:rPr>
                <w:rFonts w:eastAsia="Times New Roman" w:cs="ArialMT" w:ascii="ArialMT" w:hAnsi="ArialMT"/>
                <w:color w:val="000000"/>
                <w:kern w:val="0"/>
                <w:sz w:val="19"/>
              </w:rPr>
              <w:t xml:space="preserve"> (lásd </w:t>
            </w:r>
            <w:hyperlink r:id="rId2049">
              <w:r>
                <w:rPr>
                  <w:rStyle w:val="LienInternet"/>
                  <w:rFonts w:eastAsia="Times New Roman" w:cs="ArialMT" w:ascii="ArialMT" w:hAnsi="ArialMT"/>
                  <w:color w:val="0563C1"/>
                  <w:kern w:val="0"/>
                  <w:sz w:val="19"/>
                </w:rPr>
                <w:t>az ötletet</w:t>
              </w:r>
            </w:hyperlink>
            <w:r>
              <w:rPr>
                <w:rFonts w:eastAsia="Times New Roman" w:cs="ArialMT" w:ascii="ArialMT" w:hAnsi="ArialMT"/>
                <w:color w:val="000000"/>
                <w:kern w:val="0"/>
                <w:sz w:val="19"/>
              </w:rPr>
              <w:t xml:space="preserve">) </w:t>
            </w:r>
          </w:p>
          <w:p>
            <w:pPr>
              <w:pStyle w:val="P68B1DB1Normal18"/>
              <w:widowControl w:val="false"/>
              <w:spacing w:lineRule="exact" w:line="348" w:before="12" w:after="0"/>
              <w:ind w:left="93" w:right="1208" w:hanging="0"/>
              <w:jc w:val="left"/>
              <w:rPr>
                <w:rFonts w:ascii="ArialMT" w:hAnsi="ArialMT" w:eastAsia="Times New Roman" w:cs="ArialMT"/>
                <w:color w:val="000000"/>
                <w:kern w:val="0"/>
                <w:sz w:val="19"/>
              </w:rPr>
            </w:pPr>
            <w:r>
              <w:rPr/>
              <w:t xml:space="preserve">Jóváhagyások: 203 Megjegyzések: 63 </w:t>
            </w:r>
          </w:p>
        </w:tc>
      </w:tr>
    </w:tbl>
    <w:p>
      <w:pPr>
        <w:pStyle w:val="Normal"/>
        <w:jc w:val="left"/>
        <w:rPr/>
      </w:pPr>
      <w:r>
        <w:rPr/>
      </w:r>
    </w:p>
    <w:p>
      <w:pPr>
        <w:pStyle w:val="Normal"/>
        <w:jc w:val="left"/>
        <w:rPr/>
      </w:pPr>
      <w:r>
        <w:rPr/>
      </w:r>
      <w:r>
        <w:br w:type="page"/>
      </w:r>
    </w:p>
    <w:p>
      <w:pPr>
        <w:pStyle w:val="Normal"/>
        <w:jc w:val="left"/>
        <w:rPr/>
      </w:pPr>
      <w:r>
        <w:rPr/>
      </w:r>
    </w:p>
    <w:p>
      <w:pPr>
        <w:pStyle w:val="Normal"/>
        <w:jc w:val="left"/>
        <w:rPr/>
      </w:pPr>
      <w:r>
        <w:rPr/>
      </w:r>
    </w:p>
    <w:tbl>
      <w:tblPr>
        <w:tblW w:w="9615" w:type="dxa"/>
        <w:jc w:val="left"/>
        <w:tblInd w:w="0" w:type="dxa"/>
        <w:tblLayout w:type="fixed"/>
        <w:tblCellMar>
          <w:top w:w="0" w:type="dxa"/>
          <w:left w:w="0" w:type="dxa"/>
          <w:bottom w:w="0" w:type="dxa"/>
          <w:right w:w="5" w:type="dxa"/>
        </w:tblCellMar>
      </w:tblPr>
      <w:tblGrid>
        <w:gridCol w:w="3201"/>
        <w:gridCol w:w="113"/>
        <w:gridCol w:w="2986"/>
        <w:gridCol w:w="166"/>
        <w:gridCol w:w="51"/>
        <w:gridCol w:w="2987"/>
        <w:gridCol w:w="110"/>
      </w:tblGrid>
      <w:tr>
        <w:trPr>
          <w:trHeight w:val="340" w:hRule="exact"/>
        </w:trPr>
        <w:tc>
          <w:tcPr>
            <w:tcW w:w="3201" w:type="dxa"/>
            <w:tcBorders>
              <w:bottom w:val="single" w:sz="4" w:space="0" w:color="000000"/>
              <w:right w:val="single" w:sz="4" w:space="0" w:color="000000"/>
            </w:tcBorders>
          </w:tcPr>
          <w:p>
            <w:pPr>
              <w:pStyle w:val="P68B1DB1Normal19"/>
              <w:widowControl w:val="false"/>
              <w:spacing w:lineRule="auto" w:line="240" w:before="0" w:after="0"/>
              <w:jc w:val="left"/>
              <w:rPr>
                <w:rFonts w:ascii="Times New Roman" w:hAnsi="Times New Roman" w:eastAsia="Times New Roman"/>
                <w:color w:val="000000"/>
                <w:kern w:val="0"/>
                <w:sz w:val="22"/>
              </w:rPr>
            </w:pPr>
            <w:r>
              <w:rPr>
                <w:rFonts w:eastAsia="Times New Roman"/>
                <w:color w:val="000000"/>
                <w:kern w:val="0"/>
                <w:sz w:val="22"/>
              </w:rPr>
              <mc:AlternateContent>
                <mc:Choice Requires="wps">
                  <w:drawing>
                    <wp:anchor behindDoc="1" distT="635" distB="635" distL="0" distR="635" simplePos="0" locked="0" layoutInCell="1" allowOverlap="1" relativeHeight="9">
                      <wp:simplePos x="0" y="0"/>
                      <wp:positionH relativeFrom="page">
                        <wp:posOffset>2037715</wp:posOffset>
                      </wp:positionH>
                      <wp:positionV relativeFrom="paragraph">
                        <wp:posOffset>-6350</wp:posOffset>
                      </wp:positionV>
                      <wp:extent cx="6350" cy="6350"/>
                      <wp:effectExtent l="0" t="635" r="635" b="635"/>
                      <wp:wrapNone/>
                      <wp:docPr id="127" name="Freeform 3701_0"/>
                      <a:graphic xmlns:a="http://schemas.openxmlformats.org/drawingml/2006/main">
                        <a:graphicData uri="http://schemas.microsoft.com/office/word/2010/wordprocessingShape">
                          <wps:wsp>
                            <wps:cNvSpPr/>
                            <wps:spPr>
                              <a:xfrm>
                                <a:off x="0" y="0"/>
                                <a:ext cx="6480" cy="6480"/>
                              </a:xfrm>
                              <a:custGeom>
                                <a:avLst/>
                                <a:gdLst/>
                                <a:ahLst/>
                                <a:rect l="l" t="t" r="r" b="b"/>
                                <a:pathLst>
                                  <a:path w="6108" h="6096">
                                    <a:moveTo>
                                      <a:pt x="0" y="6096"/>
                                    </a:moveTo>
                                    <a:lnTo>
                                      <a:pt x="6108" y="6096"/>
                                    </a:lnTo>
                                    <a:lnTo>
                                      <a:pt x="6108"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635" distB="635" distL="0" distR="635" simplePos="0" locked="0" layoutInCell="1" allowOverlap="1" relativeHeight="10">
                      <wp:simplePos x="0" y="0"/>
                      <wp:positionH relativeFrom="page">
                        <wp:posOffset>2037715</wp:posOffset>
                      </wp:positionH>
                      <wp:positionV relativeFrom="paragraph">
                        <wp:posOffset>-6350</wp:posOffset>
                      </wp:positionV>
                      <wp:extent cx="6350" cy="6350"/>
                      <wp:effectExtent l="0" t="635" r="635" b="635"/>
                      <wp:wrapNone/>
                      <wp:docPr id="128" name="Freeform 3702_0"/>
                      <a:graphic xmlns:a="http://schemas.openxmlformats.org/drawingml/2006/main">
                        <a:graphicData uri="http://schemas.microsoft.com/office/word/2010/wordprocessingShape">
                          <wps:wsp>
                            <wps:cNvSpPr/>
                            <wps:spPr>
                              <a:xfrm>
                                <a:off x="0" y="0"/>
                                <a:ext cx="6480" cy="6480"/>
                              </a:xfrm>
                              <a:custGeom>
                                <a:avLst/>
                                <a:gdLst/>
                                <a:ahLst/>
                                <a:rect l="l" t="t" r="r" b="b"/>
                                <a:pathLst>
                                  <a:path w="6108" h="6096">
                                    <a:moveTo>
                                      <a:pt x="0" y="6096"/>
                                    </a:moveTo>
                                    <a:lnTo>
                                      <a:pt x="6108" y="6096"/>
                                    </a:lnTo>
                                    <a:lnTo>
                                      <a:pt x="6108"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1270" distL="0" distR="635" simplePos="0" locked="0" layoutInCell="1" allowOverlap="1" relativeHeight="11">
                      <wp:simplePos x="0" y="0"/>
                      <wp:positionH relativeFrom="page">
                        <wp:posOffset>0</wp:posOffset>
                      </wp:positionH>
                      <wp:positionV relativeFrom="paragraph">
                        <wp:posOffset>222250</wp:posOffset>
                      </wp:positionV>
                      <wp:extent cx="6350" cy="6350"/>
                      <wp:effectExtent l="0" t="0" r="635" b="1270"/>
                      <wp:wrapNone/>
                      <wp:docPr id="129" name="Freeform 3703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p>
        </w:tc>
        <w:tc>
          <w:tcPr>
            <w:tcW w:w="113" w:type="dxa"/>
            <w:tcBorders>
              <w:top w:val="single" w:sz="4" w:space="0" w:color="000000"/>
              <w:left w:val="single" w:sz="4" w:space="0" w:color="000000"/>
              <w:bottom w:val="single" w:sz="4" w:space="0" w:color="000000"/>
            </w:tcBorders>
            <w:shd w:fill="BF0A71" w:val="clear"/>
          </w:tcPr>
          <w:p>
            <w:pPr>
              <w:pStyle w:val="Normal"/>
              <w:widowControl w:val="false"/>
              <w:spacing w:lineRule="auto" w:line="240" w:before="0" w:after="0"/>
              <w:jc w:val="left"/>
              <w:rPr>
                <w:rFonts w:ascii="Times New Roman" w:hAnsi="Times New Roman" w:eastAsia="Times New Roman"/>
                <w:color w:val="000000"/>
                <w:kern w:val="0"/>
                <w:sz w:val="22"/>
              </w:rPr>
            </w:pPr>
            <w:r>
              <w:rPr>
                <w:rFonts w:eastAsia="Times New Roman" w:ascii="Times New Roman" w:hAnsi="Times New Roman"/>
                <w:color w:val="000000"/>
                <w:kern w:val="0"/>
                <w:sz w:val="22"/>
              </w:rPr>
            </w:r>
          </w:p>
        </w:tc>
        <w:tc>
          <w:tcPr>
            <w:tcW w:w="2986" w:type="dxa"/>
            <w:tcBorders>
              <w:top w:val="single" w:sz="4" w:space="0" w:color="000000"/>
              <w:bottom w:val="single" w:sz="4" w:space="0" w:color="000000"/>
            </w:tcBorders>
            <w:shd w:fill="BF0A71" w:val="clear"/>
          </w:tcPr>
          <w:p>
            <w:pPr>
              <w:pStyle w:val="Normal"/>
              <w:widowControl w:val="false"/>
              <w:spacing w:lineRule="auto" w:line="240" w:before="41" w:after="0"/>
              <w:ind w:left="0" w:right="-18" w:hanging="0"/>
              <w:jc w:val="left"/>
              <w:rPr>
                <w:rFonts w:ascii="Arial-BoldMT" w:hAnsi="Arial-BoldMT" w:eastAsia="Times New Roman" w:cs="Arial-BoldMT"/>
                <w:b/>
                <w:b/>
                <w:color w:val="FFFFFF"/>
                <w:kern w:val="0"/>
                <w:sz w:val="19"/>
              </w:rPr>
            </w:pPr>
            <w:r>
              <mc:AlternateContent>
                <mc:Choice Requires="wps">
                  <w:drawing>
                    <wp:anchor behindDoc="1" distT="0" distB="635" distL="0" distR="635" simplePos="0" locked="0" layoutInCell="1" allowOverlap="1" relativeHeight="12">
                      <wp:simplePos x="0" y="0"/>
                      <wp:positionH relativeFrom="page">
                        <wp:posOffset>-2102485</wp:posOffset>
                      </wp:positionH>
                      <wp:positionV relativeFrom="line">
                        <wp:posOffset>-187960</wp:posOffset>
                      </wp:positionV>
                      <wp:extent cx="6350" cy="6350"/>
                      <wp:effectExtent l="0" t="0" r="635" b="635"/>
                      <wp:wrapNone/>
                      <wp:docPr id="130" name="Freeform 3704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13">
                      <wp:simplePos x="0" y="0"/>
                      <wp:positionH relativeFrom="page">
                        <wp:posOffset>-2108835</wp:posOffset>
                      </wp:positionH>
                      <wp:positionV relativeFrom="line">
                        <wp:posOffset>-187960</wp:posOffset>
                      </wp:positionV>
                      <wp:extent cx="6350" cy="6350"/>
                      <wp:effectExtent l="0" t="0" r="635" b="635"/>
                      <wp:wrapNone/>
                      <wp:docPr id="131" name="Freeform 3705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14">
                      <wp:simplePos x="0" y="0"/>
                      <wp:positionH relativeFrom="page">
                        <wp:posOffset>-71120</wp:posOffset>
                      </wp:positionH>
                      <wp:positionV relativeFrom="line">
                        <wp:posOffset>-187960</wp:posOffset>
                      </wp:positionV>
                      <wp:extent cx="6350" cy="6350"/>
                      <wp:effectExtent l="0" t="0" r="635" b="635"/>
                      <wp:wrapNone/>
                      <wp:docPr id="132" name="Freeform 3706_0"/>
                      <a:graphic xmlns:a="http://schemas.openxmlformats.org/drawingml/2006/main">
                        <a:graphicData uri="http://schemas.microsoft.com/office/word/2010/wordprocessingShape">
                          <wps:wsp>
                            <wps:cNvSpPr/>
                            <wps:spPr>
                              <a:xfrm>
                                <a:off x="0" y="0"/>
                                <a:ext cx="6480" cy="6480"/>
                              </a:xfrm>
                              <a:custGeom>
                                <a:avLst/>
                                <a:gdLst/>
                                <a:ahLst/>
                                <a:rect l="l" t="t" r="r" b="b"/>
                                <a:pathLst>
                                  <a:path w="6108" h="6096">
                                    <a:moveTo>
                                      <a:pt x="0" y="6096"/>
                                    </a:moveTo>
                                    <a:lnTo>
                                      <a:pt x="6108" y="6096"/>
                                    </a:lnTo>
                                    <a:lnTo>
                                      <a:pt x="6108"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FFFFFF"/>
                <w:kern w:val="0"/>
                <w:sz w:val="19"/>
              </w:rPr>
              <w:t>A legtöbb támogatott</w:t>
            </w:r>
          </w:p>
        </w:tc>
        <w:tc>
          <w:tcPr>
            <w:tcW w:w="166" w:type="dxa"/>
            <w:tcBorders>
              <w:top w:val="single" w:sz="4" w:space="0" w:color="000000"/>
              <w:bottom w:val="single" w:sz="4" w:space="0" w:color="000000"/>
              <w:right w:val="single" w:sz="4" w:space="0" w:color="000000"/>
            </w:tcBorders>
            <w:shd w:fill="BF0A71" w:val="clear"/>
          </w:tcPr>
          <w:p>
            <w:pPr>
              <w:pStyle w:val="Normal"/>
              <w:widowControl w:val="false"/>
              <w:spacing w:lineRule="auto" w:line="240" w:before="0" w:after="0"/>
              <w:jc w:val="left"/>
              <w:rPr>
                <w:rFonts w:ascii="Times New Roman" w:hAnsi="Times New Roman" w:eastAsia="Times New Roman"/>
                <w:color w:val="000000"/>
                <w:kern w:val="0"/>
                <w:sz w:val="22"/>
              </w:rPr>
            </w:pPr>
            <w:r>
              <w:rPr>
                <w:rFonts w:eastAsia="Times New Roman" w:ascii="Times New Roman" w:hAnsi="Times New Roman"/>
                <w:color w:val="000000"/>
                <w:kern w:val="0"/>
                <w:sz w:val="22"/>
              </w:rPr>
            </w:r>
          </w:p>
        </w:tc>
        <w:tc>
          <w:tcPr>
            <w:tcW w:w="51" w:type="dxa"/>
            <w:tcBorders>
              <w:top w:val="single" w:sz="4" w:space="0" w:color="000000"/>
              <w:left w:val="single" w:sz="4" w:space="0" w:color="000000"/>
              <w:bottom w:val="single" w:sz="4" w:space="0" w:color="000000"/>
            </w:tcBorders>
            <w:shd w:fill="BF0A71" w:val="clear"/>
          </w:tcPr>
          <w:p>
            <w:pPr>
              <w:pStyle w:val="P68B1DB1Normal19"/>
              <w:widowControl w:val="false"/>
              <w:spacing w:lineRule="auto" w:line="240" w:before="0" w:after="0"/>
              <w:jc w:val="left"/>
              <w:rPr>
                <w:rFonts w:ascii="Times New Roman" w:hAnsi="Times New Roman" w:eastAsia="Times New Roman"/>
                <w:color w:val="000000"/>
                <w:kern w:val="0"/>
                <w:sz w:val="22"/>
              </w:rPr>
            </w:pPr>
            <w:r>
              <w:rPr>
                <w:rFonts w:eastAsia="Times New Roman"/>
                <w:color w:val="000000"/>
                <w:kern w:val="0"/>
                <w:sz w:val="22"/>
              </w:rPr>
              <mc:AlternateContent>
                <mc:Choice Requires="wps">
                  <w:drawing>
                    <wp:anchor behindDoc="1" distT="635" distB="635" distL="0" distR="635" simplePos="0" locked="0" layoutInCell="1" allowOverlap="1" relativeHeight="15">
                      <wp:simplePos x="0" y="0"/>
                      <wp:positionH relativeFrom="page">
                        <wp:posOffset>0</wp:posOffset>
                      </wp:positionH>
                      <wp:positionV relativeFrom="paragraph">
                        <wp:posOffset>-6350</wp:posOffset>
                      </wp:positionV>
                      <wp:extent cx="6350" cy="6350"/>
                      <wp:effectExtent l="0" t="635" r="635" b="635"/>
                      <wp:wrapNone/>
                      <wp:docPr id="133" name="Freeform 3707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p>
        </w:tc>
        <w:tc>
          <w:tcPr>
            <w:tcW w:w="2987" w:type="dxa"/>
            <w:tcBorders>
              <w:top w:val="single" w:sz="4" w:space="0" w:color="000000"/>
              <w:bottom w:val="single" w:sz="4" w:space="0" w:color="000000"/>
            </w:tcBorders>
            <w:shd w:fill="BF0A71" w:val="clear"/>
          </w:tcPr>
          <w:p>
            <w:pPr>
              <w:pStyle w:val="Normal"/>
              <w:widowControl w:val="false"/>
              <w:spacing w:lineRule="auto" w:line="240" w:before="41" w:after="0"/>
              <w:ind w:left="0" w:right="-18" w:hanging="0"/>
              <w:jc w:val="left"/>
              <w:rPr>
                <w:rFonts w:ascii="Arial-BoldMT" w:hAnsi="Arial-BoldMT" w:eastAsia="Times New Roman" w:cs="Arial-BoldMT"/>
                <w:b/>
                <w:b/>
                <w:color w:val="FFFFFF"/>
                <w:kern w:val="0"/>
                <w:sz w:val="19"/>
              </w:rPr>
            </w:pPr>
            <w:r>
              <mc:AlternateContent>
                <mc:Choice Requires="wps">
                  <w:drawing>
                    <wp:anchor behindDoc="1" distT="0" distB="635" distL="0" distR="635" simplePos="0" locked="0" layoutInCell="1" allowOverlap="1" relativeHeight="16">
                      <wp:simplePos x="0" y="0"/>
                      <wp:positionH relativeFrom="page">
                        <wp:posOffset>-71120</wp:posOffset>
                      </wp:positionH>
                      <wp:positionV relativeFrom="line">
                        <wp:posOffset>-187960</wp:posOffset>
                      </wp:positionV>
                      <wp:extent cx="6350" cy="6350"/>
                      <wp:effectExtent l="0" t="0" r="635" b="635"/>
                      <wp:wrapNone/>
                      <wp:docPr id="134" name="Freeform 3708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FFFFFF"/>
                <w:kern w:val="0"/>
                <w:sz w:val="19"/>
              </w:rPr>
              <w:t>A legtöbb hozzászólás</w:t>
            </w:r>
          </w:p>
        </w:tc>
        <w:tc>
          <w:tcPr>
            <w:tcW w:w="110" w:type="dxa"/>
            <w:tcBorders>
              <w:top w:val="single" w:sz="4" w:space="0" w:color="000000"/>
              <w:bottom w:val="single" w:sz="4" w:space="0" w:color="000000"/>
              <w:right w:val="single" w:sz="4" w:space="0" w:color="000000"/>
            </w:tcBorders>
            <w:shd w:fill="BF0A71" w:val="clear"/>
          </w:tcPr>
          <w:p>
            <w:pPr>
              <w:pStyle w:val="Normal"/>
              <w:widowControl w:val="false"/>
              <w:spacing w:lineRule="auto" w:line="240" w:before="0" w:after="0"/>
              <w:jc w:val="left"/>
              <w:rPr>
                <w:rFonts w:ascii="Times New Roman" w:hAnsi="Times New Roman" w:eastAsia="Times New Roman"/>
                <w:color w:val="000000"/>
                <w:kern w:val="0"/>
                <w:sz w:val="22"/>
              </w:rPr>
            </w:pPr>
            <w:r>
              <w:rPr>
                <w:rFonts w:eastAsia="Times New Roman" w:ascii="Times New Roman" w:hAnsi="Times New Roman"/>
                <w:color w:val="000000"/>
                <w:kern w:val="0"/>
                <w:sz w:val="22"/>
              </w:rPr>
            </w:r>
          </w:p>
        </w:tc>
      </w:tr>
      <w:tr>
        <w:trPr>
          <w:trHeight w:val="2550" w:hRule="exact"/>
        </w:trPr>
        <w:tc>
          <w:tcPr>
            <w:tcW w:w="3201"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52" w:after="0"/>
              <w:ind w:left="93" w:right="-18" w:hanging="0"/>
              <w:jc w:val="left"/>
              <w:rPr>
                <w:rFonts w:ascii="Arial-BoldMT" w:hAnsi="Arial-BoldMT" w:eastAsia="Times New Roman" w:cs="Arial-BoldMT"/>
                <w:b/>
                <w:b/>
                <w:color w:val="000000"/>
                <w:kern w:val="0"/>
                <w:sz w:val="19"/>
              </w:rPr>
            </w:pPr>
            <w:r>
              <mc:AlternateContent>
                <mc:Choice Requires="wps">
                  <w:drawing>
                    <wp:anchor behindDoc="1" distT="0" distB="1270" distL="0" distR="635" simplePos="0" locked="0" layoutInCell="1" allowOverlap="1" relativeHeight="17">
                      <wp:simplePos x="0" y="0"/>
                      <wp:positionH relativeFrom="page">
                        <wp:posOffset>0</wp:posOffset>
                      </wp:positionH>
                      <wp:positionV relativeFrom="paragraph">
                        <wp:posOffset>1659255</wp:posOffset>
                      </wp:positionV>
                      <wp:extent cx="6350" cy="6350"/>
                      <wp:effectExtent l="0" t="0" r="635" b="1270"/>
                      <wp:wrapNone/>
                      <wp:docPr id="135" name="Freeform 3709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1270" distL="0" distR="635" simplePos="0" locked="0" layoutInCell="1" allowOverlap="1" relativeHeight="18">
                      <wp:simplePos x="0" y="0"/>
                      <wp:positionH relativeFrom="page">
                        <wp:posOffset>2037715</wp:posOffset>
                      </wp:positionH>
                      <wp:positionV relativeFrom="paragraph">
                        <wp:posOffset>1659255</wp:posOffset>
                      </wp:positionV>
                      <wp:extent cx="6350" cy="6350"/>
                      <wp:effectExtent l="0" t="0" r="635" b="1270"/>
                      <wp:wrapNone/>
                      <wp:docPr id="136" name="Freeform 3710_0"/>
                      <a:graphic xmlns:a="http://schemas.openxmlformats.org/drawingml/2006/main">
                        <a:graphicData uri="http://schemas.microsoft.com/office/word/2010/wordprocessingShape">
                          <wps:wsp>
                            <wps:cNvSpPr/>
                            <wps:spPr>
                              <a:xfrm>
                                <a:off x="0" y="0"/>
                                <a:ext cx="6480" cy="6480"/>
                              </a:xfrm>
                              <a:custGeom>
                                <a:avLst/>
                                <a:gdLst/>
                                <a:ahLst/>
                                <a:rect l="l" t="t" r="r" b="b"/>
                                <a:pathLst>
                                  <a:path w="6108" h="6096">
                                    <a:moveTo>
                                      <a:pt x="0" y="6096"/>
                                    </a:moveTo>
                                    <a:lnTo>
                                      <a:pt x="6108" y="6096"/>
                                    </a:lnTo>
                                    <a:lnTo>
                                      <a:pt x="6108"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19">
                      <wp:simplePos x="0" y="0"/>
                      <wp:positionH relativeFrom="page">
                        <wp:posOffset>0</wp:posOffset>
                      </wp:positionH>
                      <wp:positionV relativeFrom="paragraph">
                        <wp:posOffset>3054985</wp:posOffset>
                      </wp:positionV>
                      <wp:extent cx="6350" cy="6350"/>
                      <wp:effectExtent l="0" t="0" r="635" b="635"/>
                      <wp:wrapNone/>
                      <wp:docPr id="137" name="Freeform 3711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20">
                      <wp:simplePos x="0" y="0"/>
                      <wp:positionH relativeFrom="page">
                        <wp:posOffset>2037715</wp:posOffset>
                      </wp:positionH>
                      <wp:positionV relativeFrom="paragraph">
                        <wp:posOffset>3054985</wp:posOffset>
                      </wp:positionV>
                      <wp:extent cx="6350" cy="6350"/>
                      <wp:effectExtent l="0" t="0" r="635" b="635"/>
                      <wp:wrapNone/>
                      <wp:docPr id="138" name="Freeform 3712_0"/>
                      <a:graphic xmlns:a="http://schemas.openxmlformats.org/drawingml/2006/main">
                        <a:graphicData uri="http://schemas.microsoft.com/office/word/2010/wordprocessingShape">
                          <wps:wsp>
                            <wps:cNvSpPr/>
                            <wps:spPr>
                              <a:xfrm>
                                <a:off x="0" y="0"/>
                                <a:ext cx="6480" cy="6480"/>
                              </a:xfrm>
                              <a:custGeom>
                                <a:avLst/>
                                <a:gdLst/>
                                <a:ahLst/>
                                <a:rect l="l" t="t" r="r" b="b"/>
                                <a:pathLst>
                                  <a:path w="6108" h="6096">
                                    <a:moveTo>
                                      <a:pt x="0" y="6096"/>
                                    </a:moveTo>
                                    <a:lnTo>
                                      <a:pt x="6108" y="6096"/>
                                    </a:lnTo>
                                    <a:lnTo>
                                      <a:pt x="6108"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21">
                      <wp:simplePos x="0" y="0"/>
                      <wp:positionH relativeFrom="page">
                        <wp:posOffset>0</wp:posOffset>
                      </wp:positionH>
                      <wp:positionV relativeFrom="paragraph">
                        <wp:posOffset>4388485</wp:posOffset>
                      </wp:positionV>
                      <wp:extent cx="6350" cy="6350"/>
                      <wp:effectExtent l="0" t="0" r="635" b="635"/>
                      <wp:wrapNone/>
                      <wp:docPr id="139" name="Freeform 3713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22">
                      <wp:simplePos x="0" y="0"/>
                      <wp:positionH relativeFrom="page">
                        <wp:posOffset>2037715</wp:posOffset>
                      </wp:positionH>
                      <wp:positionV relativeFrom="paragraph">
                        <wp:posOffset>4388485</wp:posOffset>
                      </wp:positionV>
                      <wp:extent cx="6350" cy="6350"/>
                      <wp:effectExtent l="0" t="0" r="635" b="635"/>
                      <wp:wrapNone/>
                      <wp:docPr id="140" name="Freeform 3714_0"/>
                      <a:graphic xmlns:a="http://schemas.openxmlformats.org/drawingml/2006/main">
                        <a:graphicData uri="http://schemas.microsoft.com/office/word/2010/wordprocessingShape">
                          <wps:wsp>
                            <wps:cNvSpPr/>
                            <wps:spPr>
                              <a:xfrm>
                                <a:off x="0" y="0"/>
                                <a:ext cx="6480" cy="6480"/>
                              </a:xfrm>
                              <a:custGeom>
                                <a:avLst/>
                                <a:gdLst/>
                                <a:ahLst/>
                                <a:rect l="l" t="t" r="r" b="b"/>
                                <a:pathLst>
                                  <a:path w="6108" h="6096">
                                    <a:moveTo>
                                      <a:pt x="0" y="6096"/>
                                    </a:moveTo>
                                    <a:lnTo>
                                      <a:pt x="6108" y="6096"/>
                                    </a:lnTo>
                                    <a:lnTo>
                                      <a:pt x="6108"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1270" distL="0" distR="635" simplePos="0" locked="0" layoutInCell="1" allowOverlap="1" relativeHeight="23">
                      <wp:simplePos x="0" y="0"/>
                      <wp:positionH relativeFrom="page">
                        <wp:posOffset>0</wp:posOffset>
                      </wp:positionH>
                      <wp:positionV relativeFrom="paragraph">
                        <wp:posOffset>5868670</wp:posOffset>
                      </wp:positionV>
                      <wp:extent cx="6350" cy="6350"/>
                      <wp:effectExtent l="0" t="0" r="635" b="1270"/>
                      <wp:wrapNone/>
                      <wp:docPr id="141" name="Freeform 3715_0"/>
                      <a:graphic xmlns:a="http://schemas.openxmlformats.org/drawingml/2006/main">
                        <a:graphicData uri="http://schemas.microsoft.com/office/word/2010/wordprocessingShape">
                          <wps:wsp>
                            <wps:cNvSpPr/>
                            <wps:spPr>
                              <a:xfrm>
                                <a:off x="0" y="0"/>
                                <a:ext cx="6480" cy="6480"/>
                              </a:xfrm>
                              <a:custGeom>
                                <a:avLst/>
                                <a:gdLst/>
                                <a:ahLst/>
                                <a:rect l="l" t="t" r="r" b="b"/>
                                <a:pathLst>
                                  <a:path w="6096" h="6108">
                                    <a:moveTo>
                                      <a:pt x="0" y="6108"/>
                                    </a:moveTo>
                                    <a:lnTo>
                                      <a:pt x="6096" y="6108"/>
                                    </a:lnTo>
                                    <a:lnTo>
                                      <a:pt x="6096" y="0"/>
                                    </a:lnTo>
                                    <a:lnTo>
                                      <a:pt x="0" y="0"/>
                                    </a:lnTo>
                                    <a:lnTo>
                                      <a:pt x="0" y="6108"/>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1270" distL="0" distR="635" simplePos="0" locked="0" layoutInCell="1" allowOverlap="1" relativeHeight="24">
                      <wp:simplePos x="0" y="0"/>
                      <wp:positionH relativeFrom="page">
                        <wp:posOffset>2037715</wp:posOffset>
                      </wp:positionH>
                      <wp:positionV relativeFrom="paragraph">
                        <wp:posOffset>5868670</wp:posOffset>
                      </wp:positionV>
                      <wp:extent cx="6350" cy="6350"/>
                      <wp:effectExtent l="0" t="0" r="635" b="1270"/>
                      <wp:wrapNone/>
                      <wp:docPr id="142" name="Freeform 3716_0"/>
                      <a:graphic xmlns:a="http://schemas.openxmlformats.org/drawingml/2006/main">
                        <a:graphicData uri="http://schemas.microsoft.com/office/word/2010/wordprocessingShape">
                          <wps:wsp>
                            <wps:cNvSpPr/>
                            <wps:spPr>
                              <a:xfrm>
                                <a:off x="0" y="0"/>
                                <a:ext cx="6480" cy="6480"/>
                              </a:xfrm>
                              <a:custGeom>
                                <a:avLst/>
                                <a:gdLst/>
                                <a:ahLst/>
                                <a:rect l="l" t="t" r="r" b="b"/>
                                <a:pathLst>
                                  <a:path w="6108" h="6108">
                                    <a:moveTo>
                                      <a:pt x="0" y="6108"/>
                                    </a:moveTo>
                                    <a:lnTo>
                                      <a:pt x="6108" y="6108"/>
                                    </a:lnTo>
                                    <a:lnTo>
                                      <a:pt x="6108" y="0"/>
                                    </a:lnTo>
                                    <a:lnTo>
                                      <a:pt x="0" y="0"/>
                                    </a:lnTo>
                                    <a:lnTo>
                                      <a:pt x="0" y="6108"/>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Egészség</w:t>
            </w:r>
          </w:p>
        </w:tc>
        <w:tc>
          <w:tcPr>
            <w:tcW w:w="3265"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52" w:after="0"/>
              <w:ind w:left="112" w:right="-18" w:hanging="0"/>
              <w:jc w:val="left"/>
              <w:rPr>
                <w:rFonts w:eastAsia="Times New Roman"/>
                <w:kern w:val="0"/>
              </w:rPr>
            </w:pPr>
            <w:r>
              <mc:AlternateContent>
                <mc:Choice Requires="wps">
                  <w:drawing>
                    <wp:anchor behindDoc="1" distT="635" distB="635" distL="635" distR="0" simplePos="0" locked="0" layoutInCell="1" allowOverlap="1" relativeHeight="25">
                      <wp:simplePos x="0" y="0"/>
                      <wp:positionH relativeFrom="page">
                        <wp:posOffset>71755</wp:posOffset>
                      </wp:positionH>
                      <wp:positionV relativeFrom="paragraph">
                        <wp:posOffset>687070</wp:posOffset>
                      </wp:positionV>
                      <wp:extent cx="239395" cy="8890"/>
                      <wp:effectExtent l="635" t="635" r="0" b="635"/>
                      <wp:wrapNone/>
                      <wp:docPr id="143" name="Freeform 3717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Az ötlet: Tudományintenzív, egészséges, hosszú élettartamú technológiák: fejlesztés és hozzáférés</w:t>
            </w:r>
            <w:r>
              <w:rPr>
                <w:rFonts w:eastAsia="Times New Roman" w:cs="ArialMT" w:ascii="ArialMT" w:hAnsi="ArialMT"/>
                <w:color w:val="000000"/>
                <w:kern w:val="0"/>
                <w:sz w:val="19"/>
              </w:rPr>
              <w:t xml:space="preserve"> (lásd </w:t>
            </w:r>
            <w:r>
              <w:rPr>
                <w:rFonts w:eastAsia="Times New Roman" w:cs="ArialMT" w:ascii="ArialMT" w:hAnsi="ArialMT"/>
                <w:color w:val="0563C1"/>
                <w:kern w:val="0"/>
                <w:sz w:val="19"/>
              </w:rPr>
              <w:t>i</w:t>
            </w:r>
            <w:hyperlink r:id="rId2050">
              <w:r>
                <w:rPr>
                  <w:rStyle w:val="LienInternet"/>
                  <w:rFonts w:eastAsia="Times New Roman"/>
                  <w:kern w:val="0"/>
                </w:rPr>
                <w:t>dea</w:t>
              </w:r>
            </w:hyperlink>
            <w:r>
              <w:rPr>
                <w:rFonts w:eastAsia="Times New Roman" w:cs="ArialMT" w:ascii="ArialMT" w:hAnsi="ArialMT"/>
                <w:color w:val="000000"/>
                <w:kern w:val="0"/>
                <w:sz w:val="19"/>
              </w:rPr>
              <w:t xml:space="preserve">) </w:t>
            </w:r>
          </w:p>
          <w:p>
            <w:pPr>
              <w:pStyle w:val="P68B1DB1Normal18"/>
              <w:widowControl w:val="false"/>
              <w:spacing w:lineRule="exact" w:line="350" w:before="0" w:after="0"/>
              <w:ind w:left="112" w:right="1206" w:hanging="0"/>
              <w:jc w:val="left"/>
              <w:rPr>
                <w:rFonts w:ascii="ArialMT" w:hAnsi="ArialMT" w:eastAsia="Times New Roman" w:cs="ArialMT"/>
                <w:color w:val="000000"/>
                <w:kern w:val="0"/>
                <w:sz w:val="19"/>
              </w:rPr>
            </w:pPr>
            <w:r>
              <w:rPr/>
              <w:t xml:space="preserve">Jóváhagyások: 603 Hozzászólások: 83 </w:t>
            </w:r>
          </w:p>
        </w:tc>
        <w:tc>
          <w:tcPr>
            <w:tcW w:w="3148" w:type="dxa"/>
            <w:gridSpan w:val="3"/>
            <w:tcBorders>
              <w:top w:val="single" w:sz="4" w:space="0" w:color="000000"/>
              <w:left w:val="single" w:sz="4" w:space="0" w:color="000000"/>
              <w:bottom w:val="single" w:sz="4" w:space="0" w:color="000000"/>
              <w:right w:val="single" w:sz="4" w:space="0" w:color="000000"/>
            </w:tcBorders>
          </w:tcPr>
          <w:p>
            <w:pPr>
              <w:pStyle w:val="Contenudecadre"/>
              <w:widowControl w:val="false"/>
              <w:tabs>
                <w:tab w:val="clear" w:pos="709"/>
                <w:tab w:val="left" w:pos="1199" w:leader="none"/>
                <w:tab w:val="left" w:pos="2119" w:leader="none"/>
                <w:tab w:val="left" w:pos="2282" w:leader="none"/>
              </w:tabs>
              <w:spacing w:lineRule="exact" w:line="230" w:before="0" w:after="0"/>
              <w:ind w:left="0" w:right="0" w:hanging="0"/>
              <w:jc w:val="left"/>
              <w:rPr/>
            </w:pPr>
            <w:r>
              <w:rPr>
                <w:rFonts w:cs="Arial-BoldMT" w:ascii="Arial-BoldMT" w:hAnsi="Arial-BoldMT"/>
                <w:b/>
                <w:color w:val="000000"/>
                <w:sz w:val="19"/>
              </w:rPr>
              <w:t xml:space="preserve">Az ötlet: Állítsa le a nappali fényt időt takarítson meg </w:t>
            </w:r>
            <w:r>
              <w:rPr/>
              <w:br/>
            </w:r>
            <w:r>
              <w:rPr>
                <w:rFonts w:cs="Arial-BoldMT" w:ascii="Arial-BoldMT" w:hAnsi="Arial-BoldMT"/>
                <w:b/>
                <w:color w:val="000000"/>
                <w:sz w:val="19"/>
              </w:rPr>
              <w:t>változás: Csillagászatilag helyes idő elfogadása és opcionálisan a nyitvatartási idő 1 órával korábbira történő áthelyezése</w:t>
            </w:r>
            <w:r>
              <w:rPr>
                <w:rFonts w:cs="ArialMT" w:ascii="ArialMT" w:hAnsi="ArialMT"/>
                <w:color w:val="000000"/>
                <w:sz w:val="19"/>
              </w:rPr>
              <w:t xml:space="preserve"> (lásd </w:t>
            </w:r>
            <w:hyperlink r:id="rId2051">
              <w:r>
                <w:rPr>
                  <w:rStyle w:val="LienInternet"/>
                  <w:rFonts w:cs="ArialMT" w:ascii="ArialMT" w:hAnsi="ArialMT"/>
                  <w:color w:val="0563C1"/>
                  <w:sz w:val="19"/>
                </w:rPr>
                <w:t>az ötletet</w:t>
              </w:r>
            </w:hyperlink>
            <w:r>
              <w:rPr>
                <w:rFonts w:cs="ArialMT" w:ascii="ArialMT" w:hAnsi="ArialMT"/>
                <w:color w:val="000000"/>
                <w:sz w:val="19"/>
              </w:rPr>
              <w:t xml:space="preserve">) </w:t>
            </w:r>
          </w:p>
          <w:p>
            <w:pPr>
              <w:pStyle w:val="Contenudecadre"/>
              <w:widowControl w:val="false"/>
              <w:spacing w:lineRule="exact" w:line="350" w:before="0" w:after="0"/>
              <w:ind w:left="0" w:right="0" w:hanging="0"/>
              <w:jc w:val="left"/>
              <w:rPr>
                <w:rFonts w:ascii="Times New Roman" w:hAnsi="Times New Roman" w:eastAsia="Times New Roman"/>
                <w:color w:val="000000"/>
                <w:kern w:val="0"/>
                <w:sz w:val="22"/>
              </w:rPr>
            </w:pPr>
            <w:r>
              <mc:AlternateContent>
                <mc:Choice Requires="wps">
                  <w:drawing>
                    <wp:anchor behindDoc="1" distT="0" distB="635" distL="1270" distR="0" simplePos="0" locked="0" layoutInCell="1" allowOverlap="1" relativeHeight="26">
                      <wp:simplePos x="0" y="0"/>
                      <wp:positionH relativeFrom="page">
                        <wp:posOffset>353695</wp:posOffset>
                      </wp:positionH>
                      <wp:positionV relativeFrom="paragraph">
                        <wp:posOffset>944880</wp:posOffset>
                      </wp:positionV>
                      <wp:extent cx="239395" cy="8890"/>
                      <wp:effectExtent l="1270" t="0" r="0" b="635"/>
                      <wp:wrapNone/>
                      <wp:docPr id="144" name="Freeform 3722_0"/>
                      <a:graphic xmlns:a="http://schemas.openxmlformats.org/drawingml/2006/main">
                        <a:graphicData uri="http://schemas.microsoft.com/office/word/2010/wordprocessingShape">
                          <wps:wsp>
                            <wps:cNvSpPr/>
                            <wps:spPr>
                              <a:xfrm>
                                <a:off x="0" y="0"/>
                                <a:ext cx="239400" cy="9000"/>
                              </a:xfrm>
                              <a:custGeom>
                                <a:avLst/>
                                <a:gdLst/>
                                <a:ahLst/>
                                <a:rect l="l" t="t" r="r" b="b"/>
                                <a:pathLst>
                                  <a:path w="239281" h="9144">
                                    <a:moveTo>
                                      <a:pt x="0" y="9144"/>
                                    </a:moveTo>
                                    <a:lnTo>
                                      <a:pt x="239281" y="9144"/>
                                    </a:lnTo>
                                    <a:lnTo>
                                      <a:pt x="239281"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27">
                      <wp:simplePos x="0" y="0"/>
                      <wp:positionH relativeFrom="page">
                        <wp:posOffset>2038985</wp:posOffset>
                      </wp:positionH>
                      <wp:positionV relativeFrom="paragraph">
                        <wp:posOffset>-228600</wp:posOffset>
                      </wp:positionV>
                      <wp:extent cx="6350" cy="6350"/>
                      <wp:effectExtent l="0" t="0" r="635" b="635"/>
                      <wp:wrapNone/>
                      <wp:docPr id="145" name="Freeform 3719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28">
                      <wp:simplePos x="0" y="0"/>
                      <wp:positionH relativeFrom="page">
                        <wp:posOffset>2038985</wp:posOffset>
                      </wp:positionH>
                      <wp:positionV relativeFrom="paragraph">
                        <wp:posOffset>-228600</wp:posOffset>
                      </wp:positionV>
                      <wp:extent cx="6350" cy="6350"/>
                      <wp:effectExtent l="0" t="0" r="635" b="635"/>
                      <wp:wrapNone/>
                      <wp:docPr id="146" name="Freeform 3718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29">
                      <wp:simplePos x="0" y="0"/>
                      <wp:positionH relativeFrom="page">
                        <wp:posOffset>2038985</wp:posOffset>
                      </wp:positionH>
                      <wp:positionV relativeFrom="paragraph">
                        <wp:posOffset>635</wp:posOffset>
                      </wp:positionV>
                      <wp:extent cx="6350" cy="6350"/>
                      <wp:effectExtent l="0" t="0" r="635" b="635"/>
                      <wp:wrapNone/>
                      <wp:docPr id="147" name="Freeform 3720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MT" w:ascii="ArialMT" w:hAnsi="ArialMT"/>
                <w:color w:val="000000"/>
                <w:kern w:val="0"/>
                <w:sz w:val="19"/>
              </w:rPr>
              <w:t xml:space="preserve">Jóváhagyások: 41 </w:t>
            </w:r>
            <w:r>
              <w:rPr>
                <w:rFonts w:eastAsia="Times New Roman" w:ascii="Times New Roman" w:hAnsi="Times New Roman"/>
                <w:color w:val="000000"/>
                <w:kern w:val="0"/>
                <w:sz w:val="22"/>
              </w:rPr>
              <w:br/>
            </w:r>
            <w:r>
              <w:rPr>
                <w:rFonts w:eastAsia="Times New Roman" w:cs="ArialMT" w:ascii="ArialMT" w:hAnsi="ArialMT"/>
                <w:color w:val="000000"/>
                <w:kern w:val="0"/>
                <w:sz w:val="19"/>
              </w:rPr>
              <w:t xml:space="preserve">Hozzászólások: 131 </w:t>
            </w:r>
          </w:p>
        </w:tc>
      </w:tr>
      <w:tr>
        <w:trPr>
          <w:trHeight w:val="2198" w:hRule="exact"/>
        </w:trPr>
        <w:tc>
          <w:tcPr>
            <w:tcW w:w="32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left"/>
              <w:rPr/>
            </w:pPr>
            <w:r>
              <w:rPr/>
            </w:r>
          </w:p>
        </w:tc>
        <w:tc>
          <w:tcPr>
            <w:tcW w:w="3265"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09"/>
                <w:tab w:val="left" w:pos="1024" w:leader="none"/>
                <w:tab w:val="left" w:pos="1100" w:leader="none"/>
                <w:tab w:val="left" w:pos="1417" w:leader="none"/>
                <w:tab w:val="left" w:pos="1943" w:leader="none"/>
                <w:tab w:val="left" w:pos="2041" w:leader="none"/>
                <w:tab w:val="left" w:pos="2286" w:leader="none"/>
                <w:tab w:val="left" w:pos="2987" w:leader="none"/>
              </w:tabs>
              <w:spacing w:lineRule="exact" w:line="229" w:before="104" w:after="0"/>
              <w:ind w:left="92" w:right="-51" w:hanging="0"/>
              <w:jc w:val="both"/>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31">
                      <wp:simplePos x="0" y="0"/>
                      <wp:positionH relativeFrom="page">
                        <wp:posOffset>2037715</wp:posOffset>
                      </wp:positionH>
                      <wp:positionV relativeFrom="line">
                        <wp:posOffset>635</wp:posOffset>
                      </wp:positionV>
                      <wp:extent cx="6350" cy="6350"/>
                      <wp:effectExtent l="0" t="0" r="635" b="635"/>
                      <wp:wrapNone/>
                      <wp:docPr id="148" name="Freeform 3723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Az ötlet: Egyenlő hozzáférés </w:t>
              <w:tab/>
              <w:t xml:space="preserve">megfizethető és magas színvonalú közszolgáltatások, beleértve az </w:t>
            </w:r>
            <w:r>
              <mc:AlternateContent>
                <mc:Choice Requires="wps">
                  <w:drawing>
                    <wp:anchor behindDoc="1" distT="0" distB="635" distL="1270" distR="0" simplePos="0" locked="0" layoutInCell="1" allowOverlap="1" relativeHeight="30">
                      <wp:simplePos x="0" y="0"/>
                      <wp:positionH relativeFrom="page">
                        <wp:posOffset>762000</wp:posOffset>
                      </wp:positionH>
                      <wp:positionV relativeFrom="line">
                        <wp:posOffset>-146685</wp:posOffset>
                      </wp:positionV>
                      <wp:extent cx="239395" cy="8890"/>
                      <wp:effectExtent l="1270" t="0" r="0" b="635"/>
                      <wp:wrapNone/>
                      <wp:docPr id="149" name="Freeform 3724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egészségügyet is</w:t>
            </w:r>
            <w:r>
              <w:rPr>
                <w:rFonts w:eastAsia="Times New Roman" w:cs="ArialMT" w:ascii="ArialMT" w:hAnsi="ArialMT"/>
                <w:color w:val="000000"/>
                <w:kern w:val="0"/>
                <w:sz w:val="19"/>
              </w:rPr>
              <w:t xml:space="preserve"> (lásd </w:t>
            </w:r>
            <w:hyperlink r:id="rId2052">
              <w:r>
                <w:rPr>
                  <w:rStyle w:val="LienInternet"/>
                  <w:rFonts w:eastAsia="Times New Roman" w:cs="ArialMT" w:ascii="ArialMT" w:hAnsi="ArialMT"/>
                  <w:color w:val="0563C1"/>
                  <w:kern w:val="0"/>
                  <w:sz w:val="19"/>
                </w:rPr>
                <w:t>az ötletet</w:t>
              </w:r>
            </w:hyperlink>
            <w:r>
              <w:rPr>
                <w:rFonts w:eastAsia="Times New Roman" w:cs="ArialMT" w:ascii="ArialMT" w:hAnsi="ArialMT"/>
                <w:color w:val="000000"/>
                <w:kern w:val="0"/>
                <w:sz w:val="19"/>
              </w:rPr>
              <w:t xml:space="preserve">) </w:t>
            </w:r>
          </w:p>
          <w:p>
            <w:pPr>
              <w:pStyle w:val="P68B1DB1Normal18"/>
              <w:widowControl w:val="false"/>
              <w:spacing w:lineRule="exact" w:line="350" w:before="9" w:after="0"/>
              <w:ind w:left="92" w:right="1206" w:hanging="0"/>
              <w:jc w:val="left"/>
              <w:rPr>
                <w:rFonts w:ascii="ArialMT" w:hAnsi="ArialMT" w:eastAsia="Times New Roman" w:cs="ArialMT"/>
                <w:color w:val="000000"/>
                <w:kern w:val="0"/>
                <w:sz w:val="19"/>
              </w:rPr>
            </w:pPr>
            <w:r>
              <w:rPr/>
              <w:t xml:space="preserve">Jóváhagyások: 462 Hozzászólások: 17 </w:t>
            </w:r>
          </w:p>
        </w:tc>
        <w:tc>
          <w:tcPr>
            <w:tcW w:w="3148"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09"/>
                <w:tab w:val="left" w:pos="1877" w:leader="none"/>
              </w:tabs>
              <w:spacing w:lineRule="exact" w:line="230" w:before="104" w:after="0"/>
              <w:ind w:left="93" w:right="-48" w:hanging="0"/>
              <w:jc w:val="left"/>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33">
                      <wp:simplePos x="0" y="0"/>
                      <wp:positionH relativeFrom="page">
                        <wp:posOffset>2038985</wp:posOffset>
                      </wp:positionH>
                      <wp:positionV relativeFrom="line">
                        <wp:posOffset>635</wp:posOffset>
                      </wp:positionV>
                      <wp:extent cx="6350" cy="6350"/>
                      <wp:effectExtent l="0" t="0" r="635" b="635"/>
                      <wp:wrapNone/>
                      <wp:docPr id="150" name="Freeform 3725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Az ötlet: Tudományintenzív, egészséges, hosszú élettartamú technológiák: fejlesztés és hozzáférés</w:t>
            </w:r>
            <w:r>
              <w:rPr>
                <w:rFonts w:eastAsia="Times New Roman" w:cs="ArialMT" w:ascii="ArialMT" w:hAnsi="ArialMT"/>
                <w:color w:val="000000"/>
                <w:kern w:val="0"/>
                <w:sz w:val="19"/>
              </w:rPr>
              <w:t xml:space="preserve"> (lásd </w:t>
            </w:r>
            <w:hyperlink r:id="rId2053">
              <w:r>
                <mc:AlternateContent>
                  <mc:Choice Requires="wps">
                    <w:drawing>
                      <wp:anchor behindDoc="1" distT="0" distB="635" distL="635" distR="0" simplePos="0" locked="0" layoutInCell="1" allowOverlap="1" relativeHeight="32">
                        <wp:simplePos x="0" y="0"/>
                        <wp:positionH relativeFrom="page">
                          <wp:posOffset>71755</wp:posOffset>
                        </wp:positionH>
                        <wp:positionV relativeFrom="line">
                          <wp:posOffset>-144780</wp:posOffset>
                        </wp:positionV>
                        <wp:extent cx="239395" cy="8890"/>
                        <wp:effectExtent l="635" t="0" r="0" b="635"/>
                        <wp:wrapNone/>
                        <wp:docPr id="151" name="Freeform 3726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Style w:val="LienInternet"/>
                  <w:rFonts w:eastAsia="Times New Roman" w:cs="ArialMT" w:ascii="ArialMT" w:hAnsi="ArialMT"/>
                  <w:color w:val="0563C1"/>
                  <w:kern w:val="0"/>
                  <w:sz w:val="19"/>
                </w:rPr>
                <w:t>az ötletet</w:t>
              </w:r>
            </w:hyperlink>
            <w:r>
              <w:rPr>
                <w:rFonts w:eastAsia="Times New Roman" w:cs="ArialMT" w:ascii="ArialMT" w:hAnsi="ArialMT"/>
                <w:color w:val="000000"/>
                <w:kern w:val="0"/>
                <w:sz w:val="19"/>
              </w:rPr>
              <w:t xml:space="preserve">) </w:t>
            </w:r>
          </w:p>
          <w:p>
            <w:pPr>
              <w:pStyle w:val="P68B1DB1Normal18"/>
              <w:widowControl w:val="false"/>
              <w:spacing w:lineRule="exact" w:line="400" w:before="16" w:after="0"/>
              <w:ind w:left="93" w:right="1208" w:hanging="0"/>
              <w:jc w:val="left"/>
              <w:rPr>
                <w:rFonts w:ascii="ArialMT" w:hAnsi="ArialMT" w:eastAsia="Times New Roman" w:cs="ArialMT"/>
                <w:color w:val="000000"/>
                <w:kern w:val="0"/>
                <w:sz w:val="19"/>
              </w:rPr>
            </w:pPr>
            <w:r>
              <w:rPr/>
              <w:t xml:space="preserve">Jóváhagyások: 603 Hozzászólások: 83 </w:t>
            </w:r>
          </w:p>
        </w:tc>
      </w:tr>
      <w:tr>
        <w:trPr>
          <w:trHeight w:val="2100" w:hRule="exact"/>
        </w:trPr>
        <w:tc>
          <w:tcPr>
            <w:tcW w:w="32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left"/>
              <w:rPr/>
            </w:pPr>
            <w:r>
              <w:rPr/>
            </w:r>
          </w:p>
        </w:tc>
        <w:tc>
          <w:tcPr>
            <w:tcW w:w="3265"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09"/>
                <w:tab w:val="left" w:pos="830" w:leader="none"/>
                <w:tab w:val="left" w:pos="1946" w:leader="none"/>
                <w:tab w:val="left" w:pos="2407" w:leader="none"/>
              </w:tabs>
              <w:spacing w:lineRule="exact" w:line="231" w:before="104" w:after="0"/>
              <w:ind w:left="57" w:right="0" w:hanging="0"/>
              <w:jc w:val="both"/>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35">
                      <wp:simplePos x="0" y="0"/>
                      <wp:positionH relativeFrom="page">
                        <wp:posOffset>2037715</wp:posOffset>
                      </wp:positionH>
                      <wp:positionV relativeFrom="line">
                        <wp:posOffset>635</wp:posOffset>
                      </wp:positionV>
                      <wp:extent cx="6350" cy="6350"/>
                      <wp:effectExtent l="0" t="0" r="635" b="635"/>
                      <wp:wrapNone/>
                      <wp:docPr id="152" name="Freeform 3727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Az ötlet: A myalgikus encefalomyelitis (ME/CFS) kutatása </w:t>
            </w:r>
            <w:r>
              <w:rPr>
                <w:rFonts w:eastAsia="Times New Roman" w:cs="ArialMT" w:ascii="ArialMT" w:hAnsi="ArialMT"/>
                <w:color w:val="000000"/>
                <w:kern w:val="0"/>
                <w:sz w:val="19"/>
              </w:rPr>
              <w:t xml:space="preserve">(lásd </w:t>
            </w:r>
            <w:hyperlink r:id="rId2054">
              <w:r>
                <mc:AlternateContent>
                  <mc:Choice Requires="wps">
                    <w:drawing>
                      <wp:anchor behindDoc="1" distT="0" distB="635" distL="635" distR="0" simplePos="0" locked="0" layoutInCell="1" allowOverlap="1" relativeHeight="34">
                        <wp:simplePos x="0" y="0"/>
                        <wp:positionH relativeFrom="page">
                          <wp:posOffset>71755</wp:posOffset>
                        </wp:positionH>
                        <wp:positionV relativeFrom="line">
                          <wp:posOffset>-144780</wp:posOffset>
                        </wp:positionV>
                        <wp:extent cx="239395" cy="8890"/>
                        <wp:effectExtent l="635" t="0" r="0" b="635"/>
                        <wp:wrapNone/>
                        <wp:docPr id="153" name="Freeform 3728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Style w:val="LienInternet"/>
                  <w:rFonts w:eastAsia="Times New Roman" w:cs="ArialMT" w:ascii="ArialMT" w:hAnsi="ArialMT"/>
                  <w:color w:val="0563C1"/>
                  <w:kern w:val="0"/>
                  <w:sz w:val="19"/>
                </w:rPr>
                <w:t>az ötletet</w:t>
              </w:r>
            </w:hyperlink>
            <w:r>
              <w:rPr>
                <w:rFonts w:eastAsia="Times New Roman" w:cs="ArialMT" w:ascii="ArialMT" w:hAnsi="ArialMT"/>
                <w:color w:val="000000"/>
                <w:kern w:val="0"/>
                <w:sz w:val="19"/>
              </w:rPr>
              <w:t xml:space="preserve">) </w:t>
            </w:r>
          </w:p>
          <w:p>
            <w:pPr>
              <w:pStyle w:val="P68B1DB1Normal18"/>
              <w:widowControl w:val="false"/>
              <w:spacing w:lineRule="exact" w:line="350" w:before="17" w:after="0"/>
              <w:ind w:left="92" w:right="1261" w:hanging="0"/>
              <w:jc w:val="left"/>
              <w:rPr>
                <w:rFonts w:ascii="ArialMT" w:hAnsi="ArialMT" w:eastAsia="Times New Roman" w:cs="ArialMT"/>
                <w:color w:val="000000"/>
                <w:kern w:val="0"/>
                <w:sz w:val="19"/>
              </w:rPr>
            </w:pPr>
            <w:r>
              <w:rPr/>
              <w:t xml:space="preserve">Endorsements:217 Hozzászólások: 5 </w:t>
            </w:r>
          </w:p>
        </w:tc>
        <w:tc>
          <w:tcPr>
            <w:tcW w:w="3148"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09"/>
                <w:tab w:val="left" w:pos="1431" w:leader="none"/>
                <w:tab w:val="left" w:pos="2789" w:leader="none"/>
              </w:tabs>
              <w:spacing w:lineRule="exact" w:line="231" w:before="104" w:after="0"/>
              <w:ind w:left="93" w:right="-48" w:hanging="0"/>
              <w:jc w:val="both"/>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37">
                      <wp:simplePos x="0" y="0"/>
                      <wp:positionH relativeFrom="page">
                        <wp:posOffset>2038985</wp:posOffset>
                      </wp:positionH>
                      <wp:positionV relativeFrom="line">
                        <wp:posOffset>635</wp:posOffset>
                      </wp:positionV>
                      <wp:extent cx="6350" cy="6350"/>
                      <wp:effectExtent l="0" t="0" r="635" b="635"/>
                      <wp:wrapNone/>
                      <wp:docPr id="154" name="Freeform 3729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Az ötlet: Hatékonyabb segítségnyújtás a közös nyelvnek köszönhetően: Eszperantó (fordított) </w:t>
            </w:r>
            <w:r>
              <w:rPr>
                <w:rFonts w:eastAsia="Times New Roman" w:cs="ArialMT" w:ascii="ArialMT" w:hAnsi="ArialMT"/>
                <w:color w:val="000000"/>
                <w:kern w:val="0"/>
                <w:sz w:val="19"/>
              </w:rPr>
              <w:t>(lásd</w:t>
            </w:r>
            <w:hyperlink r:id="rId2055">
              <w:r>
                <w:rPr>
                  <w:rStyle w:val="LienInternet"/>
                  <w:rFonts w:eastAsia="Times New Roman"/>
                  <w:kern w:val="0"/>
                </w:rPr>
                <w:t xml:space="preserve"> </w:t>
              </w:r>
              <w:r>
                <mc:AlternateContent>
                  <mc:Choice Requires="wps">
                    <w:drawing>
                      <wp:anchor behindDoc="1" distT="0" distB="635" distL="635" distR="0" simplePos="0" locked="0" layoutInCell="1" allowOverlap="1" relativeHeight="36">
                        <wp:simplePos x="0" y="0"/>
                        <wp:positionH relativeFrom="page">
                          <wp:posOffset>71755</wp:posOffset>
                        </wp:positionH>
                        <wp:positionV relativeFrom="line">
                          <wp:posOffset>-144780</wp:posOffset>
                        </wp:positionV>
                        <wp:extent cx="239395" cy="8890"/>
                        <wp:effectExtent l="635" t="0" r="0" b="635"/>
                        <wp:wrapNone/>
                        <wp:docPr id="155" name="Freeform 3730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Style w:val="LienInternet"/>
                  <w:rFonts w:eastAsia="Times New Roman" w:cs="ArialMT" w:ascii="ArialMT" w:hAnsi="ArialMT"/>
                  <w:color w:val="0563C1"/>
                  <w:kern w:val="0"/>
                  <w:sz w:val="19"/>
                </w:rPr>
                <w:t>az ötletet</w:t>
              </w:r>
              <w:r>
                <w:rPr>
                  <w:rStyle w:val="LienInternet"/>
                  <w:rFonts w:eastAsia="Times New Roman"/>
                  <w:kern w:val="0"/>
                </w:rPr>
                <w:t>)</w:t>
              </w:r>
            </w:hyperlink>
            <w:r>
              <w:rPr>
                <w:rStyle w:val="LienInternet"/>
                <w:rFonts w:eastAsia="Times New Roman" w:cs="ArialMT" w:ascii="ArialMT" w:hAnsi="ArialMT"/>
                <w:color w:val="000000"/>
                <w:kern w:val="0"/>
                <w:sz w:val="19"/>
              </w:rPr>
              <w:t xml:space="preserve"> </w:t>
            </w:r>
          </w:p>
          <w:p>
            <w:pPr>
              <w:pStyle w:val="P68B1DB1Normal18"/>
              <w:widowControl w:val="false"/>
              <w:spacing w:lineRule="exact" w:line="348" w:before="19" w:after="0"/>
              <w:ind w:left="93" w:right="1321" w:hanging="0"/>
              <w:jc w:val="left"/>
              <w:rPr>
                <w:rFonts w:ascii="ArialMT" w:hAnsi="ArialMT" w:eastAsia="Times New Roman" w:cs="ArialMT"/>
                <w:color w:val="000000"/>
                <w:kern w:val="0"/>
                <w:sz w:val="19"/>
              </w:rPr>
            </w:pPr>
            <w:r>
              <w:rPr/>
              <w:t xml:space="preserve">Jóváhagyások: 43 hozzászólás: 36 </w:t>
            </w:r>
          </w:p>
        </w:tc>
      </w:tr>
      <w:tr>
        <w:trPr>
          <w:trHeight w:val="2330" w:hRule="exact"/>
        </w:trPr>
        <w:tc>
          <w:tcPr>
            <w:tcW w:w="32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left"/>
              <w:rPr/>
            </w:pPr>
            <w:r>
              <w:rPr/>
            </w:r>
          </w:p>
        </w:tc>
        <w:tc>
          <w:tcPr>
            <w:tcW w:w="3265"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spacing w:lineRule="exact" w:line="230" w:before="104" w:after="0"/>
              <w:ind w:left="92" w:right="-51" w:hanging="0"/>
              <w:jc w:val="left"/>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39">
                      <wp:simplePos x="0" y="0"/>
                      <wp:positionH relativeFrom="page">
                        <wp:posOffset>2037715</wp:posOffset>
                      </wp:positionH>
                      <wp:positionV relativeFrom="line">
                        <wp:posOffset>635</wp:posOffset>
                      </wp:positionV>
                      <wp:extent cx="6350" cy="6350"/>
                      <wp:effectExtent l="0" t="0" r="635" b="635"/>
                      <wp:wrapNone/>
                      <wp:docPr id="156" name="Freeform 3731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Az ötlet: Összpontosítson az öregedés és a </w:t>
            </w:r>
            <w:r>
              <mc:AlternateContent>
                <mc:Choice Requires="wps">
                  <w:drawing>
                    <wp:anchor behindDoc="1" distT="0" distB="635" distL="1270" distR="0" simplePos="0" locked="0" layoutInCell="1" allowOverlap="1" relativeHeight="38">
                      <wp:simplePos x="0" y="0"/>
                      <wp:positionH relativeFrom="page">
                        <wp:posOffset>1553210</wp:posOffset>
                      </wp:positionH>
                      <wp:positionV relativeFrom="line">
                        <wp:posOffset>-146685</wp:posOffset>
                      </wp:positionV>
                      <wp:extent cx="239395" cy="8890"/>
                      <wp:effectExtent l="1270" t="0" r="0" b="635"/>
                      <wp:wrapNone/>
                      <wp:docPr id="157" name="Freeform 3732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 xml:space="preserve">hosszú élettartam elleni kutatásokra </w:t>
            </w:r>
            <w:r>
              <w:rPr>
                <w:rFonts w:eastAsia="Times New Roman" w:cs="ArialMT" w:ascii="ArialMT" w:hAnsi="ArialMT"/>
                <w:color w:val="000000"/>
                <w:kern w:val="0"/>
                <w:sz w:val="19"/>
              </w:rPr>
              <w:t xml:space="preserve">(lásd </w:t>
            </w:r>
            <w:hyperlink r:id="rId2056">
              <w:r>
                <w:rPr>
                  <w:rStyle w:val="LienInternet"/>
                  <w:rFonts w:eastAsia="Times New Roman" w:cs="ArialMT" w:ascii="ArialMT" w:hAnsi="ArialMT"/>
                  <w:color w:val="0563C1"/>
                  <w:kern w:val="0"/>
                  <w:sz w:val="19"/>
                </w:rPr>
                <w:t>az ötletet</w:t>
              </w:r>
            </w:hyperlink>
            <w:r>
              <w:rPr>
                <w:rFonts w:eastAsia="Times New Roman" w:cs="ArialMT" w:ascii="ArialMT" w:hAnsi="ArialMT"/>
                <w:color w:val="000000"/>
                <w:kern w:val="0"/>
                <w:sz w:val="19"/>
              </w:rPr>
              <w:t xml:space="preserve">) </w:t>
            </w:r>
          </w:p>
          <w:p>
            <w:pPr>
              <w:pStyle w:val="P68B1DB1Normal18"/>
              <w:widowControl w:val="false"/>
              <w:spacing w:lineRule="exact" w:line="350" w:before="9" w:after="0"/>
              <w:ind w:left="92" w:right="1206" w:hanging="0"/>
              <w:jc w:val="left"/>
              <w:rPr>
                <w:rFonts w:ascii="ArialMT" w:hAnsi="ArialMT" w:eastAsia="Times New Roman" w:cs="ArialMT"/>
                <w:color w:val="000000"/>
                <w:kern w:val="0"/>
                <w:sz w:val="19"/>
              </w:rPr>
            </w:pPr>
            <w:r>
              <w:rPr/>
              <w:t xml:space="preserve">Jóváhagyások: 168 hozzászólás: 32 </w:t>
            </w:r>
          </w:p>
        </w:tc>
        <w:tc>
          <w:tcPr>
            <w:tcW w:w="3148"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09"/>
                <w:tab w:val="left" w:pos="848" w:leader="none"/>
                <w:tab w:val="left" w:pos="1431" w:leader="none"/>
                <w:tab w:val="left" w:pos="2501" w:leader="none"/>
                <w:tab w:val="left" w:pos="2789" w:leader="none"/>
                <w:tab w:val="left" w:pos="2878" w:leader="none"/>
              </w:tabs>
              <w:spacing w:lineRule="exact" w:line="231" w:before="104" w:after="0"/>
              <w:ind w:left="93" w:right="-48" w:hanging="0"/>
              <w:jc w:val="both"/>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40">
                      <wp:simplePos x="0" y="0"/>
                      <wp:positionH relativeFrom="page">
                        <wp:posOffset>2038985</wp:posOffset>
                      </wp:positionH>
                      <wp:positionV relativeFrom="line">
                        <wp:posOffset>635</wp:posOffset>
                      </wp:positionV>
                      <wp:extent cx="6350" cy="6350"/>
                      <wp:effectExtent l="0" t="0" r="635" b="635"/>
                      <wp:wrapNone/>
                      <wp:docPr id="158" name="Freeform 3733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Az ötlet: Többnyelvűség a kórházban: Az eszperantó nemzetközi nyelven iskolázott orvosi személyzet (fordított)</w:t>
            </w:r>
            <w:r>
              <w:rPr>
                <w:rFonts w:eastAsia="Times New Roman" w:cs="ArialMT" w:ascii="ArialMT" w:hAnsi="ArialMT"/>
                <w:color w:val="000000"/>
                <w:kern w:val="0"/>
                <w:sz w:val="19"/>
              </w:rPr>
              <w:t xml:space="preserve"> (lásd</w:t>
            </w:r>
            <w:hyperlink r:id="rId2057">
              <w:r>
                <w:rPr>
                  <w:rStyle w:val="LienInternet"/>
                  <w:rFonts w:eastAsia="Times New Roman"/>
                  <w:kern w:val="0"/>
                </w:rPr>
                <w:t xml:space="preserve"> </w:t>
              </w:r>
              <w:r>
                <mc:AlternateContent>
                  <mc:Choice Requires="wps">
                    <w:drawing>
                      <wp:anchor behindDoc="1" distT="0" distB="635" distL="635" distR="0" simplePos="0" locked="0" layoutInCell="1" allowOverlap="1" relativeHeight="41">
                        <wp:simplePos x="0" y="0"/>
                        <wp:positionH relativeFrom="page">
                          <wp:posOffset>71755</wp:posOffset>
                        </wp:positionH>
                        <wp:positionV relativeFrom="line">
                          <wp:posOffset>-144780</wp:posOffset>
                        </wp:positionV>
                        <wp:extent cx="239395" cy="8890"/>
                        <wp:effectExtent l="635" t="0" r="0" b="635"/>
                        <wp:wrapNone/>
                        <wp:docPr id="159" name="Freeform 3734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Style w:val="LienInternet"/>
                  <w:rFonts w:eastAsia="Times New Roman" w:cs="ArialMT" w:ascii="ArialMT" w:hAnsi="ArialMT"/>
                  <w:color w:val="0563C1"/>
                  <w:kern w:val="0"/>
                  <w:sz w:val="19"/>
                </w:rPr>
                <w:t>az ötletet</w:t>
              </w:r>
              <w:r>
                <w:rPr>
                  <w:rStyle w:val="LienInternet"/>
                  <w:rFonts w:eastAsia="Times New Roman" w:cs="ArialMT" w:ascii="ArialMT" w:hAnsi="ArialMT"/>
                  <w:color w:val="000000"/>
                  <w:kern w:val="0"/>
                  <w:sz w:val="19"/>
                </w:rPr>
                <w:t xml:space="preserve">) </w:t>
              </w:r>
            </w:hyperlink>
          </w:p>
          <w:p>
            <w:pPr>
              <w:pStyle w:val="P68B1DB1Normal18"/>
              <w:widowControl w:val="false"/>
              <w:spacing w:lineRule="exact" w:line="350" w:before="14" w:after="0"/>
              <w:ind w:left="93" w:right="1321" w:hanging="0"/>
              <w:jc w:val="left"/>
              <w:rPr>
                <w:rFonts w:ascii="ArialMT" w:hAnsi="ArialMT" w:eastAsia="Times New Roman" w:cs="ArialMT"/>
                <w:color w:val="000000"/>
                <w:kern w:val="0"/>
                <w:sz w:val="19"/>
              </w:rPr>
            </w:pPr>
            <w:r>
              <w:rPr/>
              <w:t xml:space="preserve">Jóváhagyások: 22 hozzászólás: 35 </w:t>
            </w:r>
          </w:p>
        </w:tc>
      </w:tr>
      <w:tr>
        <w:trPr>
          <w:trHeight w:val="1859" w:hRule="exact"/>
        </w:trPr>
        <w:tc>
          <w:tcPr>
            <w:tcW w:w="32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left"/>
              <w:rPr/>
            </w:pPr>
            <w:r>
              <w:rPr/>
            </w:r>
          </w:p>
        </w:tc>
        <w:tc>
          <w:tcPr>
            <w:tcW w:w="3265"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09"/>
                <w:tab w:val="left" w:pos="995" w:leader="none"/>
                <w:tab w:val="left" w:pos="1940" w:leader="none"/>
                <w:tab w:val="left" w:pos="2986" w:leader="none"/>
              </w:tabs>
              <w:spacing w:lineRule="exact" w:line="230" w:before="105" w:after="0"/>
              <w:ind w:left="92" w:right="-50" w:hanging="0"/>
              <w:jc w:val="both"/>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43">
                      <wp:simplePos x="0" y="0"/>
                      <wp:positionH relativeFrom="page">
                        <wp:posOffset>2037715</wp:posOffset>
                      </wp:positionH>
                      <wp:positionV relativeFrom="line">
                        <wp:posOffset>635</wp:posOffset>
                      </wp:positionV>
                      <wp:extent cx="6350" cy="6350"/>
                      <wp:effectExtent l="0" t="0" r="635" b="635"/>
                      <wp:wrapNone/>
                      <wp:docPr id="160" name="Freeform 3738_0"/>
                      <a:graphic xmlns:a="http://schemas.openxmlformats.org/drawingml/2006/main">
                        <a:graphicData uri="http://schemas.microsoft.com/office/word/2010/wordprocessingShape">
                          <wps:wsp>
                            <wps:cNvSpPr/>
                            <wps:spPr>
                              <a:xfrm>
                                <a:off x="0" y="0"/>
                                <a:ext cx="6480" cy="6480"/>
                              </a:xfrm>
                              <a:custGeom>
                                <a:avLst/>
                                <a:gdLst/>
                                <a:ahLst/>
                                <a:rect l="l" t="t" r="r" b="b"/>
                                <a:pathLst>
                                  <a:path w="6096" h="6108">
                                    <a:moveTo>
                                      <a:pt x="0" y="6108"/>
                                    </a:moveTo>
                                    <a:lnTo>
                                      <a:pt x="6096" y="6108"/>
                                    </a:lnTo>
                                    <a:lnTo>
                                      <a:pt x="6096" y="0"/>
                                    </a:lnTo>
                                    <a:lnTo>
                                      <a:pt x="0" y="0"/>
                                    </a:lnTo>
                                    <a:lnTo>
                                      <a:pt x="0" y="6108"/>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1270" distL="0" distR="635" simplePos="0" locked="0" layoutInCell="1" allowOverlap="1" relativeHeight="44">
                      <wp:simplePos x="0" y="0"/>
                      <wp:positionH relativeFrom="page">
                        <wp:posOffset>2037715</wp:posOffset>
                      </wp:positionH>
                      <wp:positionV relativeFrom="paragraph">
                        <wp:posOffset>1254125</wp:posOffset>
                      </wp:positionV>
                      <wp:extent cx="6350" cy="6350"/>
                      <wp:effectExtent l="0" t="0" r="635" b="1270"/>
                      <wp:wrapNone/>
                      <wp:docPr id="161" name="Freeform 3740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Az ötlet: A Szerződés módosítása az EU </w:t>
            </w:r>
            <w:r>
              <mc:AlternateContent>
                <mc:Choice Requires="wps">
                  <w:drawing>
                    <wp:anchor behindDoc="1" distT="0" distB="635" distL="1270" distR="0" simplePos="0" locked="0" layoutInCell="1" allowOverlap="1" relativeHeight="42">
                      <wp:simplePos x="0" y="0"/>
                      <wp:positionH relativeFrom="page">
                        <wp:posOffset>762000</wp:posOffset>
                      </wp:positionH>
                      <wp:positionV relativeFrom="line">
                        <wp:posOffset>-146685</wp:posOffset>
                      </wp:positionV>
                      <wp:extent cx="239395" cy="8890"/>
                      <wp:effectExtent l="1270" t="0" r="0" b="635"/>
                      <wp:wrapNone/>
                      <wp:docPr id="162" name="Freeform 3739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egészségügyi hatásköreinek megerősítése érdekében</w:t>
            </w:r>
            <w:r>
              <w:rPr>
                <w:rFonts w:eastAsia="Times New Roman" w:cs="ArialMT" w:ascii="ArialMT" w:hAnsi="ArialMT"/>
                <w:color w:val="000000"/>
                <w:kern w:val="0"/>
                <w:sz w:val="19"/>
              </w:rPr>
              <w:t xml:space="preserve"> (lásd </w:t>
            </w:r>
            <w:r>
              <w:rPr>
                <w:rFonts w:eastAsia="Times New Roman" w:cs="ArialMT" w:ascii="ArialMT" w:hAnsi="ArialMT"/>
                <w:color w:val="0563C1"/>
                <w:kern w:val="0"/>
                <w:sz w:val="19"/>
              </w:rPr>
              <w:t>az ötletet</w:t>
            </w:r>
            <w:r>
              <w:rPr>
                <w:rFonts w:eastAsia="Times New Roman" w:cs="ArialMT" w:ascii="ArialMT" w:hAnsi="ArialMT"/>
                <w:color w:val="000000"/>
                <w:kern w:val="0"/>
                <w:sz w:val="19"/>
              </w:rPr>
              <w:t xml:space="preserve">) </w:t>
            </w:r>
          </w:p>
          <w:p>
            <w:pPr>
              <w:pStyle w:val="P68B1DB1Normal18"/>
              <w:widowControl w:val="false"/>
              <w:spacing w:lineRule="exact" w:line="350" w:before="6" w:after="0"/>
              <w:ind w:left="92" w:right="1206" w:hanging="0"/>
              <w:jc w:val="left"/>
              <w:rPr>
                <w:rFonts w:ascii="ArialMT" w:hAnsi="ArialMT" w:eastAsia="Times New Roman" w:cs="ArialMT"/>
                <w:color w:val="000000"/>
                <w:kern w:val="0"/>
                <w:sz w:val="19"/>
              </w:rPr>
            </w:pPr>
            <w:r>
              <w:rPr/>
              <w:t xml:space="preserve">Jóváhagyások: 117 hozzászólás: 7 </w:t>
            </w:r>
          </w:p>
        </w:tc>
        <w:tc>
          <w:tcPr>
            <w:tcW w:w="3148"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spacing w:lineRule="exact" w:line="340" w:before="105" w:after="0"/>
              <w:ind w:left="93" w:right="-48" w:hanging="0"/>
              <w:jc w:val="left"/>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46">
                      <wp:simplePos x="0" y="0"/>
                      <wp:positionH relativeFrom="page">
                        <wp:posOffset>2038985</wp:posOffset>
                      </wp:positionH>
                      <wp:positionV relativeFrom="line">
                        <wp:posOffset>635</wp:posOffset>
                      </wp:positionV>
                      <wp:extent cx="6350" cy="6350"/>
                      <wp:effectExtent l="0" t="0" r="635" b="635"/>
                      <wp:wrapNone/>
                      <wp:docPr id="163" name="Freeform 3741_0"/>
                      <a:graphic xmlns:a="http://schemas.openxmlformats.org/drawingml/2006/main">
                        <a:graphicData uri="http://schemas.microsoft.com/office/word/2010/wordprocessingShape">
                          <wps:wsp>
                            <wps:cNvSpPr/>
                            <wps:spPr>
                              <a:xfrm>
                                <a:off x="0" y="0"/>
                                <a:ext cx="6480" cy="6480"/>
                              </a:xfrm>
                              <a:custGeom>
                                <a:avLst/>
                                <a:gdLst/>
                                <a:ahLst/>
                                <a:rect l="l" t="t" r="r" b="b"/>
                                <a:pathLst>
                                  <a:path w="6096" h="6108">
                                    <a:moveTo>
                                      <a:pt x="0" y="6108"/>
                                    </a:moveTo>
                                    <a:lnTo>
                                      <a:pt x="6096" y="6108"/>
                                    </a:lnTo>
                                    <a:lnTo>
                                      <a:pt x="6096" y="0"/>
                                    </a:lnTo>
                                    <a:lnTo>
                                      <a:pt x="0" y="0"/>
                                    </a:lnTo>
                                    <a:lnTo>
                                      <a:pt x="0" y="6108"/>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0" distT="0" distB="635" distL="0" distR="635" simplePos="0" locked="0" layoutInCell="1" allowOverlap="1" relativeHeight="150">
                      <wp:simplePos x="0" y="0"/>
                      <wp:positionH relativeFrom="page">
                        <wp:posOffset>2038985</wp:posOffset>
                      </wp:positionH>
                      <wp:positionV relativeFrom="paragraph">
                        <wp:posOffset>1279525</wp:posOffset>
                      </wp:positionV>
                      <wp:extent cx="6350" cy="6350"/>
                      <wp:effectExtent l="0" t="0" r="635" b="635"/>
                      <wp:wrapNone/>
                      <wp:docPr id="164" name="Freeform 3744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0" distT="0" distB="635" distL="0" distR="635" simplePos="0" locked="0" layoutInCell="1" allowOverlap="1" relativeHeight="151">
                      <wp:simplePos x="0" y="0"/>
                      <wp:positionH relativeFrom="page">
                        <wp:posOffset>2038985</wp:posOffset>
                      </wp:positionH>
                      <wp:positionV relativeFrom="paragraph">
                        <wp:posOffset>1279525</wp:posOffset>
                      </wp:positionV>
                      <wp:extent cx="6350" cy="6350"/>
                      <wp:effectExtent l="0" t="0" r="635" b="635"/>
                      <wp:wrapNone/>
                      <wp:docPr id="165" name="Freeform 3743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Az ötlet: Összpontosítson az öregedés és a hosszú élettartam elleni </w:t>
            </w:r>
            <w:r>
              <mc:AlternateContent>
                <mc:Choice Requires="wps">
                  <w:drawing>
                    <wp:anchor behindDoc="1" distT="0" distB="635" distL="1270" distR="0" simplePos="0" locked="0" layoutInCell="1" allowOverlap="1" relativeHeight="45">
                      <wp:simplePos x="0" y="0"/>
                      <wp:positionH relativeFrom="page">
                        <wp:posOffset>1553210</wp:posOffset>
                      </wp:positionH>
                      <wp:positionV relativeFrom="line">
                        <wp:posOffset>-172085</wp:posOffset>
                      </wp:positionV>
                      <wp:extent cx="239395" cy="8890"/>
                      <wp:effectExtent l="1270" t="0" r="0" b="635"/>
                      <wp:wrapNone/>
                      <wp:docPr id="166" name="Freeform 3742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 xml:space="preserve">kutatásokra </w:t>
            </w:r>
            <w:r>
              <w:rPr>
                <w:rFonts w:eastAsia="Times New Roman" w:cs="ArialMT" w:ascii="ArialMT" w:hAnsi="ArialMT"/>
                <w:color w:val="000000"/>
                <w:kern w:val="0"/>
                <w:sz w:val="19"/>
              </w:rPr>
              <w:t>(lásd az</w:t>
            </w:r>
            <w:hyperlink r:id="rId2058">
              <w:r>
                <w:rPr>
                  <w:rStyle w:val="LienInternet"/>
                </w:rPr>
                <w:t xml:space="preserve"> </w:t>
              </w:r>
            </w:hyperlink>
            <w:hyperlink r:id="rId2059">
              <w:r>
                <w:rPr>
                  <w:rStyle w:val="LienInternet"/>
                  <w:rFonts w:eastAsia="Times New Roman" w:cs="ArialMT" w:ascii="ArialMT" w:hAnsi="ArialMT"/>
                  <w:color w:val="0563C1"/>
                  <w:kern w:val="0"/>
                  <w:sz w:val="19"/>
                </w:rPr>
                <w:t>ötletet</w:t>
              </w:r>
            </w:hyperlink>
            <w:r>
              <w:rPr/>
              <w:t>)</w:t>
            </w:r>
          </w:p>
          <w:p>
            <w:pPr>
              <w:pStyle w:val="P68B1DB1Normal18"/>
              <w:widowControl w:val="false"/>
              <w:spacing w:lineRule="exact" w:line="340" w:before="105" w:after="0"/>
              <w:ind w:left="93" w:right="-48" w:hanging="0"/>
              <w:jc w:val="left"/>
              <w:rPr>
                <w:rFonts w:ascii="ArialMT" w:hAnsi="ArialMT" w:eastAsia="Times New Roman" w:cs="ArialMT"/>
                <w:color w:val="000000"/>
                <w:kern w:val="0"/>
                <w:sz w:val="19"/>
              </w:rPr>
            </w:pPr>
            <w:r>
              <w:rPr/>
              <w:t xml:space="preserve">Jóváhagyások: 168 </w:t>
            </w:r>
          </w:p>
          <w:p>
            <w:pPr>
              <w:pStyle w:val="P68B1DB1Normal18"/>
              <w:widowControl w:val="false"/>
              <w:spacing w:lineRule="auto" w:line="240" w:before="127" w:after="0"/>
              <w:ind w:left="93" w:right="0" w:hanging="0"/>
              <w:jc w:val="left"/>
              <w:rPr>
                <w:rFonts w:ascii="ArialMT" w:hAnsi="ArialMT" w:eastAsia="Times New Roman" w:cs="ArialMT"/>
                <w:color w:val="000000"/>
                <w:kern w:val="0"/>
                <w:sz w:val="19"/>
              </w:rPr>
            </w:pPr>
            <w:r>
              <w:rPr/>
              <w:t xml:space="preserve">Hozzászólások: 32 </w:t>
            </w:r>
          </w:p>
        </w:tc>
      </w:tr>
    </w:tbl>
    <w:p>
      <w:pPr>
        <w:pStyle w:val="Normal"/>
        <w:jc w:val="left"/>
        <w:rPr/>
      </w:pPr>
      <w:r>
        <w:rPr/>
      </w:r>
    </w:p>
    <w:p>
      <w:pPr>
        <w:pStyle w:val="Normal"/>
        <w:jc w:val="left"/>
        <w:rPr/>
      </w:pPr>
      <w:r>
        <w:rPr/>
      </w:r>
      <w:r>
        <w:br w:type="page"/>
      </w:r>
    </w:p>
    <w:p>
      <w:pPr>
        <w:pStyle w:val="Normal"/>
        <w:jc w:val="left"/>
        <w:rPr/>
      </w:pPr>
      <w:r>
        <w:rPr/>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723"/>
        <w:gridCol w:w="248"/>
        <w:gridCol w:w="2963"/>
        <w:gridCol w:w="250"/>
        <w:gridCol w:w="208"/>
        <w:gridCol w:w="2973"/>
        <w:gridCol w:w="249"/>
      </w:tblGrid>
      <w:tr>
        <w:trPr>
          <w:trHeight w:val="386" w:hRule="atLeast"/>
        </w:trPr>
        <w:tc>
          <w:tcPr>
            <w:tcW w:w="2723"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248"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63"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A legtöbb támogatott </w:t>
            </w:r>
          </w:p>
        </w:tc>
        <w:tc>
          <w:tcPr>
            <w:tcW w:w="250"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8"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73"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A legtöbb hozzászólás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723"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4"/>
              <w:widowControl w:val="false"/>
              <w:spacing w:before="51" w:after="57"/>
              <w:ind w:left="91" w:right="0" w:hanging="0"/>
              <w:jc w:val="left"/>
              <w:rPr>
                <w:rFonts w:ascii="Arial-BoldMT;serif" w:hAnsi="Arial-BoldMT;serif"/>
                <w:b/>
                <w:b/>
                <w:color w:val="000000"/>
                <w:sz w:val="18"/>
              </w:rPr>
            </w:pPr>
            <w:r>
              <w:rPr/>
              <w:t xml:space="preserve">Erősebb gazdaság, szociális </w:t>
            </w:r>
          </w:p>
          <w:p>
            <w:pPr>
              <w:pStyle w:val="P68B1DB1Contenudetableau14"/>
              <w:widowControl w:val="false"/>
              <w:spacing w:before="0" w:after="57"/>
              <w:ind w:left="91" w:right="0" w:hanging="0"/>
              <w:jc w:val="left"/>
              <w:rPr>
                <w:rFonts w:ascii="Arial-BoldMT;serif" w:hAnsi="Arial-BoldMT;serif"/>
                <w:b/>
                <w:b/>
                <w:color w:val="000000"/>
                <w:sz w:val="18"/>
              </w:rPr>
            </w:pPr>
            <w:r>
              <w:rPr/>
              <w:t xml:space="preserve">jogérvényesülés és munkahelyek </w:t>
            </w:r>
          </w:p>
        </w:tc>
        <w:tc>
          <w:tcPr>
            <w:tcW w:w="346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Az ötlet:</w:t>
            </w:r>
            <w:r>
              <w:rPr>
                <w:rFonts w:ascii="Times New Roman;serif" w:hAnsi="Times New Roman;serif"/>
                <w:color w:val="000000"/>
                <w:sz w:val="22"/>
              </w:rPr>
              <w:t xml:space="preserve"> Az </w:t>
            </w:r>
            <w:r>
              <w:rPr>
                <w:rFonts w:ascii="Arial-BoldMT;serif" w:hAnsi="Arial-BoldMT;serif"/>
                <w:b/>
                <w:color w:val="000000"/>
                <w:sz w:val="18"/>
              </w:rPr>
              <w:t>uniós</w:t>
            </w:r>
            <w:r>
              <w:rPr>
                <w:rFonts w:ascii="Times New Roman;serif" w:hAnsi="Times New Roman;serif"/>
                <w:color w:val="000000"/>
                <w:sz w:val="22"/>
              </w:rPr>
              <w:t xml:space="preserve">  </w:t>
            </w:r>
            <w:r>
              <w:rPr>
                <w:rFonts w:ascii="Arial-BoldMT;serif" w:hAnsi="Arial-BoldMT;serif"/>
                <w:b/>
                <w:color w:val="000000"/>
                <w:sz w:val="18"/>
              </w:rPr>
              <w:t>költségvetésműködőképessé tétele</w:t>
            </w:r>
            <w:r>
              <w:rPr>
                <w:rFonts w:ascii="Times New Roman;serif" w:hAnsi="Times New Roman;serif"/>
                <w:color w:val="000000"/>
                <w:sz w:val="22"/>
              </w:rPr>
              <w:t xml:space="preserve"> </w:t>
            </w:r>
            <w:r>
              <w:rPr>
                <w:rFonts w:ascii="Arial-BoldMT;serif" w:hAnsi="Arial-BoldMT;serif"/>
                <w:b/>
                <w:color w:val="000000"/>
                <w:sz w:val="18"/>
              </w:rPr>
              <w:t>az európaiak számára:</w:t>
            </w:r>
            <w:r>
              <w:rPr>
                <w:rFonts w:ascii="Times New Roman;serif" w:hAnsi="Times New Roman;serif"/>
                <w:color w:val="000000"/>
                <w:sz w:val="22"/>
              </w:rPr>
              <w:t xml:space="preserve"> </w:t>
            </w:r>
            <w:r>
              <w:rPr>
                <w:rFonts w:ascii="Arial-BoldMT;serif" w:hAnsi="Arial-BoldMT;serif"/>
                <w:b/>
                <w:color w:val="000000"/>
                <w:sz w:val="18"/>
              </w:rPr>
              <w:t>Költségvetési</w:t>
            </w:r>
            <w:r>
              <w:rPr>
                <w:rFonts w:ascii="Times New Roman;serif" w:hAnsi="Times New Roman;serif"/>
                <w:color w:val="000000"/>
                <w:sz w:val="22"/>
              </w:rPr>
              <w:t xml:space="preserve"> </w:t>
            </w:r>
            <w:r>
              <w:rPr>
                <w:rFonts w:ascii="Arial-BoldMT;serif" w:hAnsi="Arial-BoldMT;serif"/>
                <w:b/>
                <w:color w:val="000000"/>
                <w:sz w:val="18"/>
              </w:rPr>
              <w:t xml:space="preserve">unió </w:t>
            </w:r>
            <w:r>
              <w:rPr>
                <w:rFonts w:ascii="ArialMT;serif" w:hAnsi="ArialMT;serif"/>
                <w:color w:val="000000"/>
                <w:sz w:val="18"/>
              </w:rPr>
              <w:t xml:space="preserve">(lásd </w:t>
            </w:r>
            <w:hyperlink r:id="rId2060">
              <w:r>
                <w:rPr>
                  <w:rStyle w:val="LienInternet"/>
                  <w:rFonts w:ascii="ArialMT;serif" w:hAnsi="ArialMT;serif"/>
                  <w:color w:val="0563C1"/>
                  <w:sz w:val="18"/>
                </w:rPr>
                <w:t>az ötletet</w:t>
              </w:r>
            </w:hyperlink>
            <w:r>
              <w:rPr>
                <w:rFonts w:ascii="ArialMT;serif" w:hAnsi="ArialMT;serif"/>
                <w:color w:val="000000"/>
                <w:sz w:val="18"/>
              </w:rPr>
              <w:t xml:space="preserve">) </w:t>
            </w:r>
          </w:p>
          <w:p>
            <w:pPr>
              <w:pStyle w:val="Corpsdetexte"/>
              <w:widowControl w:val="false"/>
              <w:spacing w:lineRule="atLeast" w:line="346" w:before="0" w:after="140"/>
              <w:ind w:left="0" w:right="0" w:hanging="0"/>
              <w:jc w:val="left"/>
              <w:rPr/>
            </w:pPr>
            <w:r>
              <w:rPr>
                <w:rFonts w:ascii="ArialMT;serif" w:hAnsi="ArialMT;serif"/>
                <w:color w:val="000000"/>
                <w:sz w:val="18"/>
              </w:rPr>
              <w:t xml:space="preserve">Jóváhagyások: 581 </w:t>
            </w:r>
            <w:r>
              <w:rPr>
                <w:rFonts w:ascii="Times New Roman;serif" w:hAnsi="Times New Roman;serif"/>
                <w:sz w:val="22"/>
              </w:rPr>
              <w:br/>
            </w:r>
            <w:r>
              <w:rPr>
                <w:rFonts w:ascii="ArialMT;serif" w:hAnsi="ArialMT;serif"/>
                <w:color w:val="000000"/>
                <w:sz w:val="18"/>
              </w:rPr>
              <w:t xml:space="preserve">Hozzászólások: 33 </w:t>
            </w:r>
          </w:p>
        </w:tc>
        <w:tc>
          <w:tcPr>
            <w:tcW w:w="343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Az ötlet: Feltétel nélküli alapjövedelem</w:t>
            </w:r>
            <w:r>
              <w:rPr>
                <w:rFonts w:ascii="Times New Roman;serif" w:hAnsi="Times New Roman;serif"/>
                <w:color w:val="000000"/>
                <w:sz w:val="22"/>
              </w:rPr>
              <w:t xml:space="preserve"> </w:t>
            </w:r>
            <w:r>
              <w:rPr>
                <w:rFonts w:ascii="Arial-BoldMT;serif" w:hAnsi="Arial-BoldMT;serif"/>
                <w:b/>
                <w:color w:val="000000"/>
                <w:sz w:val="18"/>
              </w:rPr>
              <w:t>(UBI)</w:t>
            </w:r>
            <w:r>
              <w:rPr>
                <w:rFonts w:ascii="Times New Roman;serif" w:hAnsi="Times New Roman;serif"/>
                <w:color w:val="000000"/>
                <w:sz w:val="22"/>
              </w:rPr>
              <w:t xml:space="preserve"> </w:t>
            </w:r>
            <w:r>
              <w:rPr>
                <w:rFonts w:ascii="Arial-BoldMT;serif" w:hAnsi="Arial-BoldMT;serif"/>
                <w:b/>
                <w:color w:val="000000"/>
                <w:sz w:val="18"/>
              </w:rPr>
              <w:t>az</w:t>
            </w:r>
            <w:r>
              <w:rPr>
                <w:rFonts w:ascii="Times New Roman;serif" w:hAnsi="Times New Roman;serif"/>
                <w:color w:val="000000"/>
                <w:sz w:val="22"/>
              </w:rPr>
              <w:t xml:space="preserve"> </w:t>
            </w:r>
            <w:r>
              <w:rPr>
                <w:rFonts w:ascii="Arial-BoldMT;serif" w:hAnsi="Arial-BoldMT;serif"/>
                <w:b/>
                <w:color w:val="000000"/>
                <w:sz w:val="18"/>
              </w:rPr>
              <w:t>egész</w:t>
            </w:r>
            <w:r>
              <w:rPr>
                <w:rFonts w:ascii="Times New Roman;serif" w:hAnsi="Times New Roman;serif"/>
                <w:color w:val="000000"/>
                <w:sz w:val="22"/>
              </w:rPr>
              <w:t xml:space="preserve"> </w:t>
            </w:r>
            <w:r>
              <w:rPr>
                <w:rFonts w:ascii="Arial-BoldMT;serif" w:hAnsi="Arial-BoldMT;serif"/>
                <w:b/>
                <w:color w:val="000000"/>
                <w:sz w:val="18"/>
              </w:rPr>
              <w:t>EU- ban, amely minden ember anyagi létezését és társadalmi részvételének lehetőségét biztosítja (</w:t>
            </w:r>
            <w:r>
              <w:rPr>
                <w:rFonts w:ascii="Times New Roman;serif" w:hAnsi="Times New Roman;serif"/>
                <w:color w:val="000000"/>
                <w:sz w:val="22"/>
              </w:rPr>
              <w:t xml:space="preserve"> </w:t>
            </w:r>
            <w:r>
              <w:rPr>
                <w:rFonts w:ascii="ArialMT;serif" w:hAnsi="ArialMT;serif"/>
                <w:color w:val="000000"/>
                <w:sz w:val="18"/>
              </w:rPr>
              <w:t>lásd az</w:t>
            </w:r>
            <w:hyperlink r:id="rId2061">
              <w:r>
                <w:rPr>
                  <w:rStyle w:val="LienInternet"/>
                  <w:rFonts w:ascii="Times New Roman;serif" w:hAnsi="Times New Roman;serif"/>
                  <w:sz w:val="22"/>
                </w:rPr>
                <w:t xml:space="preserve"> ötletet</w:t>
              </w:r>
            </w:hyperlink>
            <w:r>
              <w:rPr>
                <w:rFonts w:ascii="ArialMT;serif" w:hAnsi="ArialMT;serif"/>
                <w:color w:val="000000"/>
                <w:sz w:val="18"/>
              </w:rPr>
              <w:t xml:space="preserve">) </w:t>
            </w:r>
          </w:p>
          <w:p>
            <w:pPr>
              <w:pStyle w:val="Corpsdetexte"/>
              <w:widowControl w:val="false"/>
              <w:spacing w:lineRule="atLeast" w:line="351" w:before="0" w:after="140"/>
              <w:ind w:left="0" w:right="0" w:hanging="0"/>
              <w:jc w:val="left"/>
              <w:rPr>
                <w:rFonts w:ascii="Times New Roman;serif" w:hAnsi="Times New Roman;serif"/>
                <w:sz w:val="22"/>
              </w:rPr>
            </w:pPr>
            <w:r>
              <w:rPr>
                <w:rFonts w:ascii="ArialMT;serif" w:hAnsi="ArialMT;serif"/>
                <w:color w:val="000000"/>
                <w:sz w:val="18"/>
              </w:rPr>
              <w:t xml:space="preserve">Jóváhagyások: 319 </w:t>
            </w:r>
            <w:r>
              <w:rPr>
                <w:rFonts w:ascii="Times New Roman;serif" w:hAnsi="Times New Roman;serif"/>
                <w:sz w:val="22"/>
              </w:rPr>
              <w:br/>
            </w:r>
            <w:r>
              <w:rPr>
                <w:rFonts w:ascii="ArialMT;serif" w:hAnsi="ArialMT;serif"/>
                <w:color w:val="000000"/>
                <w:sz w:val="18"/>
              </w:rPr>
              <w:t xml:space="preserve">Hozzászólások: 127 </w:t>
            </w:r>
          </w:p>
          <w:p>
            <w:pPr>
              <w:pStyle w:val="Contenudetableau"/>
              <w:widowControl w:val="false"/>
              <w:spacing w:before="0" w:after="57"/>
              <w:ind w:left="0" w:right="0" w:hanging="0"/>
              <w:jc w:val="left"/>
              <w:rPr/>
            </w:pPr>
            <w:r>
              <w:rPr/>
            </w:r>
          </w:p>
        </w:tc>
      </w:tr>
      <w:tr>
        <w:trPr/>
        <w:tc>
          <w:tcPr>
            <w:tcW w:w="2723"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color w:val="000000"/>
                <w:sz w:val="22"/>
              </w:rPr>
            </w:pPr>
            <w:r>
              <w:rPr>
                <w:rFonts w:ascii="Arial-BoldMT;serif" w:hAnsi="Arial-BoldMT;serif"/>
                <w:b/>
                <w:color w:val="000000"/>
                <w:sz w:val="18"/>
              </w:rPr>
              <w:t>Az ötlet:</w:t>
            </w:r>
            <w:r>
              <w:rPr>
                <w:rFonts w:ascii="Times New Roman;serif" w:hAnsi="Times New Roman;serif"/>
                <w:color w:val="000000"/>
                <w:sz w:val="22"/>
              </w:rPr>
              <w:t xml:space="preserve"> </w:t>
            </w:r>
            <w:r>
              <w:rPr>
                <w:rFonts w:ascii="Arial-BoldMT;serif" w:hAnsi="Arial-BoldMT;serif"/>
                <w:b/>
                <w:color w:val="000000"/>
                <w:sz w:val="18"/>
              </w:rPr>
              <w:t>Új</w:t>
            </w:r>
            <w:r>
              <w:rPr>
                <w:rFonts w:ascii="Times New Roman;serif" w:hAnsi="Times New Roman;serif"/>
                <w:color w:val="000000"/>
                <w:sz w:val="22"/>
              </w:rPr>
              <w:t xml:space="preserve"> </w:t>
            </w:r>
            <w:r>
              <w:rPr>
                <w:rFonts w:ascii="Arial-BoldMT;serif" w:hAnsi="Arial-BoldMT;serif"/>
                <w:b/>
                <w:color w:val="000000"/>
                <w:sz w:val="18"/>
              </w:rPr>
              <w:t>uniós</w:t>
            </w:r>
            <w:r>
              <w:rPr>
                <w:rFonts w:ascii="Times New Roman;serif" w:hAnsi="Times New Roman;serif"/>
                <w:color w:val="000000"/>
                <w:sz w:val="22"/>
              </w:rPr>
              <w:t xml:space="preserve"> </w:t>
            </w:r>
            <w:r>
              <w:rPr>
                <w:rFonts w:ascii="Arial-BoldMT;serif" w:hAnsi="Arial-BoldMT;serif"/>
                <w:b/>
                <w:color w:val="000000"/>
                <w:sz w:val="18"/>
              </w:rPr>
              <w:t>gazdasági</w:t>
            </w:r>
            <w:r>
              <w:rPr>
                <w:rFonts w:ascii="Times New Roman;serif" w:hAnsi="Times New Roman;serif"/>
                <w:color w:val="000000"/>
                <w:sz w:val="22"/>
              </w:rPr>
              <w:t xml:space="preserve"> </w:t>
            </w:r>
            <w:r>
              <w:rPr>
                <w:rFonts w:ascii="Arial-BoldMT;serif" w:hAnsi="Arial-BoldMT;serif"/>
                <w:b/>
                <w:color w:val="000000"/>
                <w:sz w:val="18"/>
              </w:rPr>
              <w:t>modell és irányítás</w:t>
            </w:r>
            <w:r>
              <w:rPr>
                <w:rFonts w:ascii="Times New Roman;serif" w:hAnsi="Times New Roman;serif"/>
                <w:color w:val="000000"/>
                <w:sz w:val="22"/>
              </w:rPr>
              <w:t xml:space="preserve"> </w:t>
            </w:r>
            <w:r>
              <w:rPr>
                <w:rFonts w:ascii="ArialMT;serif" w:hAnsi="ArialMT;serif"/>
                <w:color w:val="000000"/>
                <w:sz w:val="18"/>
              </w:rPr>
              <w:t>(lásd</w:t>
            </w:r>
            <w:hyperlink r:id="rId2062">
              <w:r>
                <w:rPr>
                  <w:rStyle w:val="LienInternet"/>
                  <w:rFonts w:ascii="ArialMT;serif" w:hAnsi="ArialMT;serif"/>
                  <w:color w:val="000000"/>
                  <w:sz w:val="18"/>
                </w:rPr>
                <w:t xml:space="preserve"> az ötletet</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Jóváhagyások: 561 hozzászólás: 34 </w:t>
            </w:r>
          </w:p>
        </w:tc>
        <w:tc>
          <w:tcPr>
            <w:tcW w:w="343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color w:val="000000"/>
                <w:sz w:val="22"/>
              </w:rPr>
            </w:pPr>
            <w:r>
              <w:rPr>
                <w:rFonts w:ascii="Arial-BoldMT;serif" w:hAnsi="Arial-BoldMT;serif"/>
                <w:b/>
                <w:color w:val="000000"/>
                <w:sz w:val="18"/>
              </w:rPr>
              <w:t>Az ötlet:</w:t>
            </w:r>
            <w:r>
              <w:rPr>
                <w:rFonts w:ascii="Times New Roman;serif" w:hAnsi="Times New Roman;serif"/>
                <w:color w:val="000000"/>
                <w:sz w:val="22"/>
              </w:rPr>
              <w:t xml:space="preserve"> </w:t>
            </w:r>
            <w:r>
              <w:rPr>
                <w:rFonts w:ascii="Arial-BoldMT;serif" w:hAnsi="Arial-BoldMT;serif"/>
                <w:b/>
                <w:color w:val="000000"/>
                <w:sz w:val="18"/>
              </w:rPr>
              <w:t>Mennyi</w:t>
            </w:r>
            <w:r>
              <w:rPr>
                <w:rFonts w:ascii="Times New Roman;serif" w:hAnsi="Times New Roman;serif"/>
                <w:color w:val="000000"/>
                <w:sz w:val="22"/>
              </w:rPr>
              <w:t xml:space="preserve">  </w:t>
            </w:r>
            <w:r>
              <w:rPr>
                <w:rFonts w:ascii="Arial-BoldMT;serif" w:hAnsi="Arial-BoldMT;serif"/>
                <w:b/>
                <w:color w:val="000000"/>
                <w:sz w:val="18"/>
              </w:rPr>
              <w:t>pénzt</w:t>
            </w:r>
            <w:r>
              <w:rPr>
                <w:rFonts w:ascii="Times New Roman;serif" w:hAnsi="Times New Roman;serif"/>
                <w:color w:val="000000"/>
                <w:sz w:val="22"/>
              </w:rPr>
              <w:t xml:space="preserve"> </w:t>
            </w:r>
            <w:r>
              <w:rPr>
                <w:rFonts w:ascii="Arial-BoldMT;serif" w:hAnsi="Arial-BoldMT;serif"/>
                <w:b/>
                <w:color w:val="000000"/>
                <w:sz w:val="18"/>
              </w:rPr>
              <w:t xml:space="preserve"> takarítana meg az eszperantó</w:t>
            </w:r>
            <w:r>
              <w:rPr>
                <w:rFonts w:ascii="Times New Roman;serif" w:hAnsi="Times New Roman;serif"/>
                <w:color w:val="000000"/>
                <w:sz w:val="22"/>
              </w:rPr>
              <w:t xml:space="preserve"> </w:t>
            </w:r>
            <w:r>
              <w:rPr>
                <w:rFonts w:ascii="Arial-BoldMT;serif" w:hAnsi="Arial-BoldMT;serif"/>
                <w:b/>
                <w:color w:val="000000"/>
                <w:sz w:val="18"/>
              </w:rPr>
              <w:t>az</w:t>
            </w:r>
            <w:r>
              <w:rPr>
                <w:rFonts w:ascii="Times New Roman;serif" w:hAnsi="Times New Roman;serif"/>
                <w:color w:val="000000"/>
                <w:sz w:val="22"/>
              </w:rPr>
              <w:t xml:space="preserve"> </w:t>
            </w:r>
            <w:r>
              <w:rPr>
                <w:rFonts w:ascii="Arial-BoldMT;serif" w:hAnsi="Arial-BoldMT;serif"/>
                <w:b/>
                <w:color w:val="000000"/>
                <w:sz w:val="18"/>
              </w:rPr>
              <w:t>Európai Unió számára?</w:t>
            </w:r>
            <w:r>
              <w:rPr>
                <w:rFonts w:ascii="Times New Roman;serif" w:hAnsi="Times New Roman;serif"/>
                <w:color w:val="000000"/>
                <w:sz w:val="22"/>
              </w:rPr>
              <w:t xml:space="preserve"> </w:t>
            </w:r>
            <w:r>
              <w:rPr>
                <w:rFonts w:ascii="ArialMT;serif" w:hAnsi="ArialMT;serif"/>
                <w:color w:val="000000"/>
                <w:sz w:val="18"/>
              </w:rPr>
              <w:t xml:space="preserve">(lásd </w:t>
            </w:r>
            <w:hyperlink r:id="rId2063">
              <w:r>
                <w:rPr>
                  <w:rStyle w:val="LienInternet"/>
                  <w:rFonts w:ascii="ArialMT;serif" w:hAnsi="ArialMT;serif"/>
                  <w:color w:val="000000"/>
                  <w:sz w:val="18"/>
                </w:rPr>
                <w:t>az ötletet</w:t>
              </w:r>
            </w:hyperlink>
            <w:r>
              <w:rPr>
                <w:rFonts w:ascii="ArialMT;serif" w:hAnsi="ArialMT;serif"/>
                <w:color w:val="000000"/>
                <w:sz w:val="18"/>
              </w:rPr>
              <w:t xml:space="preserve">) </w:t>
            </w:r>
          </w:p>
          <w:p>
            <w:pPr>
              <w:pStyle w:val="P68B1DB1Contenudetableau17"/>
              <w:widowControl w:val="false"/>
              <w:spacing w:before="11" w:after="57"/>
              <w:ind w:left="91" w:right="1321" w:hanging="0"/>
              <w:jc w:val="left"/>
              <w:rPr>
                <w:rFonts w:ascii="ArialMT;serif" w:hAnsi="ArialMT;serif"/>
                <w:color w:val="000000"/>
                <w:sz w:val="18"/>
              </w:rPr>
            </w:pPr>
            <w:r>
              <w:rPr/>
              <w:t xml:space="preserve">Jóváhagyások: 79 hozzászólás: 85 </w:t>
            </w:r>
          </w:p>
        </w:tc>
      </w:tr>
      <w:tr>
        <w:trPr/>
        <w:tc>
          <w:tcPr>
            <w:tcW w:w="2723"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Az ötlet:</w:t>
            </w:r>
            <w:r>
              <w:rPr>
                <w:rFonts w:ascii="Times New Roman;serif" w:hAnsi="Times New Roman;serif"/>
                <w:color w:val="000000"/>
                <w:sz w:val="22"/>
              </w:rPr>
              <w:t xml:space="preserve"> </w:t>
            </w:r>
            <w:r>
              <w:rPr>
                <w:rFonts w:ascii="Arial-BoldMT;serif" w:hAnsi="Arial-BoldMT;serif"/>
                <w:b/>
                <w:color w:val="000000"/>
                <w:sz w:val="18"/>
              </w:rPr>
              <w:t>A</w:t>
            </w:r>
            <w:r>
              <w:rPr>
                <w:rFonts w:ascii="Times New Roman;serif" w:hAnsi="Times New Roman;serif"/>
                <w:color w:val="000000"/>
                <w:sz w:val="22"/>
              </w:rPr>
              <w:t xml:space="preserve"> </w:t>
            </w:r>
            <w:r>
              <w:rPr>
                <w:rFonts w:ascii="Arial-BoldMT;serif" w:hAnsi="Arial-BoldMT;serif"/>
                <w:b/>
                <w:color w:val="000000"/>
                <w:sz w:val="18"/>
              </w:rPr>
              <w:t>szociális jogokeurópai pillére</w:t>
            </w:r>
            <w:r>
              <w:rPr>
                <w:rFonts w:ascii="Times New Roman;serif" w:hAnsi="Times New Roman;serif"/>
                <w:color w:val="000000"/>
                <w:sz w:val="22"/>
              </w:rPr>
              <w:t xml:space="preserve"> </w:t>
            </w:r>
            <w:r>
              <w:rPr>
                <w:rFonts w:ascii="Arial-BoldMT;serif" w:hAnsi="Arial-BoldMT;serif"/>
                <w:b/>
                <w:color w:val="000000"/>
                <w:sz w:val="18"/>
              </w:rPr>
              <w:t>a szociális piacgazdaságért</w:t>
            </w:r>
            <w:r>
              <w:rPr>
                <w:rFonts w:ascii="Times New Roman;serif" w:hAnsi="Times New Roman;serif"/>
                <w:color w:val="000000"/>
                <w:sz w:val="22"/>
              </w:rPr>
              <w:t xml:space="preserve"> </w:t>
            </w:r>
            <w:r>
              <w:rPr>
                <w:rFonts w:ascii="ArialMT;serif" w:hAnsi="ArialMT;serif"/>
                <w:color w:val="000000"/>
                <w:sz w:val="18"/>
              </w:rPr>
              <w:t>(lásd az</w:t>
            </w:r>
            <w:hyperlink r:id="rId2064">
              <w:r>
                <w:rPr>
                  <w:rStyle w:val="LienInternet"/>
                  <w:rFonts w:ascii="Times New Roman;serif" w:hAnsi="Times New Roman;serif"/>
                  <w:sz w:val="22"/>
                </w:rPr>
                <w:t xml:space="preserve"> </w:t>
              </w:r>
            </w:hyperlink>
            <w:hyperlink r:id="rId2065">
              <w:r>
                <w:rPr>
                  <w:rStyle w:val="LienInternet"/>
                  <w:rFonts w:ascii="ArialMT;serif" w:hAnsi="ArialMT;serif"/>
                  <w:color w:val="0563C1"/>
                  <w:sz w:val="18"/>
                </w:rPr>
                <w:t>ötletet</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Jóváhagyások: 557 Megjegyzések: 37 </w:t>
            </w:r>
          </w:p>
        </w:tc>
        <w:tc>
          <w:tcPr>
            <w:tcW w:w="343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color w:val="000000"/>
                <w:sz w:val="22"/>
              </w:rPr>
            </w:pPr>
            <w:r>
              <w:rPr>
                <w:rFonts w:ascii="Arial-BoldMT;serif" w:hAnsi="Arial-BoldMT;serif"/>
                <w:b/>
                <w:color w:val="000000"/>
                <w:sz w:val="18"/>
              </w:rPr>
              <w:t>Az ötlet:</w:t>
            </w:r>
            <w:r>
              <w:rPr>
                <w:rFonts w:ascii="Times New Roman;serif" w:hAnsi="Times New Roman;serif"/>
                <w:color w:val="000000"/>
                <w:sz w:val="22"/>
              </w:rPr>
              <w:t xml:space="preserve"> </w:t>
            </w:r>
            <w:r>
              <w:rPr>
                <w:rFonts w:ascii="Arial-BoldMT;serif" w:hAnsi="Arial-BoldMT;serif"/>
                <w:b/>
                <w:color w:val="000000"/>
                <w:sz w:val="18"/>
              </w:rPr>
              <w:t xml:space="preserve">Feltétel nélküli alapjövedelem (fordított) </w:t>
            </w:r>
            <w:r>
              <w:rPr>
                <w:rFonts w:ascii="ArialMT;serif" w:hAnsi="ArialMT;serif"/>
                <w:color w:val="000000"/>
                <w:sz w:val="18"/>
              </w:rPr>
              <w:t xml:space="preserve">(lásd </w:t>
            </w:r>
            <w:hyperlink r:id="rId2066">
              <w:r>
                <w:rPr>
                  <w:rStyle w:val="LienInternet"/>
                  <w:rFonts w:ascii="ArialMT;serif" w:hAnsi="ArialMT;serif"/>
                  <w:color w:val="000000"/>
                  <w:sz w:val="18"/>
                </w:rPr>
                <w:t>az ötletet</w:t>
              </w:r>
            </w:hyperlink>
            <w:r>
              <w:rPr>
                <w:rFonts w:ascii="ArialMT;serif" w:hAnsi="ArialMT;serif"/>
                <w:color w:val="000000"/>
                <w:sz w:val="18"/>
              </w:rPr>
              <w:t xml:space="preserve">) </w:t>
            </w:r>
          </w:p>
          <w:p>
            <w:pPr>
              <w:pStyle w:val="P68B1DB1Contenudetableau17"/>
              <w:widowControl w:val="false"/>
              <w:spacing w:before="6" w:after="57"/>
              <w:ind w:left="91" w:right="1321" w:hanging="0"/>
              <w:jc w:val="left"/>
              <w:rPr>
                <w:rFonts w:ascii="ArialMT;serif" w:hAnsi="ArialMT;serif"/>
                <w:color w:val="000000"/>
                <w:sz w:val="18"/>
              </w:rPr>
            </w:pPr>
            <w:r>
              <w:rPr/>
              <w:t xml:space="preserve">Jóváhagyások: 77 hozzászólás: 83 </w:t>
            </w:r>
          </w:p>
        </w:tc>
      </w:tr>
      <w:tr>
        <w:trPr/>
        <w:tc>
          <w:tcPr>
            <w:tcW w:w="2723"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color w:val="000000"/>
                <w:sz w:val="22"/>
              </w:rPr>
            </w:pPr>
            <w:r>
              <w:rPr>
                <w:rFonts w:ascii="Arial-BoldMT;serif" w:hAnsi="Arial-BoldMT;serif"/>
                <w:b/>
                <w:color w:val="000000"/>
                <w:sz w:val="18"/>
              </w:rPr>
              <w:t>Az ötlet: Megújított szociális szerződés</w:t>
            </w:r>
            <w:r>
              <w:rPr>
                <w:rFonts w:ascii="Times New Roman;serif" w:hAnsi="Times New Roman;serif"/>
                <w:color w:val="000000"/>
                <w:sz w:val="22"/>
              </w:rPr>
              <w:t xml:space="preserve"> </w:t>
            </w:r>
            <w:r>
              <w:rPr>
                <w:rFonts w:ascii="Arial-BoldMT;serif" w:hAnsi="Arial-BoldMT;serif"/>
                <w:b/>
                <w:color w:val="000000"/>
                <w:sz w:val="18"/>
              </w:rPr>
              <w:t>Európa</w:t>
            </w:r>
            <w:r>
              <w:rPr>
                <w:rFonts w:ascii="Times New Roman;serif" w:hAnsi="Times New Roman;serif"/>
                <w:color w:val="000000"/>
                <w:sz w:val="22"/>
              </w:rPr>
              <w:t xml:space="preserve"> </w:t>
            </w:r>
            <w:r>
              <w:rPr>
                <w:rFonts w:ascii="Arial-BoldMT;serif" w:hAnsi="Arial-BoldMT;serif"/>
                <w:b/>
                <w:color w:val="000000"/>
                <w:sz w:val="18"/>
              </w:rPr>
              <w:t xml:space="preserve"> számára a</w:t>
            </w:r>
            <w:r>
              <w:rPr>
                <w:rFonts w:ascii="Times New Roman;serif" w:hAnsi="Times New Roman;serif"/>
                <w:color w:val="000000"/>
                <w:sz w:val="22"/>
              </w:rPr>
              <w:t xml:space="preserve"> </w:t>
            </w:r>
            <w:r>
              <w:rPr>
                <w:rFonts w:ascii="Arial-BoldMT;serif" w:hAnsi="Arial-BoldMT;serif"/>
                <w:b/>
                <w:color w:val="000000"/>
                <w:sz w:val="18"/>
              </w:rPr>
              <w:t>méltányos</w:t>
            </w:r>
            <w:r>
              <w:rPr>
                <w:rFonts w:ascii="Times New Roman;serif" w:hAnsi="Times New Roman;serif"/>
                <w:color w:val="000000"/>
                <w:sz w:val="22"/>
              </w:rPr>
              <w:t xml:space="preserve"> </w:t>
            </w:r>
            <w:r>
              <w:rPr>
                <w:rFonts w:ascii="Arial-BoldMT;serif" w:hAnsi="Arial-BoldMT;serif"/>
                <w:b/>
                <w:color w:val="000000"/>
                <w:sz w:val="18"/>
              </w:rPr>
              <w:t>helyreállítás érdekében</w:t>
            </w:r>
            <w:r>
              <w:rPr>
                <w:rFonts w:ascii="Times New Roman;serif" w:hAnsi="Times New Roman;serif"/>
                <w:color w:val="000000"/>
                <w:sz w:val="22"/>
              </w:rPr>
              <w:t xml:space="preserve"> </w:t>
            </w:r>
            <w:r>
              <w:rPr>
                <w:rFonts w:ascii="ArialMT;serif" w:hAnsi="ArialMT;serif"/>
                <w:color w:val="000000"/>
                <w:sz w:val="18"/>
              </w:rPr>
              <w:t xml:space="preserve">(lásd </w:t>
            </w:r>
            <w:hyperlink r:id="rId2067">
              <w:r>
                <w:rPr>
                  <w:rStyle w:val="LienInternet"/>
                  <w:rFonts w:ascii="ArialMT;serif" w:hAnsi="ArialMT;serif"/>
                  <w:color w:val="000000"/>
                  <w:sz w:val="18"/>
                </w:rPr>
                <w:t>az ötletet</w:t>
              </w:r>
            </w:hyperlink>
            <w:r>
              <w:rPr>
                <w:rFonts w:ascii="ArialMT;serif" w:hAnsi="ArialMT;serif"/>
                <w:color w:val="000000"/>
                <w:sz w:val="18"/>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 xml:space="preserve">Jóváhagyások: 528 hozzászólás: 32 </w:t>
            </w:r>
          </w:p>
        </w:tc>
        <w:tc>
          <w:tcPr>
            <w:tcW w:w="343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color w:val="000000"/>
                <w:sz w:val="22"/>
              </w:rPr>
            </w:pPr>
            <w:r>
              <w:rPr>
                <w:rFonts w:ascii="Arial-BoldMT;serif" w:hAnsi="Arial-BoldMT;serif"/>
                <w:b/>
                <w:color w:val="000000"/>
                <w:sz w:val="18"/>
              </w:rPr>
              <w:t>Az ötlet:</w:t>
            </w:r>
            <w:r>
              <w:rPr>
                <w:rFonts w:ascii="Times New Roman;serif" w:hAnsi="Times New Roman;serif"/>
                <w:color w:val="000000"/>
                <w:sz w:val="22"/>
              </w:rPr>
              <w:t xml:space="preserve"> </w:t>
            </w:r>
            <w:r>
              <w:rPr>
                <w:rFonts w:ascii="Arial-BoldMT;serif" w:hAnsi="Arial-BoldMT;serif"/>
                <w:b/>
                <w:color w:val="000000"/>
                <w:sz w:val="18"/>
              </w:rPr>
              <w:t>Szociális</w:t>
            </w:r>
            <w:r>
              <w:rPr>
                <w:rFonts w:ascii="Times New Roman;serif" w:hAnsi="Times New Roman;serif"/>
                <w:color w:val="000000"/>
                <w:sz w:val="22"/>
              </w:rPr>
              <w:t xml:space="preserve"> </w:t>
            </w:r>
            <w:r>
              <w:rPr>
                <w:rFonts w:ascii="Arial-BoldMT;serif" w:hAnsi="Arial-BoldMT;serif"/>
                <w:b/>
                <w:color w:val="000000"/>
                <w:sz w:val="18"/>
              </w:rPr>
              <w:t>jegyzőkönyv</w:t>
            </w:r>
            <w:r>
              <w:rPr>
                <w:rFonts w:ascii="Times New Roman;serif" w:hAnsi="Times New Roman;serif"/>
                <w:color w:val="000000"/>
                <w:sz w:val="22"/>
              </w:rPr>
              <w:t xml:space="preserve"> </w:t>
            </w:r>
            <w:r>
              <w:rPr>
                <w:rFonts w:ascii="Arial-BoldMT;serif" w:hAnsi="Arial-BoldMT;serif"/>
                <w:b/>
                <w:color w:val="000000"/>
                <w:sz w:val="18"/>
              </w:rPr>
              <w:t>a Szerződésekben a</w:t>
            </w:r>
            <w:r>
              <w:rPr>
                <w:rFonts w:ascii="Times New Roman;serif" w:hAnsi="Times New Roman;serif"/>
                <w:color w:val="000000"/>
                <w:sz w:val="22"/>
              </w:rPr>
              <w:t xml:space="preserve">  </w:t>
            </w:r>
            <w:r>
              <w:rPr>
                <w:rFonts w:ascii="Arial-BoldMT;serif" w:hAnsi="Arial-BoldMT;serif"/>
                <w:b/>
                <w:color w:val="000000"/>
                <w:sz w:val="18"/>
              </w:rPr>
              <w:t xml:space="preserve">bérek és feltételek dömpingjének </w:t>
            </w:r>
            <w:r>
              <w:rPr>
                <w:rFonts w:ascii="Times New Roman;serif" w:hAnsi="Times New Roman;serif"/>
                <w:color w:val="000000"/>
                <w:sz w:val="22"/>
              </w:rPr>
              <w:t xml:space="preserve"> </w:t>
            </w:r>
            <w:r>
              <w:rPr>
                <w:rFonts w:ascii="Arial-BoldMT;serif" w:hAnsi="Arial-BoldMT;serif"/>
                <w:b/>
                <w:color w:val="000000"/>
                <w:sz w:val="18"/>
              </w:rPr>
              <w:t>megállításáról</w:t>
            </w:r>
            <w:r>
              <w:rPr>
                <w:rFonts w:ascii="Times New Roman;serif" w:hAnsi="Times New Roman;serif"/>
                <w:color w:val="000000"/>
                <w:sz w:val="22"/>
              </w:rPr>
              <w:t xml:space="preserve"> </w:t>
            </w:r>
            <w:r>
              <w:rPr>
                <w:rFonts w:ascii="ArialMT;serif" w:hAnsi="ArialMT;serif"/>
                <w:color w:val="000000"/>
                <w:sz w:val="18"/>
              </w:rPr>
              <w:t>(lásd</w:t>
            </w:r>
            <w:r>
              <w:rPr>
                <w:rFonts w:ascii="Times New Roman;serif" w:hAnsi="Times New Roman;serif"/>
                <w:color w:val="000000"/>
                <w:sz w:val="22"/>
              </w:rPr>
              <w:t xml:space="preserve"> az </w:t>
            </w:r>
            <w:hyperlink r:id="rId2068">
              <w:r>
                <w:rPr>
                  <w:rStyle w:val="LienInternet"/>
                  <w:rFonts w:ascii="ArialMT;serif" w:hAnsi="ArialMT;serif"/>
                  <w:color w:val="000000"/>
                  <w:sz w:val="18"/>
                </w:rPr>
                <w:t>ötletet</w:t>
              </w:r>
            </w:hyperlink>
            <w:r>
              <w:rPr>
                <w:rFonts w:ascii="ArialMT;serif" w:hAnsi="ArialMT;serif"/>
                <w:color w:val="000000"/>
                <w:sz w:val="18"/>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 xml:space="preserve">Jóváhagyások: 329 Megjegyzések: 66 </w:t>
            </w:r>
          </w:p>
        </w:tc>
      </w:tr>
      <w:tr>
        <w:trPr/>
        <w:tc>
          <w:tcPr>
            <w:tcW w:w="2723"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color w:val="000000"/>
                <w:sz w:val="22"/>
              </w:rPr>
            </w:pPr>
            <w:r>
              <w:rPr>
                <w:rFonts w:ascii="Arial-BoldMT;serif" w:hAnsi="Arial-BoldMT;serif"/>
                <w:b/>
                <w:color w:val="000000"/>
                <w:sz w:val="18"/>
              </w:rPr>
              <w:t>Az ötlet:</w:t>
            </w:r>
            <w:r>
              <w:rPr>
                <w:rFonts w:ascii="Times New Roman;serif" w:hAnsi="Times New Roman;serif"/>
                <w:color w:val="000000"/>
                <w:sz w:val="22"/>
              </w:rPr>
              <w:t xml:space="preserve"> </w:t>
            </w:r>
            <w:r>
              <w:rPr>
                <w:rFonts w:ascii="Arial-BoldMT;serif" w:hAnsi="Arial-BoldMT;serif"/>
                <w:b/>
                <w:color w:val="000000"/>
                <w:sz w:val="18"/>
              </w:rPr>
              <w:t>Szociális</w:t>
            </w:r>
            <w:r>
              <w:rPr>
                <w:rFonts w:ascii="Times New Roman;serif" w:hAnsi="Times New Roman;serif"/>
                <w:color w:val="000000"/>
                <w:sz w:val="22"/>
              </w:rPr>
              <w:t xml:space="preserve"> </w:t>
            </w:r>
            <w:r>
              <w:rPr>
                <w:rFonts w:ascii="Arial-BoldMT;serif" w:hAnsi="Arial-BoldMT;serif"/>
                <w:b/>
                <w:color w:val="000000"/>
                <w:sz w:val="18"/>
              </w:rPr>
              <w:t>jegyzőkönyv a Szerződésekben a</w:t>
            </w:r>
            <w:r>
              <w:rPr>
                <w:rFonts w:ascii="Times New Roman;serif" w:hAnsi="Times New Roman;serif"/>
                <w:color w:val="000000"/>
                <w:sz w:val="22"/>
              </w:rPr>
              <w:t xml:space="preserve">  </w:t>
            </w:r>
            <w:r>
              <w:rPr>
                <w:rFonts w:ascii="Arial-BoldMT;serif" w:hAnsi="Arial-BoldMT;serif"/>
                <w:b/>
                <w:color w:val="000000"/>
                <w:sz w:val="18"/>
              </w:rPr>
              <w:t xml:space="preserve">bérek és feltételek dömpingjének </w:t>
            </w:r>
            <w:r>
              <w:rPr>
                <w:rFonts w:ascii="Times New Roman;serif" w:hAnsi="Times New Roman;serif"/>
                <w:color w:val="000000"/>
                <w:sz w:val="22"/>
              </w:rPr>
              <w:t xml:space="preserve"> </w:t>
            </w:r>
            <w:r>
              <w:rPr>
                <w:rFonts w:ascii="Arial-BoldMT;serif" w:hAnsi="Arial-BoldMT;serif"/>
                <w:b/>
                <w:color w:val="000000"/>
                <w:sz w:val="18"/>
              </w:rPr>
              <w:t>megállításáról</w:t>
            </w:r>
            <w:r>
              <w:rPr>
                <w:rFonts w:ascii="Times New Roman;serif" w:hAnsi="Times New Roman;serif"/>
                <w:color w:val="000000"/>
                <w:sz w:val="22"/>
              </w:rPr>
              <w:t xml:space="preserve"> </w:t>
            </w:r>
            <w:r>
              <w:rPr>
                <w:rFonts w:ascii="ArialMT;serif" w:hAnsi="ArialMT;serif"/>
                <w:color w:val="000000"/>
                <w:sz w:val="18"/>
              </w:rPr>
              <w:t>(lásd</w:t>
            </w:r>
            <w:r>
              <w:rPr>
                <w:rFonts w:ascii="Times New Roman;serif" w:hAnsi="Times New Roman;serif"/>
                <w:color w:val="000000"/>
                <w:sz w:val="22"/>
              </w:rPr>
              <w:t xml:space="preserve"> az </w:t>
            </w:r>
            <w:hyperlink r:id="rId2069">
              <w:r>
                <w:rPr>
                  <w:rStyle w:val="LienInternet"/>
                  <w:rFonts w:ascii="ArialMT;serif" w:hAnsi="ArialMT;serif"/>
                  <w:color w:val="000000"/>
                  <w:sz w:val="18"/>
                </w:rPr>
                <w:t>ötletet</w:t>
              </w:r>
            </w:hyperlink>
            <w:r>
              <w:rPr>
                <w:rFonts w:ascii="ArialMT;serif" w:hAnsi="ArialMT;serif"/>
                <w:color w:val="000000"/>
                <w:sz w:val="18"/>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 xml:space="preserve">Jóváhagyások: 329 Megjegyzések: 66 </w:t>
            </w:r>
          </w:p>
        </w:tc>
        <w:tc>
          <w:tcPr>
            <w:tcW w:w="343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color w:val="000000"/>
                <w:sz w:val="22"/>
              </w:rPr>
            </w:pPr>
            <w:r>
              <w:rPr>
                <w:rFonts w:ascii="Arial-BoldMT;serif" w:hAnsi="Arial-BoldMT;serif"/>
                <w:b/>
                <w:color w:val="000000"/>
                <w:sz w:val="18"/>
              </w:rPr>
              <w:t>Az ötlet:</w:t>
            </w:r>
            <w:r>
              <w:rPr>
                <w:rFonts w:ascii="Times New Roman;serif" w:hAnsi="Times New Roman;serif"/>
                <w:color w:val="000000"/>
                <w:sz w:val="22"/>
              </w:rPr>
              <w:t xml:space="preserve"> </w:t>
            </w:r>
            <w:r>
              <w:rPr>
                <w:rFonts w:ascii="Arial-BoldMT;serif" w:hAnsi="Arial-BoldMT;serif"/>
                <w:b/>
                <w:color w:val="000000"/>
                <w:sz w:val="18"/>
              </w:rPr>
              <w:t>Kezdjen el</w:t>
            </w:r>
            <w:r>
              <w:rPr>
                <w:rFonts w:ascii="Times New Roman;serif" w:hAnsi="Times New Roman;serif"/>
                <w:color w:val="000000"/>
                <w:sz w:val="22"/>
              </w:rPr>
              <w:t xml:space="preserve"> </w:t>
            </w:r>
            <w:r>
              <w:rPr>
                <w:rFonts w:ascii="Arial-BoldMT;serif" w:hAnsi="Arial-BoldMT;serif"/>
                <w:b/>
                <w:color w:val="000000"/>
                <w:sz w:val="18"/>
              </w:rPr>
              <w:t>küzdeni</w:t>
            </w:r>
            <w:r>
              <w:rPr>
                <w:rFonts w:ascii="Times New Roman;serif" w:hAnsi="Times New Roman;serif"/>
                <w:color w:val="000000"/>
                <w:sz w:val="22"/>
              </w:rPr>
              <w:t xml:space="preserve"> </w:t>
            </w:r>
            <w:r>
              <w:rPr>
                <w:rFonts w:ascii="Arial-BoldMT;serif" w:hAnsi="Arial-BoldMT;serif"/>
                <w:b/>
                <w:color w:val="000000"/>
                <w:sz w:val="18"/>
              </w:rPr>
              <w:t>az</w:t>
            </w:r>
            <w:r>
              <w:rPr>
                <w:rFonts w:ascii="Times New Roman;serif" w:hAnsi="Times New Roman;serif"/>
                <w:color w:val="000000"/>
                <w:sz w:val="22"/>
              </w:rPr>
              <w:t xml:space="preserve"> </w:t>
            </w:r>
            <w:r>
              <w:rPr>
                <w:rFonts w:ascii="Arial-BoldMT;serif" w:hAnsi="Arial-BoldMT;serif"/>
                <w:b/>
                <w:color w:val="000000"/>
                <w:sz w:val="18"/>
              </w:rPr>
              <w:t xml:space="preserve">adóparadicsomok ellen az EU -  n belül és kívül  </w:t>
            </w:r>
            <w:r>
              <w:rPr>
                <w:rFonts w:ascii="Times New Roman;serif" w:hAnsi="Times New Roman;serif"/>
                <w:color w:val="000000"/>
                <w:sz w:val="22"/>
              </w:rPr>
              <w:t xml:space="preserve"> </w:t>
            </w:r>
            <w:r>
              <w:rPr>
                <w:rFonts w:ascii="ArialMT;serif" w:hAnsi="ArialMT;serif"/>
                <w:color w:val="000000"/>
                <w:sz w:val="18"/>
              </w:rPr>
              <w:t xml:space="preserve">(lásd </w:t>
            </w:r>
            <w:hyperlink r:id="rId2070">
              <w:r>
                <w:rPr>
                  <w:rStyle w:val="LienInternet"/>
                  <w:rFonts w:ascii="ArialMT;serif" w:hAnsi="ArialMT;serif"/>
                  <w:color w:val="000000"/>
                  <w:sz w:val="18"/>
                </w:rPr>
                <w:t>az ötletet</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Jóváhagyások: 269 Megjegyzések: 52 </w:t>
            </w:r>
          </w:p>
        </w:tc>
      </w:tr>
    </w:tbl>
    <w:p>
      <w:pPr>
        <w:pStyle w:val="Normal"/>
        <w:jc w:val="left"/>
        <w:rPr/>
      </w:pPr>
      <w:r>
        <w:rPr/>
      </w:r>
      <w:r>
        <w:br w:type="page"/>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970"/>
        <w:gridCol w:w="129"/>
        <w:gridCol w:w="2940"/>
        <w:gridCol w:w="125"/>
        <w:gridCol w:w="206"/>
        <w:gridCol w:w="2995"/>
        <w:gridCol w:w="249"/>
      </w:tblGrid>
      <w:tr>
        <w:trPr>
          <w:trHeight w:val="386" w:hRule="atLeast"/>
        </w:trPr>
        <w:tc>
          <w:tcPr>
            <w:tcW w:w="2970"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129"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40"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A legtöbb támogatott </w:t>
            </w:r>
          </w:p>
        </w:tc>
        <w:tc>
          <w:tcPr>
            <w:tcW w:w="125"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6"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95"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A legtöbb hozzászólás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970"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4"/>
              <w:widowControl w:val="false"/>
              <w:spacing w:before="51" w:after="57"/>
              <w:ind w:left="91" w:right="0" w:hanging="0"/>
              <w:jc w:val="left"/>
              <w:rPr>
                <w:rFonts w:ascii="Arial-BoldMT;serif" w:hAnsi="Arial-BoldMT;serif"/>
                <w:b/>
                <w:b/>
                <w:color w:val="000000"/>
                <w:sz w:val="18"/>
              </w:rPr>
            </w:pPr>
            <w:r>
              <w:rPr/>
              <w:t xml:space="preserve">Az EU a világban </w:t>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51" w:after="57"/>
              <w:ind w:left="113" w:right="0" w:hanging="0"/>
              <w:jc w:val="left"/>
              <w:rPr>
                <w:rFonts w:ascii="Arial-BoldMT;serif" w:hAnsi="Arial-BoldMT;serif"/>
                <w:sz w:val="22"/>
              </w:rPr>
            </w:pPr>
            <w:r>
              <w:rPr>
                <w:rFonts w:ascii="Arial-BoldMT;serif" w:hAnsi="Arial-BoldMT;serif"/>
                <w:b/>
                <w:color w:val="000000"/>
                <w:sz w:val="18"/>
              </w:rPr>
              <w:t>Az ötlet: Az</w:t>
            </w:r>
            <w:r>
              <w:rPr>
                <w:rFonts w:ascii="Arial-BoldMT;serif" w:hAnsi="Arial-BoldMT;serif"/>
                <w:b/>
                <w:color w:val="06060B"/>
                <w:sz w:val="18"/>
              </w:rPr>
              <w:t xml:space="preserve">ESZSZ az </w:t>
            </w:r>
            <w:r>
              <w:rPr>
                <w:rFonts w:ascii="Arial-BoldMT;serif" w:hAnsi="Arial-BoldMT;serif"/>
                <w:b/>
                <w:color w:val="000000"/>
                <w:sz w:val="18"/>
              </w:rPr>
              <w:t>EU kereskedelmi és beruházási politikájának reformjára és a globális multilateralizmus újraindítására</w:t>
            </w:r>
            <w:r>
              <w:rPr>
                <w:rFonts w:ascii="Arial-BoldMT;serif" w:hAnsi="Arial-BoldMT;serif"/>
                <w:b/>
                <w:color w:val="06060B"/>
                <w:sz w:val="18"/>
              </w:rPr>
              <w:t>szólít fel</w:t>
            </w:r>
            <w:r>
              <w:rPr>
                <w:rFonts w:ascii="Arial-BoldMT;serif" w:hAnsi="Arial-BoldMT;serif"/>
                <w:color w:val="000000"/>
                <w:sz w:val="22"/>
              </w:rPr>
              <w:t xml:space="preserve"> </w:t>
            </w:r>
            <w:r>
              <w:rPr>
                <w:rFonts w:ascii="Times New Roman;serif" w:hAnsi="Times New Roman;serif"/>
                <w:color w:val="000000"/>
                <w:sz w:val="22"/>
              </w:rPr>
              <w:t xml:space="preserve"> </w:t>
            </w:r>
            <w:r>
              <w:rPr>
                <w:rFonts w:ascii="ArialMT;serif" w:hAnsi="ArialMT;serif"/>
                <w:color w:val="000000"/>
                <w:sz w:val="18"/>
              </w:rPr>
              <w:t xml:space="preserve">(lásd </w:t>
            </w:r>
            <w:r>
              <w:rPr>
                <w:rFonts w:ascii="ArialMT;serif" w:hAnsi="ArialMT;serif"/>
                <w:color w:val="0563C1"/>
                <w:sz w:val="18"/>
              </w:rPr>
              <w:t>i</w:t>
            </w:r>
            <w:hyperlink r:id="rId2071">
              <w:r>
                <w:rPr>
                  <w:rStyle w:val="LienInternet"/>
                  <w:rFonts w:ascii="Arial-BoldMT;serif" w:hAnsi="Arial-BoldMT;serif"/>
                  <w:sz w:val="22"/>
                </w:rPr>
                <w:t>dea</w:t>
              </w:r>
            </w:hyperlink>
            <w:r>
              <w:rPr>
                <w:rFonts w:ascii="ArialMT;serif" w:hAnsi="ArialMT;serif"/>
                <w:color w:val="000000"/>
                <w:sz w:val="18"/>
              </w:rPr>
              <w:t xml:space="preserve">) </w:t>
            </w:r>
          </w:p>
          <w:p>
            <w:pPr>
              <w:pStyle w:val="P68B1DB1Contenudetableau17"/>
              <w:widowControl w:val="false"/>
              <w:spacing w:before="0" w:after="57"/>
              <w:ind w:left="113" w:right="1208" w:hanging="0"/>
              <w:jc w:val="left"/>
              <w:rPr>
                <w:rFonts w:ascii="ArialMT;serif" w:hAnsi="ArialMT;serif"/>
                <w:color w:val="000000"/>
                <w:sz w:val="18"/>
              </w:rPr>
            </w:pPr>
            <w:r>
              <w:rPr/>
              <w:t xml:space="preserve">Jóváhagyások: 463 hozzászólás: 17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Az ötlet: Az</w:t>
            </w:r>
            <w:r>
              <w:rPr>
                <w:rFonts w:ascii="Times New Roman;serif" w:hAnsi="Times New Roman;serif"/>
                <w:color w:val="000000"/>
                <w:sz w:val="22"/>
              </w:rPr>
              <w:t xml:space="preserve"> </w:t>
            </w:r>
            <w:r>
              <w:rPr>
                <w:rFonts w:ascii="Arial-BoldMT;serif" w:hAnsi="Arial-BoldMT;serif"/>
                <w:b/>
                <w:color w:val="000000"/>
                <w:sz w:val="18"/>
              </w:rPr>
              <w:t>európai hadsereg</w:t>
            </w:r>
            <w:r>
              <w:rPr>
                <w:rFonts w:ascii="Times New Roman;serif" w:hAnsi="Times New Roman;serif"/>
                <w:color w:val="000000"/>
                <w:sz w:val="22"/>
              </w:rPr>
              <w:t xml:space="preserve"> létrehozása </w:t>
            </w:r>
            <w:r>
              <w:rPr>
                <w:rFonts w:ascii="ArialMT;serif" w:hAnsi="ArialMT;serif"/>
                <w:color w:val="000000"/>
                <w:sz w:val="18"/>
              </w:rPr>
              <w:t xml:space="preserve">(lásd az </w:t>
            </w:r>
            <w:hyperlink r:id="rId2072">
              <w:r>
                <w:rPr>
                  <w:rStyle w:val="LienInternet"/>
                  <w:rFonts w:ascii="ArialMT;serif" w:hAnsi="ArialMT;serif"/>
                  <w:color w:val="0563C1"/>
                  <w:sz w:val="18"/>
                </w:rPr>
                <w:t>ötletet</w:t>
              </w:r>
            </w:hyperlink>
            <w:r>
              <w:rPr>
                <w:rFonts w:ascii="ArialMT;serif" w:hAnsi="ArialMT;serif"/>
                <w:color w:val="000000"/>
                <w:sz w:val="18"/>
              </w:rPr>
              <w:t xml:space="preserve">) </w:t>
            </w:r>
          </w:p>
          <w:p>
            <w:pPr>
              <w:pStyle w:val="Corpsdetexte"/>
              <w:widowControl w:val="false"/>
              <w:spacing w:lineRule="atLeast" w:line="351" w:before="0" w:after="140"/>
              <w:ind w:left="0" w:right="0" w:hanging="0"/>
              <w:jc w:val="left"/>
              <w:rPr>
                <w:rFonts w:ascii="Times New Roman;serif" w:hAnsi="Times New Roman;serif"/>
                <w:sz w:val="22"/>
              </w:rPr>
            </w:pPr>
            <w:r>
              <w:rPr>
                <w:rFonts w:ascii="ArialMT;serif" w:hAnsi="ArialMT;serif"/>
                <w:color w:val="000000"/>
                <w:sz w:val="18"/>
              </w:rPr>
              <w:t xml:space="preserve">Jóváhagyások: 441 </w:t>
            </w:r>
            <w:r>
              <w:rPr>
                <w:rFonts w:ascii="Times New Roman;serif" w:hAnsi="Times New Roman;serif"/>
                <w:sz w:val="22"/>
              </w:rPr>
              <w:br/>
            </w:r>
            <w:r>
              <w:rPr>
                <w:rFonts w:ascii="ArialMT;serif" w:hAnsi="ArialMT;serif"/>
                <w:color w:val="000000"/>
                <w:sz w:val="18"/>
              </w:rPr>
              <w:t xml:space="preserve">Hozzászólások: 204 </w:t>
            </w:r>
          </w:p>
          <w:p>
            <w:pPr>
              <w:pStyle w:val="Contenudetableau"/>
              <w:widowControl w:val="false"/>
              <w:spacing w:before="0" w:after="57"/>
              <w:ind w:left="0" w:right="0" w:hanging="0"/>
              <w:jc w:val="left"/>
              <w:rPr/>
            </w:pPr>
            <w:r>
              <w:rPr/>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Az ötlet: Az európai hadsereg létrehozása</w:t>
            </w:r>
            <w:r>
              <w:rPr>
                <w:rFonts w:ascii="Times New Roman;serif" w:hAnsi="Times New Roman;serif"/>
                <w:color w:val="000000"/>
                <w:sz w:val="22"/>
              </w:rPr>
              <w:t xml:space="preserve"> </w:t>
            </w:r>
            <w:r>
              <w:rPr>
                <w:rFonts w:ascii="ArialMT;serif" w:hAnsi="ArialMT;serif"/>
                <w:color w:val="000000"/>
                <w:sz w:val="18"/>
              </w:rPr>
              <w:t xml:space="preserve">(lásd az </w:t>
            </w:r>
            <w:hyperlink r:id="rId2073">
              <w:r>
                <w:rPr>
                  <w:rStyle w:val="LienInternet"/>
                  <w:rFonts w:ascii="ArialMT;serif" w:hAnsi="ArialMT;serif"/>
                  <w:color w:val="0563C1"/>
                  <w:sz w:val="18"/>
                </w:rPr>
                <w:t>ötletet</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Jóváhagyások: 441 Megjegyzések: 204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 xml:space="preserve">Az ötlet: Az „Európai Unió – Hírek” internetes portálnak a világszintű segédnyelven is tájékoztatnia kell az eszperantót ( fordítva) ( </w:t>
            </w:r>
            <w:r>
              <w:rPr>
                <w:rFonts w:ascii="ArialMT;serif" w:hAnsi="ArialMT;serif"/>
                <w:color w:val="000000"/>
                <w:sz w:val="18"/>
              </w:rPr>
              <w:t xml:space="preserve">lásd az </w:t>
            </w:r>
            <w:hyperlink r:id="rId2074">
              <w:r>
                <w:rPr>
                  <w:rStyle w:val="LienInternet"/>
                  <w:rFonts w:ascii="ArialMT;serif" w:hAnsi="ArialMT;serif"/>
                  <w:color w:val="0563C1"/>
                  <w:sz w:val="18"/>
                </w:rPr>
                <w:t>ötletet</w:t>
              </w:r>
            </w:hyperlink>
            <w:r>
              <w:rPr>
                <w:rFonts w:ascii="ArialMT;serif" w:hAnsi="ArialMT;serif"/>
                <w:color w:val="000000"/>
                <w:sz w:val="18"/>
              </w:rPr>
              <w:t xml:space="preserve">). </w:t>
            </w:r>
          </w:p>
          <w:p>
            <w:pPr>
              <w:pStyle w:val="P68B1DB1Contenudetableau17"/>
              <w:widowControl w:val="false"/>
              <w:spacing w:before="11" w:after="57"/>
              <w:ind w:left="91" w:right="1321" w:hanging="0"/>
              <w:jc w:val="left"/>
              <w:rPr>
                <w:rFonts w:ascii="ArialMT;serif" w:hAnsi="ArialMT;serif"/>
                <w:color w:val="000000"/>
                <w:sz w:val="18"/>
              </w:rPr>
            </w:pPr>
            <w:r>
              <w:rPr/>
              <w:t xml:space="preserve">Jóváhagyások: 40 hozzászólás: 64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Az ötlet:</w:t>
            </w:r>
            <w:r>
              <w:rPr>
                <w:rFonts w:ascii="Times New Roman;serif" w:hAnsi="Times New Roman;serif"/>
                <w:color w:val="000000"/>
                <w:sz w:val="22"/>
              </w:rPr>
              <w:t xml:space="preserve"> </w:t>
            </w:r>
            <w:r>
              <w:rPr>
                <w:rFonts w:ascii="Arial-BoldMT;serif" w:hAnsi="Arial-BoldMT;serif"/>
                <w:b/>
                <w:color w:val="000000"/>
                <w:sz w:val="18"/>
              </w:rPr>
              <w:t xml:space="preserve">Úgy viselkedik, mint egy: Az EU mint globális szereplő </w:t>
            </w:r>
            <w:r>
              <w:rPr>
                <w:rFonts w:ascii="ArialMT;serif" w:hAnsi="ArialMT;serif"/>
                <w:color w:val="000000"/>
                <w:sz w:val="18"/>
              </w:rPr>
              <w:t xml:space="preserve">(lásd </w:t>
            </w:r>
            <w:hyperlink r:id="rId2075">
              <w:r>
                <w:rPr>
                  <w:rStyle w:val="LienInternet"/>
                  <w:rFonts w:ascii="ArialMT;serif" w:hAnsi="ArialMT;serif"/>
                  <w:color w:val="0563C1"/>
                  <w:sz w:val="18"/>
                </w:rPr>
                <w:t>az ötletet</w:t>
              </w:r>
            </w:hyperlink>
            <w:r>
              <w:rPr>
                <w:rFonts w:ascii="ArialMT;serif" w:hAnsi="ArialMT;serif"/>
                <w:color w:val="000000"/>
                <w:sz w:val="18"/>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 xml:space="preserve">Jóváhagyások: 301 Megjegyzések: 25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Az ötlet: Európa egyesítése: Az</w:t>
            </w:r>
            <w:r>
              <w:rPr>
                <w:rFonts w:ascii="Times New Roman;serif" w:hAnsi="Times New Roman;serif"/>
                <w:color w:val="000000"/>
                <w:sz w:val="22"/>
              </w:rPr>
              <w:t xml:space="preserve"> </w:t>
            </w:r>
            <w:r>
              <w:rPr>
                <w:rFonts w:ascii="Arial-BoldMT;serif" w:hAnsi="Arial-BoldMT;serif"/>
                <w:b/>
                <w:color w:val="000000"/>
                <w:sz w:val="18"/>
              </w:rPr>
              <w:t>EU bővítésének</w:t>
            </w:r>
            <w:r>
              <w:rPr>
                <w:rFonts w:ascii="Times New Roman;serif" w:hAnsi="Times New Roman;serif"/>
                <w:color w:val="000000"/>
                <w:sz w:val="22"/>
              </w:rPr>
              <w:t xml:space="preserve"> folytatása </w:t>
            </w:r>
            <w:r>
              <w:rPr>
                <w:rFonts w:ascii="ArialMT;serif" w:hAnsi="ArialMT;serif"/>
                <w:color w:val="000000"/>
                <w:sz w:val="18"/>
              </w:rPr>
              <w:t xml:space="preserve">(lásd </w:t>
            </w:r>
            <w:hyperlink r:id="rId2076">
              <w:r>
                <w:rPr>
                  <w:rStyle w:val="LienInternet"/>
                  <w:rFonts w:ascii="ArialMT;serif" w:hAnsi="ArialMT;serif"/>
                  <w:color w:val="0563C1"/>
                  <w:sz w:val="18"/>
                </w:rPr>
                <w:t>az ötletet</w:t>
              </w:r>
            </w:hyperlink>
            <w:r>
              <w:rPr>
                <w:rFonts w:ascii="ArialMT;serif" w:hAnsi="ArialMT;serif"/>
                <w:color w:val="000000"/>
                <w:sz w:val="18"/>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 xml:space="preserve">Jóváhagyások: 230 hozzászólás: 61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sz w:val="22"/>
              </w:rPr>
            </w:pPr>
            <w:r>
              <w:rPr>
                <w:rFonts w:ascii="Arial-BoldMT;serif" w:hAnsi="Arial-BoldMT;serif"/>
                <w:b/>
                <w:color w:val="000000"/>
                <w:sz w:val="18"/>
              </w:rPr>
              <w:t>Az ötlet: Uniós szintű külpolitika abszolút többség, nem pedig egyhangúság alapján</w:t>
            </w:r>
            <w:r>
              <w:rPr>
                <w:rFonts w:ascii="Times New Roman;serif" w:hAnsi="Times New Roman;serif"/>
                <w:color w:val="000000"/>
                <w:sz w:val="22"/>
              </w:rPr>
              <w:t xml:space="preserve">  </w:t>
            </w:r>
            <w:r>
              <w:rPr>
                <w:rFonts w:ascii="ArialMT;serif" w:hAnsi="ArialMT;serif"/>
                <w:color w:val="000000"/>
                <w:sz w:val="18"/>
              </w:rPr>
              <w:t xml:space="preserve">(lásd az </w:t>
            </w:r>
            <w:hyperlink r:id="rId2077">
              <w:r>
                <w:rPr>
                  <w:rStyle w:val="LienInternet"/>
                  <w:rFonts w:ascii="ArialMT;serif" w:hAnsi="ArialMT;serif"/>
                  <w:color w:val="0563C1"/>
                  <w:sz w:val="18"/>
                </w:rPr>
                <w:t>ötletet</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Jóváhagyások: 258 hozzászólás: 51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sz w:val="22"/>
              </w:rPr>
            </w:pPr>
            <w:r>
              <w:rPr>
                <w:rFonts w:ascii="Arial-BoldMT;serif" w:hAnsi="Arial-BoldMT;serif"/>
                <w:b/>
                <w:color w:val="000000"/>
                <w:sz w:val="18"/>
              </w:rPr>
              <w:t xml:space="preserve">Az ötlet: Uniós szintű külpolitika abszolút többség, nem pedig egyhangúság </w:t>
            </w:r>
            <w:r>
              <w:rPr>
                <w:rFonts w:ascii="Times New Roman;serif" w:hAnsi="Times New Roman;serif"/>
                <w:color w:val="000000"/>
                <w:sz w:val="22"/>
              </w:rPr>
              <w:t xml:space="preserve"> </w:t>
            </w:r>
            <w:r>
              <w:rPr>
                <w:rFonts w:ascii="Arial-BoldMT;serif" w:hAnsi="Arial-BoldMT;serif"/>
                <w:b/>
                <w:color w:val="000000"/>
                <w:sz w:val="18"/>
              </w:rPr>
              <w:t>alapján</w:t>
            </w:r>
            <w:r>
              <w:rPr>
                <w:rFonts w:ascii="Times New Roman;serif" w:hAnsi="Times New Roman;serif"/>
                <w:color w:val="000000"/>
                <w:sz w:val="22"/>
              </w:rPr>
              <w:t xml:space="preserve"> </w:t>
            </w:r>
            <w:r>
              <w:rPr>
                <w:rFonts w:ascii="ArialMT;serif" w:hAnsi="ArialMT;serif"/>
                <w:color w:val="000000"/>
                <w:sz w:val="18"/>
              </w:rPr>
              <w:t xml:space="preserve">(lásd az </w:t>
            </w:r>
            <w:hyperlink r:id="rId2078">
              <w:r>
                <w:rPr>
                  <w:rStyle w:val="LienInternet"/>
                  <w:rFonts w:ascii="ArialMT;serif" w:hAnsi="ArialMT;serif"/>
                  <w:color w:val="0563C1"/>
                  <w:sz w:val="18"/>
                </w:rPr>
                <w:t>ötletet</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Jóváhagyások: 258 hozzászólás: 51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Európaegyesítése:</w:t>
            </w:r>
            <w:r>
              <w:rPr>
                <w:rFonts w:ascii="Times New Roman;serif" w:hAnsi="Times New Roman;serif"/>
                <w:color w:val="000000"/>
                <w:sz w:val="22"/>
              </w:rPr>
              <w:t xml:space="preserve"> Az </w:t>
            </w:r>
            <w:r>
              <w:rPr>
                <w:rFonts w:ascii="Arial-BoldMT;serif" w:hAnsi="Arial-BoldMT;serif"/>
                <w:b/>
                <w:color w:val="000000"/>
                <w:sz w:val="18"/>
              </w:rPr>
              <w:t>EU bővítésének</w:t>
            </w:r>
            <w:r>
              <w:rPr>
                <w:rFonts w:ascii="Times New Roman;serif" w:hAnsi="Times New Roman;serif"/>
                <w:color w:val="000000"/>
                <w:sz w:val="22"/>
              </w:rPr>
              <w:t xml:space="preserve"> </w:t>
            </w:r>
            <w:r>
              <w:rPr>
                <w:rFonts w:ascii="Arial-BoldMT;serif" w:hAnsi="Arial-BoldMT;serif"/>
                <w:b/>
                <w:color w:val="000000"/>
                <w:sz w:val="18"/>
              </w:rPr>
              <w:t>folytatása</w:t>
            </w:r>
            <w:r>
              <w:rPr>
                <w:rFonts w:ascii="Times New Roman;serif" w:hAnsi="Times New Roman;serif"/>
                <w:color w:val="000000"/>
                <w:sz w:val="22"/>
              </w:rPr>
              <w:t xml:space="preserve"> </w:t>
            </w:r>
            <w:r>
              <w:rPr>
                <w:rFonts w:ascii="ArialMT;serif" w:hAnsi="ArialMT;serif"/>
                <w:color w:val="000000"/>
                <w:sz w:val="18"/>
              </w:rPr>
              <w:t xml:space="preserve">(lásd </w:t>
            </w:r>
            <w:hyperlink r:id="rId2079">
              <w:r>
                <w:rPr>
                  <w:rStyle w:val="LienInternet"/>
                  <w:rFonts w:ascii="ArialMT;serif" w:hAnsi="ArialMT;serif"/>
                  <w:color w:val="0563C1"/>
                  <w:sz w:val="18"/>
                </w:rPr>
                <w:t>az ötletet</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Jóváhagyások: 230 hozzászólás: 61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Az ötlet:</w:t>
            </w:r>
            <w:r>
              <w:rPr>
                <w:rFonts w:ascii="Times New Roman;serif" w:hAnsi="Times New Roman;serif"/>
                <w:color w:val="000000"/>
                <w:sz w:val="22"/>
              </w:rPr>
              <w:t xml:space="preserve"> </w:t>
            </w:r>
            <w:r>
              <w:rPr>
                <w:rFonts w:ascii="Arial-BoldMT;serif" w:hAnsi="Arial-BoldMT;serif"/>
                <w:b/>
                <w:color w:val="000000"/>
                <w:sz w:val="18"/>
              </w:rPr>
              <w:t>A</w:t>
            </w:r>
            <w:r>
              <w:rPr>
                <w:rFonts w:ascii="Times New Roman;serif" w:hAnsi="Times New Roman;serif"/>
                <w:color w:val="000000"/>
                <w:sz w:val="22"/>
              </w:rPr>
              <w:t xml:space="preserve">  </w:t>
            </w:r>
            <w:r>
              <w:rPr>
                <w:rFonts w:ascii="Arial-BoldMT;serif" w:hAnsi="Arial-BoldMT;serif"/>
                <w:b/>
                <w:color w:val="000000"/>
                <w:sz w:val="18"/>
              </w:rPr>
              <w:t>tagállamok fegyveres erőinek európai szintű</w:t>
            </w:r>
            <w:r>
              <w:rPr>
                <w:rFonts w:ascii="Times New Roman;serif" w:hAnsi="Times New Roman;serif"/>
                <w:color w:val="000000"/>
                <w:sz w:val="22"/>
              </w:rPr>
              <w:t xml:space="preserve"> integrációja </w:t>
            </w:r>
            <w:r>
              <w:rPr>
                <w:rFonts w:ascii="ArialMT;serif" w:hAnsi="ArialMT;serif"/>
                <w:color w:val="000000"/>
                <w:sz w:val="18"/>
              </w:rPr>
              <w:t xml:space="preserve">(lásd az </w:t>
            </w:r>
            <w:hyperlink r:id="rId2080">
              <w:r>
                <w:rPr>
                  <w:rStyle w:val="LienInternet"/>
                  <w:rFonts w:ascii="ArialMT;serif" w:hAnsi="ArialMT;serif"/>
                  <w:color w:val="0563C1"/>
                  <w:sz w:val="18"/>
                </w:rPr>
                <w:t>ötletet</w:t>
              </w:r>
            </w:hyperlink>
            <w:r>
              <w:rPr>
                <w:rFonts w:ascii="ArialMT;serif" w:hAnsi="ArialMT;serif"/>
                <w:color w:val="000000"/>
                <w:sz w:val="18"/>
              </w:rPr>
              <w:t xml:space="preserve">) </w:t>
            </w:r>
          </w:p>
          <w:p>
            <w:pPr>
              <w:pStyle w:val="P68B1DB1Contenudetableau17"/>
              <w:widowControl w:val="false"/>
              <w:spacing w:before="11" w:after="57"/>
              <w:ind w:left="91" w:right="1321" w:hanging="0"/>
              <w:jc w:val="left"/>
              <w:rPr>
                <w:rFonts w:ascii="ArialMT;serif" w:hAnsi="ArialMT;serif"/>
                <w:color w:val="000000"/>
                <w:sz w:val="18"/>
              </w:rPr>
            </w:pPr>
            <w:r>
              <w:rPr/>
              <w:t xml:space="preserve">Jóváhagyások: 22 hozzászólás: 33 </w:t>
            </w:r>
          </w:p>
        </w:tc>
      </w:tr>
    </w:tbl>
    <w:p>
      <w:pPr>
        <w:pStyle w:val="Normal"/>
        <w:jc w:val="left"/>
        <w:rPr/>
      </w:pPr>
      <w:r>
        <w:rPr/>
      </w:r>
      <w:r>
        <w:br w:type="page"/>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721"/>
        <w:gridCol w:w="248"/>
        <w:gridCol w:w="2964"/>
        <w:gridCol w:w="250"/>
        <w:gridCol w:w="208"/>
        <w:gridCol w:w="2974"/>
        <w:gridCol w:w="249"/>
      </w:tblGrid>
      <w:tr>
        <w:trPr>
          <w:trHeight w:val="386" w:hRule="atLeast"/>
        </w:trPr>
        <w:tc>
          <w:tcPr>
            <w:tcW w:w="2721"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248"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64"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A legtöbb támogatott </w:t>
            </w:r>
          </w:p>
        </w:tc>
        <w:tc>
          <w:tcPr>
            <w:tcW w:w="250"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8"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74"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A legtöbb hozzászólás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721"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20"/>
              <w:widowControl w:val="false"/>
              <w:spacing w:before="51" w:after="57"/>
              <w:ind w:left="91" w:right="0" w:hanging="0"/>
              <w:jc w:val="left"/>
              <w:rPr>
                <w:rFonts w:ascii="Arial-BoldMT;serif" w:hAnsi="Arial-BoldMT;serif"/>
                <w:color w:val="000000"/>
                <w:sz w:val="22"/>
              </w:rPr>
            </w:pPr>
            <w:r>
              <w:rPr>
                <w:b/>
                <w:sz w:val="18"/>
              </w:rPr>
              <w:t>Értékek</w:t>
            </w:r>
            <w:r>
              <w:rPr>
                <w:sz w:val="22"/>
              </w:rPr>
              <w:t xml:space="preserve"> </w:t>
            </w:r>
            <w:r>
              <w:rPr>
                <w:b/>
                <w:sz w:val="18"/>
              </w:rPr>
              <w:t>és</w:t>
            </w:r>
            <w:r>
              <w:rPr>
                <w:sz w:val="22"/>
              </w:rPr>
              <w:t xml:space="preserve"> </w:t>
            </w:r>
            <w:r>
              <w:rPr>
                <w:b/>
                <w:sz w:val="18"/>
              </w:rPr>
              <w:t>jogok,</w:t>
            </w:r>
            <w:r>
              <w:rPr>
                <w:sz w:val="22"/>
              </w:rPr>
              <w:t xml:space="preserve">  </w:t>
            </w:r>
            <w:r>
              <w:rPr>
                <w:b/>
                <w:sz w:val="18"/>
              </w:rPr>
              <w:t>jogállamiság,</w:t>
            </w:r>
            <w:r>
              <w:rPr>
                <w:sz w:val="22"/>
              </w:rPr>
              <w:t xml:space="preserve"> </w:t>
            </w:r>
            <w:r>
              <w:rPr>
                <w:b/>
                <w:sz w:val="18"/>
              </w:rPr>
              <w:t xml:space="preserve">biztonság </w:t>
            </w:r>
          </w:p>
        </w:tc>
        <w:tc>
          <w:tcPr>
            <w:tcW w:w="346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Az ötlet:</w:t>
            </w:r>
            <w:r>
              <w:rPr>
                <w:rFonts w:ascii="Times New Roman;serif" w:hAnsi="Times New Roman;serif"/>
                <w:color w:val="000000"/>
                <w:sz w:val="22"/>
              </w:rPr>
              <w:t xml:space="preserve"> </w:t>
            </w:r>
            <w:r>
              <w:rPr>
                <w:rFonts w:ascii="Arial-BoldMT;serif" w:hAnsi="Arial-BoldMT;serif"/>
                <w:b/>
                <w:color w:val="000000"/>
                <w:sz w:val="18"/>
              </w:rPr>
              <w:t>10</w:t>
            </w:r>
            <w:r>
              <w:rPr>
                <w:rFonts w:ascii="Times New Roman;serif" w:hAnsi="Times New Roman;serif"/>
                <w:color w:val="000000"/>
                <w:sz w:val="22"/>
              </w:rPr>
              <w:t xml:space="preserve"> </w:t>
            </w:r>
            <w:r>
              <w:rPr>
                <w:rFonts w:ascii="Arial-BoldMT;serif" w:hAnsi="Arial-BoldMT;serif"/>
                <w:b/>
                <w:color w:val="000000"/>
                <w:sz w:val="18"/>
              </w:rPr>
              <w:t>millió</w:t>
            </w:r>
            <w:r>
              <w:rPr>
                <w:rFonts w:ascii="Times New Roman;serif" w:hAnsi="Times New Roman;serif"/>
                <w:color w:val="000000"/>
                <w:sz w:val="22"/>
              </w:rPr>
              <w:t xml:space="preserve"> </w:t>
            </w:r>
            <w:r>
              <w:rPr>
                <w:rFonts w:ascii="Arial-BoldMT;serif" w:hAnsi="Arial-BoldMT;serif"/>
                <w:b/>
                <w:color w:val="000000"/>
                <w:sz w:val="18"/>
              </w:rPr>
              <w:t>hang:</w:t>
            </w:r>
            <w:r>
              <w:rPr>
                <w:rFonts w:ascii="Times New Roman;serif" w:hAnsi="Times New Roman;serif"/>
                <w:color w:val="000000"/>
                <w:sz w:val="22"/>
              </w:rPr>
              <w:t xml:space="preserve"> </w:t>
            </w:r>
            <w:r>
              <w:rPr>
                <w:rFonts w:ascii="Arial-BoldMT;serif" w:hAnsi="Arial-BoldMT;serif"/>
                <w:b/>
                <w:color w:val="000000"/>
                <w:sz w:val="18"/>
              </w:rPr>
              <w:t xml:space="preserve">tegye a katalánt az EU hivatalos nyelvévé </w:t>
            </w:r>
            <w:r>
              <w:rPr>
                <w:rFonts w:ascii="ArialMT;serif" w:hAnsi="ArialMT;serif"/>
                <w:color w:val="000000"/>
                <w:sz w:val="18"/>
              </w:rPr>
              <w:t xml:space="preserve">(lásd </w:t>
            </w:r>
            <w:hyperlink r:id="rId2081">
              <w:r>
                <w:rPr>
                  <w:rStyle w:val="LienInternet"/>
                  <w:rFonts w:ascii="Times New Roman;serif" w:hAnsi="Times New Roman;serif"/>
                  <w:sz w:val="22"/>
                </w:rPr>
                <w:t>az ötletet</w:t>
              </w:r>
            </w:hyperlink>
            <w:r>
              <w:rPr>
                <w:rFonts w:ascii="ArialMT;serif" w:hAnsi="ArialMT;serif"/>
                <w:color w:val="000000"/>
                <w:sz w:val="18"/>
              </w:rPr>
              <w:t xml:space="preserve">) </w:t>
            </w:r>
          </w:p>
          <w:p>
            <w:pPr>
              <w:pStyle w:val="Corpsdetexte"/>
              <w:widowControl w:val="false"/>
              <w:spacing w:lineRule="atLeast" w:line="346" w:before="0" w:after="140"/>
              <w:ind w:left="0" w:right="0" w:hanging="0"/>
              <w:jc w:val="left"/>
              <w:rPr>
                <w:rFonts w:ascii="Times New Roman;serif" w:hAnsi="Times New Roman;serif"/>
                <w:sz w:val="22"/>
              </w:rPr>
            </w:pPr>
            <w:r>
              <w:rPr>
                <w:rFonts w:ascii="ArialMT;serif" w:hAnsi="ArialMT;serif"/>
                <w:color w:val="000000"/>
                <w:sz w:val="18"/>
              </w:rPr>
              <w:t xml:space="preserve">Jóváhagyások: 923 </w:t>
            </w:r>
            <w:r>
              <w:rPr>
                <w:rFonts w:ascii="Times New Roman;serif" w:hAnsi="Times New Roman;serif"/>
                <w:sz w:val="22"/>
              </w:rPr>
              <w:br/>
            </w:r>
            <w:r>
              <w:rPr>
                <w:rFonts w:ascii="ArialMT;serif" w:hAnsi="ArialMT;serif"/>
                <w:color w:val="000000"/>
                <w:sz w:val="18"/>
              </w:rPr>
              <w:t xml:space="preserve">Hozzászólások: 119 </w:t>
            </w:r>
          </w:p>
          <w:p>
            <w:pPr>
              <w:pStyle w:val="Contenudetableau"/>
              <w:widowControl w:val="false"/>
              <w:spacing w:before="0" w:after="57"/>
              <w:ind w:left="0" w:right="0" w:hanging="0"/>
              <w:jc w:val="left"/>
              <w:rPr/>
            </w:pPr>
            <w:r>
              <w:rPr/>
            </w:r>
          </w:p>
        </w:tc>
        <w:tc>
          <w:tcPr>
            <w:tcW w:w="343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Az ötlet: A kiszolgáltatott emberi</w:t>
            </w:r>
            <w:r>
              <w:rPr>
                <w:rFonts w:ascii="Times New Roman;serif" w:hAnsi="Times New Roman;serif"/>
                <w:color w:val="000000"/>
                <w:sz w:val="22"/>
              </w:rPr>
              <w:t xml:space="preserve"> </w:t>
            </w:r>
            <w:r>
              <w:rPr>
                <w:rFonts w:ascii="Arial-BoldMT;serif" w:hAnsi="Arial-BoldMT;serif"/>
                <w:b/>
                <w:color w:val="000000"/>
                <w:sz w:val="18"/>
              </w:rPr>
              <w:t>élet védelme:</w:t>
            </w:r>
            <w:r>
              <w:rPr>
                <w:rFonts w:ascii="Times New Roman;serif" w:hAnsi="Times New Roman;serif"/>
                <w:color w:val="000000"/>
                <w:sz w:val="22"/>
              </w:rPr>
              <w:t xml:space="preserve"> </w:t>
            </w:r>
            <w:r>
              <w:rPr>
                <w:rFonts w:ascii="Arial-BoldMT;serif" w:hAnsi="Arial-BoldMT;serif"/>
                <w:b/>
                <w:color w:val="000000"/>
                <w:sz w:val="18"/>
              </w:rPr>
              <w:t>Európa</w:t>
            </w:r>
            <w:r>
              <w:rPr>
                <w:rFonts w:ascii="Times New Roman;serif" w:hAnsi="Times New Roman;serif"/>
                <w:color w:val="000000"/>
                <w:sz w:val="22"/>
              </w:rPr>
              <w:t xml:space="preserve">  </w:t>
            </w:r>
            <w:r>
              <w:rPr>
                <w:rFonts w:ascii="Arial-BoldMT;serif" w:hAnsi="Arial-BoldMT;serif"/>
                <w:b/>
                <w:color w:val="000000"/>
                <w:sz w:val="18"/>
              </w:rPr>
              <w:t>értéke</w:t>
            </w:r>
            <w:r>
              <w:rPr>
                <w:rFonts w:ascii="Times New Roman;serif" w:hAnsi="Times New Roman;serif"/>
                <w:color w:val="000000"/>
                <w:sz w:val="22"/>
              </w:rPr>
              <w:t xml:space="preserve">  </w:t>
            </w:r>
            <w:r>
              <w:rPr>
                <w:rFonts w:ascii="ArialMT;serif" w:hAnsi="ArialMT;serif"/>
                <w:color w:val="000000"/>
                <w:sz w:val="18"/>
              </w:rPr>
              <w:t xml:space="preserve">(lásd </w:t>
            </w:r>
            <w:r>
              <w:rPr>
                <w:rFonts w:ascii="ArialMT;serif" w:hAnsi="ArialMT;serif"/>
                <w:color w:val="0563C1"/>
                <w:sz w:val="18"/>
              </w:rPr>
              <w:t>i</w:t>
            </w:r>
            <w:hyperlink r:id="rId2082">
              <w:r>
                <w:rPr>
                  <w:rStyle w:val="LienInternet"/>
                  <w:rFonts w:ascii="Times New Roman;serif" w:hAnsi="Times New Roman;serif"/>
                  <w:sz w:val="22"/>
                </w:rPr>
                <w:t>dea</w:t>
              </w:r>
            </w:hyperlink>
            <w:r>
              <w:rPr>
                <w:rFonts w:ascii="ArialMT;serif" w:hAnsi="ArialMT;serif"/>
                <w:color w:val="000000"/>
                <w:sz w:val="18"/>
              </w:rPr>
              <w:t xml:space="preserve">) </w:t>
            </w:r>
          </w:p>
          <w:p>
            <w:pPr>
              <w:pStyle w:val="Corpsdetexte"/>
              <w:widowControl w:val="false"/>
              <w:spacing w:lineRule="atLeast" w:line="346" w:before="0" w:after="140"/>
              <w:ind w:left="0" w:right="0" w:hanging="0"/>
              <w:jc w:val="left"/>
              <w:rPr/>
            </w:pPr>
            <w:r>
              <w:rPr>
                <w:rFonts w:ascii="ArialMT;serif" w:hAnsi="ArialMT;serif"/>
                <w:color w:val="000000"/>
                <w:sz w:val="18"/>
              </w:rPr>
              <w:t xml:space="preserve">Jóváhagyások: 244 </w:t>
            </w:r>
            <w:r>
              <w:rPr>
                <w:rFonts w:ascii="Times New Roman;serif" w:hAnsi="Times New Roman;serif"/>
                <w:sz w:val="22"/>
              </w:rPr>
              <w:br/>
            </w:r>
            <w:r>
              <w:rPr>
                <w:rFonts w:ascii="ArialMT;serif" w:hAnsi="ArialMT;serif"/>
                <w:color w:val="000000"/>
                <w:sz w:val="18"/>
              </w:rPr>
              <w:t xml:space="preserve">Hozzászólások: 190 </w:t>
            </w:r>
          </w:p>
        </w:tc>
      </w:tr>
      <w:tr>
        <w:trPr/>
        <w:tc>
          <w:tcPr>
            <w:tcW w:w="27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color w:val="000000"/>
                <w:sz w:val="22"/>
              </w:rPr>
            </w:pPr>
            <w:r>
              <w:rPr>
                <w:rFonts w:ascii="Arial-BoldMT;serif" w:hAnsi="Arial-BoldMT;serif"/>
                <w:b/>
                <w:color w:val="000000"/>
                <w:sz w:val="18"/>
              </w:rPr>
              <w:t>Az ötlet:</w:t>
            </w:r>
            <w:r>
              <w:rPr>
                <w:rFonts w:ascii="Times New Roman;serif" w:hAnsi="Times New Roman;serif"/>
                <w:color w:val="000000"/>
                <w:sz w:val="22"/>
              </w:rPr>
              <w:t xml:space="preserve"> </w:t>
            </w:r>
            <w:r>
              <w:rPr>
                <w:rFonts w:ascii="Arial-BoldMT;serif" w:hAnsi="Arial-BoldMT;serif"/>
                <w:b/>
                <w:color w:val="000000"/>
                <w:sz w:val="18"/>
              </w:rPr>
              <w:t>Nincs</w:t>
            </w:r>
            <w:r>
              <w:rPr>
                <w:rFonts w:ascii="Times New Roman;serif" w:hAnsi="Times New Roman;serif"/>
                <w:color w:val="000000"/>
                <w:sz w:val="22"/>
              </w:rPr>
              <w:t xml:space="preserve"> </w:t>
            </w:r>
            <w:r>
              <w:rPr>
                <w:rFonts w:ascii="Arial-BoldMT;serif" w:hAnsi="Arial-BoldMT;serif"/>
                <w:b/>
                <w:color w:val="000000"/>
                <w:sz w:val="18"/>
              </w:rPr>
              <w:t>kettős</w:t>
            </w:r>
            <w:r>
              <w:rPr>
                <w:rFonts w:ascii="Times New Roman;serif" w:hAnsi="Times New Roman;serif"/>
                <w:color w:val="000000"/>
                <w:sz w:val="22"/>
              </w:rPr>
              <w:t xml:space="preserve"> </w:t>
            </w:r>
            <w:r>
              <w:rPr>
                <w:rFonts w:ascii="Arial-BoldMT;serif" w:hAnsi="Arial-BoldMT;serif"/>
                <w:b/>
                <w:color w:val="000000"/>
                <w:sz w:val="18"/>
              </w:rPr>
              <w:t>mérce</w:t>
            </w:r>
            <w:r>
              <w:rPr>
                <w:rFonts w:ascii="Times New Roman;serif" w:hAnsi="Times New Roman;serif"/>
                <w:color w:val="000000"/>
                <w:sz w:val="22"/>
              </w:rPr>
              <w:t xml:space="preserve"> </w:t>
            </w:r>
            <w:r>
              <w:rPr>
                <w:rFonts w:ascii="Arial-BoldMT;serif" w:hAnsi="Arial-BoldMT;serif"/>
                <w:b/>
                <w:color w:val="000000"/>
                <w:sz w:val="18"/>
              </w:rPr>
              <w:t>a</w:t>
            </w:r>
            <w:r>
              <w:rPr>
                <w:rFonts w:ascii="Times New Roman;serif" w:hAnsi="Times New Roman;serif"/>
                <w:color w:val="000000"/>
                <w:sz w:val="22"/>
              </w:rPr>
              <w:t xml:space="preserve"> </w:t>
            </w:r>
            <w:r>
              <w:rPr>
                <w:rFonts w:ascii="Arial-BoldMT;serif" w:hAnsi="Arial-BoldMT;serif"/>
                <w:b/>
                <w:color w:val="000000"/>
                <w:sz w:val="18"/>
              </w:rPr>
              <w:t>demokrácia</w:t>
            </w:r>
            <w:r>
              <w:rPr>
                <w:rFonts w:ascii="Times New Roman;serif" w:hAnsi="Times New Roman;serif"/>
                <w:color w:val="000000"/>
                <w:sz w:val="22"/>
              </w:rPr>
              <w:t xml:space="preserve"> </w:t>
            </w:r>
            <w:r>
              <w:rPr>
                <w:rFonts w:ascii="Arial-BoldMT;serif" w:hAnsi="Arial-BoldMT;serif"/>
                <w:b/>
                <w:color w:val="000000"/>
                <w:sz w:val="18"/>
              </w:rPr>
              <w:t>és a  jogállamiság védelmében (</w:t>
            </w:r>
            <w:r>
              <w:rPr>
                <w:rFonts w:ascii="Times New Roman;serif" w:hAnsi="Times New Roman;serif"/>
                <w:color w:val="000000"/>
                <w:sz w:val="22"/>
              </w:rPr>
              <w:t xml:space="preserve"> </w:t>
            </w:r>
            <w:r>
              <w:rPr>
                <w:rFonts w:ascii="ArialMT;serif" w:hAnsi="ArialMT;serif"/>
                <w:color w:val="000000"/>
                <w:sz w:val="18"/>
              </w:rPr>
              <w:t xml:space="preserve">lásd az </w:t>
            </w:r>
            <w:hyperlink r:id="rId2083">
              <w:r>
                <w:rPr>
                  <w:rStyle w:val="LienInternet"/>
                  <w:rFonts w:ascii="ArialMT;serif" w:hAnsi="ArialMT;serif"/>
                  <w:color w:val="000000"/>
                  <w:sz w:val="18"/>
                </w:rPr>
                <w:t>ötletet</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Jóváhagyások: 628 Megjegyzések: 48 </w:t>
            </w:r>
          </w:p>
        </w:tc>
        <w:tc>
          <w:tcPr>
            <w:tcW w:w="343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left"/>
              <w:rPr>
                <w:rFonts w:ascii="Times New Roman;serif" w:hAnsi="Times New Roman;serif"/>
                <w:sz w:val="22"/>
              </w:rPr>
            </w:pPr>
            <w:r>
              <w:rPr>
                <w:rFonts w:ascii="Arial-BoldMT;serif" w:hAnsi="Arial-BoldMT;serif"/>
                <w:b/>
                <w:color w:val="000000"/>
                <w:sz w:val="18"/>
              </w:rPr>
              <w:t>Az ötlet:</w:t>
            </w:r>
            <w:r>
              <w:rPr>
                <w:rFonts w:ascii="Times New Roman;serif" w:hAnsi="Times New Roman;serif"/>
                <w:color w:val="000000"/>
                <w:sz w:val="22"/>
              </w:rPr>
              <w:t xml:space="preserve"> </w:t>
            </w:r>
            <w:r>
              <w:rPr>
                <w:rFonts w:ascii="Arial-BoldMT;serif" w:hAnsi="Arial-BoldMT;serif"/>
                <w:b/>
                <w:color w:val="000000"/>
                <w:sz w:val="18"/>
              </w:rPr>
              <w:t>Közös</w:t>
            </w:r>
            <w:r>
              <w:rPr>
                <w:rFonts w:ascii="Times New Roman;serif" w:hAnsi="Times New Roman;serif"/>
                <w:color w:val="000000"/>
                <w:sz w:val="22"/>
              </w:rPr>
              <w:t xml:space="preserve">  </w:t>
            </w:r>
            <w:r>
              <w:rPr>
                <w:rFonts w:ascii="Arial-BoldMT;serif" w:hAnsi="Arial-BoldMT;serif"/>
                <w:b/>
                <w:color w:val="000000"/>
                <w:sz w:val="18"/>
              </w:rPr>
              <w:t>európai hadsereg létrehozása</w:t>
            </w:r>
            <w:r>
              <w:rPr>
                <w:rFonts w:ascii="Times New Roman;serif" w:hAnsi="Times New Roman;serif"/>
                <w:color w:val="000000"/>
                <w:sz w:val="22"/>
              </w:rPr>
              <w:t xml:space="preserve"> </w:t>
            </w:r>
            <w:r>
              <w:rPr>
                <w:rFonts w:ascii="ArialMT;serif" w:hAnsi="ArialMT;serif"/>
                <w:color w:val="000000"/>
                <w:sz w:val="18"/>
              </w:rPr>
              <w:t>(lásd az</w:t>
            </w:r>
            <w:hyperlink r:id="rId2084">
              <w:r>
                <w:rPr>
                  <w:rStyle w:val="LienInternet"/>
                  <w:rFonts w:ascii="Times New Roman;serif" w:hAnsi="Times New Roman;serif"/>
                  <w:sz w:val="22"/>
                </w:rPr>
                <w:t xml:space="preserve"> </w:t>
              </w:r>
            </w:hyperlink>
            <w:hyperlink r:id="rId2085">
              <w:r>
                <w:rPr>
                  <w:rStyle w:val="LienInternet"/>
                  <w:rFonts w:ascii="ArialMT;serif" w:hAnsi="ArialMT;serif"/>
                  <w:color w:val="0563C1"/>
                  <w:sz w:val="18"/>
                </w:rPr>
                <w:t>ötletet</w:t>
              </w:r>
            </w:hyperlink>
            <w:r>
              <w:rPr>
                <w:rFonts w:ascii="ArialMT;serif" w:hAnsi="ArialMT;serif"/>
                <w:color w:val="000000"/>
                <w:sz w:val="18"/>
              </w:rPr>
              <w:t xml:space="preserve">) </w:t>
            </w:r>
          </w:p>
          <w:p>
            <w:pPr>
              <w:pStyle w:val="P68B1DB1Contenudetableau17"/>
              <w:widowControl w:val="false"/>
              <w:spacing w:before="11" w:after="57"/>
              <w:ind w:left="91" w:right="1321" w:hanging="0"/>
              <w:jc w:val="left"/>
              <w:rPr>
                <w:rFonts w:ascii="ArialMT;serif" w:hAnsi="ArialMT;serif"/>
                <w:color w:val="000000"/>
                <w:sz w:val="18"/>
              </w:rPr>
            </w:pPr>
            <w:r>
              <w:rPr/>
              <w:t xml:space="preserve">Jóváhagyások: 68 hozzászólás: 183 </w:t>
            </w:r>
          </w:p>
        </w:tc>
      </w:tr>
      <w:tr>
        <w:trPr/>
        <w:tc>
          <w:tcPr>
            <w:tcW w:w="27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Az ötlet: Az emberi jogi eszközök</w:t>
            </w:r>
            <w:r>
              <w:rPr>
                <w:rFonts w:ascii="Times New Roman;serif" w:hAnsi="Times New Roman;serif"/>
                <w:color w:val="000000"/>
                <w:sz w:val="22"/>
              </w:rPr>
              <w:t xml:space="preserve"> </w:t>
            </w:r>
            <w:r>
              <w:rPr>
                <w:rFonts w:ascii="Arial-BoldMT;serif" w:hAnsi="Arial-BoldMT;serif"/>
                <w:b/>
                <w:color w:val="000000"/>
                <w:sz w:val="18"/>
              </w:rPr>
              <w:t xml:space="preserve">végrehajthatóságának megerősítése ( </w:t>
            </w:r>
            <w:r>
              <w:rPr>
                <w:rFonts w:ascii="ArialMT;serif" w:hAnsi="ArialMT;serif"/>
                <w:color w:val="000000"/>
                <w:sz w:val="18"/>
              </w:rPr>
              <w:t xml:space="preserve">lásd </w:t>
            </w:r>
            <w:hyperlink r:id="rId2086">
              <w:r>
                <w:rPr>
                  <w:rStyle w:val="LienInternet"/>
                  <w:rFonts w:ascii="ArialMT;serif" w:hAnsi="ArialMT;serif"/>
                  <w:color w:val="0563C1"/>
                  <w:sz w:val="18"/>
                </w:rPr>
                <w:t>az ötletet</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Jóváhagyások: 480 hozzászólás: 14 </w:t>
            </w:r>
          </w:p>
        </w:tc>
        <w:tc>
          <w:tcPr>
            <w:tcW w:w="343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 xml:space="preserve">Az ötlet: 21. triszómia: Többre vágyunk... </w:t>
            </w:r>
            <w:r>
              <w:rPr>
                <w:rFonts w:ascii="ArialMT;serif" w:hAnsi="ArialMT;serif"/>
                <w:color w:val="000000"/>
                <w:sz w:val="18"/>
              </w:rPr>
              <w:t xml:space="preserve">(lásd </w:t>
            </w:r>
            <w:hyperlink r:id="rId2087">
              <w:r>
                <w:rPr>
                  <w:rStyle w:val="LienInternet"/>
                  <w:rFonts w:ascii="ArialMT;serif" w:hAnsi="ArialMT;serif"/>
                  <w:color w:val="0563C1"/>
                  <w:sz w:val="18"/>
                </w:rPr>
                <w:t>az ötletet</w:t>
              </w:r>
            </w:hyperlink>
            <w:r>
              <w:rPr>
                <w:rFonts w:ascii="ArialMT;serif" w:hAnsi="ArialMT;serif"/>
                <w:color w:val="000000"/>
                <w:sz w:val="18"/>
              </w:rPr>
              <w:t xml:space="preserve">) </w:t>
            </w:r>
          </w:p>
          <w:p>
            <w:pPr>
              <w:pStyle w:val="P68B1DB1Contenudetableau17"/>
              <w:widowControl w:val="false"/>
              <w:spacing w:before="11" w:after="57"/>
              <w:ind w:left="91" w:right="1321" w:hanging="0"/>
              <w:jc w:val="left"/>
              <w:rPr>
                <w:rFonts w:ascii="ArialMT;serif" w:hAnsi="ArialMT;serif"/>
                <w:color w:val="000000"/>
                <w:sz w:val="18"/>
              </w:rPr>
            </w:pPr>
            <w:r>
              <w:rPr/>
              <w:t xml:space="preserve">Jóváhagyások: 82 hozzászólás: 142 </w:t>
            </w:r>
          </w:p>
        </w:tc>
      </w:tr>
      <w:tr>
        <w:trPr/>
        <w:tc>
          <w:tcPr>
            <w:tcW w:w="27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57" w:after="57"/>
              <w:ind w:left="91" w:right="0" w:hanging="0"/>
              <w:jc w:val="left"/>
              <w:rPr/>
            </w:pPr>
            <w:r>
              <w:rPr>
                <w:rFonts w:ascii="Arial-BoldMT;serif" w:hAnsi="Arial-BoldMT;serif"/>
                <w:b/>
                <w:color w:val="000000"/>
                <w:sz w:val="18"/>
              </w:rPr>
              <w:t>Az ötlet: Nemek közötti egyenlőség</w:t>
            </w:r>
            <w:r>
              <w:rPr>
                <w:rFonts w:ascii="Times New Roman;serif" w:hAnsi="Times New Roman;serif"/>
                <w:color w:val="000000"/>
                <w:sz w:val="22"/>
              </w:rPr>
              <w:t xml:space="preserve"> </w:t>
            </w:r>
            <w:r>
              <w:rPr>
                <w:rFonts w:ascii="ArialMT;serif" w:hAnsi="ArialMT;serif"/>
                <w:color w:val="000000"/>
                <w:sz w:val="18"/>
              </w:rPr>
              <w:t>(lásd</w:t>
            </w:r>
            <w:hyperlink r:id="rId2088">
              <w:r>
                <w:rPr>
                  <w:rStyle w:val="LienInternet"/>
                </w:rPr>
                <w:t xml:space="preserve"> </w:t>
              </w:r>
            </w:hyperlink>
            <w:hyperlink r:id="rId2089">
              <w:r>
                <w:rPr>
                  <w:rStyle w:val="LienInternet"/>
                  <w:rFonts w:ascii="ArialMT;serif" w:hAnsi="ArialMT;serif"/>
                  <w:color w:val="000000"/>
                  <w:sz w:val="18"/>
                </w:rPr>
                <w:t>az ötletet</w:t>
              </w:r>
            </w:hyperlink>
            <w:r>
              <w:rPr>
                <w:rStyle w:val="LienInternet"/>
                <w:rFonts w:ascii="ArialMT;serif" w:hAnsi="ArialMT;serif"/>
                <w:color w:val="000000"/>
                <w:sz w:val="18"/>
              </w:rPr>
              <w:t>)</w:t>
            </w:r>
            <w:r>
              <w:rPr>
                <w:rFonts w:ascii="ArialMT;serif" w:hAnsi="ArialMT;serif"/>
                <w:color w:val="000000"/>
                <w:sz w:val="18"/>
              </w:rPr>
              <w:t xml:space="preserve"> 468 </w:t>
            </w:r>
          </w:p>
          <w:p>
            <w:pPr>
              <w:pStyle w:val="P68B1DB1Contenudetableau17"/>
              <w:widowControl w:val="false"/>
              <w:spacing w:before="79" w:after="57"/>
              <w:ind w:left="91" w:right="0" w:hanging="0"/>
              <w:jc w:val="left"/>
              <w:rPr>
                <w:rFonts w:ascii="ArialMT;serif" w:hAnsi="ArialMT;serif"/>
                <w:color w:val="000000"/>
                <w:sz w:val="18"/>
              </w:rPr>
            </w:pPr>
            <w:r>
              <w:rPr/>
              <w:t xml:space="preserve">Hozzászólások: 21 </w:t>
            </w:r>
          </w:p>
        </w:tc>
        <w:tc>
          <w:tcPr>
            <w:tcW w:w="343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 xml:space="preserve">Az ötlet: Alapvető értékeink védelme: A demokráciával, a jogállamisággal és </w:t>
            </w:r>
            <w:r>
              <w:rPr>
                <w:rFonts w:ascii="Times New Roman;serif" w:hAnsi="Times New Roman;serif"/>
                <w:color w:val="000000"/>
                <w:sz w:val="22"/>
              </w:rPr>
              <w:t xml:space="preserve"> </w:t>
            </w:r>
            <w:r>
              <w:rPr>
                <w:rFonts w:ascii="Arial-BoldMT;serif" w:hAnsi="Arial-BoldMT;serif"/>
                <w:b/>
                <w:color w:val="000000"/>
                <w:sz w:val="18"/>
              </w:rPr>
              <w:t>az</w:t>
            </w:r>
            <w:r>
              <w:rPr>
                <w:rFonts w:ascii="Times New Roman;serif" w:hAnsi="Times New Roman;serif"/>
                <w:color w:val="000000"/>
                <w:sz w:val="22"/>
              </w:rPr>
              <w:t xml:space="preserve"> </w:t>
            </w:r>
            <w:r>
              <w:rPr>
                <w:rFonts w:ascii="Arial-BoldMT;serif" w:hAnsi="Arial-BoldMT;serif"/>
                <w:b/>
                <w:color w:val="000000"/>
                <w:sz w:val="18"/>
              </w:rPr>
              <w:t>alapvető jogokkal kapcsolatos mechanizmus</w:t>
            </w:r>
            <w:r>
              <w:rPr>
                <w:rFonts w:ascii="Times New Roman;serif" w:hAnsi="Times New Roman;serif"/>
                <w:color w:val="000000"/>
                <w:sz w:val="22"/>
              </w:rPr>
              <w:t xml:space="preserve"> </w:t>
            </w:r>
            <w:r>
              <w:rPr>
                <w:rFonts w:ascii="ArialMT;serif" w:hAnsi="ArialMT;serif"/>
                <w:color w:val="000000"/>
                <w:sz w:val="18"/>
              </w:rPr>
              <w:t xml:space="preserve">(lásd </w:t>
            </w:r>
            <w:hyperlink r:id="rId2090">
              <w:r>
                <w:rPr>
                  <w:rStyle w:val="LienInternet"/>
                  <w:rFonts w:ascii="ArialMT;serif" w:hAnsi="ArialMT;serif"/>
                  <w:color w:val="0563C1"/>
                  <w:sz w:val="18"/>
                </w:rPr>
                <w:t>az ötletet</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Jóváhagyások: 257 hozzászólás: 116 </w:t>
            </w:r>
          </w:p>
        </w:tc>
      </w:tr>
      <w:tr>
        <w:trPr/>
        <w:tc>
          <w:tcPr>
            <w:tcW w:w="27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 xml:space="preserve">Az ötlet: </w:t>
            </w:r>
            <w:r>
              <w:rPr>
                <w:rFonts w:ascii="Arial-BoldMT;serif" w:hAnsi="Arial-BoldMT;serif"/>
                <w:b/>
                <w:color w:val="06060B"/>
                <w:sz w:val="18"/>
              </w:rPr>
              <w:t xml:space="preserve">Alapvető értékeink védelme: A demokráciával, a jogállamisággal és </w:t>
            </w:r>
            <w:r>
              <w:rPr>
                <w:rFonts w:ascii="Times New Roman;serif" w:hAnsi="Times New Roman;serif"/>
                <w:color w:val="06060B"/>
                <w:sz w:val="22"/>
              </w:rPr>
              <w:t xml:space="preserve"> </w:t>
            </w:r>
            <w:r>
              <w:rPr>
                <w:rFonts w:ascii="Arial-BoldMT;serif" w:hAnsi="Arial-BoldMT;serif"/>
                <w:b/>
                <w:color w:val="06060B"/>
                <w:sz w:val="18"/>
              </w:rPr>
              <w:t>az</w:t>
            </w:r>
            <w:r>
              <w:rPr>
                <w:rFonts w:ascii="Times New Roman;serif" w:hAnsi="Times New Roman;serif"/>
                <w:color w:val="06060B"/>
                <w:sz w:val="22"/>
              </w:rPr>
              <w:t xml:space="preserve"> </w:t>
            </w:r>
            <w:r>
              <w:rPr>
                <w:rFonts w:ascii="Arial-BoldMT;serif" w:hAnsi="Arial-BoldMT;serif"/>
                <w:b/>
                <w:color w:val="06060B"/>
                <w:sz w:val="18"/>
              </w:rPr>
              <w:t xml:space="preserve">alapvető jogokkal kapcsolatos mechanizmus </w:t>
            </w:r>
            <w:r>
              <w:rPr>
                <w:rFonts w:ascii="ArialMT;serif" w:hAnsi="ArialMT;serif"/>
                <w:color w:val="000000"/>
                <w:sz w:val="18"/>
              </w:rPr>
              <w:t xml:space="preserve">(lásd </w:t>
            </w:r>
            <w:hyperlink r:id="rId2091">
              <w:r>
                <w:rPr>
                  <w:rStyle w:val="LienInternet"/>
                  <w:rFonts w:ascii="ArialMT;serif" w:hAnsi="ArialMT;serif"/>
                  <w:color w:val="0563C1"/>
                  <w:sz w:val="18"/>
                </w:rPr>
                <w:t>az ötletet</w:t>
              </w:r>
            </w:hyperlink>
            <w:r>
              <w:rPr>
                <w:rFonts w:ascii="ArialMT;serif" w:hAnsi="ArialMT;serif"/>
                <w:color w:val="000000"/>
                <w:sz w:val="18"/>
              </w:rPr>
              <w:t>)</w:t>
            </w:r>
            <w:r>
              <w:rPr>
                <w:rFonts w:ascii="Times New Roman;serif" w:hAnsi="Times New Roman;serif"/>
                <w:color w:val="06060B"/>
                <w:sz w:val="22"/>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 xml:space="preserve">Jóváhagyások: 257 hozzászólás: 116 </w:t>
            </w:r>
          </w:p>
        </w:tc>
        <w:tc>
          <w:tcPr>
            <w:tcW w:w="343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Az ötlet: Az eszperantó elismerése az  uniós polgárok</w:t>
            </w:r>
            <w:r>
              <w:rPr>
                <w:rFonts w:ascii="Times New Roman;serif" w:hAnsi="Times New Roman;serif"/>
                <w:color w:val="000000"/>
                <w:sz w:val="22"/>
              </w:rPr>
              <w:t xml:space="preserve"> </w:t>
            </w:r>
            <w:r>
              <w:rPr>
                <w:rFonts w:ascii="Arial-BoldMT;serif" w:hAnsi="Arial-BoldMT;serif"/>
                <w:b/>
                <w:color w:val="000000"/>
                <w:sz w:val="18"/>
              </w:rPr>
              <w:t>egyik</w:t>
            </w:r>
            <w:r>
              <w:rPr>
                <w:rFonts w:ascii="Times New Roman;serif" w:hAnsi="Times New Roman;serif"/>
                <w:color w:val="000000"/>
                <w:sz w:val="22"/>
              </w:rPr>
              <w:t xml:space="preserve"> </w:t>
            </w:r>
            <w:r>
              <w:rPr>
                <w:rFonts w:ascii="Arial-BoldMT;serif" w:hAnsi="Arial-BoldMT;serif"/>
                <w:b/>
                <w:color w:val="000000"/>
                <w:sz w:val="18"/>
              </w:rPr>
              <w:t xml:space="preserve"> kulturális nyelveként. (</w:t>
            </w:r>
            <w:r>
              <w:rPr>
                <w:rFonts w:ascii="ArialMT;serif" w:hAnsi="ArialMT;serif"/>
                <w:color w:val="000000"/>
                <w:sz w:val="18"/>
              </w:rPr>
              <w:t xml:space="preserve">lásd </w:t>
            </w:r>
            <w:hyperlink r:id="rId2092">
              <w:r>
                <w:rPr>
                  <w:rStyle w:val="LienInternet"/>
                  <w:rFonts w:ascii="ArialMT;serif" w:hAnsi="ArialMT;serif"/>
                  <w:color w:val="0563C1"/>
                  <w:sz w:val="18"/>
                </w:rPr>
                <w:t>az ötletet</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Jóváhagyások: 223 Megjegyzések: 90 </w:t>
            </w:r>
          </w:p>
        </w:tc>
      </w:tr>
    </w:tbl>
    <w:p>
      <w:pPr>
        <w:pStyle w:val="Normal"/>
        <w:jc w:val="left"/>
        <w:rPr/>
      </w:pPr>
      <w:r>
        <w:rPr/>
      </w:r>
      <w:r>
        <w:br w:type="page"/>
      </w:r>
    </w:p>
    <w:p>
      <w:pPr>
        <w:pStyle w:val="Normal"/>
        <w:jc w:val="left"/>
        <w:rPr/>
      </w:pPr>
      <w:r>
        <w:rPr/>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996"/>
        <w:gridCol w:w="130"/>
        <w:gridCol w:w="2917"/>
        <w:gridCol w:w="125"/>
        <w:gridCol w:w="206"/>
        <w:gridCol w:w="2991"/>
        <w:gridCol w:w="249"/>
      </w:tblGrid>
      <w:tr>
        <w:trPr>
          <w:trHeight w:val="386" w:hRule="atLeast"/>
        </w:trPr>
        <w:tc>
          <w:tcPr>
            <w:tcW w:w="2996"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130"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17"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A legtöbb támogatott </w:t>
            </w:r>
          </w:p>
        </w:tc>
        <w:tc>
          <w:tcPr>
            <w:tcW w:w="125"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6"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91"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A legtöbb hozzászólás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996"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4"/>
              <w:widowControl w:val="false"/>
              <w:spacing w:before="51" w:after="57"/>
              <w:ind w:left="91" w:right="0" w:hanging="0"/>
              <w:jc w:val="left"/>
              <w:rPr>
                <w:rFonts w:ascii="Arial-BoldMT;serif" w:hAnsi="Arial-BoldMT;serif"/>
                <w:b/>
                <w:b/>
                <w:color w:val="000000"/>
                <w:sz w:val="18"/>
              </w:rPr>
            </w:pPr>
            <w:r>
              <w:rPr/>
              <w:t xml:space="preserve">Digitális transzformáció </w:t>
            </w:r>
          </w:p>
        </w:tc>
        <w:tc>
          <w:tcPr>
            <w:tcW w:w="317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51" w:after="57"/>
              <w:ind w:left="113" w:right="0" w:hanging="0"/>
              <w:jc w:val="left"/>
              <w:rPr>
                <w:rFonts w:ascii="Times New Roman;serif" w:hAnsi="Times New Roman;serif"/>
                <w:sz w:val="22"/>
              </w:rPr>
            </w:pPr>
            <w:r>
              <w:rPr>
                <w:rFonts w:ascii="Arial-BoldMT;serif" w:hAnsi="Arial-BoldMT;serif"/>
                <w:b/>
                <w:color w:val="000000"/>
                <w:sz w:val="18"/>
              </w:rPr>
              <w:t>Az ötlet: Méltányos digitalizáció</w:t>
            </w:r>
            <w:r>
              <w:rPr>
                <w:rFonts w:ascii="Times New Roman;serif" w:hAnsi="Times New Roman;serif"/>
                <w:color w:val="000000"/>
                <w:sz w:val="22"/>
              </w:rPr>
              <w:t xml:space="preserve"> </w:t>
            </w:r>
            <w:r>
              <w:rPr>
                <w:rFonts w:ascii="ArialMT;serif" w:hAnsi="ArialMT;serif"/>
                <w:color w:val="000000"/>
                <w:sz w:val="18"/>
              </w:rPr>
              <w:t xml:space="preserve">(lásd </w:t>
            </w:r>
            <w:hyperlink r:id="rId2093">
              <w:r>
                <w:rPr>
                  <w:rStyle w:val="LienInternet"/>
                  <w:rFonts w:ascii="ArialMT;serif" w:hAnsi="ArialMT;serif"/>
                  <w:color w:val="0563C1"/>
                  <w:sz w:val="18"/>
                </w:rPr>
                <w:t>az ötletet</w:t>
              </w:r>
            </w:hyperlink>
            <w:r>
              <w:rPr>
                <w:rFonts w:ascii="ArialMT;serif" w:hAnsi="ArialMT;serif"/>
                <w:color w:val="000000"/>
                <w:sz w:val="18"/>
              </w:rPr>
              <w:t xml:space="preserve">) </w:t>
            </w:r>
          </w:p>
          <w:p>
            <w:pPr>
              <w:pStyle w:val="P68B1DB1Contenudetableau17"/>
              <w:widowControl w:val="false"/>
              <w:spacing w:before="0" w:after="57"/>
              <w:ind w:left="113" w:right="1208" w:hanging="0"/>
              <w:jc w:val="left"/>
              <w:rPr>
                <w:rFonts w:ascii="ArialMT;serif" w:hAnsi="ArialMT;serif"/>
                <w:color w:val="000000"/>
                <w:sz w:val="18"/>
              </w:rPr>
            </w:pPr>
            <w:r>
              <w:rPr/>
              <w:t>Jóváhagyások: 494</w:t>
            </w:r>
          </w:p>
          <w:p>
            <w:pPr>
              <w:pStyle w:val="P68B1DB1Contenudetableau17"/>
              <w:widowControl w:val="false"/>
              <w:spacing w:before="0" w:after="57"/>
              <w:ind w:left="113" w:right="1208" w:hanging="0"/>
              <w:jc w:val="left"/>
              <w:rPr>
                <w:rFonts w:ascii="ArialMT;serif" w:hAnsi="ArialMT;serif"/>
                <w:color w:val="000000"/>
                <w:sz w:val="18"/>
              </w:rPr>
            </w:pPr>
            <w:r>
              <w:rPr/>
              <w:t xml:space="preserve"> </w:t>
            </w:r>
            <w:r>
              <w:rPr/>
              <w:t xml:space="preserve">Hozzászólások: 43 </w:t>
            </w:r>
          </w:p>
        </w:tc>
        <w:tc>
          <w:tcPr>
            <w:tcW w:w="3446"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Az ötlet: EU-CAP = Európai Polgári Tudatossági Platform</w:t>
            </w:r>
            <w:r>
              <w:rPr>
                <w:rFonts w:ascii="Times New Roman;serif" w:hAnsi="Times New Roman;serif"/>
                <w:color w:val="000000"/>
                <w:sz w:val="22"/>
              </w:rPr>
              <w:t xml:space="preserve"> </w:t>
            </w:r>
            <w:r>
              <w:rPr>
                <w:rFonts w:ascii="ArialMT;serif" w:hAnsi="ArialMT;serif"/>
                <w:color w:val="000000"/>
                <w:sz w:val="18"/>
              </w:rPr>
              <w:t xml:space="preserve">(lásd </w:t>
            </w:r>
            <w:hyperlink r:id="rId2094">
              <w:r>
                <w:rPr>
                  <w:rStyle w:val="LienInternet"/>
                  <w:rFonts w:ascii="ArialMT;serif" w:hAnsi="ArialMT;serif"/>
                  <w:color w:val="0563C1"/>
                  <w:sz w:val="18"/>
                </w:rPr>
                <w:t>az ötletet</w:t>
              </w:r>
            </w:hyperlink>
            <w:r>
              <w:rPr>
                <w:rFonts w:ascii="ArialMT;serif" w:hAnsi="ArialMT;serif"/>
                <w:color w:val="000000"/>
                <w:sz w:val="18"/>
              </w:rPr>
              <w:t xml:space="preserve">) </w:t>
            </w:r>
          </w:p>
          <w:p>
            <w:pPr>
              <w:pStyle w:val="Corpsdetexte"/>
              <w:widowControl w:val="false"/>
              <w:jc w:val="left"/>
              <w:rPr/>
            </w:pPr>
            <w:r>
              <w:rPr>
                <w:rFonts w:ascii="ArialMT;serif" w:hAnsi="ArialMT;serif"/>
                <w:color w:val="000000"/>
                <w:sz w:val="18"/>
              </w:rPr>
              <w:t>Jóváhagyja az</w:t>
            </w:r>
            <w:r>
              <w:rPr/>
              <w:t xml:space="preserve">nts-t: 1 </w:t>
            </w:r>
          </w:p>
          <w:p>
            <w:pPr>
              <w:pStyle w:val="Corpsdetexte"/>
              <w:widowControl w:val="false"/>
              <w:spacing w:before="0" w:after="140"/>
              <w:jc w:val="left"/>
              <w:rPr/>
            </w:pPr>
            <w:r>
              <w:rPr/>
              <w:t xml:space="preserve">Hozzászólások: 81 </w:t>
            </w:r>
          </w:p>
        </w:tc>
      </w:tr>
      <w:tr>
        <w:trPr/>
        <w:tc>
          <w:tcPr>
            <w:tcW w:w="2996"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7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sz w:val="22"/>
              </w:rPr>
            </w:pPr>
            <w:r>
              <w:rPr>
                <w:rFonts w:ascii="Arial-BoldMT;serif" w:hAnsi="Arial-BoldMT;serif"/>
                <w:b/>
                <w:color w:val="000000"/>
                <w:sz w:val="18"/>
              </w:rPr>
              <w:t>Az ötlet:</w:t>
            </w:r>
            <w:r>
              <w:rPr>
                <w:rFonts w:ascii="Times New Roman;serif" w:hAnsi="Times New Roman;serif"/>
                <w:color w:val="000000"/>
                <w:sz w:val="22"/>
              </w:rPr>
              <w:t xml:space="preserve"> </w:t>
            </w:r>
            <w:r>
              <w:rPr>
                <w:rFonts w:ascii="Arial-BoldMT;serif" w:hAnsi="Arial-BoldMT;serif"/>
                <w:b/>
                <w:color w:val="000000"/>
                <w:sz w:val="18"/>
              </w:rPr>
              <w:t>Nyilvános támogatás nyílt forráskódú</w:t>
            </w:r>
            <w:r>
              <w:rPr>
                <w:rFonts w:ascii="Times New Roman;serif" w:hAnsi="Times New Roman;serif"/>
                <w:color w:val="000000"/>
                <w:sz w:val="22"/>
              </w:rPr>
              <w:t xml:space="preserve"> </w:t>
            </w:r>
            <w:r>
              <w:rPr>
                <w:rFonts w:ascii="Arial-BoldMT;serif" w:hAnsi="Arial-BoldMT;serif"/>
                <w:b/>
                <w:color w:val="000000"/>
                <w:sz w:val="18"/>
              </w:rPr>
              <w:t>szoftverekhez</w:t>
            </w:r>
            <w:r>
              <w:rPr>
                <w:rFonts w:ascii="Times New Roman;serif" w:hAnsi="Times New Roman;serif"/>
                <w:color w:val="000000"/>
                <w:sz w:val="22"/>
              </w:rPr>
              <w:t xml:space="preserve"> </w:t>
            </w:r>
            <w:r>
              <w:rPr>
                <w:rFonts w:ascii="Arial-BoldMT;serif" w:hAnsi="Arial-BoldMT;serif"/>
                <w:b/>
                <w:color w:val="000000"/>
                <w:sz w:val="18"/>
              </w:rPr>
              <w:t>és hardverekhez</w:t>
            </w:r>
            <w:r>
              <w:rPr>
                <w:rFonts w:ascii="Times New Roman;serif" w:hAnsi="Times New Roman;serif"/>
                <w:color w:val="000000"/>
                <w:sz w:val="22"/>
              </w:rPr>
              <w:t xml:space="preserve"> </w:t>
            </w:r>
            <w:r>
              <w:rPr>
                <w:rFonts w:ascii="Arial-BoldMT;serif" w:hAnsi="Arial-BoldMT;serif"/>
                <w:b/>
                <w:color w:val="000000"/>
                <w:sz w:val="18"/>
              </w:rPr>
              <w:t xml:space="preserve">(fordított) </w:t>
            </w:r>
            <w:r>
              <w:rPr>
                <w:rFonts w:ascii="ArialMT;serif" w:hAnsi="ArialMT;serif"/>
                <w:color w:val="000000"/>
                <w:sz w:val="18"/>
              </w:rPr>
              <w:t xml:space="preserve">(lásd </w:t>
            </w:r>
            <w:hyperlink r:id="rId2095">
              <w:r>
                <w:rPr>
                  <w:rStyle w:val="LienInternet"/>
                  <w:rFonts w:ascii="ArialMT;serif" w:hAnsi="ArialMT;serif"/>
                  <w:color w:val="0563C1"/>
                  <w:sz w:val="18"/>
                </w:rPr>
                <w:t>az ötletet</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Jóváhagyások: 153</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Hozzászólások: 9 </w:t>
            </w:r>
          </w:p>
        </w:tc>
        <w:tc>
          <w:tcPr>
            <w:tcW w:w="3446"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left"/>
              <w:rPr>
                <w:rFonts w:ascii="Times New Roman;serif" w:hAnsi="Times New Roman;serif"/>
                <w:sz w:val="22"/>
              </w:rPr>
            </w:pPr>
            <w:r>
              <w:rPr>
                <w:rFonts w:ascii="Arial-BoldMT;serif" w:hAnsi="Arial-BoldMT;serif"/>
                <w:b/>
                <w:color w:val="000000"/>
                <w:sz w:val="18"/>
              </w:rPr>
              <w:t>Az ötlet:</w:t>
            </w:r>
            <w:r>
              <w:rPr>
                <w:rFonts w:ascii="Times New Roman;serif" w:hAnsi="Times New Roman;serif"/>
                <w:color w:val="000000"/>
                <w:sz w:val="22"/>
              </w:rPr>
              <w:t xml:space="preserve"> </w:t>
            </w:r>
            <w:r>
              <w:rPr>
                <w:rFonts w:ascii="Arial-BoldMT;serif" w:hAnsi="Arial-BoldMT;serif"/>
                <w:b/>
                <w:color w:val="000000"/>
                <w:sz w:val="18"/>
              </w:rPr>
              <w:t>A kriptovaluták betiltása</w:t>
            </w:r>
            <w:r>
              <w:rPr>
                <w:rFonts w:ascii="Times New Roman;serif" w:hAnsi="Times New Roman;serif"/>
                <w:color w:val="000000"/>
                <w:sz w:val="22"/>
              </w:rPr>
              <w:t xml:space="preserve"> </w:t>
            </w:r>
            <w:r>
              <w:rPr>
                <w:rFonts w:ascii="ArialMT;serif" w:hAnsi="ArialMT;serif"/>
                <w:color w:val="000000"/>
                <w:sz w:val="18"/>
              </w:rPr>
              <w:t>(lásd</w:t>
            </w:r>
            <w:hyperlink r:id="rId2096">
              <w:r>
                <w:rPr>
                  <w:rStyle w:val="LienInternet"/>
                  <w:rFonts w:ascii="Times New Roman;serif" w:hAnsi="Times New Roman;serif"/>
                  <w:sz w:val="22"/>
                </w:rPr>
                <w:t xml:space="preserve"> </w:t>
              </w:r>
            </w:hyperlink>
            <w:hyperlink r:id="rId2097">
              <w:r>
                <w:rPr>
                  <w:rStyle w:val="LienInternet"/>
                  <w:rFonts w:ascii="ArialMT;serif" w:hAnsi="ArialMT;serif"/>
                  <w:color w:val="0563C1"/>
                  <w:sz w:val="18"/>
                </w:rPr>
                <w:t>az ötletet</w:t>
              </w:r>
            </w:hyperlink>
            <w:r>
              <w:rPr>
                <w:rFonts w:ascii="ArialMT;serif" w:hAnsi="ArialMT;serif"/>
                <w:color w:val="000000"/>
                <w:sz w:val="18"/>
              </w:rPr>
              <w:t xml:space="preserve">) </w:t>
            </w:r>
          </w:p>
          <w:p>
            <w:pPr>
              <w:pStyle w:val="P68B1DB1Contenudetableau17"/>
              <w:widowControl w:val="false"/>
              <w:spacing w:before="17" w:after="57"/>
              <w:ind w:left="91" w:right="1321" w:hanging="0"/>
              <w:jc w:val="left"/>
              <w:rPr>
                <w:rFonts w:ascii="ArialMT;serif" w:hAnsi="ArialMT;serif"/>
                <w:color w:val="000000"/>
                <w:sz w:val="18"/>
              </w:rPr>
            </w:pPr>
            <w:r>
              <w:rPr/>
              <w:t>Jóváhagyások: 14</w:t>
            </w:r>
          </w:p>
          <w:p>
            <w:pPr>
              <w:pStyle w:val="P68B1DB1Contenudetableau17"/>
              <w:widowControl w:val="false"/>
              <w:spacing w:before="17" w:after="57"/>
              <w:ind w:left="91" w:right="1321" w:hanging="0"/>
              <w:jc w:val="left"/>
              <w:rPr>
                <w:rFonts w:ascii="ArialMT;serif" w:hAnsi="ArialMT;serif"/>
                <w:color w:val="000000"/>
                <w:sz w:val="18"/>
              </w:rPr>
            </w:pPr>
            <w:r>
              <w:rPr/>
              <w:t xml:space="preserve"> </w:t>
            </w:r>
            <w:r>
              <w:rPr/>
              <w:t xml:space="preserve">Hozzászólások: 53 </w:t>
            </w:r>
          </w:p>
        </w:tc>
      </w:tr>
      <w:tr>
        <w:trPr/>
        <w:tc>
          <w:tcPr>
            <w:tcW w:w="2996"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7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Az ötlet:</w:t>
            </w:r>
            <w:r>
              <w:rPr>
                <w:rFonts w:ascii="Times New Roman;serif" w:hAnsi="Times New Roman;serif"/>
                <w:color w:val="000000"/>
                <w:sz w:val="22"/>
              </w:rPr>
              <w:t xml:space="preserve"> Az </w:t>
            </w:r>
            <w:r>
              <w:rPr>
                <w:rFonts w:ascii="Arial-BoldMT;serif" w:hAnsi="Arial-BoldMT;serif"/>
                <w:b/>
                <w:color w:val="000000"/>
                <w:sz w:val="18"/>
              </w:rPr>
              <w:t xml:space="preserve"> etikus mesterséges intelligencia  felé: a vita előmozdítása és az egyenlőtlenségek elkerülése</w:t>
            </w:r>
            <w:r>
              <w:rPr>
                <w:rFonts w:ascii="Times New Roman;serif" w:hAnsi="Times New Roman;serif"/>
                <w:color w:val="000000"/>
                <w:sz w:val="22"/>
              </w:rPr>
              <w:t xml:space="preserve"> </w:t>
            </w:r>
            <w:r>
              <w:rPr>
                <w:rFonts w:ascii="ArialMT;serif" w:hAnsi="ArialMT;serif"/>
                <w:color w:val="000000"/>
                <w:sz w:val="18"/>
              </w:rPr>
              <w:t xml:space="preserve">(lásd </w:t>
            </w:r>
            <w:hyperlink r:id="rId2098">
              <w:r>
                <w:rPr>
                  <w:rStyle w:val="LienInternet"/>
                  <w:rFonts w:ascii="ArialMT;serif" w:hAnsi="ArialMT;serif"/>
                  <w:color w:val="0563C1"/>
                  <w:sz w:val="18"/>
                </w:rPr>
                <w:t>az ötletet</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Jóváhagyások: 125</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Hozzászólások: 6 </w:t>
            </w:r>
          </w:p>
        </w:tc>
        <w:tc>
          <w:tcPr>
            <w:tcW w:w="3446"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Az ötlet: Olyan rádió- és televízióműsorok népszerűsítése, amelyek digitális terjesztési csatornán (DAB+ vagy DVB-T2) keresztül tájékoztatják az eszperantót a világ segédnyelvén (fordított) is</w:t>
            </w:r>
            <w:r>
              <w:rPr>
                <w:rFonts w:ascii="Times New Roman;serif" w:hAnsi="Times New Roman;serif"/>
                <w:color w:val="000000"/>
                <w:sz w:val="22"/>
              </w:rPr>
              <w:t xml:space="preserve"> </w:t>
            </w:r>
            <w:r>
              <w:rPr>
                <w:rFonts w:ascii="ArialMT;serif" w:hAnsi="ArialMT;serif"/>
                <w:color w:val="000000"/>
                <w:sz w:val="18"/>
              </w:rPr>
              <w:t xml:space="preserve">(lásd </w:t>
            </w:r>
            <w:r>
              <w:rPr>
                <w:rFonts w:ascii="ArialMT;serif" w:hAnsi="ArialMT;serif"/>
                <w:color w:val="0563C1"/>
                <w:sz w:val="18"/>
              </w:rPr>
              <w:t>i</w:t>
            </w:r>
            <w:hyperlink r:id="rId2099">
              <w:r>
                <w:rPr>
                  <w:rStyle w:val="LienInternet"/>
                  <w:rFonts w:ascii="Times New Roman;serif" w:hAnsi="Times New Roman;serif"/>
                  <w:sz w:val="22"/>
                </w:rPr>
                <w:t>dea</w:t>
              </w:r>
            </w:hyperlink>
            <w:r>
              <w:rPr>
                <w:rFonts w:ascii="ArialMT;serif" w:hAnsi="ArialMT;serif"/>
                <w:color w:val="000000"/>
                <w:sz w:val="18"/>
              </w:rPr>
              <w:t xml:space="preserve">) </w:t>
            </w:r>
          </w:p>
          <w:p>
            <w:pPr>
              <w:pStyle w:val="P68B1DB1Contenudetableau17"/>
              <w:widowControl w:val="false"/>
              <w:spacing w:before="17" w:after="57"/>
              <w:ind w:left="91" w:right="1321" w:hanging="0"/>
              <w:jc w:val="left"/>
              <w:rPr>
                <w:rFonts w:ascii="ArialMT;serif" w:hAnsi="ArialMT;serif"/>
                <w:color w:val="000000"/>
                <w:sz w:val="18"/>
              </w:rPr>
            </w:pPr>
            <w:r>
              <w:rPr/>
              <w:t>Jóváhagyások: 26</w:t>
            </w:r>
          </w:p>
          <w:p>
            <w:pPr>
              <w:pStyle w:val="P68B1DB1Contenudetableau17"/>
              <w:widowControl w:val="false"/>
              <w:spacing w:before="17" w:after="57"/>
              <w:ind w:left="91" w:right="1321" w:hanging="0"/>
              <w:jc w:val="left"/>
              <w:rPr>
                <w:rFonts w:ascii="ArialMT;serif" w:hAnsi="ArialMT;serif"/>
                <w:color w:val="000000"/>
                <w:sz w:val="18"/>
              </w:rPr>
            </w:pPr>
            <w:r>
              <w:rPr/>
              <w:t xml:space="preserve"> </w:t>
            </w:r>
            <w:r>
              <w:rPr/>
              <w:t xml:space="preserve">Hozzászólások: 47 </w:t>
            </w:r>
          </w:p>
        </w:tc>
      </w:tr>
      <w:tr>
        <w:trPr/>
        <w:tc>
          <w:tcPr>
            <w:tcW w:w="2996"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7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 xml:space="preserve">Az ötlet: Európai chipkészítés (fordított) </w:t>
            </w:r>
            <w:r>
              <w:rPr>
                <w:rFonts w:ascii="ArialMT;serif" w:hAnsi="ArialMT;serif"/>
                <w:color w:val="000000"/>
                <w:sz w:val="18"/>
              </w:rPr>
              <w:t xml:space="preserve">(lásd az </w:t>
            </w:r>
            <w:hyperlink r:id="rId2100">
              <w:r>
                <w:rPr>
                  <w:rStyle w:val="LienInternet"/>
                  <w:rFonts w:ascii="ArialMT;serif" w:hAnsi="ArialMT;serif"/>
                  <w:color w:val="0563C1"/>
                  <w:sz w:val="18"/>
                </w:rPr>
                <w:t>ötletet</w:t>
              </w:r>
            </w:hyperlink>
            <w:r>
              <w:rPr>
                <w:rFonts w:ascii="ArialMT;serif" w:hAnsi="ArialMT;serif"/>
                <w:color w:val="000000"/>
                <w:sz w:val="18"/>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Jóváhagyások: 120</w:t>
            </w:r>
          </w:p>
          <w:p>
            <w:pPr>
              <w:pStyle w:val="P68B1DB1Contenudetableau17"/>
              <w:widowControl w:val="false"/>
              <w:spacing w:before="6" w:after="57"/>
              <w:ind w:left="91" w:right="1208" w:hanging="0"/>
              <w:jc w:val="left"/>
              <w:rPr>
                <w:rFonts w:ascii="ArialMT;serif" w:hAnsi="ArialMT;serif"/>
                <w:color w:val="000000"/>
                <w:sz w:val="18"/>
              </w:rPr>
            </w:pPr>
            <w:r>
              <w:rPr/>
              <w:t xml:space="preserve"> </w:t>
            </w:r>
            <w:r>
              <w:rPr/>
              <w:t xml:space="preserve">Hozzászólások: 34 </w:t>
            </w:r>
          </w:p>
        </w:tc>
        <w:tc>
          <w:tcPr>
            <w:tcW w:w="3446"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Az ötlet:</w:t>
            </w:r>
            <w:r>
              <w:rPr>
                <w:rFonts w:ascii="Times New Roman;serif" w:hAnsi="Times New Roman;serif"/>
                <w:color w:val="000000"/>
                <w:sz w:val="22"/>
              </w:rPr>
              <w:t xml:space="preserve"> A </w:t>
            </w:r>
            <w:r>
              <w:rPr>
                <w:rFonts w:ascii="Arial-BoldMT;serif" w:hAnsi="Arial-BoldMT;serif"/>
                <w:b/>
                <w:color w:val="000000"/>
                <w:sz w:val="18"/>
              </w:rPr>
              <w:t>nyílt</w:t>
            </w:r>
            <w:r>
              <w:rPr>
                <w:rFonts w:ascii="Times New Roman;serif" w:hAnsi="Times New Roman;serif"/>
                <w:color w:val="000000"/>
                <w:sz w:val="22"/>
              </w:rPr>
              <w:t xml:space="preserve">  </w:t>
            </w:r>
            <w:r>
              <w:rPr>
                <w:rFonts w:ascii="Arial-BoldMT;serif" w:hAnsi="Arial-BoldMT;serif"/>
                <w:b/>
                <w:color w:val="000000"/>
                <w:sz w:val="18"/>
              </w:rPr>
              <w:t>forráskódú fenntartókegyetemes jövedelme</w:t>
            </w:r>
            <w:r>
              <w:rPr>
                <w:rFonts w:ascii="Times New Roman;serif" w:hAnsi="Times New Roman;serif"/>
                <w:color w:val="000000"/>
                <w:sz w:val="22"/>
              </w:rPr>
              <w:t xml:space="preserve"> </w:t>
            </w:r>
            <w:r>
              <w:rPr>
                <w:rFonts w:ascii="ArialMT;serif" w:hAnsi="ArialMT;serif"/>
                <w:color w:val="000000"/>
                <w:sz w:val="18"/>
              </w:rPr>
              <w:t xml:space="preserve">(lásd </w:t>
            </w:r>
            <w:hyperlink r:id="rId2101">
              <w:r>
                <w:rPr>
                  <w:rStyle w:val="LienInternet"/>
                  <w:rFonts w:ascii="ArialMT;serif" w:hAnsi="ArialMT;serif"/>
                  <w:color w:val="0563C1"/>
                  <w:sz w:val="18"/>
                </w:rPr>
                <w:t>az ötletet</w:t>
              </w:r>
            </w:hyperlink>
            <w:r>
              <w:rPr>
                <w:rFonts w:ascii="ArialMT;serif" w:hAnsi="ArialMT;serif"/>
                <w:color w:val="000000"/>
                <w:sz w:val="18"/>
              </w:rPr>
              <w:t xml:space="preserve">) </w:t>
            </w:r>
          </w:p>
          <w:p>
            <w:pPr>
              <w:pStyle w:val="P68B1DB1Contenudetableau17"/>
              <w:widowControl w:val="false"/>
              <w:spacing w:before="6" w:after="57"/>
              <w:ind w:left="91" w:right="1321" w:hanging="0"/>
              <w:jc w:val="left"/>
              <w:rPr>
                <w:rFonts w:ascii="ArialMT;serif" w:hAnsi="ArialMT;serif"/>
                <w:color w:val="000000"/>
                <w:sz w:val="18"/>
              </w:rPr>
            </w:pPr>
            <w:r>
              <w:rPr/>
              <w:t>Jóváhagyások: 59</w:t>
            </w:r>
          </w:p>
          <w:p>
            <w:pPr>
              <w:pStyle w:val="P68B1DB1Contenudetableau17"/>
              <w:widowControl w:val="false"/>
              <w:spacing w:before="6" w:after="57"/>
              <w:ind w:left="91" w:right="1321" w:hanging="0"/>
              <w:jc w:val="left"/>
              <w:rPr>
                <w:rFonts w:ascii="ArialMT;serif" w:hAnsi="ArialMT;serif"/>
                <w:color w:val="000000"/>
                <w:sz w:val="18"/>
              </w:rPr>
            </w:pPr>
            <w:r>
              <w:rPr/>
              <w:t xml:space="preserve"> </w:t>
            </w:r>
            <w:r>
              <w:rPr/>
              <w:t xml:space="preserve">Hozzászólások: 43 </w:t>
            </w:r>
          </w:p>
        </w:tc>
      </w:tr>
      <w:tr>
        <w:trPr/>
        <w:tc>
          <w:tcPr>
            <w:tcW w:w="2996"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7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6"/>
              <w:widowControl w:val="false"/>
              <w:spacing w:before="108" w:after="57"/>
              <w:ind w:left="91" w:right="0" w:hanging="0"/>
              <w:jc w:val="both"/>
              <w:rPr>
                <w:rFonts w:ascii="Times New Roman;serif" w:hAnsi="Times New Roman;serif"/>
                <w:color w:val="000000"/>
                <w:sz w:val="22"/>
              </w:rPr>
            </w:pPr>
            <w:r>
              <w:rPr>
                <w:rFonts w:ascii="Arial-BoldMT;serif" w:hAnsi="Arial-BoldMT;serif"/>
                <w:b/>
                <w:sz w:val="18"/>
              </w:rPr>
              <w:t xml:space="preserve">Az ötlet: ÁLTALÁNOS ADATVÉDELMI RENDELET: A személyes adatok gyűjtésének elutasítását legalább  </w:t>
            </w:r>
            <w:r>
              <w:rPr>
                <w:rFonts w:ascii="Times New Roman;serif" w:hAnsi="Times New Roman;serif"/>
                <w:sz w:val="22"/>
              </w:rPr>
              <w:t xml:space="preserve"> </w:t>
            </w:r>
            <w:r>
              <w:rPr>
                <w:rFonts w:ascii="Arial-BoldMT;serif" w:hAnsi="Arial-BoldMT;serif"/>
                <w:b/>
                <w:sz w:val="18"/>
              </w:rPr>
              <w:t>olyan egyszerűvé kell tenni,</w:t>
            </w:r>
            <w:r>
              <w:rPr>
                <w:rFonts w:ascii="Times New Roman;serif" w:hAnsi="Times New Roman;serif"/>
                <w:sz w:val="22"/>
              </w:rPr>
              <w:t xml:space="preserve"> </w:t>
            </w:r>
            <w:r>
              <w:rPr>
                <w:rFonts w:ascii="Arial-BoldMT;serif" w:hAnsi="Arial-BoldMT;serif"/>
                <w:b/>
                <w:sz w:val="18"/>
              </w:rPr>
              <w:t>mint annak elfogadását</w:t>
            </w:r>
            <w:r>
              <w:rPr>
                <w:rFonts w:ascii="Times New Roman;serif" w:hAnsi="Times New Roman;serif"/>
                <w:sz w:val="22"/>
              </w:rPr>
              <w:t>.</w:t>
            </w:r>
          </w:p>
          <w:p>
            <w:pPr>
              <w:pStyle w:val="P68B1DB1Contenudetableau16"/>
              <w:widowControl w:val="false"/>
              <w:spacing w:before="108" w:after="57"/>
              <w:ind w:left="91" w:right="0" w:hanging="0"/>
              <w:jc w:val="both"/>
              <w:rPr>
                <w:rFonts w:ascii="Times New Roman;serif" w:hAnsi="Times New Roman;serif"/>
                <w:color w:val="000000"/>
                <w:sz w:val="22"/>
              </w:rPr>
            </w:pPr>
            <w:r>
              <w:rPr>
                <w:rFonts w:ascii="ArialMT;serif" w:hAnsi="ArialMT;serif"/>
                <w:sz w:val="18"/>
              </w:rPr>
              <w:t>Jóváhagyások:</w:t>
            </w:r>
            <w:r>
              <w:rPr>
                <w:rFonts w:ascii="Times New Roman;serif" w:hAnsi="Times New Roman;serif"/>
                <w:sz w:val="22"/>
              </w:rPr>
              <w:t xml:space="preserve"> </w:t>
            </w:r>
            <w:r>
              <w:rPr>
                <w:rFonts w:ascii="ArialMT;serif" w:hAnsi="ArialMT;serif"/>
                <w:sz w:val="18"/>
              </w:rPr>
              <w:t>105</w:t>
            </w:r>
          </w:p>
          <w:p>
            <w:pPr>
              <w:pStyle w:val="P68B1DB1Contenudetableau16"/>
              <w:widowControl w:val="false"/>
              <w:spacing w:before="108" w:after="57"/>
              <w:ind w:left="91" w:right="0" w:hanging="0"/>
              <w:jc w:val="both"/>
              <w:rPr>
                <w:rFonts w:ascii="Times New Roman;serif" w:hAnsi="Times New Roman;serif"/>
                <w:color w:val="000000"/>
                <w:sz w:val="22"/>
              </w:rPr>
            </w:pPr>
            <w:r>
              <w:rPr>
                <w:rFonts w:ascii="ArialMT;serif" w:hAnsi="ArialMT;serif"/>
                <w:sz w:val="18"/>
              </w:rPr>
              <w:t>Hozzászólások: 5</w:t>
            </w:r>
            <w:r>
              <w:rPr>
                <w:rFonts w:ascii="Times New Roman;serif" w:hAnsi="Times New Roman;serif"/>
                <w:sz w:val="22"/>
              </w:rPr>
              <w:t xml:space="preserve"> </w:t>
            </w:r>
          </w:p>
        </w:tc>
        <w:tc>
          <w:tcPr>
            <w:tcW w:w="3446"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left"/>
              <w:rPr>
                <w:rFonts w:ascii="Times New Roman;serif" w:hAnsi="Times New Roman;serif"/>
                <w:sz w:val="22"/>
              </w:rPr>
            </w:pPr>
            <w:r>
              <w:rPr>
                <w:rFonts w:ascii="Arial-BoldMT;serif" w:hAnsi="Arial-BoldMT;serif"/>
                <w:b/>
                <w:color w:val="000000"/>
                <w:sz w:val="18"/>
              </w:rPr>
              <w:t>Az ötlet: Méltányos digitalizáció</w:t>
            </w:r>
            <w:r>
              <w:rPr>
                <w:rFonts w:ascii="Times New Roman;serif" w:hAnsi="Times New Roman;serif"/>
                <w:color w:val="000000"/>
                <w:sz w:val="22"/>
              </w:rPr>
              <w:t xml:space="preserve"> </w:t>
            </w:r>
            <w:r>
              <w:rPr>
                <w:rFonts w:ascii="ArialMT;serif" w:hAnsi="ArialMT;serif"/>
                <w:color w:val="000000"/>
                <w:sz w:val="18"/>
              </w:rPr>
              <w:t>(lásd</w:t>
            </w:r>
            <w:r>
              <w:rPr>
                <w:rFonts w:ascii="Times New Roman;serif" w:hAnsi="Times New Roman;serif"/>
                <w:color w:val="000000"/>
                <w:sz w:val="22"/>
              </w:rPr>
              <w:t xml:space="preserve"> </w:t>
            </w:r>
            <w:hyperlink r:id="rId2102">
              <w:r>
                <w:rPr>
                  <w:rStyle w:val="LienInternet"/>
                  <w:rFonts w:ascii="ArialMT;serif" w:hAnsi="ArialMT;serif"/>
                  <w:color w:val="0563C1"/>
                  <w:sz w:val="18"/>
                </w:rPr>
                <w:t>az ötletet</w:t>
              </w:r>
            </w:hyperlink>
            <w:r>
              <w:rPr>
                <w:rFonts w:ascii="ArialMT;serif" w:hAnsi="ArialMT;serif"/>
                <w:color w:val="000000"/>
                <w:sz w:val="18"/>
              </w:rPr>
              <w:t xml:space="preserve">) </w:t>
            </w:r>
          </w:p>
          <w:p>
            <w:pPr>
              <w:pStyle w:val="P68B1DB1Contenudetableau17"/>
              <w:widowControl w:val="false"/>
              <w:spacing w:before="17" w:after="57"/>
              <w:ind w:left="91" w:right="1208" w:hanging="0"/>
              <w:jc w:val="left"/>
              <w:rPr>
                <w:rFonts w:ascii="ArialMT;serif" w:hAnsi="ArialMT;serif"/>
                <w:color w:val="000000"/>
                <w:sz w:val="18"/>
              </w:rPr>
            </w:pPr>
            <w:r>
              <w:rPr/>
              <w:t>Jóváhagyások: 494</w:t>
            </w:r>
          </w:p>
          <w:p>
            <w:pPr>
              <w:pStyle w:val="P68B1DB1Contenudetableau17"/>
              <w:widowControl w:val="false"/>
              <w:spacing w:before="17" w:after="57"/>
              <w:ind w:left="91" w:right="1208" w:hanging="0"/>
              <w:jc w:val="left"/>
              <w:rPr>
                <w:rFonts w:ascii="ArialMT;serif" w:hAnsi="ArialMT;serif"/>
                <w:color w:val="000000"/>
                <w:sz w:val="18"/>
              </w:rPr>
            </w:pPr>
            <w:r>
              <w:rPr/>
              <w:t xml:space="preserve"> </w:t>
            </w:r>
            <w:r>
              <w:rPr/>
              <w:t xml:space="preserve">Hozzászólások: 43 </w:t>
            </w:r>
          </w:p>
        </w:tc>
      </w:tr>
    </w:tbl>
    <w:p>
      <w:pPr>
        <w:pStyle w:val="Normal"/>
        <w:jc w:val="left"/>
        <w:rPr/>
      </w:pPr>
      <w:r>
        <w:rPr/>
      </w:r>
      <w:r>
        <w:br w:type="page"/>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3000"/>
        <w:gridCol w:w="132"/>
        <w:gridCol w:w="2911"/>
        <w:gridCol w:w="125"/>
        <w:gridCol w:w="205"/>
        <w:gridCol w:w="2992"/>
        <w:gridCol w:w="249"/>
      </w:tblGrid>
      <w:tr>
        <w:trPr>
          <w:trHeight w:val="386" w:hRule="atLeast"/>
        </w:trPr>
        <w:tc>
          <w:tcPr>
            <w:tcW w:w="3000"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132"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11"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A legtöbb támogatott </w:t>
            </w:r>
          </w:p>
        </w:tc>
        <w:tc>
          <w:tcPr>
            <w:tcW w:w="125"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5"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92"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A legtöbb hozzászólás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rHeight w:val="1871" w:hRule="atLeast"/>
        </w:trPr>
        <w:tc>
          <w:tcPr>
            <w:tcW w:w="3000"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4"/>
              <w:widowControl w:val="false"/>
              <w:spacing w:before="51" w:after="57"/>
              <w:ind w:left="91" w:right="0" w:hanging="0"/>
              <w:jc w:val="left"/>
              <w:rPr>
                <w:rFonts w:ascii="Arial-BoldMT;serif" w:hAnsi="Arial-BoldMT;serif"/>
                <w:b/>
                <w:b/>
                <w:color w:val="000000"/>
                <w:sz w:val="18"/>
              </w:rPr>
            </w:pPr>
            <w:r>
              <w:rPr/>
              <w:t xml:space="preserve">Európai demokrácia </w:t>
            </w:r>
          </w:p>
        </w:tc>
        <w:tc>
          <w:tcPr>
            <w:tcW w:w="3168"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51" w:after="57"/>
              <w:ind w:left="102" w:right="0" w:hanging="0"/>
              <w:jc w:val="left"/>
              <w:rPr>
                <w:rFonts w:ascii="Arial-BoldMT;serif" w:hAnsi="Arial-BoldMT;serif"/>
                <w:sz w:val="22"/>
              </w:rPr>
            </w:pPr>
            <w:r>
              <w:rPr>
                <w:rFonts w:ascii="Arial-BoldMT;serif" w:hAnsi="Arial-BoldMT;serif"/>
                <w:b/>
                <w:color w:val="000000"/>
                <w:sz w:val="18"/>
              </w:rPr>
              <w:t>Az ötlet:</w:t>
            </w:r>
            <w:r>
              <w:rPr>
                <w:rFonts w:ascii="Arial-BoldMT;serif" w:hAnsi="Arial-BoldMT;serif"/>
                <w:color w:val="000000"/>
                <w:sz w:val="22"/>
              </w:rPr>
              <w:t xml:space="preserve"> </w:t>
            </w:r>
            <w:r>
              <w:rPr>
                <w:rFonts w:ascii="Arial-BoldMT;serif" w:hAnsi="Arial-BoldMT;serif"/>
                <w:b/>
                <w:color w:val="000000"/>
                <w:sz w:val="18"/>
              </w:rPr>
              <w:t>Az</w:t>
            </w:r>
            <w:r>
              <w:rPr>
                <w:rFonts w:ascii="Arial-BoldMT;serif" w:hAnsi="Arial-BoldMT;serif"/>
                <w:color w:val="000000"/>
                <w:sz w:val="22"/>
              </w:rPr>
              <w:t xml:space="preserve"> </w:t>
            </w:r>
            <w:r>
              <w:rPr>
                <w:rFonts w:ascii="Arial-BoldMT;serif" w:hAnsi="Arial-BoldMT;serif"/>
                <w:b/>
                <w:color w:val="000000"/>
                <w:sz w:val="18"/>
              </w:rPr>
              <w:t>önmeghatározáshoz</w:t>
            </w:r>
            <w:r>
              <w:rPr>
                <w:rFonts w:ascii="Arial-BoldMT;serif" w:hAnsi="Arial-BoldMT;serif"/>
                <w:color w:val="000000"/>
                <w:sz w:val="22"/>
              </w:rPr>
              <w:t xml:space="preserve"> </w:t>
            </w:r>
            <w:r>
              <w:rPr>
                <w:rFonts w:ascii="Arial-BoldMT;serif" w:hAnsi="Arial-BoldMT;serif"/>
                <w:b/>
                <w:color w:val="000000"/>
                <w:sz w:val="18"/>
              </w:rPr>
              <w:t>valójog egyértelmű</w:t>
            </w:r>
            <w:r>
              <w:rPr>
                <w:rFonts w:ascii="Arial-BoldMT;serif" w:hAnsi="Arial-BoldMT;serif"/>
                <w:color w:val="000000"/>
                <w:sz w:val="22"/>
              </w:rPr>
              <w:t xml:space="preserve"> </w:t>
            </w:r>
            <w:r>
              <w:rPr>
                <w:rFonts w:ascii="Arial-BoldMT;serif" w:hAnsi="Arial-BoldMT;serif"/>
                <w:b/>
                <w:color w:val="000000"/>
                <w:sz w:val="18"/>
              </w:rPr>
              <w:t>mechanizmusa (</w:t>
            </w:r>
            <w:r>
              <w:rPr>
                <w:rFonts w:ascii="Times New Roman;serif" w:hAnsi="Times New Roman;serif"/>
                <w:sz w:val="22"/>
              </w:rPr>
              <w:t xml:space="preserve"> </w:t>
            </w:r>
            <w:r>
              <w:rPr>
                <w:rFonts w:ascii="Arial-BoldMT;serif" w:hAnsi="Arial-BoldMT;serif"/>
                <w:b/>
                <w:color w:val="000000"/>
                <w:sz w:val="18"/>
              </w:rPr>
              <w:t xml:space="preserve"> </w:t>
            </w:r>
            <w:r>
              <w:rPr>
                <w:rFonts w:ascii="ArialMT;serif" w:hAnsi="ArialMT;serif"/>
                <w:color w:val="000000"/>
                <w:sz w:val="18"/>
              </w:rPr>
              <w:t xml:space="preserve">lásd az </w:t>
            </w:r>
            <w:hyperlink r:id="rId2103">
              <w:r>
                <w:rPr>
                  <w:rStyle w:val="LienInternet"/>
                  <w:rFonts w:ascii="ArialMT;serif" w:hAnsi="ArialMT;serif"/>
                  <w:color w:val="0563C1"/>
                  <w:sz w:val="18"/>
                </w:rPr>
                <w:t>ötletet</w:t>
              </w:r>
            </w:hyperlink>
            <w:r>
              <w:rPr>
                <w:rFonts w:ascii="ArialMT;serif" w:hAnsi="ArialMT;serif"/>
                <w:color w:val="000000"/>
                <w:sz w:val="18"/>
              </w:rPr>
              <w:t xml:space="preserve">) </w:t>
            </w:r>
          </w:p>
          <w:p>
            <w:pPr>
              <w:pStyle w:val="P68B1DB1Contenudetableau17"/>
              <w:widowControl w:val="false"/>
              <w:spacing w:before="0" w:after="57"/>
              <w:ind w:left="102" w:right="1043" w:hanging="0"/>
              <w:jc w:val="left"/>
              <w:rPr>
                <w:rFonts w:ascii="ArialMT;serif" w:hAnsi="ArialMT;serif"/>
                <w:color w:val="000000"/>
                <w:sz w:val="18"/>
              </w:rPr>
            </w:pPr>
            <w:r>
              <w:rPr/>
              <w:t xml:space="preserve">Jóváhagyások: 1,009 Megjegyzések: 211 </w:t>
            </w:r>
          </w:p>
        </w:tc>
        <w:tc>
          <w:tcPr>
            <w:tcW w:w="3446"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Az ötlet:</w:t>
            </w:r>
            <w:r>
              <w:rPr>
                <w:rFonts w:ascii="Times New Roman;serif" w:hAnsi="Times New Roman;serif"/>
                <w:color w:val="000000"/>
                <w:sz w:val="22"/>
              </w:rPr>
              <w:t xml:space="preserve"> </w:t>
            </w:r>
            <w:r>
              <w:rPr>
                <w:rFonts w:ascii="Arial-BoldMT;serif" w:hAnsi="Arial-BoldMT;serif"/>
                <w:b/>
                <w:color w:val="000000"/>
                <w:sz w:val="18"/>
              </w:rPr>
              <w:t>Az</w:t>
            </w:r>
            <w:r>
              <w:rPr>
                <w:rFonts w:ascii="Times New Roman;serif" w:hAnsi="Times New Roman;serif"/>
                <w:color w:val="000000"/>
                <w:sz w:val="22"/>
              </w:rPr>
              <w:t xml:space="preserve"> </w:t>
            </w:r>
            <w:r>
              <w:rPr>
                <w:rFonts w:ascii="Arial-BoldMT;serif" w:hAnsi="Arial-BoldMT;serif"/>
                <w:b/>
                <w:color w:val="000000"/>
                <w:sz w:val="18"/>
              </w:rPr>
              <w:t>önmeghatározáshoz</w:t>
            </w:r>
            <w:r>
              <w:rPr>
                <w:rFonts w:ascii="Times New Roman;serif" w:hAnsi="Times New Roman;serif"/>
                <w:color w:val="000000"/>
                <w:sz w:val="22"/>
              </w:rPr>
              <w:t xml:space="preserve"> </w:t>
            </w:r>
            <w:r>
              <w:rPr>
                <w:rFonts w:ascii="Arial-BoldMT;serif" w:hAnsi="Arial-BoldMT;serif"/>
                <w:b/>
                <w:color w:val="000000"/>
                <w:sz w:val="18"/>
              </w:rPr>
              <w:t>valójog egyértelmű</w:t>
            </w:r>
            <w:r>
              <w:rPr>
                <w:rFonts w:ascii="Times New Roman;serif" w:hAnsi="Times New Roman;serif"/>
                <w:color w:val="000000"/>
                <w:sz w:val="22"/>
              </w:rPr>
              <w:t xml:space="preserve"> </w:t>
            </w:r>
            <w:r>
              <w:rPr>
                <w:rFonts w:ascii="Arial-BoldMT;serif" w:hAnsi="Arial-BoldMT;serif"/>
                <w:b/>
                <w:color w:val="000000"/>
                <w:sz w:val="18"/>
              </w:rPr>
              <w:t>mechanizmusa (</w:t>
            </w:r>
            <w:r>
              <w:rPr>
                <w:rFonts w:ascii="Times New Roman;serif" w:hAnsi="Times New Roman;serif"/>
                <w:sz w:val="22"/>
              </w:rPr>
              <w:t xml:space="preserve"> </w:t>
            </w:r>
            <w:r>
              <w:rPr>
                <w:rFonts w:ascii="Arial-BoldMT;serif" w:hAnsi="Arial-BoldMT;serif"/>
                <w:b/>
                <w:color w:val="000000"/>
                <w:sz w:val="18"/>
              </w:rPr>
              <w:t xml:space="preserve"> </w:t>
            </w:r>
            <w:r>
              <w:rPr>
                <w:rFonts w:ascii="ArialMT;serif" w:hAnsi="ArialMT;serif"/>
                <w:color w:val="000000"/>
                <w:sz w:val="18"/>
              </w:rPr>
              <w:t xml:space="preserve">lásd az </w:t>
            </w:r>
            <w:hyperlink r:id="rId2104">
              <w:r>
                <w:rPr>
                  <w:rStyle w:val="LienInternet"/>
                  <w:rFonts w:ascii="ArialMT;serif" w:hAnsi="ArialMT;serif"/>
                  <w:color w:val="0563C1"/>
                  <w:sz w:val="18"/>
                </w:rPr>
                <w:t>ötletet</w:t>
              </w:r>
            </w:hyperlink>
            <w:r>
              <w:rPr>
                <w:rFonts w:ascii="ArialMT;serif" w:hAnsi="ArialMT;serif"/>
                <w:color w:val="000000"/>
                <w:sz w:val="18"/>
              </w:rPr>
              <w:t xml:space="preserve">) </w:t>
            </w:r>
          </w:p>
          <w:p>
            <w:pPr>
              <w:pStyle w:val="Corpsdetexte"/>
              <w:widowControl w:val="false"/>
              <w:spacing w:lineRule="atLeast" w:line="346" w:before="0" w:after="140"/>
              <w:ind w:left="0" w:right="0" w:hanging="0"/>
              <w:jc w:val="left"/>
              <w:rPr>
                <w:rFonts w:ascii="Times New Roman;serif" w:hAnsi="Times New Roman;serif"/>
                <w:sz w:val="22"/>
              </w:rPr>
            </w:pPr>
            <w:r>
              <w:rPr>
                <w:rFonts w:ascii="ArialMT;serif" w:hAnsi="ArialMT;serif"/>
                <w:color w:val="000000"/>
                <w:sz w:val="18"/>
              </w:rPr>
              <w:t xml:space="preserve">Jóváhagyások: 1,009 </w:t>
            </w:r>
            <w:r>
              <w:rPr>
                <w:rFonts w:ascii="Times New Roman;serif" w:hAnsi="Times New Roman;serif"/>
                <w:sz w:val="22"/>
              </w:rPr>
              <w:br/>
            </w:r>
            <w:r>
              <w:rPr>
                <w:rFonts w:ascii="ArialMT;serif" w:hAnsi="ArialMT;serif"/>
                <w:color w:val="000000"/>
                <w:sz w:val="18"/>
              </w:rPr>
              <w:t xml:space="preserve">Hozzászólások: 211 </w:t>
            </w:r>
          </w:p>
          <w:p>
            <w:pPr>
              <w:pStyle w:val="Contenudetableau"/>
              <w:widowControl w:val="false"/>
              <w:spacing w:before="0" w:after="57"/>
              <w:ind w:left="0" w:right="0" w:hanging="0"/>
              <w:jc w:val="left"/>
              <w:rPr/>
            </w:pPr>
            <w:r>
              <w:rPr/>
            </w:r>
          </w:p>
        </w:tc>
      </w:tr>
      <w:tr>
        <w:trPr>
          <w:trHeight w:val="1871" w:hRule="atLeast"/>
        </w:trPr>
        <w:tc>
          <w:tcPr>
            <w:tcW w:w="300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68"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51" w:after="57"/>
              <w:ind w:left="102" w:right="0" w:hanging="0"/>
              <w:jc w:val="left"/>
              <w:rPr>
                <w:rFonts w:ascii="Times New Roman;serif" w:hAnsi="Times New Roman;serif"/>
                <w:sz w:val="22"/>
              </w:rPr>
            </w:pPr>
            <w:r>
              <w:rPr>
                <w:rFonts w:ascii="Arial-BoldMT;serif" w:hAnsi="Arial-BoldMT;serif"/>
                <w:b/>
                <w:color w:val="000000"/>
                <w:sz w:val="18"/>
              </w:rPr>
              <w:t>Az ötlet: Erősebb együtt: Demokratikus</w:t>
            </w:r>
            <w:r>
              <w:rPr>
                <w:rFonts w:ascii="Times New Roman;serif" w:hAnsi="Times New Roman;serif"/>
                <w:color w:val="000000"/>
                <w:sz w:val="22"/>
              </w:rPr>
              <w:t xml:space="preserve"> </w:t>
            </w:r>
            <w:r>
              <w:rPr>
                <w:rFonts w:ascii="Arial-BoldMT;serif" w:hAnsi="Arial-BoldMT;serif"/>
                <w:b/>
                <w:color w:val="000000"/>
                <w:sz w:val="18"/>
              </w:rPr>
              <w:t xml:space="preserve">Európai Föderáció </w:t>
            </w:r>
            <w:r>
              <w:rPr>
                <w:rFonts w:ascii="ArialMT;serif" w:hAnsi="ArialMT;serif"/>
                <w:color w:val="000000"/>
                <w:sz w:val="18"/>
              </w:rPr>
              <w:t>(lásd</w:t>
            </w:r>
            <w:hyperlink r:id="rId2105">
              <w:r>
                <w:rPr>
                  <w:rStyle w:val="LienInternet"/>
                  <w:rFonts w:ascii="Times New Roman;serif" w:hAnsi="Times New Roman;serif"/>
                  <w:sz w:val="22"/>
                </w:rPr>
                <w:t xml:space="preserve"> </w:t>
              </w:r>
            </w:hyperlink>
            <w:hyperlink r:id="rId2106">
              <w:r>
                <w:rPr>
                  <w:rStyle w:val="LienInternet"/>
                  <w:rFonts w:ascii="ArialMT;serif" w:hAnsi="ArialMT;serif"/>
                  <w:color w:val="0563C1"/>
                  <w:sz w:val="18"/>
                </w:rPr>
                <w:t>az ötletet</w:t>
              </w:r>
            </w:hyperlink>
            <w:r>
              <w:rPr>
                <w:rFonts w:ascii="ArialMT;serif" w:hAnsi="ArialMT;serif"/>
                <w:color w:val="000000"/>
                <w:sz w:val="18"/>
              </w:rPr>
              <w:t xml:space="preserve">) </w:t>
            </w:r>
          </w:p>
          <w:p>
            <w:pPr>
              <w:pStyle w:val="P68B1DB1Corpsdetexte15"/>
              <w:widowControl w:val="false"/>
              <w:spacing w:before="11" w:after="140"/>
              <w:ind w:left="91" w:right="1208" w:hanging="0"/>
              <w:jc w:val="left"/>
              <w:rPr>
                <w:rFonts w:ascii="ArialMT;serif" w:hAnsi="ArialMT;serif"/>
                <w:color w:val="000000"/>
                <w:sz w:val="18"/>
              </w:rPr>
            </w:pPr>
            <w:r>
              <w:rPr/>
              <w:t xml:space="preserve">Jóváhagyások: 946 Megjegyzések: 184 </w:t>
            </w:r>
          </w:p>
        </w:tc>
        <w:tc>
          <w:tcPr>
            <w:tcW w:w="3446"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96" w:after="140"/>
              <w:ind w:left="91" w:right="0" w:hanging="0"/>
              <w:jc w:val="left"/>
              <w:rPr>
                <w:rFonts w:ascii="Times New Roman;serif" w:hAnsi="Times New Roman;serif"/>
                <w:sz w:val="22"/>
              </w:rPr>
            </w:pPr>
            <w:r>
              <w:rPr>
                <w:rFonts w:ascii="Arial-BoldMT;serif" w:hAnsi="Arial-BoldMT;serif"/>
                <w:b/>
                <w:color w:val="000000"/>
                <w:sz w:val="18"/>
              </w:rPr>
              <w:t xml:space="preserve">Az ötlet: Közös európai nyelvre van szükségünk </w:t>
            </w:r>
            <w:r>
              <w:rPr>
                <w:rFonts w:ascii="ArialMT;serif" w:hAnsi="ArialMT;serif"/>
                <w:color w:val="000000"/>
                <w:sz w:val="18"/>
              </w:rPr>
              <w:t xml:space="preserve">(lásd </w:t>
            </w:r>
            <w:hyperlink r:id="rId2107">
              <w:r>
                <w:rPr>
                  <w:rStyle w:val="LienInternet"/>
                  <w:rFonts w:ascii="ArialMT;serif" w:hAnsi="ArialMT;serif"/>
                  <w:color w:val="0563C1"/>
                  <w:sz w:val="18"/>
                </w:rPr>
                <w:t>az ötletet</w:t>
              </w:r>
            </w:hyperlink>
            <w:r>
              <w:rPr>
                <w:rFonts w:ascii="ArialMT;serif" w:hAnsi="ArialMT;serif"/>
                <w:color w:val="000000"/>
                <w:sz w:val="18"/>
              </w:rPr>
              <w:t xml:space="preserve">) </w:t>
            </w:r>
          </w:p>
          <w:p>
            <w:pPr>
              <w:pStyle w:val="P68B1DB1Corpsdetexte15"/>
              <w:widowControl w:val="false"/>
              <w:spacing w:before="6" w:after="140"/>
              <w:ind w:left="91" w:right="1208" w:hanging="0"/>
              <w:jc w:val="left"/>
              <w:rPr>
                <w:rFonts w:ascii="ArialMT;serif" w:hAnsi="ArialMT;serif"/>
                <w:color w:val="000000"/>
                <w:sz w:val="18"/>
              </w:rPr>
            </w:pPr>
            <w:r>
              <w:rPr/>
              <w:t xml:space="preserve">Jóváhagyások: 121 hozzászólás: 191 </w:t>
            </w:r>
          </w:p>
        </w:tc>
      </w:tr>
      <w:tr>
        <w:trPr>
          <w:trHeight w:val="1871" w:hRule="atLeast"/>
        </w:trPr>
        <w:tc>
          <w:tcPr>
            <w:tcW w:w="300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68"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51" w:after="57"/>
              <w:ind w:left="102" w:right="0" w:hanging="0"/>
              <w:jc w:val="left"/>
              <w:rPr>
                <w:rFonts w:ascii="Times New Roman;serif" w:hAnsi="Times New Roman;serif"/>
                <w:sz w:val="22"/>
              </w:rPr>
            </w:pPr>
            <w:r>
              <w:rPr>
                <w:rFonts w:ascii="Arial-BoldMT;serif" w:hAnsi="Arial-BoldMT;serif"/>
                <w:b/>
                <w:color w:val="000000"/>
                <w:sz w:val="18"/>
              </w:rPr>
              <w:t xml:space="preserve">Az ötlet: Szüntesse meg a Tanács Veto-t! (A konferencia képviselőinek  benyújtott petíció) </w:t>
            </w:r>
            <w:r>
              <w:rPr>
                <w:rFonts w:ascii="ArialMT;serif" w:hAnsi="ArialMT;serif"/>
                <w:color w:val="000000"/>
                <w:sz w:val="18"/>
              </w:rPr>
              <w:t xml:space="preserve">(lásd </w:t>
            </w:r>
            <w:hyperlink r:id="rId2108">
              <w:r>
                <w:rPr>
                  <w:rStyle w:val="LienInternet"/>
                  <w:rFonts w:ascii="ArialMT;serif" w:hAnsi="ArialMT;serif"/>
                  <w:color w:val="0563C1"/>
                  <w:sz w:val="18"/>
                </w:rPr>
                <w:t>az ötletet</w:t>
              </w:r>
            </w:hyperlink>
            <w:hyperlink r:id="rId2109">
              <w:r>
                <w:rPr>
                  <w:rStyle w:val="LienInternet"/>
                  <w:rFonts w:ascii="Times New Roman;serif" w:hAnsi="Times New Roman;serif"/>
                  <w:sz w:val="22"/>
                </w:rPr>
                <w:t>)</w:t>
              </w:r>
            </w:hyperlink>
            <w:r>
              <w:rPr>
                <w:rFonts w:ascii="ArialMT;serif" w:hAnsi="ArialMT;serif"/>
                <w:color w:val="000000"/>
                <w:sz w:val="18"/>
              </w:rPr>
              <w:t xml:space="preserve"> </w:t>
            </w:r>
          </w:p>
          <w:p>
            <w:pPr>
              <w:pStyle w:val="P68B1DB1Corpsdetexte15"/>
              <w:widowControl w:val="false"/>
              <w:spacing w:lineRule="atLeast" w:line="346" w:before="11" w:after="140"/>
              <w:ind w:left="91" w:right="1208" w:hanging="0"/>
              <w:jc w:val="left"/>
              <w:rPr>
                <w:rFonts w:ascii="ArialMT;serif" w:hAnsi="ArialMT;serif"/>
                <w:color w:val="000000"/>
                <w:sz w:val="18"/>
              </w:rPr>
            </w:pPr>
            <w:r>
              <w:rPr/>
              <w:t xml:space="preserve">Jóváhagyások: 784 Megjegyzések: 88 </w:t>
            </w:r>
          </w:p>
        </w:tc>
        <w:tc>
          <w:tcPr>
            <w:tcW w:w="3446"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Az ötlet: Erősebb együtt: Demokratikus</w:t>
            </w:r>
            <w:r>
              <w:rPr>
                <w:rFonts w:ascii="Times New Roman;serif" w:hAnsi="Times New Roman;serif"/>
                <w:color w:val="000000"/>
                <w:sz w:val="22"/>
              </w:rPr>
              <w:t xml:space="preserve"> </w:t>
            </w:r>
            <w:r>
              <w:rPr>
                <w:rFonts w:ascii="Arial-BoldMT;serif" w:hAnsi="Arial-BoldMT;serif"/>
                <w:b/>
                <w:color w:val="000000"/>
                <w:sz w:val="18"/>
              </w:rPr>
              <w:t xml:space="preserve">Európai Föderáció </w:t>
            </w:r>
            <w:r>
              <w:rPr>
                <w:rFonts w:ascii="ArialMT;serif" w:hAnsi="ArialMT;serif"/>
                <w:color w:val="000000"/>
                <w:sz w:val="18"/>
              </w:rPr>
              <w:t xml:space="preserve">(lásd </w:t>
            </w:r>
            <w:hyperlink r:id="rId2110">
              <w:r>
                <w:rPr>
                  <w:rStyle w:val="LienInternet"/>
                  <w:rFonts w:ascii="ArialMT;serif" w:hAnsi="ArialMT;serif"/>
                  <w:color w:val="0563C1"/>
                  <w:sz w:val="18"/>
                </w:rPr>
                <w:t>az ötletet</w:t>
              </w:r>
            </w:hyperlink>
            <w:r>
              <w:rPr>
                <w:rFonts w:ascii="ArialMT;serif" w:hAnsi="ArialMT;serif"/>
                <w:color w:val="000000"/>
                <w:sz w:val="18"/>
              </w:rPr>
              <w:t xml:space="preserve">) </w:t>
            </w:r>
          </w:p>
          <w:p>
            <w:pPr>
              <w:pStyle w:val="P68B1DB1Corpsdetexte15"/>
              <w:widowControl w:val="false"/>
              <w:spacing w:lineRule="atLeast" w:line="346" w:before="11" w:after="140"/>
              <w:ind w:left="91" w:right="1208" w:hanging="0"/>
              <w:jc w:val="left"/>
              <w:rPr>
                <w:rFonts w:ascii="ArialMT;serif" w:hAnsi="ArialMT;serif"/>
                <w:color w:val="000000"/>
                <w:sz w:val="18"/>
              </w:rPr>
            </w:pPr>
            <w:r>
              <w:rPr/>
              <w:t xml:space="preserve">Jóváhagyások: 946 Megjegyzések: 184 </w:t>
            </w:r>
          </w:p>
        </w:tc>
      </w:tr>
      <w:tr>
        <w:trPr>
          <w:trHeight w:val="1871" w:hRule="atLeast"/>
        </w:trPr>
        <w:tc>
          <w:tcPr>
            <w:tcW w:w="300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68"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51" w:after="57"/>
              <w:ind w:left="102" w:right="0" w:hanging="0"/>
              <w:jc w:val="left"/>
              <w:rPr>
                <w:rFonts w:ascii="Times New Roman;serif" w:hAnsi="Times New Roman;serif"/>
                <w:sz w:val="22"/>
              </w:rPr>
            </w:pPr>
            <w:r>
              <w:rPr>
                <w:rFonts w:ascii="Arial-BoldMT;serif" w:hAnsi="Arial-BoldMT;serif"/>
                <w:b/>
                <w:color w:val="000000"/>
                <w:sz w:val="18"/>
              </w:rPr>
              <w:t>Az ötlet:</w:t>
            </w:r>
            <w:r>
              <w:rPr>
                <w:rFonts w:ascii="Times New Roman;serif" w:hAnsi="Times New Roman;serif"/>
                <w:color w:val="000000"/>
                <w:sz w:val="22"/>
              </w:rPr>
              <w:t xml:space="preserve"> </w:t>
            </w:r>
            <w:r>
              <w:rPr>
                <w:rFonts w:ascii="Arial-BoldMT;serif" w:hAnsi="Arial-BoldMT;serif"/>
                <w:b/>
                <w:color w:val="000000"/>
                <w:sz w:val="18"/>
              </w:rPr>
              <w:t>A</w:t>
            </w:r>
            <w:r>
              <w:rPr>
                <w:rFonts w:ascii="Times New Roman;serif" w:hAnsi="Times New Roman;serif"/>
                <w:color w:val="000000"/>
                <w:sz w:val="22"/>
              </w:rPr>
              <w:t xml:space="preserve"> </w:t>
            </w:r>
            <w:r>
              <w:rPr>
                <w:rFonts w:ascii="Arial-BoldMT;serif" w:hAnsi="Arial-BoldMT;serif"/>
                <w:b/>
                <w:color w:val="000000"/>
                <w:sz w:val="18"/>
              </w:rPr>
              <w:t>polgárokon</w:t>
            </w:r>
            <w:r>
              <w:rPr>
                <w:rFonts w:ascii="Times New Roman;serif" w:hAnsi="Times New Roman;serif"/>
                <w:color w:val="000000"/>
                <w:sz w:val="22"/>
              </w:rPr>
              <w:t xml:space="preserve"> </w:t>
            </w:r>
            <w:r>
              <w:rPr>
                <w:rFonts w:ascii="Arial-BoldMT;serif" w:hAnsi="Arial-BoldMT;serif"/>
                <w:b/>
                <w:color w:val="000000"/>
                <w:sz w:val="18"/>
              </w:rPr>
              <w:t>alapuló</w:t>
            </w:r>
            <w:r>
              <w:rPr>
                <w:rFonts w:ascii="Times New Roman;serif" w:hAnsi="Times New Roman;serif"/>
                <w:color w:val="000000"/>
                <w:sz w:val="22"/>
              </w:rPr>
              <w:t xml:space="preserve"> </w:t>
            </w:r>
            <w:r>
              <w:rPr>
                <w:rFonts w:ascii="Arial-BoldMT;serif" w:hAnsi="Arial-BoldMT;serif"/>
                <w:b/>
                <w:color w:val="000000"/>
                <w:sz w:val="18"/>
              </w:rPr>
              <w:t xml:space="preserve"> európai demokráciára </w:t>
            </w:r>
            <w:r>
              <w:rPr>
                <w:rFonts w:ascii="Times New Roman;serif" w:hAnsi="Times New Roman;serif"/>
                <w:color w:val="000000"/>
                <w:sz w:val="22"/>
              </w:rPr>
              <w:t xml:space="preserve"> </w:t>
            </w:r>
            <w:r>
              <w:rPr>
                <w:rFonts w:ascii="Arial-BoldMT;serif" w:hAnsi="Arial-BoldMT;serif"/>
                <w:b/>
                <w:color w:val="000000"/>
                <w:sz w:val="18"/>
              </w:rPr>
              <w:t>vonatkozóreformterv</w:t>
            </w:r>
            <w:r>
              <w:rPr>
                <w:rFonts w:ascii="Times New Roman;serif" w:hAnsi="Times New Roman;serif"/>
                <w:color w:val="000000"/>
                <w:sz w:val="22"/>
              </w:rPr>
              <w:t xml:space="preserve"> </w:t>
            </w:r>
            <w:r>
              <w:rPr>
                <w:rFonts w:ascii="ArialMT;serif" w:hAnsi="ArialMT;serif"/>
                <w:color w:val="000000"/>
                <w:sz w:val="18"/>
              </w:rPr>
              <w:t xml:space="preserve">(lásd az </w:t>
            </w:r>
            <w:hyperlink r:id="rId2111">
              <w:r>
                <w:rPr>
                  <w:rStyle w:val="LienInternet"/>
                  <w:rFonts w:ascii="ArialMT;serif" w:hAnsi="ArialMT;serif"/>
                  <w:color w:val="0563C1"/>
                  <w:sz w:val="18"/>
                </w:rPr>
                <w:t>ötletet</w:t>
              </w:r>
            </w:hyperlink>
            <w:r>
              <w:rPr>
                <w:rFonts w:ascii="ArialMT;serif" w:hAnsi="ArialMT;serif"/>
                <w:color w:val="000000"/>
                <w:sz w:val="18"/>
              </w:rPr>
              <w:t xml:space="preserve">) </w:t>
            </w:r>
          </w:p>
          <w:p>
            <w:pPr>
              <w:pStyle w:val="P68B1DB1Corpsdetexte15"/>
              <w:widowControl w:val="false"/>
              <w:spacing w:lineRule="atLeast" w:line="351" w:before="17" w:after="140"/>
              <w:ind w:left="91" w:right="1208" w:hanging="0"/>
              <w:jc w:val="left"/>
              <w:rPr>
                <w:rFonts w:ascii="ArialMT;serif" w:hAnsi="ArialMT;serif"/>
                <w:color w:val="000000"/>
                <w:sz w:val="18"/>
              </w:rPr>
            </w:pPr>
            <w:r>
              <w:rPr/>
              <w:t xml:space="preserve">Jóváhagyások: 613 hozzászólás: 62 </w:t>
            </w:r>
          </w:p>
        </w:tc>
        <w:tc>
          <w:tcPr>
            <w:tcW w:w="3446"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Az ötlet: Közvetlenül megválasztják az Európai Unió elnökét</w:t>
            </w:r>
            <w:r>
              <w:rPr>
                <w:rFonts w:ascii="Times New Roman;serif" w:hAnsi="Times New Roman;serif"/>
                <w:color w:val="000000"/>
                <w:sz w:val="22"/>
              </w:rPr>
              <w:t xml:space="preserve"> </w:t>
            </w:r>
            <w:r>
              <w:rPr>
                <w:rFonts w:ascii="ArialMT;serif" w:hAnsi="ArialMT;serif"/>
                <w:color w:val="000000"/>
                <w:sz w:val="18"/>
              </w:rPr>
              <w:t xml:space="preserve">(lásd az </w:t>
            </w:r>
            <w:hyperlink r:id="rId2112">
              <w:r>
                <w:rPr>
                  <w:rStyle w:val="LienInternet"/>
                  <w:rFonts w:ascii="ArialMT;serif" w:hAnsi="ArialMT;serif"/>
                  <w:color w:val="0563C1"/>
                  <w:sz w:val="18"/>
                </w:rPr>
                <w:t>ötletet</w:t>
              </w:r>
            </w:hyperlink>
            <w:r>
              <w:rPr>
                <w:rFonts w:ascii="ArialMT;serif" w:hAnsi="ArialMT;serif"/>
                <w:color w:val="000000"/>
                <w:sz w:val="18"/>
              </w:rPr>
              <w:t xml:space="preserve">) </w:t>
            </w:r>
          </w:p>
          <w:p>
            <w:pPr>
              <w:pStyle w:val="P68B1DB1Corpsdetexte15"/>
              <w:widowControl w:val="false"/>
              <w:spacing w:lineRule="atLeast" w:line="351" w:before="11" w:after="140"/>
              <w:ind w:left="91" w:right="1208" w:hanging="0"/>
              <w:jc w:val="left"/>
              <w:rPr>
                <w:rFonts w:ascii="ArialMT;serif" w:hAnsi="ArialMT;serif"/>
                <w:color w:val="000000"/>
                <w:sz w:val="18"/>
              </w:rPr>
            </w:pPr>
            <w:r>
              <w:rPr/>
              <w:t xml:space="preserve">Jóváhagyások: 222 Megjegyzések: 114 </w:t>
            </w:r>
          </w:p>
        </w:tc>
      </w:tr>
      <w:tr>
        <w:trPr>
          <w:trHeight w:val="1871" w:hRule="atLeast"/>
        </w:trPr>
        <w:tc>
          <w:tcPr>
            <w:tcW w:w="300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68"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51" w:after="57"/>
              <w:ind w:left="102" w:right="0" w:hanging="0"/>
              <w:jc w:val="left"/>
              <w:rPr>
                <w:rFonts w:ascii="Times New Roman;serif" w:hAnsi="Times New Roman;serif"/>
                <w:sz w:val="22"/>
              </w:rPr>
            </w:pPr>
            <w:r>
              <w:rPr>
                <w:rFonts w:ascii="Arial-BoldMT;serif" w:hAnsi="Arial-BoldMT;serif"/>
                <w:b/>
                <w:color w:val="000000"/>
                <w:sz w:val="18"/>
              </w:rPr>
              <w:t>Az ötlet:</w:t>
            </w:r>
            <w:r>
              <w:rPr>
                <w:rFonts w:ascii="Times New Roman;serif" w:hAnsi="Times New Roman;serif"/>
                <w:color w:val="000000"/>
                <w:sz w:val="22"/>
              </w:rPr>
              <w:t xml:space="preserve"> </w:t>
            </w:r>
            <w:r>
              <w:rPr>
                <w:rFonts w:ascii="Arial-BoldMT;serif" w:hAnsi="Arial-BoldMT;serif"/>
                <w:b/>
                <w:color w:val="000000"/>
                <w:sz w:val="18"/>
              </w:rPr>
              <w:t>Nem</w:t>
            </w:r>
            <w:r>
              <w:rPr>
                <w:rFonts w:ascii="Times New Roman;serif" w:hAnsi="Times New Roman;serif"/>
                <w:color w:val="000000"/>
                <w:sz w:val="22"/>
              </w:rPr>
              <w:t xml:space="preserve"> </w:t>
            </w:r>
            <w:r>
              <w:rPr>
                <w:rFonts w:ascii="Arial-BoldMT;serif" w:hAnsi="Arial-BoldMT;serif"/>
                <w:b/>
                <w:color w:val="000000"/>
                <w:sz w:val="18"/>
              </w:rPr>
              <w:t>létezhet</w:t>
            </w:r>
            <w:r>
              <w:rPr>
                <w:rFonts w:ascii="Times New Roman;serif" w:hAnsi="Times New Roman;serif"/>
                <w:color w:val="000000"/>
                <w:sz w:val="22"/>
              </w:rPr>
              <w:t xml:space="preserve">   </w:t>
            </w:r>
            <w:r>
              <w:rPr>
                <w:rFonts w:ascii="Arial-BoldMT;serif" w:hAnsi="Arial-BoldMT;serif"/>
                <w:b/>
                <w:color w:val="000000"/>
                <w:sz w:val="18"/>
              </w:rPr>
              <w:t>valódi európai</w:t>
            </w:r>
            <w:r>
              <w:rPr>
                <w:rFonts w:ascii="Times New Roman;serif" w:hAnsi="Times New Roman;serif"/>
                <w:color w:val="000000"/>
                <w:sz w:val="22"/>
              </w:rPr>
              <w:t xml:space="preserve"> </w:t>
            </w:r>
            <w:r>
              <w:rPr>
                <w:rFonts w:ascii="Arial-BoldMT;serif" w:hAnsi="Arial-BoldMT;serif"/>
                <w:b/>
                <w:color w:val="000000"/>
                <w:sz w:val="18"/>
              </w:rPr>
              <w:t>demokrácia</w:t>
            </w:r>
            <w:r>
              <w:rPr>
                <w:rFonts w:ascii="Times New Roman;serif" w:hAnsi="Times New Roman;serif"/>
                <w:color w:val="000000"/>
                <w:sz w:val="22"/>
              </w:rPr>
              <w:t xml:space="preserve"> az </w:t>
            </w:r>
            <w:r>
              <w:rPr>
                <w:rFonts w:ascii="Arial-BoldMT;serif" w:hAnsi="Arial-BoldMT;serif"/>
                <w:b/>
                <w:color w:val="000000"/>
                <w:sz w:val="18"/>
              </w:rPr>
              <w:t xml:space="preserve">EU autonóm fiskális hatalma nélkül (fordítva) ( </w:t>
            </w:r>
            <w:r>
              <w:rPr>
                <w:rFonts w:ascii="ArialMT;serif" w:hAnsi="ArialMT;serif"/>
                <w:color w:val="000000"/>
                <w:sz w:val="18"/>
              </w:rPr>
              <w:t xml:space="preserve">lásd az </w:t>
            </w:r>
            <w:hyperlink r:id="rId2113">
              <w:r>
                <w:rPr>
                  <w:rStyle w:val="LienInternet"/>
                  <w:rFonts w:ascii="ArialMT;serif" w:hAnsi="ArialMT;serif"/>
                  <w:color w:val="0563C1"/>
                  <w:sz w:val="18"/>
                </w:rPr>
                <w:t>ötletet</w:t>
              </w:r>
            </w:hyperlink>
            <w:r>
              <w:rPr>
                <w:rFonts w:ascii="ArialMT;serif" w:hAnsi="ArialMT;serif"/>
                <w:color w:val="000000"/>
                <w:sz w:val="18"/>
              </w:rPr>
              <w:t xml:space="preserve">) </w:t>
            </w:r>
          </w:p>
          <w:p>
            <w:pPr>
              <w:pStyle w:val="P68B1DB1Corpsdetexte15"/>
              <w:widowControl w:val="false"/>
              <w:spacing w:lineRule="atLeast" w:line="351" w:before="11" w:after="140"/>
              <w:ind w:left="91" w:right="1208" w:hanging="0"/>
              <w:jc w:val="left"/>
              <w:rPr>
                <w:rFonts w:ascii="ArialMT;serif" w:hAnsi="ArialMT;serif"/>
                <w:color w:val="000000"/>
                <w:sz w:val="18"/>
              </w:rPr>
            </w:pPr>
            <w:r>
              <w:rPr/>
              <w:t>Jóváhagyások: 588 Megjegyzések: 38</w:t>
            </w:r>
          </w:p>
          <w:p>
            <w:pPr>
              <w:pStyle w:val="Contenudetableau"/>
              <w:widowControl w:val="false"/>
              <w:spacing w:before="51" w:after="57"/>
              <w:ind w:left="0" w:right="0" w:hanging="0"/>
              <w:jc w:val="left"/>
              <w:rPr>
                <w:rFonts w:ascii="Arial-BoldMT;serif" w:hAnsi="Arial-BoldMT;serif"/>
                <w:sz w:val="22"/>
              </w:rPr>
            </w:pPr>
            <w:r>
              <w:rPr>
                <w:rFonts w:ascii="Arial-BoldMT;serif" w:hAnsi="Arial-BoldMT;serif"/>
                <w:sz w:val="22"/>
              </w:rPr>
            </w:r>
          </w:p>
        </w:tc>
        <w:tc>
          <w:tcPr>
            <w:tcW w:w="3446"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Az ötlet:</w:t>
            </w:r>
            <w:r>
              <w:rPr>
                <w:rFonts w:ascii="Times New Roman;serif" w:hAnsi="Times New Roman;serif"/>
                <w:color w:val="000000"/>
                <w:sz w:val="22"/>
              </w:rPr>
              <w:t xml:space="preserve"> </w:t>
            </w:r>
            <w:r>
              <w:rPr>
                <w:rFonts w:ascii="Arial-BoldMT;serif" w:hAnsi="Arial-BoldMT;serif"/>
                <w:b/>
                <w:color w:val="000000"/>
                <w:sz w:val="18"/>
              </w:rPr>
              <w:t>Jobb</w:t>
            </w:r>
            <w:r>
              <w:rPr>
                <w:rFonts w:ascii="Times New Roman;serif" w:hAnsi="Times New Roman;serif"/>
                <w:color w:val="000000"/>
                <w:sz w:val="22"/>
              </w:rPr>
              <w:t xml:space="preserve"> </w:t>
            </w:r>
            <w:r>
              <w:rPr>
                <w:rFonts w:ascii="Arial-BoldMT;serif" w:hAnsi="Arial-BoldMT;serif"/>
                <w:b/>
                <w:color w:val="000000"/>
                <w:sz w:val="18"/>
              </w:rPr>
              <w:t>nyelvtudás</w:t>
            </w:r>
            <w:r>
              <w:rPr>
                <w:rFonts w:ascii="Times New Roman;serif" w:hAnsi="Times New Roman;serif"/>
                <w:color w:val="000000"/>
                <w:sz w:val="22"/>
              </w:rPr>
              <w:t xml:space="preserve">  – </w:t>
            </w:r>
            <w:r>
              <w:rPr>
                <w:rFonts w:ascii="Arial-BoldMT;serif" w:hAnsi="Arial-BoldMT;serif"/>
                <w:b/>
                <w:color w:val="000000"/>
                <w:sz w:val="18"/>
              </w:rPr>
              <w:t>jobb</w:t>
            </w:r>
            <w:r>
              <w:rPr>
                <w:rFonts w:ascii="Times New Roman;serif" w:hAnsi="Times New Roman;serif"/>
                <w:color w:val="000000"/>
                <w:sz w:val="22"/>
              </w:rPr>
              <w:t xml:space="preserve"> </w:t>
            </w:r>
            <w:r>
              <w:rPr>
                <w:rFonts w:ascii="Arial-BoldMT;serif" w:hAnsi="Arial-BoldMT;serif"/>
                <w:b/>
                <w:color w:val="000000"/>
                <w:sz w:val="18"/>
              </w:rPr>
              <w:t>demokrácia.</w:t>
            </w:r>
            <w:r>
              <w:rPr>
                <w:rFonts w:ascii="Times New Roman;serif" w:hAnsi="Times New Roman;serif"/>
                <w:color w:val="000000"/>
                <w:sz w:val="22"/>
              </w:rPr>
              <w:t xml:space="preserve"> </w:t>
            </w:r>
            <w:r>
              <w:rPr>
                <w:rFonts w:ascii="Arial-BoldMT;serif" w:hAnsi="Arial-BoldMT;serif"/>
                <w:b/>
                <w:color w:val="000000"/>
                <w:sz w:val="18"/>
              </w:rPr>
              <w:t>Angol</w:t>
            </w:r>
            <w:r>
              <w:rPr>
                <w:rFonts w:ascii="Times New Roman;serif" w:hAnsi="Times New Roman;serif"/>
                <w:color w:val="000000"/>
                <w:sz w:val="22"/>
              </w:rPr>
              <w:t xml:space="preserve"> </w:t>
            </w:r>
            <w:r>
              <w:rPr>
                <w:rFonts w:ascii="Arial-BoldMT;serif" w:hAnsi="Arial-BoldMT;serif"/>
                <w:b/>
                <w:color w:val="000000"/>
                <w:sz w:val="18"/>
              </w:rPr>
              <w:t>és eszperantó!</w:t>
            </w:r>
            <w:r>
              <w:rPr>
                <w:rFonts w:ascii="Times New Roman;serif" w:hAnsi="Times New Roman;serif"/>
                <w:color w:val="000000"/>
                <w:sz w:val="22"/>
              </w:rPr>
              <w:t xml:space="preserve"> </w:t>
            </w:r>
            <w:r>
              <w:rPr>
                <w:rFonts w:ascii="ArialMT;serif" w:hAnsi="ArialMT;serif"/>
                <w:color w:val="000000"/>
                <w:sz w:val="18"/>
              </w:rPr>
              <w:t xml:space="preserve">(lásd </w:t>
            </w:r>
            <w:hyperlink r:id="rId2114">
              <w:r>
                <w:rPr>
                  <w:rStyle w:val="LienInternet"/>
                  <w:rFonts w:ascii="ArialMT;serif" w:hAnsi="ArialMT;serif"/>
                  <w:color w:val="0563C1"/>
                  <w:sz w:val="18"/>
                </w:rPr>
                <w:t>az ötletet</w:t>
              </w:r>
            </w:hyperlink>
            <w:r>
              <w:rPr>
                <w:rFonts w:ascii="ArialMT;serif" w:hAnsi="ArialMT;serif"/>
                <w:color w:val="000000"/>
                <w:sz w:val="18"/>
              </w:rPr>
              <w:t xml:space="preserve">) </w:t>
            </w:r>
          </w:p>
          <w:p>
            <w:pPr>
              <w:pStyle w:val="P68B1DB1Corpsdetexte15"/>
              <w:widowControl w:val="false"/>
              <w:spacing w:lineRule="atLeast" w:line="351" w:before="11" w:after="140"/>
              <w:ind w:left="91" w:right="1208" w:hanging="0"/>
              <w:jc w:val="left"/>
              <w:rPr>
                <w:rFonts w:ascii="ArialMT;serif" w:hAnsi="ArialMT;serif"/>
                <w:color w:val="000000"/>
                <w:sz w:val="18"/>
              </w:rPr>
            </w:pPr>
            <w:r>
              <w:rPr/>
              <w:t xml:space="preserve">Jóváhagyások: 180 hozzászólás: 110 </w:t>
            </w:r>
          </w:p>
        </w:tc>
      </w:tr>
    </w:tbl>
    <w:p>
      <w:pPr>
        <w:pStyle w:val="Normal"/>
        <w:jc w:val="left"/>
        <w:rPr/>
      </w:pPr>
      <w:r>
        <w:rPr/>
      </w:r>
      <w:r>
        <w:br w:type="page"/>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975"/>
        <w:gridCol w:w="132"/>
        <w:gridCol w:w="3017"/>
        <w:gridCol w:w="125"/>
        <w:gridCol w:w="202"/>
        <w:gridCol w:w="2919"/>
        <w:gridCol w:w="244"/>
      </w:tblGrid>
      <w:tr>
        <w:trPr>
          <w:trHeight w:val="386" w:hRule="atLeast"/>
        </w:trPr>
        <w:tc>
          <w:tcPr>
            <w:tcW w:w="2975"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132"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3017"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A legtöbb támogatott </w:t>
            </w:r>
          </w:p>
        </w:tc>
        <w:tc>
          <w:tcPr>
            <w:tcW w:w="125"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2"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19"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A legtöbb hozzászólás </w:t>
            </w:r>
          </w:p>
        </w:tc>
        <w:tc>
          <w:tcPr>
            <w:tcW w:w="244"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975"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4"/>
              <w:widowControl w:val="false"/>
              <w:spacing w:before="51" w:after="57"/>
              <w:ind w:left="91" w:right="0" w:hanging="0"/>
              <w:jc w:val="left"/>
              <w:rPr>
                <w:rFonts w:ascii="Arial-BoldMT;serif" w:hAnsi="Arial-BoldMT;serif"/>
                <w:color w:val="000000"/>
                <w:sz w:val="22"/>
              </w:rPr>
            </w:pPr>
            <w:r>
              <w:rPr/>
              <w:t xml:space="preserve">Migráció </w:t>
            </w:r>
          </w:p>
        </w:tc>
        <w:tc>
          <w:tcPr>
            <w:tcW w:w="327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51" w:after="57"/>
              <w:ind w:left="113" w:right="0" w:hanging="0"/>
              <w:jc w:val="left"/>
              <w:rPr>
                <w:rFonts w:ascii="Times New Roman;serif" w:hAnsi="Times New Roman;serif"/>
                <w:sz w:val="22"/>
              </w:rPr>
            </w:pPr>
            <w:r>
              <w:rPr>
                <w:rFonts w:ascii="Arial-BoldMT;serif" w:hAnsi="Arial-BoldMT;serif"/>
                <w:b/>
                <w:color w:val="000000"/>
                <w:sz w:val="18"/>
              </w:rPr>
              <w:t>Az ötlet:</w:t>
            </w:r>
            <w:r>
              <w:rPr>
                <w:rFonts w:ascii="Times New Roman;serif" w:hAnsi="Times New Roman;serif"/>
                <w:color w:val="000000"/>
                <w:sz w:val="22"/>
              </w:rPr>
              <w:t xml:space="preserve"> </w:t>
            </w:r>
            <w:r>
              <w:rPr>
                <w:rFonts w:ascii="Arial-BoldMT;serif" w:hAnsi="Arial-BoldMT;serif"/>
                <w:b/>
                <w:color w:val="000000"/>
                <w:sz w:val="18"/>
              </w:rPr>
              <w:t>Közös</w:t>
            </w:r>
            <w:r>
              <w:rPr>
                <w:rFonts w:ascii="Times New Roman;serif" w:hAnsi="Times New Roman;serif"/>
                <w:color w:val="000000"/>
                <w:sz w:val="22"/>
              </w:rPr>
              <w:t xml:space="preserve">  </w:t>
            </w:r>
            <w:r>
              <w:rPr>
                <w:rFonts w:ascii="Arial-BoldMT;serif" w:hAnsi="Arial-BoldMT;serif"/>
                <w:b/>
                <w:color w:val="000000"/>
                <w:sz w:val="18"/>
              </w:rPr>
              <w:t>migrációs</w:t>
            </w:r>
            <w:r>
              <w:rPr>
                <w:rFonts w:ascii="Times New Roman;serif" w:hAnsi="Times New Roman;serif"/>
                <w:color w:val="000000"/>
                <w:sz w:val="22"/>
              </w:rPr>
              <w:t xml:space="preserve"> </w:t>
            </w:r>
            <w:r>
              <w:rPr>
                <w:rFonts w:ascii="Arial-BoldMT;serif" w:hAnsi="Arial-BoldMT;serif"/>
                <w:b/>
                <w:color w:val="000000"/>
                <w:sz w:val="18"/>
              </w:rPr>
              <w:t>és menekültügyi</w:t>
            </w:r>
            <w:r>
              <w:rPr>
                <w:rFonts w:ascii="Times New Roman;serif" w:hAnsi="Times New Roman;serif"/>
                <w:color w:val="000000"/>
                <w:sz w:val="22"/>
              </w:rPr>
              <w:t xml:space="preserve"> </w:t>
            </w:r>
            <w:r>
              <w:rPr>
                <w:rFonts w:ascii="Arial-BoldMT;serif" w:hAnsi="Arial-BoldMT;serif"/>
                <w:b/>
                <w:color w:val="000000"/>
                <w:sz w:val="18"/>
              </w:rPr>
              <w:t xml:space="preserve">politika, amely a jogok és az egyenlő bánásmód  tiszteletben tartásán alapul </w:t>
            </w:r>
            <w:r>
              <w:rPr>
                <w:rFonts w:ascii="Times New Roman;serif" w:hAnsi="Times New Roman;serif"/>
                <w:color w:val="000000"/>
                <w:sz w:val="22"/>
              </w:rPr>
              <w:t xml:space="preserve"> </w:t>
            </w:r>
            <w:r>
              <w:rPr>
                <w:rFonts w:ascii="ArialMT;serif" w:hAnsi="ArialMT;serif"/>
                <w:color w:val="000000"/>
                <w:sz w:val="18"/>
              </w:rPr>
              <w:t xml:space="preserve">(lásd </w:t>
            </w:r>
            <w:hyperlink r:id="rId2115">
              <w:r>
                <w:rPr>
                  <w:rStyle w:val="LienInternet"/>
                  <w:rFonts w:ascii="Times New Roman;serif" w:hAnsi="Times New Roman;serif"/>
                  <w:sz w:val="22"/>
                </w:rPr>
                <w:t>az ötletet</w:t>
              </w:r>
            </w:hyperlink>
            <w:r>
              <w:rPr>
                <w:rFonts w:ascii="ArialMT;serif" w:hAnsi="ArialMT;serif"/>
                <w:color w:val="0563C1"/>
                <w:sz w:val="18"/>
              </w:rPr>
              <w:t xml:space="preserve">) </w:t>
            </w:r>
          </w:p>
          <w:p>
            <w:pPr>
              <w:pStyle w:val="P68B1DB1Contenudetableau17"/>
              <w:widowControl w:val="false"/>
              <w:spacing w:before="0" w:after="57"/>
              <w:ind w:left="113" w:right="1281" w:hanging="0"/>
              <w:jc w:val="left"/>
              <w:rPr>
                <w:rFonts w:ascii="ArialMT;serif" w:hAnsi="ArialMT;serif"/>
                <w:color w:val="000000"/>
                <w:sz w:val="18"/>
              </w:rPr>
            </w:pPr>
            <w:r>
              <w:rPr/>
              <w:t>Jóváhagyások: 484</w:t>
            </w:r>
          </w:p>
          <w:p>
            <w:pPr>
              <w:pStyle w:val="P68B1DB1Contenudetableau17"/>
              <w:widowControl w:val="false"/>
              <w:spacing w:before="0" w:after="57"/>
              <w:ind w:left="113" w:right="1281" w:hanging="0"/>
              <w:jc w:val="left"/>
              <w:rPr>
                <w:rFonts w:ascii="ArialMT;serif" w:hAnsi="ArialMT;serif"/>
                <w:color w:val="000000"/>
                <w:sz w:val="18"/>
              </w:rPr>
            </w:pPr>
            <w:r>
              <w:rPr/>
              <w:t xml:space="preserve"> </w:t>
            </w:r>
            <w:r>
              <w:rPr/>
              <w:t xml:space="preserve">Hozzászólások: 56 </w:t>
            </w:r>
          </w:p>
        </w:tc>
        <w:tc>
          <w:tcPr>
            <w:tcW w:w="3365"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Az ötlet: Nincs több bevándorlás a</w:t>
            </w:r>
            <w:r>
              <w:rPr>
                <w:rFonts w:ascii="Times New Roman;serif" w:hAnsi="Times New Roman;serif"/>
                <w:color w:val="000000"/>
                <w:sz w:val="22"/>
              </w:rPr>
              <w:t xml:space="preserve"> </w:t>
            </w:r>
            <w:r>
              <w:rPr>
                <w:rFonts w:ascii="Arial-BoldMT;serif" w:hAnsi="Arial-BoldMT;serif"/>
                <w:b/>
                <w:color w:val="000000"/>
                <w:sz w:val="18"/>
              </w:rPr>
              <w:t>nem európai</w:t>
            </w:r>
            <w:r>
              <w:rPr>
                <w:rFonts w:ascii="Times New Roman;serif" w:hAnsi="Times New Roman;serif"/>
                <w:color w:val="000000"/>
                <w:sz w:val="22"/>
              </w:rPr>
              <w:t xml:space="preserve"> </w:t>
            </w:r>
            <w:r>
              <w:rPr>
                <w:rFonts w:ascii="Arial-BoldMT;serif" w:hAnsi="Arial-BoldMT;serif"/>
                <w:b/>
                <w:color w:val="000000"/>
                <w:sz w:val="18"/>
              </w:rPr>
              <w:t>vagy</w:t>
            </w:r>
            <w:r>
              <w:rPr>
                <w:rFonts w:ascii="Times New Roman;serif" w:hAnsi="Times New Roman;serif"/>
                <w:color w:val="000000"/>
                <w:sz w:val="22"/>
              </w:rPr>
              <w:t xml:space="preserve"> </w:t>
            </w:r>
            <w:r>
              <w:rPr>
                <w:rFonts w:ascii="Arial-BoldMT;serif" w:hAnsi="Arial-BoldMT;serif"/>
                <w:b/>
                <w:color w:val="000000"/>
                <w:sz w:val="18"/>
              </w:rPr>
              <w:t>nem</w:t>
            </w:r>
            <w:r>
              <w:rPr>
                <w:rFonts w:ascii="Times New Roman;serif" w:hAnsi="Times New Roman;serif"/>
                <w:color w:val="000000"/>
                <w:sz w:val="22"/>
              </w:rPr>
              <w:t xml:space="preserve"> </w:t>
            </w:r>
            <w:r>
              <w:rPr>
                <w:rFonts w:ascii="Arial-BoldMT;serif" w:hAnsi="Arial-BoldMT;serif"/>
                <w:b/>
                <w:color w:val="000000"/>
                <w:sz w:val="18"/>
              </w:rPr>
              <w:t>első világ országaiból</w:t>
            </w:r>
            <w:r>
              <w:rPr>
                <w:rFonts w:ascii="Times New Roman;serif" w:hAnsi="Times New Roman;serif"/>
                <w:color w:val="000000"/>
                <w:sz w:val="22"/>
              </w:rPr>
              <w:t xml:space="preserve"> </w:t>
            </w:r>
            <w:r>
              <w:rPr>
                <w:rFonts w:ascii="ArialMT;serif" w:hAnsi="ArialMT;serif"/>
                <w:color w:val="000000"/>
                <w:sz w:val="18"/>
              </w:rPr>
              <w:t xml:space="preserve">(lásd az </w:t>
            </w:r>
            <w:hyperlink r:id="rId2116">
              <w:r>
                <w:rPr>
                  <w:rStyle w:val="LienInternet"/>
                  <w:rFonts w:ascii="ArialMT;serif" w:hAnsi="ArialMT;serif"/>
                  <w:color w:val="0563C1"/>
                  <w:sz w:val="18"/>
                </w:rPr>
                <w:t>ötletet</w:t>
              </w:r>
            </w:hyperlink>
            <w:r>
              <w:rPr>
                <w:rFonts w:ascii="ArialMT;serif" w:hAnsi="ArialMT;serif"/>
                <w:color w:val="000000"/>
                <w:sz w:val="18"/>
              </w:rPr>
              <w:t xml:space="preserve">) </w:t>
            </w:r>
          </w:p>
          <w:p>
            <w:pPr>
              <w:pStyle w:val="P68B1DB1Contenudetableau21"/>
              <w:widowControl w:val="false"/>
              <w:jc w:val="left"/>
              <w:rPr>
                <w:sz w:val="18"/>
              </w:rPr>
            </w:pPr>
            <w:r>
              <w:rPr/>
              <w:t xml:space="preserve">Jóváhagyások: 135 </w:t>
            </w:r>
          </w:p>
          <w:p>
            <w:pPr>
              <w:pStyle w:val="Contenudetableau"/>
              <w:widowControl w:val="false"/>
              <w:jc w:val="left"/>
              <w:rPr/>
            </w:pPr>
            <w:r>
              <w:rPr>
                <w:sz w:val="18"/>
              </w:rPr>
              <w:t>Hozzászólások: 139</w:t>
            </w:r>
            <w:r>
              <w:rPr/>
              <w:t xml:space="preserve"> </w:t>
            </w:r>
          </w:p>
          <w:p>
            <w:pPr>
              <w:pStyle w:val="Contenudetableau"/>
              <w:widowControl w:val="false"/>
              <w:spacing w:before="0" w:after="57"/>
              <w:ind w:left="0" w:right="0" w:hanging="0"/>
              <w:jc w:val="left"/>
              <w:rPr/>
            </w:pPr>
            <w:r>
              <w:rPr/>
            </w:r>
          </w:p>
        </w:tc>
      </w:tr>
      <w:tr>
        <w:trPr/>
        <w:tc>
          <w:tcPr>
            <w:tcW w:w="297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27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Az ötlet: Nincs több bevándorlás a nem európai vagy nem első világ országaiból</w:t>
            </w:r>
            <w:r>
              <w:rPr>
                <w:rFonts w:ascii="Times New Roman;serif" w:hAnsi="Times New Roman;serif"/>
                <w:color w:val="000000"/>
                <w:sz w:val="22"/>
              </w:rPr>
              <w:t xml:space="preserve"> </w:t>
            </w:r>
            <w:r>
              <w:rPr>
                <w:rFonts w:ascii="ArialMT;serif" w:hAnsi="ArialMT;serif"/>
                <w:color w:val="000000"/>
                <w:sz w:val="18"/>
              </w:rPr>
              <w:t xml:space="preserve">(lásd az </w:t>
            </w:r>
            <w:hyperlink r:id="rId2117">
              <w:r>
                <w:rPr>
                  <w:rStyle w:val="LienInternet"/>
                  <w:rFonts w:ascii="ArialMT;serif" w:hAnsi="ArialMT;serif"/>
                  <w:color w:val="0563C1"/>
                  <w:sz w:val="18"/>
                </w:rPr>
                <w:t>ötletet</w:t>
              </w:r>
            </w:hyperlink>
            <w:r>
              <w:rPr>
                <w:rFonts w:ascii="ArialMT;serif" w:hAnsi="ArialMT;serif"/>
                <w:color w:val="000000"/>
                <w:sz w:val="18"/>
              </w:rPr>
              <w:t xml:space="preserve">) </w:t>
            </w:r>
          </w:p>
          <w:p>
            <w:pPr>
              <w:pStyle w:val="P68B1DB1Contenudetableau17"/>
              <w:widowControl w:val="false"/>
              <w:spacing w:before="6" w:after="57"/>
              <w:ind w:left="91" w:right="1281" w:hanging="0"/>
              <w:jc w:val="left"/>
              <w:rPr>
                <w:rFonts w:ascii="ArialMT;serif" w:hAnsi="ArialMT;serif"/>
                <w:color w:val="000000"/>
                <w:sz w:val="18"/>
              </w:rPr>
            </w:pPr>
            <w:r>
              <w:rPr/>
              <w:t>Jóváhagyások: 135</w:t>
            </w:r>
          </w:p>
          <w:p>
            <w:pPr>
              <w:pStyle w:val="P68B1DB1Contenudetableau17"/>
              <w:widowControl w:val="false"/>
              <w:spacing w:before="6" w:after="57"/>
              <w:ind w:left="91" w:right="1281" w:hanging="0"/>
              <w:jc w:val="left"/>
              <w:rPr>
                <w:rFonts w:ascii="ArialMT;serif" w:hAnsi="ArialMT;serif"/>
                <w:color w:val="000000"/>
                <w:sz w:val="18"/>
              </w:rPr>
            </w:pPr>
            <w:r>
              <w:rPr/>
              <w:t xml:space="preserve"> </w:t>
            </w:r>
            <w:r>
              <w:rPr/>
              <w:t xml:space="preserve">Hozzászólások: 139 </w:t>
            </w:r>
          </w:p>
        </w:tc>
        <w:tc>
          <w:tcPr>
            <w:tcW w:w="3365"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Az ötlet:</w:t>
            </w:r>
            <w:r>
              <w:rPr>
                <w:rFonts w:ascii="Times New Roman;serif" w:hAnsi="Times New Roman;serif"/>
                <w:color w:val="000000"/>
                <w:sz w:val="22"/>
              </w:rPr>
              <w:t xml:space="preserve"> </w:t>
            </w:r>
            <w:r>
              <w:rPr>
                <w:rFonts w:ascii="Arial-BoldMT;serif" w:hAnsi="Arial-BoldMT;serif"/>
                <w:b/>
                <w:color w:val="000000"/>
                <w:sz w:val="18"/>
              </w:rPr>
              <w:t>A</w:t>
            </w:r>
            <w:r>
              <w:rPr>
                <w:rFonts w:ascii="Times New Roman;serif" w:hAnsi="Times New Roman;serif"/>
                <w:color w:val="000000"/>
                <w:sz w:val="22"/>
              </w:rPr>
              <w:t xml:space="preserve">  </w:t>
            </w:r>
            <w:r>
              <w:rPr>
                <w:rFonts w:ascii="Arial-BoldMT;serif" w:hAnsi="Arial-BoldMT;serif"/>
                <w:b/>
                <w:color w:val="000000"/>
                <w:sz w:val="18"/>
              </w:rPr>
              <w:t>nem engedélyezett menedékkérők/migránsok kitoloncolása</w:t>
            </w:r>
            <w:r>
              <w:rPr>
                <w:rFonts w:ascii="Times New Roman;serif" w:hAnsi="Times New Roman;serif"/>
                <w:sz w:val="22"/>
              </w:rPr>
              <w:t xml:space="preserve"> </w:t>
            </w:r>
            <w:r>
              <w:rPr>
                <w:rFonts w:ascii="Arial-BoldMT;serif" w:hAnsi="Arial-BoldMT;serif"/>
                <w:b/>
                <w:color w:val="000000"/>
                <w:sz w:val="18"/>
              </w:rPr>
              <w:t>(fordítva)</w:t>
            </w:r>
            <w:r>
              <w:rPr>
                <w:rFonts w:ascii="Times New Roman;serif" w:hAnsi="Times New Roman;serif"/>
                <w:color w:val="000000"/>
                <w:sz w:val="22"/>
              </w:rPr>
              <w:t xml:space="preserve"> </w:t>
            </w:r>
            <w:r>
              <w:rPr>
                <w:rFonts w:ascii="ArialMT;serif" w:hAnsi="ArialMT;serif"/>
                <w:color w:val="000000"/>
                <w:sz w:val="18"/>
              </w:rPr>
              <w:t>(lásd</w:t>
            </w:r>
            <w:hyperlink r:id="rId2118">
              <w:r>
                <w:rPr>
                  <w:rStyle w:val="LienInternet"/>
                  <w:rFonts w:ascii="Times New Roman;serif" w:hAnsi="Times New Roman;serif"/>
                  <w:sz w:val="22"/>
                </w:rPr>
                <w:t xml:space="preserve"> </w:t>
              </w:r>
            </w:hyperlink>
            <w:hyperlink r:id="rId2119">
              <w:r>
                <w:rPr>
                  <w:rStyle w:val="LienInternet"/>
                  <w:rFonts w:ascii="ArialMT;serif" w:hAnsi="ArialMT;serif"/>
                  <w:color w:val="0563C1"/>
                  <w:sz w:val="18"/>
                </w:rPr>
                <w:t>az ötletet</w:t>
              </w:r>
            </w:hyperlink>
            <w:r>
              <w:rPr>
                <w:rFonts w:ascii="ArialMT;serif" w:hAnsi="ArialMT;serif"/>
                <w:color w:val="000000"/>
                <w:sz w:val="18"/>
              </w:rPr>
              <w:t xml:space="preserve">) </w:t>
            </w:r>
          </w:p>
          <w:p>
            <w:pPr>
              <w:pStyle w:val="P68B1DB1Contenudetableau17"/>
              <w:widowControl w:val="false"/>
              <w:spacing w:before="6" w:after="57"/>
              <w:ind w:left="91" w:right="1247" w:hanging="0"/>
              <w:jc w:val="left"/>
              <w:rPr>
                <w:rFonts w:ascii="ArialMT;serif" w:hAnsi="ArialMT;serif"/>
                <w:color w:val="000000"/>
                <w:sz w:val="18"/>
              </w:rPr>
            </w:pPr>
            <w:r>
              <w:rPr/>
              <w:t>Jóváhagyások: 45</w:t>
            </w:r>
          </w:p>
          <w:p>
            <w:pPr>
              <w:pStyle w:val="P68B1DB1Contenudetableau17"/>
              <w:widowControl w:val="false"/>
              <w:spacing w:before="6" w:after="57"/>
              <w:ind w:left="91" w:right="1247" w:hanging="0"/>
              <w:jc w:val="left"/>
              <w:rPr>
                <w:rFonts w:ascii="ArialMT;serif" w:hAnsi="ArialMT;serif"/>
                <w:color w:val="000000"/>
                <w:sz w:val="18"/>
              </w:rPr>
            </w:pPr>
            <w:r>
              <w:rPr/>
              <w:t xml:space="preserve"> </w:t>
            </w:r>
            <w:r>
              <w:rPr/>
              <w:t xml:space="preserve">Hozzászólások: 91 </w:t>
            </w:r>
          </w:p>
        </w:tc>
      </w:tr>
      <w:tr>
        <w:trPr/>
        <w:tc>
          <w:tcPr>
            <w:tcW w:w="297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27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sz w:val="22"/>
              </w:rPr>
            </w:pPr>
            <w:r>
              <w:rPr>
                <w:rFonts w:ascii="Arial-BoldMT;serif" w:hAnsi="Arial-BoldMT;serif"/>
                <w:b/>
                <w:color w:val="000000"/>
                <w:sz w:val="18"/>
              </w:rPr>
              <w:t>Az ötlet:</w:t>
            </w:r>
            <w:r>
              <w:rPr>
                <w:rFonts w:ascii="Times New Roman;serif" w:hAnsi="Times New Roman;serif"/>
                <w:color w:val="000000"/>
                <w:sz w:val="22"/>
              </w:rPr>
              <w:t xml:space="preserve"> </w:t>
            </w:r>
            <w:r>
              <w:rPr>
                <w:rFonts w:ascii="Arial-BoldMT;serif" w:hAnsi="Arial-BoldMT;serif"/>
                <w:b/>
                <w:color w:val="000000"/>
                <w:sz w:val="18"/>
              </w:rPr>
              <w:t>Nincsenek</w:t>
            </w:r>
            <w:r>
              <w:rPr>
                <w:rFonts w:ascii="Times New Roman;serif" w:hAnsi="Times New Roman;serif"/>
                <w:color w:val="000000"/>
                <w:sz w:val="22"/>
              </w:rPr>
              <w:t xml:space="preserve"> </w:t>
            </w:r>
            <w:r>
              <w:rPr>
                <w:rFonts w:ascii="Arial-BoldMT;serif" w:hAnsi="Arial-BoldMT;serif"/>
                <w:b/>
                <w:color w:val="000000"/>
                <w:sz w:val="18"/>
              </w:rPr>
              <w:t>határok</w:t>
            </w:r>
            <w:r>
              <w:rPr>
                <w:rFonts w:ascii="Times New Roman;serif" w:hAnsi="Times New Roman;serif"/>
                <w:color w:val="000000"/>
                <w:sz w:val="22"/>
              </w:rPr>
              <w:t xml:space="preserve"> </w:t>
            </w:r>
            <w:r>
              <w:rPr>
                <w:rFonts w:ascii="Arial-BoldMT;serif" w:hAnsi="Arial-BoldMT;serif"/>
                <w:b/>
                <w:color w:val="000000"/>
                <w:sz w:val="18"/>
              </w:rPr>
              <w:t>az emberiség számára:</w:t>
            </w:r>
            <w:r>
              <w:rPr>
                <w:rFonts w:ascii="Times New Roman;serif" w:hAnsi="Times New Roman;serif"/>
                <w:color w:val="000000"/>
                <w:sz w:val="22"/>
              </w:rPr>
              <w:t xml:space="preserve"> </w:t>
            </w:r>
            <w:r>
              <w:rPr>
                <w:rFonts w:ascii="Arial-BoldMT;serif" w:hAnsi="Arial-BoldMT;serif"/>
                <w:b/>
                <w:color w:val="000000"/>
                <w:sz w:val="18"/>
              </w:rPr>
              <w:t>egységes</w:t>
            </w:r>
            <w:r>
              <w:rPr>
                <w:rFonts w:ascii="Times New Roman;serif" w:hAnsi="Times New Roman;serif"/>
                <w:color w:val="000000"/>
                <w:sz w:val="22"/>
              </w:rPr>
              <w:t xml:space="preserve"> </w:t>
            </w:r>
            <w:r>
              <w:rPr>
                <w:rFonts w:ascii="Arial-BoldMT;serif" w:hAnsi="Arial-BoldMT;serif"/>
                <w:b/>
                <w:color w:val="000000"/>
                <w:sz w:val="18"/>
              </w:rPr>
              <w:t>bevándorláspolitika</w:t>
            </w:r>
            <w:r>
              <w:rPr>
                <w:rFonts w:ascii="Times New Roman;serif" w:hAnsi="Times New Roman;serif"/>
                <w:color w:val="000000"/>
                <w:sz w:val="22"/>
              </w:rPr>
              <w:t xml:space="preserve">  </w:t>
            </w:r>
            <w:r>
              <w:rPr>
                <w:rFonts w:ascii="ArialMT;serif" w:hAnsi="ArialMT;serif"/>
                <w:color w:val="000000"/>
                <w:sz w:val="18"/>
              </w:rPr>
              <w:t xml:space="preserve">(lásd az </w:t>
            </w:r>
            <w:hyperlink r:id="rId2120">
              <w:r>
                <w:rPr>
                  <w:rStyle w:val="LienInternet"/>
                  <w:rFonts w:ascii="ArialMT;serif" w:hAnsi="ArialMT;serif"/>
                  <w:color w:val="0563C1"/>
                  <w:sz w:val="18"/>
                </w:rPr>
                <w:t>ötletet</w:t>
              </w:r>
            </w:hyperlink>
            <w:r>
              <w:rPr>
                <w:rFonts w:ascii="ArialMT;serif" w:hAnsi="ArialMT;serif"/>
                <w:color w:val="000000"/>
                <w:sz w:val="18"/>
              </w:rPr>
              <w:t xml:space="preserve">) </w:t>
            </w:r>
          </w:p>
          <w:p>
            <w:pPr>
              <w:pStyle w:val="P68B1DB1Contenudetableau17"/>
              <w:widowControl w:val="false"/>
              <w:spacing w:before="17" w:after="57"/>
              <w:ind w:left="91" w:right="1395" w:hanging="0"/>
              <w:jc w:val="left"/>
              <w:rPr>
                <w:rFonts w:ascii="ArialMT;serif" w:hAnsi="ArialMT;serif"/>
                <w:color w:val="000000"/>
                <w:sz w:val="18"/>
              </w:rPr>
            </w:pPr>
            <w:r>
              <w:rPr/>
              <w:t>Jóváhagyások: 90</w:t>
            </w:r>
          </w:p>
          <w:p>
            <w:pPr>
              <w:pStyle w:val="P68B1DB1Contenudetableau17"/>
              <w:widowControl w:val="false"/>
              <w:spacing w:before="17" w:after="57"/>
              <w:ind w:left="91" w:right="1395" w:hanging="0"/>
              <w:jc w:val="left"/>
              <w:rPr>
                <w:rFonts w:ascii="ArialMT;serif" w:hAnsi="ArialMT;serif"/>
                <w:color w:val="000000"/>
                <w:sz w:val="18"/>
              </w:rPr>
            </w:pPr>
            <w:r>
              <w:rPr/>
              <w:t xml:space="preserve"> </w:t>
            </w:r>
            <w:r>
              <w:rPr/>
              <w:t xml:space="preserve">Hozzászólások: 12 </w:t>
            </w:r>
          </w:p>
        </w:tc>
        <w:tc>
          <w:tcPr>
            <w:tcW w:w="3365"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left"/>
              <w:rPr>
                <w:rFonts w:ascii="Times New Roman;serif" w:hAnsi="Times New Roman;serif"/>
                <w:sz w:val="22"/>
              </w:rPr>
            </w:pPr>
            <w:r>
              <w:rPr>
                <w:rFonts w:ascii="Arial-BoldMT;serif" w:hAnsi="Arial-BoldMT;serif"/>
                <w:b/>
                <w:color w:val="000000"/>
                <w:sz w:val="18"/>
              </w:rPr>
              <w:t>Az ötlet:</w:t>
            </w:r>
            <w:r>
              <w:rPr>
                <w:rFonts w:ascii="Times New Roman;serif" w:hAnsi="Times New Roman;serif"/>
                <w:color w:val="000000"/>
                <w:sz w:val="22"/>
              </w:rPr>
              <w:t xml:space="preserve"> </w:t>
            </w:r>
            <w:r>
              <w:rPr>
                <w:rFonts w:ascii="Arial-BoldMT;serif" w:hAnsi="Arial-BoldMT;serif"/>
                <w:b/>
                <w:color w:val="000000"/>
                <w:sz w:val="18"/>
              </w:rPr>
              <w:t>Migráció</w:t>
            </w:r>
            <w:r>
              <w:rPr>
                <w:rFonts w:ascii="Times New Roman;serif" w:hAnsi="Times New Roman;serif"/>
                <w:color w:val="000000"/>
                <w:sz w:val="22"/>
              </w:rPr>
              <w:t xml:space="preserve"> </w:t>
            </w:r>
            <w:r>
              <w:rPr>
                <w:rFonts w:ascii="Arial-BoldMT;serif" w:hAnsi="Arial-BoldMT;serif"/>
                <w:b/>
                <w:color w:val="000000"/>
                <w:sz w:val="18"/>
              </w:rPr>
              <w:t>és integráció</w:t>
            </w:r>
            <w:r>
              <w:rPr>
                <w:rFonts w:ascii="Times New Roman;serif" w:hAnsi="Times New Roman;serif"/>
                <w:color w:val="000000"/>
                <w:sz w:val="22"/>
              </w:rPr>
              <w:t xml:space="preserve"> </w:t>
            </w:r>
            <w:r>
              <w:rPr>
                <w:rFonts w:ascii="ArialMT;serif" w:hAnsi="ArialMT;serif"/>
                <w:color w:val="000000"/>
                <w:sz w:val="18"/>
              </w:rPr>
              <w:t xml:space="preserve">(lásd </w:t>
            </w:r>
            <w:hyperlink r:id="rId2121">
              <w:r>
                <w:rPr>
                  <w:rStyle w:val="LienInternet"/>
                  <w:rFonts w:ascii="ArialMT;serif" w:hAnsi="ArialMT;serif"/>
                  <w:color w:val="0563C1"/>
                  <w:sz w:val="18"/>
                </w:rPr>
                <w:t>az ötletet</w:t>
              </w:r>
            </w:hyperlink>
            <w:r>
              <w:rPr>
                <w:rFonts w:ascii="ArialMT;serif" w:hAnsi="ArialMT;serif"/>
                <w:color w:val="000000"/>
                <w:sz w:val="18"/>
              </w:rPr>
              <w:t xml:space="preserve">) </w:t>
            </w:r>
          </w:p>
          <w:p>
            <w:pPr>
              <w:pStyle w:val="P68B1DB1Contenudetableau17"/>
              <w:widowControl w:val="false"/>
              <w:spacing w:before="17" w:after="57"/>
              <w:ind w:left="91" w:right="1247" w:hanging="0"/>
              <w:jc w:val="left"/>
              <w:rPr>
                <w:rFonts w:ascii="ArialMT;serif" w:hAnsi="ArialMT;serif"/>
                <w:color w:val="000000"/>
                <w:sz w:val="18"/>
              </w:rPr>
            </w:pPr>
            <w:r>
              <w:rPr/>
              <w:t>Jóváhagyások: 76</w:t>
            </w:r>
          </w:p>
          <w:p>
            <w:pPr>
              <w:pStyle w:val="P68B1DB1Contenudetableau17"/>
              <w:widowControl w:val="false"/>
              <w:spacing w:before="17" w:after="57"/>
              <w:ind w:left="91" w:right="1247" w:hanging="0"/>
              <w:jc w:val="left"/>
              <w:rPr>
                <w:rFonts w:ascii="ArialMT;serif" w:hAnsi="ArialMT;serif"/>
                <w:color w:val="000000"/>
                <w:sz w:val="18"/>
              </w:rPr>
            </w:pPr>
            <w:r>
              <w:rPr/>
              <w:t xml:space="preserve"> </w:t>
            </w:r>
            <w:r>
              <w:rPr/>
              <w:t xml:space="preserve">Hozzászólások: 71 </w:t>
            </w:r>
          </w:p>
        </w:tc>
      </w:tr>
      <w:tr>
        <w:trPr/>
        <w:tc>
          <w:tcPr>
            <w:tcW w:w="297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27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Az ötlet:</w:t>
            </w:r>
            <w:r>
              <w:rPr>
                <w:rFonts w:ascii="Times New Roman;serif" w:hAnsi="Times New Roman;serif"/>
                <w:color w:val="000000"/>
                <w:sz w:val="22"/>
              </w:rPr>
              <w:t xml:space="preserve"> </w:t>
            </w:r>
            <w:r>
              <w:rPr>
                <w:rFonts w:ascii="Arial-BoldMT;serif" w:hAnsi="Arial-BoldMT;serif"/>
                <w:b/>
                <w:color w:val="000000"/>
                <w:sz w:val="18"/>
              </w:rPr>
              <w:t>Kitoloncolás</w:t>
            </w:r>
            <w:r>
              <w:rPr>
                <w:rFonts w:ascii="Times New Roman;serif" w:hAnsi="Times New Roman;serif"/>
                <w:color w:val="000000"/>
                <w:sz w:val="22"/>
              </w:rPr>
              <w:t xml:space="preserve"> </w:t>
            </w:r>
            <w:r>
              <w:rPr>
                <w:rFonts w:ascii="Arial-BoldMT;serif" w:hAnsi="Arial-BoldMT;serif"/>
                <w:b/>
                <w:color w:val="000000"/>
                <w:sz w:val="18"/>
              </w:rPr>
              <w:t>az</w:t>
            </w:r>
            <w:r>
              <w:rPr>
                <w:rFonts w:ascii="Times New Roman;serif" w:hAnsi="Times New Roman;serif"/>
                <w:color w:val="000000"/>
                <w:sz w:val="22"/>
              </w:rPr>
              <w:t xml:space="preserve"> </w:t>
            </w:r>
            <w:r>
              <w:rPr>
                <w:rFonts w:ascii="Arial-BoldMT;serif" w:hAnsi="Arial-BoldMT;serif"/>
                <w:b/>
                <w:color w:val="000000"/>
                <w:sz w:val="18"/>
              </w:rPr>
              <w:t>EU -ból (fordítva)</w:t>
            </w:r>
            <w:r>
              <w:rPr>
                <w:rFonts w:ascii="Times New Roman;serif" w:hAnsi="Times New Roman;serif"/>
                <w:color w:val="000000"/>
                <w:sz w:val="22"/>
              </w:rPr>
              <w:t xml:space="preserve"> </w:t>
            </w:r>
            <w:r>
              <w:rPr>
                <w:rFonts w:ascii="ArialMT;serif" w:hAnsi="ArialMT;serif"/>
                <w:color w:val="000000"/>
                <w:sz w:val="18"/>
              </w:rPr>
              <w:t xml:space="preserve">(lásd </w:t>
            </w:r>
            <w:hyperlink r:id="rId2122">
              <w:r>
                <w:rPr>
                  <w:rStyle w:val="LienInternet"/>
                  <w:rFonts w:ascii="ArialMT;serif" w:hAnsi="ArialMT;serif"/>
                  <w:color w:val="0563C1"/>
                  <w:sz w:val="18"/>
                </w:rPr>
                <w:t>az ötletet</w:t>
              </w:r>
            </w:hyperlink>
            <w:r>
              <w:rPr>
                <w:rFonts w:ascii="ArialMT;serif" w:hAnsi="ArialMT;serif"/>
                <w:color w:val="000000"/>
                <w:sz w:val="18"/>
              </w:rPr>
              <w:t xml:space="preserve">) </w:t>
            </w:r>
          </w:p>
          <w:p>
            <w:pPr>
              <w:pStyle w:val="P68B1DB1Contenudetableau17"/>
              <w:widowControl w:val="false"/>
              <w:spacing w:before="11" w:after="57"/>
              <w:ind w:left="91" w:right="1395" w:hanging="0"/>
              <w:jc w:val="left"/>
              <w:rPr>
                <w:rFonts w:ascii="ArialMT;serif" w:hAnsi="ArialMT;serif"/>
                <w:color w:val="000000"/>
                <w:sz w:val="18"/>
              </w:rPr>
            </w:pPr>
            <w:r>
              <w:rPr/>
              <w:t>Jóváhagyások: 90</w:t>
            </w:r>
          </w:p>
          <w:p>
            <w:pPr>
              <w:pStyle w:val="P68B1DB1Contenudetableau17"/>
              <w:widowControl w:val="false"/>
              <w:spacing w:before="11" w:after="57"/>
              <w:ind w:left="91" w:right="1395" w:hanging="0"/>
              <w:jc w:val="left"/>
              <w:rPr>
                <w:rFonts w:ascii="ArialMT;serif" w:hAnsi="ArialMT;serif"/>
                <w:color w:val="000000"/>
                <w:sz w:val="18"/>
              </w:rPr>
            </w:pPr>
            <w:r>
              <w:rPr/>
              <w:t xml:space="preserve"> </w:t>
            </w:r>
            <w:r>
              <w:rPr/>
              <w:t xml:space="preserve">Hozzászólások: 40 </w:t>
            </w:r>
          </w:p>
        </w:tc>
        <w:tc>
          <w:tcPr>
            <w:tcW w:w="3365"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Az ötlet: A nemzeti nyelv oktatása eszperantó nyelven: Olyan szervezetek népszerűsítése, amelyek ezt teszik (fordítva)</w:t>
            </w:r>
            <w:r>
              <w:rPr>
                <w:rFonts w:ascii="Times New Roman;serif" w:hAnsi="Times New Roman;serif"/>
                <w:color w:val="000000"/>
                <w:sz w:val="22"/>
              </w:rPr>
              <w:t xml:space="preserve"> </w:t>
            </w:r>
            <w:r>
              <w:rPr>
                <w:rFonts w:ascii="ArialMT;serif" w:hAnsi="ArialMT;serif"/>
                <w:color w:val="000000"/>
                <w:sz w:val="18"/>
              </w:rPr>
              <w:t xml:space="preserve">(lásd </w:t>
            </w:r>
            <w:r>
              <w:rPr>
                <w:rFonts w:ascii="ArialMT;serif" w:hAnsi="ArialMT;serif"/>
                <w:color w:val="2E74B5"/>
                <w:sz w:val="18"/>
              </w:rPr>
              <w:t>i</w:t>
            </w:r>
            <w:hyperlink r:id="rId2123">
              <w:r>
                <w:rPr>
                  <w:rStyle w:val="LienInternet"/>
                  <w:rFonts w:ascii="Times New Roman;serif" w:hAnsi="Times New Roman;serif"/>
                  <w:sz w:val="22"/>
                </w:rPr>
                <w:t>dea</w:t>
              </w:r>
            </w:hyperlink>
            <w:r>
              <w:rPr>
                <w:rFonts w:ascii="ArialMT;serif" w:hAnsi="ArialMT;serif"/>
                <w:color w:val="000000"/>
                <w:sz w:val="18"/>
              </w:rPr>
              <w:t xml:space="preserve">) </w:t>
            </w:r>
          </w:p>
          <w:p>
            <w:pPr>
              <w:pStyle w:val="P68B1DB1Contenudetableau17"/>
              <w:widowControl w:val="false"/>
              <w:spacing w:before="11" w:after="57"/>
              <w:ind w:left="91" w:right="1247" w:hanging="0"/>
              <w:jc w:val="left"/>
              <w:rPr>
                <w:rFonts w:ascii="ArialMT;serif" w:hAnsi="ArialMT;serif"/>
                <w:color w:val="000000"/>
                <w:sz w:val="18"/>
              </w:rPr>
            </w:pPr>
            <w:r>
              <w:rPr/>
              <w:t>Jóváhagyások: 28</w:t>
            </w:r>
          </w:p>
          <w:p>
            <w:pPr>
              <w:pStyle w:val="P68B1DB1Contenudetableau17"/>
              <w:widowControl w:val="false"/>
              <w:spacing w:before="11" w:after="57"/>
              <w:ind w:left="91" w:right="1247" w:hanging="0"/>
              <w:jc w:val="left"/>
              <w:rPr>
                <w:rFonts w:ascii="ArialMT;serif" w:hAnsi="ArialMT;serif"/>
                <w:color w:val="000000"/>
                <w:sz w:val="18"/>
              </w:rPr>
            </w:pPr>
            <w:r>
              <w:rPr/>
              <w:t xml:space="preserve"> </w:t>
            </w:r>
            <w:r>
              <w:rPr/>
              <w:t xml:space="preserve">Hozzászólások: 59 </w:t>
            </w:r>
          </w:p>
        </w:tc>
      </w:tr>
      <w:tr>
        <w:trPr/>
        <w:tc>
          <w:tcPr>
            <w:tcW w:w="297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27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Az ötlet:</w:t>
            </w:r>
            <w:r>
              <w:rPr>
                <w:rFonts w:ascii="Times New Roman;serif" w:hAnsi="Times New Roman;serif"/>
                <w:color w:val="000000"/>
                <w:sz w:val="22"/>
              </w:rPr>
              <w:t xml:space="preserve"> </w:t>
            </w:r>
            <w:r>
              <w:rPr>
                <w:rFonts w:ascii="Arial-BoldMT;serif" w:hAnsi="Arial-BoldMT;serif"/>
                <w:b/>
                <w:color w:val="000000"/>
                <w:sz w:val="18"/>
              </w:rPr>
              <w:t>Migráció</w:t>
            </w:r>
            <w:r>
              <w:rPr>
                <w:rFonts w:ascii="Times New Roman;serif" w:hAnsi="Times New Roman;serif"/>
                <w:color w:val="000000"/>
                <w:sz w:val="22"/>
              </w:rPr>
              <w:t xml:space="preserve"> </w:t>
            </w:r>
            <w:r>
              <w:rPr>
                <w:rFonts w:ascii="Arial-BoldMT;serif" w:hAnsi="Arial-BoldMT;serif"/>
                <w:b/>
                <w:color w:val="000000"/>
                <w:sz w:val="18"/>
              </w:rPr>
              <w:t>és</w:t>
            </w:r>
            <w:r>
              <w:rPr>
                <w:rFonts w:ascii="Times New Roman;serif" w:hAnsi="Times New Roman;serif"/>
                <w:color w:val="000000"/>
                <w:sz w:val="22"/>
              </w:rPr>
              <w:t xml:space="preserve"> </w:t>
            </w:r>
            <w:r>
              <w:rPr>
                <w:rFonts w:ascii="Arial-BoldMT;serif" w:hAnsi="Arial-BoldMT;serif"/>
                <w:b/>
                <w:color w:val="000000"/>
                <w:sz w:val="18"/>
              </w:rPr>
              <w:t>integráció</w:t>
            </w:r>
            <w:r>
              <w:rPr>
                <w:rFonts w:ascii="Times New Roman;serif" w:hAnsi="Times New Roman;serif"/>
                <w:color w:val="000000"/>
                <w:sz w:val="22"/>
              </w:rPr>
              <w:t xml:space="preserve"> </w:t>
            </w:r>
            <w:r>
              <w:rPr>
                <w:rFonts w:ascii="ArialMT;serif" w:hAnsi="ArialMT;serif"/>
                <w:color w:val="000000"/>
                <w:sz w:val="18"/>
              </w:rPr>
              <w:t xml:space="preserve">(lásd </w:t>
            </w:r>
            <w:hyperlink r:id="rId2124">
              <w:r>
                <w:rPr>
                  <w:rStyle w:val="LienInternet"/>
                  <w:rFonts w:ascii="ArialMT;serif" w:hAnsi="ArialMT;serif"/>
                  <w:color w:val="0563C1"/>
                  <w:sz w:val="18"/>
                </w:rPr>
                <w:t>az ötletet</w:t>
              </w:r>
            </w:hyperlink>
            <w:r>
              <w:rPr>
                <w:rFonts w:ascii="ArialMT;serif" w:hAnsi="ArialMT;serif"/>
                <w:color w:val="000000"/>
                <w:sz w:val="18"/>
              </w:rPr>
              <w:t xml:space="preserve">) </w:t>
            </w:r>
          </w:p>
          <w:p>
            <w:pPr>
              <w:pStyle w:val="P68B1DB1Contenudetableau17"/>
              <w:widowControl w:val="false"/>
              <w:spacing w:before="17" w:after="57"/>
              <w:ind w:left="91" w:right="1395" w:hanging="0"/>
              <w:jc w:val="left"/>
              <w:rPr>
                <w:rFonts w:ascii="ArialMT;serif" w:hAnsi="ArialMT;serif"/>
                <w:color w:val="000000"/>
                <w:sz w:val="18"/>
              </w:rPr>
            </w:pPr>
            <w:r>
              <w:rPr/>
              <w:t>Jóváhagyások: 77</w:t>
            </w:r>
          </w:p>
          <w:p>
            <w:pPr>
              <w:pStyle w:val="P68B1DB1Contenudetableau17"/>
              <w:widowControl w:val="false"/>
              <w:spacing w:before="17" w:after="57"/>
              <w:ind w:left="91" w:right="1395" w:hanging="0"/>
              <w:jc w:val="left"/>
              <w:rPr>
                <w:rFonts w:ascii="ArialMT;serif" w:hAnsi="ArialMT;serif"/>
                <w:color w:val="000000"/>
                <w:sz w:val="18"/>
              </w:rPr>
            </w:pPr>
            <w:r>
              <w:rPr/>
              <w:t xml:space="preserve"> </w:t>
            </w:r>
            <w:r>
              <w:rPr/>
              <w:t xml:space="preserve">Hozzászólások: 71 </w:t>
            </w:r>
          </w:p>
        </w:tc>
        <w:tc>
          <w:tcPr>
            <w:tcW w:w="3365"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Az ötlet: Közös</w:t>
            </w:r>
            <w:r>
              <w:rPr>
                <w:rFonts w:ascii="Times New Roman;serif" w:hAnsi="Times New Roman;serif"/>
                <w:color w:val="000000"/>
                <w:sz w:val="22"/>
              </w:rPr>
              <w:t xml:space="preserve"> </w:t>
            </w:r>
            <w:r>
              <w:rPr>
                <w:rFonts w:ascii="Arial-BoldMT;serif" w:hAnsi="Arial-BoldMT;serif"/>
                <w:b/>
                <w:color w:val="000000"/>
                <w:sz w:val="18"/>
              </w:rPr>
              <w:t>migrációs</w:t>
            </w:r>
            <w:r>
              <w:rPr>
                <w:rFonts w:ascii="Times New Roman;serif" w:hAnsi="Times New Roman;serif"/>
                <w:color w:val="000000"/>
                <w:sz w:val="22"/>
              </w:rPr>
              <w:t xml:space="preserve"> </w:t>
            </w:r>
            <w:r>
              <w:rPr>
                <w:rFonts w:ascii="Arial-BoldMT;serif" w:hAnsi="Arial-BoldMT;serif"/>
                <w:b/>
                <w:color w:val="000000"/>
                <w:sz w:val="18"/>
              </w:rPr>
              <w:t>és menekültügyi politika, amely a jogok és az egyenlő bánásmód tiszteletben tartásán alapul</w:t>
            </w:r>
            <w:r>
              <w:rPr>
                <w:rFonts w:ascii="Times New Roman;serif" w:hAnsi="Times New Roman;serif"/>
                <w:color w:val="000000"/>
                <w:sz w:val="22"/>
              </w:rPr>
              <w:t xml:space="preserve"> </w:t>
            </w:r>
            <w:r>
              <w:rPr>
                <w:rFonts w:ascii="ArialMT;serif" w:hAnsi="ArialMT;serif"/>
                <w:color w:val="000000"/>
                <w:sz w:val="18"/>
              </w:rPr>
              <w:t xml:space="preserve">(lásd </w:t>
            </w:r>
            <w:hyperlink r:id="rId2125">
              <w:r>
                <w:rPr>
                  <w:rStyle w:val="LienInternet"/>
                  <w:rFonts w:ascii="ArialMT;serif" w:hAnsi="ArialMT;serif"/>
                  <w:color w:val="2E74B5"/>
                  <w:sz w:val="18"/>
                </w:rPr>
                <w:t>az ötletet</w:t>
              </w:r>
            </w:hyperlink>
            <w:r>
              <w:rPr>
                <w:rFonts w:ascii="ArialMT;serif" w:hAnsi="ArialMT;serif"/>
                <w:color w:val="000000"/>
                <w:sz w:val="18"/>
              </w:rPr>
              <w:t xml:space="preserve">) </w:t>
            </w:r>
          </w:p>
          <w:p>
            <w:pPr>
              <w:pStyle w:val="P68B1DB1Contenudetableau17"/>
              <w:widowControl w:val="false"/>
              <w:spacing w:before="6" w:after="57"/>
              <w:ind w:left="91" w:right="1134" w:hanging="0"/>
              <w:jc w:val="left"/>
              <w:rPr>
                <w:rFonts w:ascii="ArialMT;serif" w:hAnsi="ArialMT;serif"/>
                <w:color w:val="000000"/>
                <w:sz w:val="18"/>
              </w:rPr>
            </w:pPr>
            <w:r>
              <w:rPr/>
              <w:t>Jóváhagyások: 484</w:t>
            </w:r>
          </w:p>
          <w:p>
            <w:pPr>
              <w:pStyle w:val="P68B1DB1Contenudetableau17"/>
              <w:widowControl w:val="false"/>
              <w:spacing w:before="6" w:after="57"/>
              <w:ind w:left="91" w:right="1134" w:hanging="0"/>
              <w:jc w:val="left"/>
              <w:rPr>
                <w:rFonts w:ascii="ArialMT;serif" w:hAnsi="ArialMT;serif"/>
                <w:color w:val="000000"/>
                <w:sz w:val="18"/>
              </w:rPr>
            </w:pPr>
            <w:r>
              <w:rPr/>
              <w:t xml:space="preserve"> </w:t>
            </w:r>
            <w:r>
              <w:rPr/>
              <w:t xml:space="preserve">Hozzászólások: 56 </w:t>
            </w:r>
          </w:p>
        </w:tc>
      </w:tr>
    </w:tbl>
    <w:p>
      <w:pPr>
        <w:pStyle w:val="Normal"/>
        <w:jc w:val="left"/>
        <w:rPr/>
      </w:pPr>
      <w:r>
        <w:rPr/>
      </w:r>
      <w:r>
        <w:br w:type="page"/>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725"/>
        <w:gridCol w:w="248"/>
        <w:gridCol w:w="2962"/>
        <w:gridCol w:w="250"/>
        <w:gridCol w:w="208"/>
        <w:gridCol w:w="2972"/>
        <w:gridCol w:w="249"/>
      </w:tblGrid>
      <w:tr>
        <w:trPr>
          <w:trHeight w:val="386" w:hRule="atLeast"/>
        </w:trPr>
        <w:tc>
          <w:tcPr>
            <w:tcW w:w="2725"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248"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62"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A legtöbb támogatott </w:t>
            </w:r>
          </w:p>
        </w:tc>
        <w:tc>
          <w:tcPr>
            <w:tcW w:w="250"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8"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72"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A legtöbb hozzászólás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725"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20"/>
              <w:widowControl w:val="false"/>
              <w:spacing w:before="51" w:after="57"/>
              <w:ind w:left="91" w:right="0" w:hanging="0"/>
              <w:jc w:val="left"/>
              <w:rPr>
                <w:rFonts w:ascii="Arial-BoldMT;serif" w:hAnsi="Arial-BoldMT;serif"/>
                <w:color w:val="000000"/>
                <w:sz w:val="22"/>
              </w:rPr>
            </w:pPr>
            <w:r>
              <w:rPr>
                <w:b/>
                <w:sz w:val="18"/>
              </w:rPr>
              <w:t>Oktatás,</w:t>
            </w:r>
            <w:r>
              <w:rPr>
                <w:sz w:val="22"/>
              </w:rPr>
              <w:t xml:space="preserve"> </w:t>
            </w:r>
            <w:r>
              <w:rPr>
                <w:b/>
                <w:sz w:val="18"/>
              </w:rPr>
              <w:t>kultúra,</w:t>
            </w:r>
            <w:r>
              <w:rPr>
                <w:sz w:val="22"/>
              </w:rPr>
              <w:t xml:space="preserve"> </w:t>
            </w:r>
            <w:r>
              <w:rPr>
                <w:b/>
                <w:sz w:val="18"/>
              </w:rPr>
              <w:t>ifjúság</w:t>
            </w:r>
            <w:r>
              <w:rPr>
                <w:sz w:val="22"/>
              </w:rPr>
              <w:t xml:space="preserve"> </w:t>
            </w:r>
            <w:r>
              <w:rPr>
                <w:b/>
                <w:sz w:val="18"/>
              </w:rPr>
              <w:t xml:space="preserve">és sport </w:t>
            </w:r>
          </w:p>
        </w:tc>
        <w:tc>
          <w:tcPr>
            <w:tcW w:w="346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Az ötlet:</w:t>
            </w:r>
            <w:r>
              <w:rPr>
                <w:rFonts w:ascii="Times New Roman;serif" w:hAnsi="Times New Roman;serif"/>
                <w:color w:val="000000"/>
                <w:sz w:val="22"/>
              </w:rPr>
              <w:t xml:space="preserve"> </w:t>
            </w:r>
            <w:r>
              <w:rPr>
                <w:rFonts w:ascii="Arial-BoldMT;serif" w:hAnsi="Arial-BoldMT;serif"/>
                <w:b/>
                <w:color w:val="000000"/>
                <w:sz w:val="18"/>
              </w:rPr>
              <w:t>Az</w:t>
            </w:r>
            <w:r>
              <w:rPr>
                <w:rFonts w:ascii="Times New Roman;serif" w:hAnsi="Times New Roman;serif"/>
                <w:color w:val="000000"/>
                <w:sz w:val="22"/>
              </w:rPr>
              <w:t xml:space="preserve"> </w:t>
            </w:r>
            <w:r>
              <w:rPr>
                <w:rFonts w:ascii="Arial-BoldMT;serif" w:hAnsi="Arial-BoldMT;serif"/>
                <w:b/>
                <w:color w:val="000000"/>
                <w:sz w:val="18"/>
              </w:rPr>
              <w:t>EU</w:t>
            </w:r>
            <w:r>
              <w:rPr>
                <w:rFonts w:ascii="Times New Roman;serif" w:hAnsi="Times New Roman;serif"/>
                <w:color w:val="000000"/>
                <w:sz w:val="22"/>
              </w:rPr>
              <w:t xml:space="preserve"> - </w:t>
            </w:r>
            <w:r>
              <w:rPr>
                <w:rFonts w:ascii="Arial-BoldMT;serif" w:hAnsi="Arial-BoldMT;serif"/>
                <w:b/>
                <w:color w:val="000000"/>
                <w:sz w:val="18"/>
              </w:rPr>
              <w:t>nak jobb nyelvtanulásra van szüksége</w:t>
            </w:r>
            <w:r>
              <w:rPr>
                <w:rFonts w:ascii="Times New Roman;serif" w:hAnsi="Times New Roman;serif"/>
                <w:color w:val="000000"/>
                <w:sz w:val="22"/>
              </w:rPr>
              <w:t xml:space="preserve"> </w:t>
            </w:r>
            <w:r>
              <w:rPr>
                <w:rFonts w:ascii="ArialMT;serif" w:hAnsi="ArialMT;serif"/>
                <w:color w:val="000000"/>
                <w:sz w:val="18"/>
              </w:rPr>
              <w:t>(lásd</w:t>
            </w:r>
            <w:hyperlink r:id="rId2126">
              <w:r>
                <w:rPr>
                  <w:rStyle w:val="LienInternet"/>
                  <w:rFonts w:ascii="Times New Roman;serif" w:hAnsi="Times New Roman;serif"/>
                  <w:sz w:val="22"/>
                </w:rPr>
                <w:t xml:space="preserve"> </w:t>
              </w:r>
            </w:hyperlink>
            <w:hyperlink r:id="rId2127">
              <w:r>
                <w:rPr>
                  <w:rStyle w:val="LienInternet"/>
                  <w:rFonts w:ascii="ArialMT;serif" w:hAnsi="ArialMT;serif"/>
                  <w:color w:val="0563C1"/>
                  <w:sz w:val="18"/>
                </w:rPr>
                <w:t>az ötletet</w:t>
              </w:r>
            </w:hyperlink>
            <w:r>
              <w:rPr>
                <w:rFonts w:ascii="ArialMT;serif" w:hAnsi="ArialMT;serif"/>
                <w:color w:val="000000"/>
                <w:sz w:val="18"/>
              </w:rPr>
              <w:t xml:space="preserve">) </w:t>
            </w:r>
          </w:p>
          <w:p>
            <w:pPr>
              <w:pStyle w:val="Corpsdetexte"/>
              <w:widowControl w:val="false"/>
              <w:spacing w:lineRule="atLeast" w:line="351" w:before="0" w:after="140"/>
              <w:ind w:left="0" w:right="0" w:hanging="0"/>
              <w:jc w:val="left"/>
              <w:rPr>
                <w:rFonts w:ascii="Times New Roman;serif" w:hAnsi="Times New Roman;serif"/>
                <w:sz w:val="22"/>
              </w:rPr>
            </w:pPr>
            <w:r>
              <w:rPr>
                <w:rFonts w:ascii="ArialMT;serif" w:hAnsi="ArialMT;serif"/>
                <w:color w:val="000000"/>
                <w:sz w:val="18"/>
              </w:rPr>
              <w:t xml:space="preserve">Jóváhagyások: 729 </w:t>
            </w:r>
            <w:r>
              <w:rPr>
                <w:rFonts w:ascii="Times New Roman;serif" w:hAnsi="Times New Roman;serif"/>
                <w:sz w:val="22"/>
              </w:rPr>
              <w:br/>
            </w:r>
            <w:r>
              <w:rPr>
                <w:rFonts w:ascii="ArialMT;serif" w:hAnsi="ArialMT;serif"/>
                <w:color w:val="000000"/>
                <w:sz w:val="18"/>
              </w:rPr>
              <w:t xml:space="preserve">Hozzászólások: 157 </w:t>
            </w:r>
          </w:p>
          <w:p>
            <w:pPr>
              <w:pStyle w:val="Contenudetableau"/>
              <w:widowControl w:val="false"/>
              <w:spacing w:before="0" w:after="57"/>
              <w:ind w:left="0" w:right="0" w:hanging="0"/>
              <w:jc w:val="left"/>
              <w:rPr/>
            </w:pPr>
            <w:r>
              <w:rPr/>
            </w:r>
          </w:p>
        </w:tc>
        <w:tc>
          <w:tcPr>
            <w:tcW w:w="3429"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Az ötlet:</w:t>
            </w:r>
            <w:r>
              <w:rPr>
                <w:rFonts w:ascii="Times New Roman;serif" w:hAnsi="Times New Roman;serif"/>
                <w:color w:val="000000"/>
                <w:sz w:val="22"/>
              </w:rPr>
              <w:t xml:space="preserve"> </w:t>
            </w:r>
            <w:r>
              <w:rPr>
                <w:rFonts w:ascii="Arial-BoldMT;serif" w:hAnsi="Arial-BoldMT;serif"/>
                <w:b/>
                <w:color w:val="000000"/>
                <w:sz w:val="18"/>
              </w:rPr>
              <w:t>Az</w:t>
            </w:r>
            <w:r>
              <w:rPr>
                <w:rFonts w:ascii="Times New Roman;serif" w:hAnsi="Times New Roman;serif"/>
                <w:color w:val="000000"/>
                <w:sz w:val="22"/>
              </w:rPr>
              <w:t xml:space="preserve"> </w:t>
            </w:r>
            <w:r>
              <w:rPr>
                <w:rFonts w:ascii="Arial-BoldMT;serif" w:hAnsi="Arial-BoldMT;serif"/>
                <w:b/>
                <w:color w:val="000000"/>
                <w:sz w:val="18"/>
              </w:rPr>
              <w:t>EU</w:t>
            </w:r>
            <w:r>
              <w:rPr>
                <w:rFonts w:ascii="Times New Roman;serif" w:hAnsi="Times New Roman;serif"/>
                <w:color w:val="000000"/>
                <w:sz w:val="22"/>
              </w:rPr>
              <w:t xml:space="preserve"> - </w:t>
            </w:r>
            <w:r>
              <w:rPr>
                <w:rFonts w:ascii="Arial-BoldMT;serif" w:hAnsi="Arial-BoldMT;serif"/>
                <w:b/>
                <w:color w:val="000000"/>
                <w:sz w:val="18"/>
              </w:rPr>
              <w:t>nak jobb nyelvtanulásra van szüksége</w:t>
            </w:r>
            <w:r>
              <w:rPr>
                <w:rFonts w:ascii="Times New Roman;serif" w:hAnsi="Times New Roman;serif"/>
                <w:color w:val="000000"/>
                <w:sz w:val="22"/>
              </w:rPr>
              <w:t xml:space="preserve"> </w:t>
            </w:r>
            <w:r>
              <w:rPr>
                <w:rFonts w:ascii="ArialMT;serif" w:hAnsi="ArialMT;serif"/>
                <w:color w:val="000000"/>
                <w:sz w:val="18"/>
              </w:rPr>
              <w:t xml:space="preserve">(lásd </w:t>
            </w:r>
            <w:hyperlink r:id="rId2128">
              <w:r>
                <w:rPr>
                  <w:rStyle w:val="LienInternet"/>
                  <w:rFonts w:ascii="ArialMT;serif" w:hAnsi="ArialMT;serif"/>
                  <w:color w:val="0563C1"/>
                  <w:sz w:val="18"/>
                </w:rPr>
                <w:t>az ötletet</w:t>
              </w:r>
            </w:hyperlink>
            <w:r>
              <w:rPr>
                <w:rFonts w:ascii="ArialMT;serif" w:hAnsi="ArialMT;serif"/>
                <w:color w:val="000000"/>
                <w:sz w:val="18"/>
              </w:rPr>
              <w:t xml:space="preserve">) </w:t>
            </w:r>
          </w:p>
          <w:p>
            <w:pPr>
              <w:pStyle w:val="Corpsdetexte"/>
              <w:widowControl w:val="false"/>
              <w:spacing w:lineRule="atLeast" w:line="351" w:before="0" w:after="140"/>
              <w:ind w:left="0" w:right="0" w:hanging="0"/>
              <w:jc w:val="left"/>
              <w:rPr>
                <w:rFonts w:ascii="Times New Roman;serif" w:hAnsi="Times New Roman;serif"/>
                <w:sz w:val="22"/>
              </w:rPr>
            </w:pPr>
            <w:r>
              <w:rPr>
                <w:rFonts w:ascii="ArialMT;serif" w:hAnsi="ArialMT;serif"/>
                <w:color w:val="000000"/>
                <w:sz w:val="18"/>
              </w:rPr>
              <w:t xml:space="preserve">Jóváhagyások: 729 </w:t>
            </w:r>
            <w:r>
              <w:rPr>
                <w:rFonts w:ascii="Times New Roman;serif" w:hAnsi="Times New Roman;serif"/>
                <w:sz w:val="22"/>
              </w:rPr>
              <w:br/>
            </w:r>
            <w:r>
              <w:rPr>
                <w:rFonts w:ascii="ArialMT;serif" w:hAnsi="ArialMT;serif"/>
                <w:color w:val="000000"/>
                <w:sz w:val="18"/>
              </w:rPr>
              <w:t xml:space="preserve">Hozzászólások: 157 </w:t>
            </w:r>
          </w:p>
          <w:p>
            <w:pPr>
              <w:pStyle w:val="Contenudetableau"/>
              <w:widowControl w:val="false"/>
              <w:spacing w:before="0" w:after="57"/>
              <w:ind w:left="0" w:right="0" w:hanging="0"/>
              <w:jc w:val="left"/>
              <w:rPr/>
            </w:pPr>
            <w:r>
              <w:rPr/>
            </w:r>
          </w:p>
        </w:tc>
      </w:tr>
      <w:tr>
        <w:trPr/>
        <w:tc>
          <w:tcPr>
            <w:tcW w:w="272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Az ötlet:</w:t>
            </w:r>
            <w:r>
              <w:rPr>
                <w:rFonts w:ascii="Times New Roman;serif" w:hAnsi="Times New Roman;serif"/>
                <w:color w:val="000000"/>
                <w:sz w:val="22"/>
              </w:rPr>
              <w:t xml:space="preserve"> </w:t>
            </w:r>
            <w:r>
              <w:rPr>
                <w:rFonts w:ascii="Arial-BoldMT;serif" w:hAnsi="Arial-BoldMT;serif"/>
                <w:b/>
                <w:color w:val="000000"/>
                <w:sz w:val="18"/>
              </w:rPr>
              <w:t>A fiatalság.</w:t>
            </w:r>
            <w:r>
              <w:rPr>
                <w:rFonts w:ascii="Times New Roman;serif" w:hAnsi="Times New Roman;serif"/>
                <w:color w:val="000000"/>
                <w:sz w:val="22"/>
              </w:rPr>
              <w:t xml:space="preserve"> Az</w:t>
            </w:r>
            <w:r>
              <w:rPr>
                <w:rFonts w:ascii="Arial-BoldMT;serif" w:hAnsi="Arial-BoldMT;serif"/>
                <w:b/>
                <w:color w:val="000000"/>
                <w:sz w:val="18"/>
              </w:rPr>
              <w:t>EU</w:t>
            </w:r>
            <w:r>
              <w:rPr>
                <w:rFonts w:ascii="Times New Roman;serif" w:hAnsi="Times New Roman;serif"/>
                <w:color w:val="000000"/>
                <w:sz w:val="22"/>
              </w:rPr>
              <w:t xml:space="preserve"> </w:t>
            </w:r>
            <w:r>
              <w:rPr>
                <w:rFonts w:ascii="Arial-BoldMT;serif" w:hAnsi="Arial-BoldMT;serif"/>
                <w:b/>
                <w:color w:val="000000"/>
                <w:sz w:val="18"/>
              </w:rPr>
              <w:t>nem tudja</w:t>
            </w:r>
            <w:r>
              <w:rPr>
                <w:rFonts w:ascii="Times New Roman;serif" w:hAnsi="Times New Roman;serif"/>
                <w:color w:val="000000"/>
                <w:sz w:val="22"/>
              </w:rPr>
              <w:t xml:space="preserve"> </w:t>
            </w:r>
            <w:r>
              <w:rPr>
                <w:rFonts w:ascii="Arial-BoldMT;serif" w:hAnsi="Arial-BoldMT;serif"/>
                <w:b/>
                <w:color w:val="000000"/>
                <w:sz w:val="18"/>
              </w:rPr>
              <w:t>finanszírozni a bizonytalanságot</w:t>
            </w:r>
            <w:r>
              <w:rPr>
                <w:rFonts w:ascii="Times New Roman;serif" w:hAnsi="Times New Roman;serif"/>
                <w:color w:val="000000"/>
                <w:sz w:val="22"/>
              </w:rPr>
              <w:t xml:space="preserve"> </w:t>
            </w:r>
            <w:r>
              <w:rPr>
                <w:rFonts w:ascii="ArialMT;serif" w:hAnsi="ArialMT;serif"/>
                <w:color w:val="000000"/>
                <w:sz w:val="18"/>
              </w:rPr>
              <w:t>(lásd</w:t>
            </w:r>
            <w:hyperlink r:id="rId2129">
              <w:r>
                <w:rPr>
                  <w:rStyle w:val="LienInternet"/>
                  <w:rFonts w:ascii="Times New Roman;serif" w:hAnsi="Times New Roman;serif"/>
                  <w:sz w:val="22"/>
                </w:rPr>
                <w:t xml:space="preserve"> </w:t>
              </w:r>
            </w:hyperlink>
            <w:hyperlink r:id="rId2130">
              <w:r>
                <w:rPr>
                  <w:rStyle w:val="LienInternet"/>
                  <w:rFonts w:ascii="ArialMT;serif" w:hAnsi="ArialMT;serif"/>
                  <w:color w:val="0563C1"/>
                  <w:sz w:val="18"/>
                </w:rPr>
                <w:t>az ötletet</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Jóváhagyások: 477</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Hozzászólások: 20 </w:t>
            </w:r>
          </w:p>
        </w:tc>
        <w:tc>
          <w:tcPr>
            <w:tcW w:w="3429"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Az ötlet: Boldogabb nyelvtanulók, sikeresebb</w:t>
            </w:r>
            <w:r>
              <w:rPr>
                <w:rFonts w:ascii="Times New Roman;serif" w:hAnsi="Times New Roman;serif"/>
                <w:color w:val="000000"/>
                <w:sz w:val="22"/>
              </w:rPr>
              <w:t xml:space="preserve"> </w:t>
            </w:r>
            <w:r>
              <w:rPr>
                <w:rFonts w:ascii="Arial-BoldMT;serif" w:hAnsi="Arial-BoldMT;serif"/>
                <w:b/>
                <w:color w:val="000000"/>
                <w:sz w:val="18"/>
              </w:rPr>
              <w:t>nyelvtanárok</w:t>
            </w:r>
            <w:r>
              <w:rPr>
                <w:rFonts w:ascii="Times New Roman;serif" w:hAnsi="Times New Roman;serif"/>
                <w:color w:val="000000"/>
                <w:sz w:val="22"/>
              </w:rPr>
              <w:t xml:space="preserve"> </w:t>
            </w:r>
            <w:r>
              <w:rPr>
                <w:rFonts w:ascii="Arial-BoldMT;serif" w:hAnsi="Arial-BoldMT;serif"/>
                <w:b/>
                <w:color w:val="000000"/>
                <w:sz w:val="18"/>
              </w:rPr>
              <w:t>(fordítva) (</w:t>
            </w:r>
            <w:r>
              <w:rPr>
                <w:rFonts w:ascii="Times New Roman;serif" w:hAnsi="Times New Roman;serif"/>
                <w:color w:val="000000"/>
                <w:sz w:val="22"/>
              </w:rPr>
              <w:t xml:space="preserve"> </w:t>
            </w:r>
            <w:r>
              <w:rPr>
                <w:rFonts w:ascii="ArialMT;serif" w:hAnsi="ArialMT;serif"/>
                <w:color w:val="000000"/>
                <w:sz w:val="18"/>
              </w:rPr>
              <w:t xml:space="preserve">lásd az </w:t>
            </w:r>
            <w:hyperlink r:id="rId2131">
              <w:r>
                <w:rPr>
                  <w:rStyle w:val="LienInternet"/>
                  <w:rFonts w:ascii="ArialMT;serif" w:hAnsi="ArialMT;serif"/>
                  <w:color w:val="0563C1"/>
                  <w:sz w:val="18"/>
                </w:rPr>
                <w:t>ötletet</w:t>
              </w:r>
            </w:hyperlink>
            <w:r>
              <w:rPr>
                <w:rFonts w:ascii="ArialMT;serif" w:hAnsi="ArialMT;serif"/>
                <w:color w:val="000000"/>
                <w:sz w:val="18"/>
              </w:rPr>
              <w:t xml:space="preserve">) </w:t>
            </w:r>
          </w:p>
          <w:p>
            <w:pPr>
              <w:pStyle w:val="P68B1DB1Contenudetableau17"/>
              <w:widowControl w:val="false"/>
              <w:spacing w:before="17" w:after="57"/>
              <w:ind w:left="91" w:right="1208" w:hanging="0"/>
              <w:jc w:val="left"/>
              <w:rPr>
                <w:rFonts w:ascii="ArialMT;serif" w:hAnsi="ArialMT;serif"/>
                <w:color w:val="000000"/>
                <w:sz w:val="18"/>
              </w:rPr>
            </w:pPr>
            <w:r>
              <w:rPr/>
              <w:t>Jóváhagyások: 141</w:t>
            </w:r>
          </w:p>
          <w:p>
            <w:pPr>
              <w:pStyle w:val="P68B1DB1Contenudetableau17"/>
              <w:widowControl w:val="false"/>
              <w:spacing w:before="17" w:after="57"/>
              <w:ind w:left="91" w:right="1208" w:hanging="0"/>
              <w:jc w:val="left"/>
              <w:rPr>
                <w:rFonts w:ascii="ArialMT;serif" w:hAnsi="ArialMT;serif"/>
                <w:color w:val="000000"/>
                <w:sz w:val="18"/>
              </w:rPr>
            </w:pPr>
            <w:r>
              <w:rPr/>
              <w:t xml:space="preserve"> </w:t>
            </w:r>
            <w:r>
              <w:rPr/>
              <w:t xml:space="preserve">Hozzászólások: 98 </w:t>
            </w:r>
          </w:p>
        </w:tc>
      </w:tr>
      <w:tr>
        <w:trPr/>
        <w:tc>
          <w:tcPr>
            <w:tcW w:w="272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Az ötlet:</w:t>
            </w:r>
            <w:r>
              <w:rPr>
                <w:rFonts w:ascii="Times New Roman;serif" w:hAnsi="Times New Roman;serif"/>
                <w:color w:val="000000"/>
                <w:sz w:val="22"/>
              </w:rPr>
              <w:t xml:space="preserve"> </w:t>
            </w:r>
            <w:r>
              <w:rPr>
                <w:rFonts w:ascii="Arial-BoldMT;serif" w:hAnsi="Arial-BoldMT;serif"/>
                <w:b/>
                <w:color w:val="000000"/>
                <w:sz w:val="18"/>
              </w:rPr>
              <w:t>Az egész életen át tartó</w:t>
            </w:r>
            <w:r>
              <w:rPr>
                <w:rFonts w:ascii="Times New Roman;serif" w:hAnsi="Times New Roman;serif"/>
                <w:color w:val="000000"/>
                <w:sz w:val="22"/>
              </w:rPr>
              <w:t xml:space="preserve"> </w:t>
            </w:r>
            <w:r>
              <w:rPr>
                <w:rFonts w:ascii="Arial-BoldMT;serif" w:hAnsi="Arial-BoldMT;serif"/>
                <w:b/>
                <w:color w:val="000000"/>
                <w:sz w:val="18"/>
              </w:rPr>
              <w:t>tanulás</w:t>
            </w:r>
            <w:r>
              <w:rPr>
                <w:rFonts w:ascii="Times New Roman;serif" w:hAnsi="Times New Roman;serif"/>
                <w:color w:val="000000"/>
                <w:sz w:val="22"/>
              </w:rPr>
              <w:t xml:space="preserve"> </w:t>
            </w:r>
            <w:r>
              <w:rPr>
                <w:rFonts w:ascii="Arial-BoldMT;serif" w:hAnsi="Arial-BoldMT;serif"/>
                <w:b/>
                <w:color w:val="000000"/>
                <w:sz w:val="18"/>
              </w:rPr>
              <w:t>és</w:t>
            </w:r>
            <w:r>
              <w:rPr>
                <w:rFonts w:ascii="Times New Roman;serif" w:hAnsi="Times New Roman;serif"/>
                <w:color w:val="000000"/>
                <w:sz w:val="22"/>
              </w:rPr>
              <w:t xml:space="preserve"> </w:t>
            </w:r>
            <w:r>
              <w:rPr>
                <w:rFonts w:ascii="Arial-BoldMT;serif" w:hAnsi="Arial-BoldMT;serif"/>
                <w:b/>
                <w:color w:val="000000"/>
                <w:sz w:val="18"/>
              </w:rPr>
              <w:t>a</w:t>
            </w:r>
            <w:r>
              <w:rPr>
                <w:rFonts w:ascii="Times New Roman;serif" w:hAnsi="Times New Roman;serif"/>
                <w:color w:val="000000"/>
                <w:sz w:val="22"/>
              </w:rPr>
              <w:t xml:space="preserve">  </w:t>
            </w:r>
            <w:r>
              <w:rPr>
                <w:rFonts w:ascii="Arial-BoldMT;serif" w:hAnsi="Arial-BoldMT;serif"/>
                <w:b/>
                <w:color w:val="000000"/>
                <w:sz w:val="18"/>
              </w:rPr>
              <w:t>képzéshez</w:t>
            </w:r>
            <w:r>
              <w:rPr>
                <w:rFonts w:ascii="Times New Roman;serif" w:hAnsi="Times New Roman;serif"/>
                <w:color w:val="000000"/>
                <w:sz w:val="22"/>
              </w:rPr>
              <w:t xml:space="preserve"> </w:t>
            </w:r>
            <w:r>
              <w:rPr>
                <w:rFonts w:ascii="Arial-BoldMT;serif" w:hAnsi="Arial-BoldMT;serif"/>
                <w:b/>
                <w:color w:val="000000"/>
                <w:sz w:val="18"/>
              </w:rPr>
              <w:t xml:space="preserve"> való jog</w:t>
            </w:r>
            <w:r>
              <w:rPr>
                <w:rFonts w:ascii="Times New Roman;serif" w:hAnsi="Times New Roman;serif"/>
                <w:color w:val="000000"/>
                <w:sz w:val="22"/>
              </w:rPr>
              <w:t xml:space="preserve">, hogy </w:t>
            </w:r>
            <w:r>
              <w:rPr>
                <w:rFonts w:ascii="Arial-BoldMT;serif" w:hAnsi="Arial-BoldMT;serif"/>
                <w:b/>
                <w:color w:val="000000"/>
                <w:sz w:val="18"/>
              </w:rPr>
              <w:t>Európa</w:t>
            </w:r>
            <w:r>
              <w:rPr>
                <w:rFonts w:ascii="Times New Roman;serif" w:hAnsi="Times New Roman;serif"/>
                <w:color w:val="000000"/>
                <w:sz w:val="22"/>
              </w:rPr>
              <w:t xml:space="preserve"> </w:t>
            </w:r>
            <w:r>
              <w:rPr>
                <w:rFonts w:ascii="Arial-BoldMT;serif" w:hAnsi="Arial-BoldMT;serif"/>
                <w:b/>
                <w:color w:val="000000"/>
                <w:sz w:val="18"/>
              </w:rPr>
              <w:t xml:space="preserve"> </w:t>
            </w:r>
            <w:r>
              <w:rPr>
                <w:rFonts w:ascii="Times New Roman;serif" w:hAnsi="Times New Roman;serif"/>
                <w:color w:val="000000"/>
                <w:sz w:val="22"/>
              </w:rPr>
              <w:t xml:space="preserve"> </w:t>
            </w:r>
            <w:r>
              <w:rPr>
                <w:rFonts w:ascii="Arial-BoldMT;serif" w:hAnsi="Arial-BoldMT;serif"/>
                <w:b/>
                <w:color w:val="000000"/>
                <w:sz w:val="18"/>
              </w:rPr>
              <w:t>mindenki</w:t>
            </w:r>
            <w:r>
              <w:rPr>
                <w:rFonts w:ascii="Times New Roman;serif" w:hAnsi="Times New Roman;serif"/>
                <w:color w:val="000000"/>
                <w:sz w:val="22"/>
              </w:rPr>
              <w:t xml:space="preserve"> </w:t>
            </w:r>
            <w:r>
              <w:rPr>
                <w:rFonts w:ascii="Arial-BoldMT;serif" w:hAnsi="Arial-BoldMT;serif"/>
                <w:b/>
                <w:color w:val="000000"/>
                <w:sz w:val="18"/>
              </w:rPr>
              <w:t>számára</w:t>
            </w:r>
            <w:r>
              <w:rPr>
                <w:rFonts w:ascii="Times New Roman;serif" w:hAnsi="Times New Roman;serif"/>
                <w:color w:val="000000"/>
                <w:sz w:val="22"/>
              </w:rPr>
              <w:t xml:space="preserve"> </w:t>
            </w:r>
            <w:r>
              <w:rPr>
                <w:rFonts w:ascii="Arial-BoldMT;serif" w:hAnsi="Arial-BoldMT;serif"/>
                <w:b/>
                <w:color w:val="000000"/>
                <w:sz w:val="18"/>
              </w:rPr>
              <w:t xml:space="preserve">valósággá váljon </w:t>
            </w:r>
            <w:r>
              <w:rPr>
                <w:rFonts w:ascii="Times New Roman;serif" w:hAnsi="Times New Roman;serif"/>
                <w:color w:val="000000"/>
                <w:sz w:val="22"/>
              </w:rPr>
              <w:t xml:space="preserve"> </w:t>
            </w:r>
            <w:r>
              <w:rPr>
                <w:rFonts w:ascii="ArialMT;serif" w:hAnsi="ArialMT;serif"/>
                <w:color w:val="000000"/>
                <w:sz w:val="18"/>
              </w:rPr>
              <w:t xml:space="preserve">(lásd </w:t>
            </w:r>
            <w:hyperlink r:id="rId2132">
              <w:r>
                <w:rPr>
                  <w:rStyle w:val="LienInternet"/>
                  <w:rFonts w:ascii="ArialMT;serif" w:hAnsi="ArialMT;serif"/>
                  <w:color w:val="2E74B5"/>
                  <w:sz w:val="18"/>
                </w:rPr>
                <w:t>az ötletet</w:t>
              </w:r>
            </w:hyperlink>
            <w:r>
              <w:rPr>
                <w:rFonts w:ascii="ArialMT;serif" w:hAnsi="ArialMT;serif"/>
                <w:color w:val="000000"/>
                <w:sz w:val="18"/>
              </w:rPr>
              <w:t xml:space="preserve">) </w:t>
            </w:r>
          </w:p>
          <w:p>
            <w:pPr>
              <w:pStyle w:val="P68B1DB1Contenudetableau17"/>
              <w:widowControl w:val="false"/>
              <w:spacing w:before="17" w:after="57"/>
              <w:ind w:left="91" w:right="1208" w:hanging="0"/>
              <w:jc w:val="left"/>
              <w:rPr>
                <w:rFonts w:ascii="ArialMT;serif" w:hAnsi="ArialMT;serif"/>
                <w:color w:val="000000"/>
                <w:sz w:val="18"/>
              </w:rPr>
            </w:pPr>
            <w:r>
              <w:rPr/>
              <w:t>Jóváhagyások: 466</w:t>
            </w:r>
          </w:p>
          <w:p>
            <w:pPr>
              <w:pStyle w:val="P68B1DB1Contenudetableau17"/>
              <w:widowControl w:val="false"/>
              <w:spacing w:before="17" w:after="57"/>
              <w:ind w:left="91" w:right="1208" w:hanging="0"/>
              <w:jc w:val="left"/>
              <w:rPr>
                <w:rFonts w:ascii="ArialMT;serif" w:hAnsi="ArialMT;serif"/>
                <w:color w:val="000000"/>
                <w:sz w:val="18"/>
              </w:rPr>
            </w:pPr>
            <w:r>
              <w:rPr/>
              <w:t xml:space="preserve"> </w:t>
            </w:r>
            <w:r>
              <w:rPr/>
              <w:t xml:space="preserve">Hozzászólások: 21 </w:t>
            </w:r>
          </w:p>
        </w:tc>
        <w:tc>
          <w:tcPr>
            <w:tcW w:w="3429"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Az ötlet:</w:t>
            </w:r>
            <w:r>
              <w:rPr>
                <w:rFonts w:ascii="Times New Roman;serif" w:hAnsi="Times New Roman;serif"/>
                <w:color w:val="000000"/>
                <w:sz w:val="22"/>
              </w:rPr>
              <w:t xml:space="preserve"> </w:t>
            </w:r>
            <w:r>
              <w:rPr>
                <w:rFonts w:ascii="Arial-BoldMT;serif" w:hAnsi="Arial-BoldMT;serif"/>
                <w:b/>
                <w:color w:val="000000"/>
                <w:sz w:val="18"/>
              </w:rPr>
              <w:t>Nyelvoktatás Európában (fordítva)</w:t>
            </w:r>
            <w:r>
              <w:rPr>
                <w:rFonts w:ascii="Times New Roman;serif" w:hAnsi="Times New Roman;serif"/>
                <w:color w:val="000000"/>
                <w:sz w:val="22"/>
              </w:rPr>
              <w:t xml:space="preserve"> </w:t>
            </w:r>
            <w:r>
              <w:rPr>
                <w:rFonts w:ascii="ArialMT;serif" w:hAnsi="ArialMT;serif"/>
                <w:color w:val="000000"/>
                <w:sz w:val="18"/>
              </w:rPr>
              <w:t xml:space="preserve">(lásd az </w:t>
            </w:r>
            <w:hyperlink r:id="rId2133">
              <w:r>
                <w:rPr>
                  <w:rStyle w:val="LienInternet"/>
                  <w:rFonts w:ascii="ArialMT;serif" w:hAnsi="ArialMT;serif"/>
                  <w:color w:val="2E74B5"/>
                  <w:sz w:val="18"/>
                </w:rPr>
                <w:t>ötletet</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Jóváhagyások: 184</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Hozzászólások: 83 </w:t>
            </w:r>
          </w:p>
        </w:tc>
      </w:tr>
      <w:tr>
        <w:trPr/>
        <w:tc>
          <w:tcPr>
            <w:tcW w:w="272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Az ötlet: Az eszperantóról szóló lecke az   Európai Unió iskolásai számára</w:t>
            </w:r>
            <w:r>
              <w:rPr>
                <w:rFonts w:ascii="Times New Roman;serif" w:hAnsi="Times New Roman;serif"/>
                <w:color w:val="000000"/>
                <w:sz w:val="22"/>
              </w:rPr>
              <w:t xml:space="preserve"> </w:t>
            </w:r>
            <w:r>
              <w:rPr>
                <w:rFonts w:ascii="ArialMT;serif" w:hAnsi="ArialMT;serif"/>
                <w:color w:val="000000"/>
                <w:sz w:val="18"/>
              </w:rPr>
              <w:t xml:space="preserve">(lásd </w:t>
            </w:r>
            <w:r>
              <w:rPr>
                <w:rFonts w:ascii="ArialMT;serif" w:hAnsi="ArialMT;serif"/>
                <w:color w:val="2E74B5"/>
                <w:sz w:val="18"/>
              </w:rPr>
              <w:t>i</w:t>
            </w:r>
            <w:hyperlink r:id="rId2134">
              <w:r>
                <w:rPr>
                  <w:rStyle w:val="LienInternet"/>
                  <w:rFonts w:ascii="Times New Roman;serif" w:hAnsi="Times New Roman;serif"/>
                  <w:sz w:val="22"/>
                </w:rPr>
                <w:t>dea</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Jóváhagyások: 238</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Hozzászólások: 62 </w:t>
            </w:r>
          </w:p>
        </w:tc>
        <w:tc>
          <w:tcPr>
            <w:tcW w:w="3429"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Az ötlet: Az eszperantóról szóló lecke az    Európai Unió iskolásai számára</w:t>
            </w:r>
            <w:r>
              <w:rPr>
                <w:rFonts w:ascii="Times New Roman;serif" w:hAnsi="Times New Roman;serif"/>
                <w:color w:val="000000"/>
                <w:sz w:val="22"/>
              </w:rPr>
              <w:t xml:space="preserve"> </w:t>
            </w:r>
            <w:r>
              <w:rPr>
                <w:rFonts w:ascii="ArialMT;serif" w:hAnsi="ArialMT;serif"/>
                <w:color w:val="000000"/>
                <w:sz w:val="18"/>
              </w:rPr>
              <w:t xml:space="preserve">(lásd az </w:t>
            </w:r>
            <w:hyperlink r:id="rId2135">
              <w:r>
                <w:rPr>
                  <w:rStyle w:val="LienInternet"/>
                  <w:rFonts w:ascii="ArialMT;serif" w:hAnsi="ArialMT;serif"/>
                  <w:color w:val="2E74B5"/>
                  <w:sz w:val="18"/>
                </w:rPr>
                <w:t>ötletet</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Jóváhagyások: 235</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Hozzászólások: 62 </w:t>
            </w:r>
          </w:p>
        </w:tc>
      </w:tr>
      <w:tr>
        <w:trPr/>
        <w:tc>
          <w:tcPr>
            <w:tcW w:w="272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Az ötlet: Az európai közszolgálati műsorszolgáltatónál jött létre</w:t>
            </w:r>
            <w:r>
              <w:rPr>
                <w:rFonts w:ascii="Times New Roman;serif" w:hAnsi="Times New Roman;serif"/>
                <w:color w:val="000000"/>
                <w:sz w:val="22"/>
              </w:rPr>
              <w:t xml:space="preserve"> </w:t>
            </w:r>
            <w:r>
              <w:rPr>
                <w:rFonts w:ascii="ArialMT;serif" w:hAnsi="ArialMT;serif"/>
                <w:color w:val="000000"/>
                <w:sz w:val="18"/>
              </w:rPr>
              <w:t xml:space="preserve">(lásd </w:t>
            </w:r>
            <w:r>
              <w:rPr>
                <w:rFonts w:ascii="ArialMT;serif" w:hAnsi="ArialMT;serif"/>
                <w:color w:val="2E74B5"/>
                <w:sz w:val="18"/>
              </w:rPr>
              <w:t>i</w:t>
            </w:r>
            <w:hyperlink r:id="rId2136">
              <w:r>
                <w:rPr>
                  <w:rStyle w:val="LienInternet"/>
                  <w:rFonts w:ascii="Times New Roman;serif" w:hAnsi="Times New Roman;serif"/>
                  <w:sz w:val="22"/>
                </w:rPr>
                <w:t>dea</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Jóváhagyások: 195</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Hozzászólások: 54 </w:t>
            </w:r>
          </w:p>
        </w:tc>
        <w:tc>
          <w:tcPr>
            <w:tcW w:w="3429"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Az ötlet:</w:t>
            </w:r>
            <w:r>
              <w:rPr>
                <w:rFonts w:ascii="Times New Roman;serif" w:hAnsi="Times New Roman;serif"/>
                <w:color w:val="000000"/>
                <w:sz w:val="22"/>
              </w:rPr>
              <w:t xml:space="preserve"> </w:t>
            </w:r>
            <w:r>
              <w:rPr>
                <w:rFonts w:ascii="Arial-BoldMT;serif" w:hAnsi="Arial-BoldMT;serif"/>
                <w:b/>
                <w:color w:val="000000"/>
                <w:sz w:val="18"/>
              </w:rPr>
              <w:t>Eszperantó</w:t>
            </w:r>
            <w:r>
              <w:rPr>
                <w:rFonts w:ascii="Times New Roman;serif" w:hAnsi="Times New Roman;serif"/>
                <w:color w:val="000000"/>
                <w:sz w:val="22"/>
              </w:rPr>
              <w:t xml:space="preserve"> – </w:t>
            </w:r>
            <w:r>
              <w:rPr>
                <w:rFonts w:ascii="Arial-BoldMT;serif" w:hAnsi="Arial-BoldMT;serif"/>
                <w:b/>
                <w:color w:val="000000"/>
                <w:sz w:val="18"/>
              </w:rPr>
              <w:t>nemzetközi segédnyelv</w:t>
            </w:r>
            <w:r>
              <w:rPr>
                <w:rFonts w:ascii="Times New Roman;serif" w:hAnsi="Times New Roman;serif"/>
                <w:color w:val="000000"/>
                <w:sz w:val="22"/>
              </w:rPr>
              <w:t xml:space="preserve"> </w:t>
            </w:r>
            <w:r>
              <w:rPr>
                <w:rFonts w:ascii="Arial-BoldMT;serif" w:hAnsi="Arial-BoldMT;serif"/>
                <w:b/>
                <w:color w:val="000000"/>
                <w:sz w:val="18"/>
              </w:rPr>
              <w:t xml:space="preserve">( </w:t>
            </w:r>
            <w:r>
              <w:rPr>
                <w:rFonts w:ascii="ArialMT;serif" w:hAnsi="ArialMT;serif"/>
                <w:color w:val="000000"/>
                <w:sz w:val="18"/>
              </w:rPr>
              <w:t>lásd</w:t>
            </w:r>
            <w:hyperlink r:id="rId2137">
              <w:r>
                <w:rPr>
                  <w:rStyle w:val="LienInternet"/>
                  <w:rFonts w:ascii="Times New Roman;serif" w:hAnsi="Times New Roman;serif"/>
                  <w:sz w:val="22"/>
                </w:rPr>
                <w:t xml:space="preserve"> </w:t>
              </w:r>
            </w:hyperlink>
            <w:hyperlink r:id="rId2138">
              <w:r>
                <w:rPr>
                  <w:rStyle w:val="LienInternet"/>
                  <w:rFonts w:ascii="ArialMT;serif" w:hAnsi="ArialMT;serif"/>
                  <w:color w:val="2E74B5"/>
                  <w:sz w:val="18"/>
                </w:rPr>
                <w:t>az ötletet</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Jóváhagyások: 111</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Hozzászólások: 61 </w:t>
            </w:r>
          </w:p>
        </w:tc>
      </w:tr>
    </w:tbl>
    <w:p>
      <w:pPr>
        <w:pStyle w:val="Normal"/>
        <w:jc w:val="left"/>
        <w:rPr/>
      </w:pPr>
      <w:r>
        <w:rPr/>
      </w:r>
      <w:r>
        <w:br w:type="page"/>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970"/>
        <w:gridCol w:w="129"/>
        <w:gridCol w:w="2940"/>
        <w:gridCol w:w="125"/>
        <w:gridCol w:w="206"/>
        <w:gridCol w:w="2995"/>
        <w:gridCol w:w="249"/>
      </w:tblGrid>
      <w:tr>
        <w:trPr>
          <w:trHeight w:val="386" w:hRule="atLeast"/>
        </w:trPr>
        <w:tc>
          <w:tcPr>
            <w:tcW w:w="2970"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129"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40"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A legtöbb támogatott </w:t>
            </w:r>
          </w:p>
        </w:tc>
        <w:tc>
          <w:tcPr>
            <w:tcW w:w="125"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6"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95"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A legtöbb hozzászólás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970"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22"/>
              <w:widowControl w:val="false"/>
              <w:spacing w:before="51" w:after="57"/>
              <w:ind w:left="91" w:right="0" w:hanging="0"/>
              <w:jc w:val="left"/>
              <w:rPr>
                <w:rFonts w:ascii="Arial-BoldMT;serif" w:hAnsi="Arial-BoldMT;serif"/>
                <w:sz w:val="22"/>
              </w:rPr>
            </w:pPr>
            <w:r>
              <w:rPr>
                <w:b/>
                <w:color w:val="000000"/>
                <w:sz w:val="18"/>
              </w:rPr>
              <w:t>Egyéb ötletek</w:t>
            </w:r>
            <w:r>
              <w:rPr>
                <w:color w:val="FF0000"/>
                <w:sz w:val="22"/>
              </w:rPr>
              <w:t xml:space="preserve"> </w:t>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51" w:after="57"/>
              <w:ind w:left="113" w:right="0" w:hanging="0"/>
              <w:jc w:val="left"/>
              <w:rPr>
                <w:rFonts w:ascii="Arial-BoldMT;serif" w:hAnsi="Arial-BoldMT;serif"/>
                <w:sz w:val="18"/>
              </w:rPr>
            </w:pPr>
            <w:r>
              <w:rPr>
                <w:rFonts w:ascii="Arial-BoldMT;serif" w:hAnsi="Arial-BoldMT;serif"/>
                <w:b/>
                <w:color w:val="000000"/>
                <w:sz w:val="18"/>
              </w:rPr>
              <w:t xml:space="preserve">Az ötlet: Az európai szuverenitásért. A szükséges reformok (fordítva) </w:t>
            </w:r>
            <w:r>
              <w:rPr>
                <w:rFonts w:ascii="ArialMT;serif" w:hAnsi="ArialMT;serif"/>
                <w:color w:val="000000"/>
                <w:sz w:val="18"/>
              </w:rPr>
              <w:t>(lásd</w:t>
            </w:r>
            <w:hyperlink r:id="rId2139">
              <w:r>
                <w:rPr>
                  <w:rStyle w:val="LienInternet"/>
                  <w:rFonts w:ascii="Times New Roman;serif" w:hAnsi="Times New Roman;serif"/>
                  <w:sz w:val="22"/>
                </w:rPr>
                <w:t xml:space="preserve"> </w:t>
              </w:r>
            </w:hyperlink>
            <w:hyperlink r:id="rId2140">
              <w:r>
                <w:rPr>
                  <w:rStyle w:val="LienInternet"/>
                  <w:rFonts w:ascii="ArialMT;serif" w:hAnsi="ArialMT;serif"/>
                  <w:color w:val="0563C1"/>
                  <w:sz w:val="18"/>
                </w:rPr>
                <w:t>az ötletet</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0" w:after="57"/>
              <w:ind w:left="113" w:right="1208" w:hanging="0"/>
              <w:jc w:val="left"/>
              <w:rPr>
                <w:rFonts w:ascii="ArialMT;serif" w:hAnsi="ArialMT;serif"/>
                <w:color w:val="000000"/>
                <w:sz w:val="18"/>
              </w:rPr>
            </w:pPr>
            <w:r>
              <w:rPr/>
              <w:t>Jóváhagyások: 508</w:t>
            </w:r>
          </w:p>
          <w:p>
            <w:pPr>
              <w:pStyle w:val="P68B1DB1Contenudetableau17"/>
              <w:widowControl w:val="false"/>
              <w:spacing w:before="0" w:after="57"/>
              <w:ind w:left="113" w:right="1208" w:hanging="0"/>
              <w:jc w:val="left"/>
              <w:rPr>
                <w:rFonts w:ascii="ArialMT;serif" w:hAnsi="ArialMT;serif"/>
                <w:color w:val="000000"/>
                <w:sz w:val="18"/>
              </w:rPr>
            </w:pPr>
            <w:r>
              <w:rPr/>
              <w:t xml:space="preserve"> </w:t>
            </w:r>
            <w:r>
              <w:rPr/>
              <w:t xml:space="preserve">Hozzászólások: 26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Az ötlet: Az eszperantó, egy közös semleges nyelv, amelyet</w:t>
            </w:r>
            <w:r>
              <w:rPr>
                <w:rFonts w:ascii="Times New Roman;serif" w:hAnsi="Times New Roman;serif"/>
                <w:color w:val="000000"/>
                <w:sz w:val="22"/>
              </w:rPr>
              <w:t xml:space="preserve"> </w:t>
            </w:r>
            <w:r>
              <w:rPr>
                <w:rFonts w:ascii="Arial-BoldMT;serif" w:hAnsi="Arial-BoldMT;serif"/>
                <w:b/>
                <w:color w:val="000000"/>
                <w:sz w:val="18"/>
              </w:rPr>
              <w:t>könnyű</w:t>
            </w:r>
            <w:r>
              <w:rPr>
                <w:rFonts w:ascii="Times New Roman;serif" w:hAnsi="Times New Roman;serif"/>
                <w:color w:val="000000"/>
                <w:sz w:val="22"/>
              </w:rPr>
              <w:t xml:space="preserve"> </w:t>
            </w:r>
            <w:r>
              <w:rPr>
                <w:rFonts w:ascii="Arial-BoldMT;serif" w:hAnsi="Arial-BoldMT;serif"/>
                <w:b/>
                <w:color w:val="000000"/>
                <w:sz w:val="18"/>
              </w:rPr>
              <w:t>megtanulni, eszköz</w:t>
            </w:r>
            <w:r>
              <w:rPr>
                <w:rFonts w:ascii="Times New Roman;serif" w:hAnsi="Times New Roman;serif"/>
                <w:color w:val="000000"/>
                <w:sz w:val="22"/>
              </w:rPr>
              <w:t xml:space="preserve">  </w:t>
            </w:r>
            <w:r>
              <w:rPr>
                <w:rFonts w:ascii="Arial-BoldMT;serif" w:hAnsi="Arial-BoldMT;serif"/>
                <w:b/>
                <w:color w:val="000000"/>
                <w:sz w:val="18"/>
              </w:rPr>
              <w:t>az egységesebb  Európai Unió számára</w:t>
            </w:r>
            <w:r>
              <w:rPr>
                <w:rFonts w:ascii="Times New Roman;serif" w:hAnsi="Times New Roman;serif"/>
                <w:color w:val="000000"/>
                <w:sz w:val="22"/>
              </w:rPr>
              <w:t xml:space="preserve"> </w:t>
            </w:r>
            <w:r>
              <w:rPr>
                <w:rFonts w:ascii="ArialMT;serif" w:hAnsi="ArialMT;serif"/>
                <w:color w:val="000000"/>
                <w:sz w:val="18"/>
              </w:rPr>
              <w:t xml:space="preserve">(lásd az </w:t>
            </w:r>
            <w:hyperlink r:id="rId2141">
              <w:r>
                <w:rPr>
                  <w:rStyle w:val="LienInternet"/>
                  <w:rFonts w:ascii="ArialMT;serif" w:hAnsi="ArialMT;serif"/>
                  <w:color w:val="0563C1"/>
                  <w:sz w:val="18"/>
                </w:rPr>
                <w:t>ötletet</w:t>
              </w:r>
            </w:hyperlink>
            <w:r>
              <w:rPr>
                <w:rFonts w:ascii="ArialMT;serif" w:hAnsi="ArialMT;serif"/>
                <w:color w:val="000000"/>
                <w:sz w:val="18"/>
              </w:rPr>
              <w:t>)</w:t>
            </w:r>
            <w:r>
              <w:rPr>
                <w:rFonts w:ascii="Times New Roman;serif" w:hAnsi="Times New Roman;serif"/>
                <w:color w:val="000000"/>
                <w:sz w:val="22"/>
              </w:rPr>
              <w:t xml:space="preserve"> </w:t>
            </w:r>
          </w:p>
          <w:p>
            <w:pPr>
              <w:pStyle w:val="Corpsdetexte"/>
              <w:widowControl w:val="false"/>
              <w:spacing w:lineRule="atLeast" w:line="363" w:before="0" w:after="140"/>
              <w:ind w:left="0" w:right="0" w:hanging="0"/>
              <w:jc w:val="left"/>
              <w:rPr/>
            </w:pPr>
            <w:r>
              <w:rPr>
                <w:rFonts w:ascii="ArialMT;serif" w:hAnsi="ArialMT;serif"/>
                <w:color w:val="000000"/>
                <w:sz w:val="18"/>
              </w:rPr>
              <w:t xml:space="preserve">Jóváhagyások: 261 </w:t>
            </w:r>
            <w:r>
              <w:rPr>
                <w:rFonts w:ascii="Times New Roman;serif" w:hAnsi="Times New Roman;serif"/>
                <w:sz w:val="22"/>
              </w:rPr>
              <w:br/>
            </w:r>
            <w:r>
              <w:rPr>
                <w:rFonts w:ascii="ArialMT;serif" w:hAnsi="ArialMT;serif"/>
                <w:color w:val="000000"/>
                <w:sz w:val="18"/>
              </w:rPr>
              <w:t xml:space="preserve">Hozzászólások: 233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Az ötlet: Az eszperantó hivatalos elismerése az</w:t>
            </w:r>
            <w:r>
              <w:rPr>
                <w:rFonts w:ascii="Times New Roman;serif" w:hAnsi="Times New Roman;serif"/>
                <w:color w:val="000000"/>
                <w:sz w:val="22"/>
              </w:rPr>
              <w:t xml:space="preserve"> </w:t>
            </w:r>
            <w:r>
              <w:rPr>
                <w:rFonts w:ascii="Arial-BoldMT;serif" w:hAnsi="Arial-BoldMT;serif"/>
                <w:b/>
                <w:color w:val="000000"/>
                <w:sz w:val="18"/>
              </w:rPr>
              <w:t>uniós</w:t>
            </w:r>
            <w:r>
              <w:rPr>
                <w:rFonts w:ascii="Times New Roman;serif" w:hAnsi="Times New Roman;serif"/>
                <w:color w:val="000000"/>
                <w:sz w:val="22"/>
              </w:rPr>
              <w:t xml:space="preserve">  </w:t>
            </w:r>
            <w:r>
              <w:rPr>
                <w:rFonts w:ascii="Arial-BoldMT;serif" w:hAnsi="Arial-BoldMT;serif"/>
                <w:b/>
                <w:color w:val="000000"/>
                <w:sz w:val="18"/>
              </w:rPr>
              <w:t>polgárok</w:t>
            </w:r>
            <w:r>
              <w:rPr>
                <w:rFonts w:ascii="Times New Roman;serif" w:hAnsi="Times New Roman;serif"/>
                <w:color w:val="000000"/>
                <w:sz w:val="22"/>
              </w:rPr>
              <w:t xml:space="preserve"> egyik nyelveként </w:t>
            </w:r>
            <w:r>
              <w:rPr>
                <w:rFonts w:ascii="ArialMT;serif" w:hAnsi="ArialMT;serif"/>
                <w:color w:val="000000"/>
                <w:sz w:val="18"/>
              </w:rPr>
              <w:t xml:space="preserve">(lásd az </w:t>
            </w:r>
            <w:hyperlink r:id="rId2142">
              <w:r>
                <w:rPr>
                  <w:rStyle w:val="LienInternet"/>
                  <w:rFonts w:ascii="ArialMT;serif" w:hAnsi="ArialMT;serif"/>
                  <w:color w:val="0563C1"/>
                  <w:sz w:val="18"/>
                </w:rPr>
                <w:t>ötletet</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17" w:after="57"/>
              <w:ind w:left="91" w:right="1208" w:hanging="0"/>
              <w:jc w:val="left"/>
              <w:rPr>
                <w:rFonts w:ascii="ArialMT;serif" w:hAnsi="ArialMT;serif"/>
                <w:color w:val="000000"/>
                <w:sz w:val="18"/>
              </w:rPr>
            </w:pPr>
            <w:r>
              <w:rPr/>
              <w:t>Jóváhagyások: 325</w:t>
            </w:r>
          </w:p>
          <w:p>
            <w:pPr>
              <w:pStyle w:val="P68B1DB1Contenudetableau16"/>
              <w:widowControl w:val="false"/>
              <w:spacing w:before="17" w:after="57"/>
              <w:ind w:left="91" w:right="1208" w:hanging="0"/>
              <w:jc w:val="left"/>
              <w:rPr>
                <w:rFonts w:ascii="Times New Roman;serif" w:hAnsi="Times New Roman;serif"/>
                <w:color w:val="000000"/>
                <w:sz w:val="22"/>
              </w:rPr>
            </w:pPr>
            <w:r>
              <w:rPr>
                <w:rFonts w:ascii="ArialMT;serif" w:hAnsi="ArialMT;serif"/>
                <w:sz w:val="18"/>
              </w:rPr>
              <w:t xml:space="preserve"> </w:t>
            </w:r>
            <w:r>
              <w:rPr>
                <w:rFonts w:ascii="ArialMT;serif" w:hAnsi="ArialMT;serif"/>
                <w:sz w:val="18"/>
              </w:rPr>
              <w:t>Hozzászólások: 138</w:t>
            </w:r>
            <w:r>
              <w:rPr>
                <w:rFonts w:ascii="Times New Roman;serif" w:hAnsi="Times New Roman;serif"/>
                <w:sz w:val="22"/>
              </w:rPr>
              <w:t xml:space="preserve">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Az ötlet: Az eszperantó hivatalos elismerése az</w:t>
            </w:r>
            <w:r>
              <w:rPr>
                <w:rFonts w:ascii="Times New Roman;serif" w:hAnsi="Times New Roman;serif"/>
                <w:color w:val="000000"/>
                <w:sz w:val="22"/>
              </w:rPr>
              <w:t xml:space="preserve"> </w:t>
            </w:r>
            <w:r>
              <w:rPr>
                <w:rFonts w:ascii="Arial-BoldMT;serif" w:hAnsi="Arial-BoldMT;serif"/>
                <w:b/>
                <w:color w:val="000000"/>
                <w:sz w:val="18"/>
              </w:rPr>
              <w:t>uniós</w:t>
            </w:r>
            <w:r>
              <w:rPr>
                <w:rFonts w:ascii="Times New Roman;serif" w:hAnsi="Times New Roman;serif"/>
                <w:color w:val="000000"/>
                <w:sz w:val="22"/>
              </w:rPr>
              <w:t xml:space="preserve">   </w:t>
            </w:r>
            <w:r>
              <w:rPr>
                <w:rFonts w:ascii="Arial-BoldMT;serif" w:hAnsi="Arial-BoldMT;serif"/>
                <w:b/>
                <w:color w:val="000000"/>
                <w:sz w:val="18"/>
              </w:rPr>
              <w:t>polgárok</w:t>
            </w:r>
            <w:r>
              <w:rPr>
                <w:rFonts w:ascii="Times New Roman;serif" w:hAnsi="Times New Roman;serif"/>
                <w:color w:val="000000"/>
                <w:sz w:val="22"/>
              </w:rPr>
              <w:t xml:space="preserve"> egyik nyelveként </w:t>
            </w:r>
            <w:r>
              <w:rPr>
                <w:rFonts w:ascii="ArialMT;serif" w:hAnsi="ArialMT;serif"/>
                <w:color w:val="000000"/>
                <w:sz w:val="18"/>
              </w:rPr>
              <w:t xml:space="preserve">(lásd az </w:t>
            </w:r>
            <w:hyperlink r:id="rId2143">
              <w:r>
                <w:rPr>
                  <w:rStyle w:val="LienInternet"/>
                  <w:rFonts w:ascii="ArialMT;serif" w:hAnsi="ArialMT;serif"/>
                  <w:color w:val="0563C1"/>
                  <w:sz w:val="18"/>
                </w:rPr>
                <w:t>ötletet</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45" w:after="57"/>
              <w:ind w:left="91" w:right="1208" w:hanging="0"/>
              <w:jc w:val="left"/>
              <w:rPr>
                <w:rFonts w:ascii="ArialMT;serif" w:hAnsi="ArialMT;serif"/>
                <w:color w:val="000000"/>
                <w:sz w:val="18"/>
              </w:rPr>
            </w:pPr>
            <w:r>
              <w:rPr/>
              <w:t>Jóváhagyások: 325</w:t>
            </w:r>
          </w:p>
          <w:p>
            <w:pPr>
              <w:pStyle w:val="P68B1DB1Contenudetableau16"/>
              <w:widowControl w:val="false"/>
              <w:spacing w:before="45" w:after="57"/>
              <w:ind w:left="91" w:right="1208" w:hanging="0"/>
              <w:jc w:val="left"/>
              <w:rPr>
                <w:rFonts w:ascii="Times New Roman;serif" w:hAnsi="Times New Roman;serif"/>
                <w:color w:val="000000"/>
                <w:sz w:val="22"/>
              </w:rPr>
            </w:pPr>
            <w:r>
              <w:rPr>
                <w:rFonts w:ascii="ArialMT;serif" w:hAnsi="ArialMT;serif"/>
                <w:sz w:val="18"/>
              </w:rPr>
              <w:t xml:space="preserve"> </w:t>
            </w:r>
            <w:r>
              <w:rPr>
                <w:rFonts w:ascii="ArialMT;serif" w:hAnsi="ArialMT;serif"/>
                <w:sz w:val="18"/>
              </w:rPr>
              <w:t>Hozzászólások: 138</w:t>
            </w:r>
            <w:r>
              <w:rPr>
                <w:rFonts w:ascii="Times New Roman;serif" w:hAnsi="Times New Roman;serif"/>
                <w:sz w:val="22"/>
              </w:rPr>
              <w:t xml:space="preserve">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Az ötlet: Az eszperantó, egy közös semleges nyelv, amelyet</w:t>
            </w:r>
            <w:r>
              <w:rPr>
                <w:rFonts w:ascii="Times New Roman;serif" w:hAnsi="Times New Roman;serif"/>
                <w:color w:val="000000"/>
                <w:sz w:val="22"/>
              </w:rPr>
              <w:t xml:space="preserve"> </w:t>
            </w:r>
            <w:r>
              <w:rPr>
                <w:rFonts w:ascii="Arial-BoldMT;serif" w:hAnsi="Arial-BoldMT;serif"/>
                <w:b/>
                <w:color w:val="000000"/>
                <w:sz w:val="18"/>
              </w:rPr>
              <w:t>könnyű</w:t>
            </w:r>
            <w:r>
              <w:rPr>
                <w:rFonts w:ascii="Times New Roman;serif" w:hAnsi="Times New Roman;serif"/>
                <w:color w:val="000000"/>
                <w:sz w:val="22"/>
              </w:rPr>
              <w:t xml:space="preserve"> </w:t>
            </w:r>
            <w:r>
              <w:rPr>
                <w:rFonts w:ascii="Arial-BoldMT;serif" w:hAnsi="Arial-BoldMT;serif"/>
                <w:b/>
                <w:color w:val="000000"/>
                <w:sz w:val="18"/>
              </w:rPr>
              <w:t>megtanulni,</w:t>
            </w:r>
            <w:r>
              <w:rPr>
                <w:rFonts w:ascii="Times New Roman;serif" w:hAnsi="Times New Roman;serif"/>
                <w:color w:val="000000"/>
                <w:sz w:val="22"/>
              </w:rPr>
              <w:t xml:space="preserve"> </w:t>
            </w:r>
            <w:r>
              <w:rPr>
                <w:rFonts w:ascii="Arial-BoldMT;serif" w:hAnsi="Arial-BoldMT;serif"/>
                <w:b/>
                <w:color w:val="000000"/>
                <w:sz w:val="18"/>
              </w:rPr>
              <w:t>eszköz</w:t>
            </w:r>
            <w:r>
              <w:rPr>
                <w:rFonts w:ascii="Times New Roman;serif" w:hAnsi="Times New Roman;serif"/>
                <w:color w:val="000000"/>
                <w:sz w:val="22"/>
              </w:rPr>
              <w:t xml:space="preserve">  </w:t>
            </w:r>
            <w:r>
              <w:rPr>
                <w:rFonts w:ascii="Arial-BoldMT;serif" w:hAnsi="Arial-BoldMT;serif"/>
                <w:b/>
                <w:color w:val="000000"/>
                <w:sz w:val="18"/>
              </w:rPr>
              <w:t>az egységesebb  Európai Unió számára</w:t>
            </w:r>
            <w:r>
              <w:rPr>
                <w:rFonts w:ascii="Times New Roman;serif" w:hAnsi="Times New Roman;serif"/>
                <w:color w:val="000000"/>
                <w:sz w:val="22"/>
              </w:rPr>
              <w:t xml:space="preserve"> </w:t>
            </w:r>
            <w:r>
              <w:rPr>
                <w:rFonts w:ascii="ArialMT;serif" w:hAnsi="ArialMT;serif"/>
                <w:color w:val="000000"/>
                <w:sz w:val="18"/>
              </w:rPr>
              <w:t>(lásd az</w:t>
            </w:r>
            <w:hyperlink r:id="rId2144">
              <w:r>
                <w:rPr>
                  <w:rStyle w:val="LienInternet"/>
                  <w:rFonts w:ascii="Times New Roman;serif" w:hAnsi="Times New Roman;serif"/>
                  <w:sz w:val="22"/>
                </w:rPr>
                <w:t xml:space="preserve"> </w:t>
              </w:r>
            </w:hyperlink>
            <w:hyperlink r:id="rId2145">
              <w:r>
                <w:rPr>
                  <w:rStyle w:val="LienInternet"/>
                  <w:rFonts w:ascii="ArialMT;serif" w:hAnsi="ArialMT;serif"/>
                  <w:color w:val="0563C1"/>
                  <w:sz w:val="18"/>
                </w:rPr>
                <w:t>ötletet</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Jóváhagyások: 261</w:t>
            </w:r>
          </w:p>
          <w:p>
            <w:pPr>
              <w:pStyle w:val="P68B1DB1Contenudetableau16"/>
              <w:widowControl w:val="false"/>
              <w:spacing w:before="6" w:after="57"/>
              <w:ind w:left="91" w:right="1208" w:hanging="0"/>
              <w:jc w:val="left"/>
              <w:rPr>
                <w:rFonts w:ascii="Times New Roman;serif" w:hAnsi="Times New Roman;serif"/>
                <w:color w:val="000000"/>
                <w:sz w:val="22"/>
              </w:rPr>
            </w:pPr>
            <w:r>
              <w:rPr>
                <w:rFonts w:ascii="ArialMT;serif" w:hAnsi="ArialMT;serif"/>
                <w:sz w:val="18"/>
              </w:rPr>
              <w:t xml:space="preserve"> </w:t>
            </w:r>
            <w:r>
              <w:rPr>
                <w:rFonts w:ascii="ArialMT;serif" w:hAnsi="ArialMT;serif"/>
                <w:sz w:val="18"/>
              </w:rPr>
              <w:t>Hozzászólások: 233</w:t>
            </w:r>
            <w:r>
              <w:rPr>
                <w:rFonts w:ascii="Times New Roman;serif" w:hAnsi="Times New Roman;serif"/>
                <w:sz w:val="22"/>
              </w:rPr>
              <w:t xml:space="preserve">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Az ötlet:</w:t>
            </w:r>
            <w:r>
              <w:rPr>
                <w:rFonts w:ascii="Times New Roman;serif" w:hAnsi="Times New Roman;serif"/>
                <w:color w:val="000000"/>
                <w:sz w:val="22"/>
              </w:rPr>
              <w:t xml:space="preserve"> </w:t>
            </w:r>
            <w:r>
              <w:rPr>
                <w:rFonts w:ascii="Arial-BoldMT;serif" w:hAnsi="Arial-BoldMT;serif"/>
                <w:b/>
                <w:color w:val="000000"/>
                <w:sz w:val="18"/>
              </w:rPr>
              <w:t>Európai</w:t>
            </w:r>
            <w:r>
              <w:rPr>
                <w:rFonts w:ascii="Times New Roman;serif" w:hAnsi="Times New Roman;serif"/>
                <w:color w:val="000000"/>
                <w:sz w:val="22"/>
              </w:rPr>
              <w:t xml:space="preserve"> </w:t>
            </w:r>
            <w:r>
              <w:rPr>
                <w:rFonts w:ascii="Arial-BoldMT;serif" w:hAnsi="Arial-BoldMT;serif"/>
                <w:b/>
                <w:color w:val="000000"/>
                <w:sz w:val="18"/>
              </w:rPr>
              <w:t>zászlós</w:t>
            </w:r>
            <w:r>
              <w:rPr>
                <w:rFonts w:ascii="Times New Roman;serif" w:hAnsi="Times New Roman;serif"/>
                <w:color w:val="000000"/>
                <w:sz w:val="22"/>
              </w:rPr>
              <w:t xml:space="preserve"> </w:t>
            </w:r>
            <w:r>
              <w:rPr>
                <w:rFonts w:ascii="Arial-BoldMT;serif" w:hAnsi="Arial-BoldMT;serif"/>
                <w:b/>
                <w:color w:val="000000"/>
                <w:sz w:val="18"/>
              </w:rPr>
              <w:t xml:space="preserve">üdvözlet (fordítva) </w:t>
            </w:r>
            <w:r>
              <w:rPr>
                <w:rFonts w:ascii="ArialMT;serif" w:hAnsi="ArialMT;serif"/>
                <w:color w:val="000000"/>
                <w:sz w:val="18"/>
              </w:rPr>
              <w:t>(lásd</w:t>
            </w:r>
            <w:hyperlink r:id="rId2146">
              <w:r>
                <w:rPr>
                  <w:rStyle w:val="LienInternet"/>
                  <w:rFonts w:ascii="Times New Roman;serif" w:hAnsi="Times New Roman;serif"/>
                  <w:sz w:val="22"/>
                </w:rPr>
                <w:t xml:space="preserve"> </w:t>
              </w:r>
            </w:hyperlink>
            <w:hyperlink r:id="rId2147">
              <w:r>
                <w:rPr>
                  <w:rStyle w:val="LienInternet"/>
                  <w:rFonts w:ascii="ArialMT;serif" w:hAnsi="ArialMT;serif"/>
                  <w:color w:val="0563C1"/>
                  <w:sz w:val="18"/>
                </w:rPr>
                <w:t>az ötletet</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6" w:after="57"/>
              <w:ind w:left="91" w:right="1434" w:hanging="0"/>
              <w:jc w:val="left"/>
              <w:rPr>
                <w:rFonts w:ascii="ArialMT;serif" w:hAnsi="ArialMT;serif"/>
                <w:color w:val="000000"/>
                <w:sz w:val="18"/>
              </w:rPr>
            </w:pPr>
            <w:r>
              <w:rPr/>
              <w:t>Jóváhagyások: 1</w:t>
            </w:r>
          </w:p>
          <w:p>
            <w:pPr>
              <w:pStyle w:val="P68B1DB1Contenudetableau17"/>
              <w:widowControl w:val="false"/>
              <w:spacing w:before="6" w:after="57"/>
              <w:ind w:left="91" w:right="1434" w:hanging="0"/>
              <w:jc w:val="left"/>
              <w:rPr>
                <w:rFonts w:ascii="ArialMT;serif" w:hAnsi="ArialMT;serif"/>
                <w:color w:val="000000"/>
                <w:sz w:val="18"/>
              </w:rPr>
            </w:pPr>
            <w:r>
              <w:rPr/>
              <w:t xml:space="preserve"> </w:t>
            </w:r>
            <w:r>
              <w:rPr/>
              <w:t xml:space="preserve">Hozzászólások: 120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 xml:space="preserve">Az ötlet: Cselekvési terv az állatmentes tudományra való áttérésről </w:t>
            </w:r>
            <w:r>
              <w:rPr>
                <w:rFonts w:ascii="ArialMT;serif" w:hAnsi="ArialMT;serif"/>
                <w:color w:val="000000"/>
                <w:sz w:val="18"/>
              </w:rPr>
              <w:t xml:space="preserve">(lásd az </w:t>
            </w:r>
            <w:hyperlink r:id="rId2148">
              <w:r>
                <w:rPr>
                  <w:rStyle w:val="LienInternet"/>
                  <w:rFonts w:ascii="ArialMT;serif" w:hAnsi="ArialMT;serif"/>
                  <w:color w:val="0563C1"/>
                  <w:sz w:val="18"/>
                </w:rPr>
                <w:t>ötletet</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Jóváhagyások: 236</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Hozzászólások: 23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Az ötlet:</w:t>
            </w:r>
            <w:r>
              <w:rPr>
                <w:rFonts w:ascii="Times New Roman;serif" w:hAnsi="Times New Roman;serif"/>
                <w:color w:val="000000"/>
                <w:sz w:val="22"/>
              </w:rPr>
              <w:t xml:space="preserve"> </w:t>
            </w:r>
            <w:r>
              <w:rPr>
                <w:rFonts w:ascii="Arial-BoldMT;serif" w:hAnsi="Arial-BoldMT;serif"/>
                <w:b/>
                <w:color w:val="000000"/>
                <w:sz w:val="18"/>
              </w:rPr>
              <w:t>Európai</w:t>
            </w:r>
            <w:r>
              <w:rPr>
                <w:rFonts w:ascii="Times New Roman;serif" w:hAnsi="Times New Roman;serif"/>
                <w:color w:val="000000"/>
                <w:sz w:val="22"/>
              </w:rPr>
              <w:t xml:space="preserve"> </w:t>
            </w:r>
            <w:r>
              <w:rPr>
                <w:rFonts w:ascii="Arial-BoldMT;serif" w:hAnsi="Arial-BoldMT;serif"/>
                <w:b/>
                <w:color w:val="000000"/>
                <w:sz w:val="18"/>
              </w:rPr>
              <w:t>Unió</w:t>
            </w:r>
            <w:r>
              <w:rPr>
                <w:rFonts w:ascii="Times New Roman;serif" w:hAnsi="Times New Roman;serif"/>
                <w:color w:val="000000"/>
                <w:sz w:val="22"/>
              </w:rPr>
              <w:t xml:space="preserve"> – </w:t>
            </w:r>
            <w:r>
              <w:rPr>
                <w:rFonts w:ascii="Arial-BoldMT;serif" w:hAnsi="Arial-BoldMT;serif"/>
                <w:b/>
                <w:color w:val="000000"/>
                <w:sz w:val="18"/>
              </w:rPr>
              <w:t xml:space="preserve">Szövetségi Állam (fordítva) </w:t>
            </w:r>
            <w:r>
              <w:rPr>
                <w:rFonts w:ascii="ArialMT;serif" w:hAnsi="ArialMT;serif"/>
                <w:color w:val="000000"/>
                <w:sz w:val="18"/>
              </w:rPr>
              <w:t xml:space="preserve">(lásd </w:t>
            </w:r>
            <w:hyperlink r:id="rId2149">
              <w:r>
                <w:rPr>
                  <w:rStyle w:val="LienInternet"/>
                  <w:rFonts w:ascii="ArialMT;serif" w:hAnsi="ArialMT;serif"/>
                  <w:color w:val="0563C1"/>
                  <w:sz w:val="18"/>
                </w:rPr>
                <w:t>az ötletet</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Jóváhagyások: 126</w:t>
            </w:r>
          </w:p>
          <w:p>
            <w:pPr>
              <w:pStyle w:val="P68B1DB1Contenudetableau17"/>
              <w:widowControl w:val="false"/>
              <w:spacing w:before="6" w:after="57"/>
              <w:ind w:left="91" w:right="1208" w:hanging="0"/>
              <w:jc w:val="left"/>
              <w:rPr>
                <w:rFonts w:ascii="ArialMT;serif" w:hAnsi="ArialMT;serif"/>
                <w:color w:val="000000"/>
                <w:sz w:val="18"/>
              </w:rPr>
            </w:pPr>
            <w:r>
              <w:rPr/>
              <w:t xml:space="preserve"> </w:t>
            </w:r>
            <w:r>
              <w:rPr/>
              <w:t xml:space="preserve">Hozzászólások: 82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Az ötlet:</w:t>
            </w:r>
            <w:r>
              <w:rPr>
                <w:rFonts w:ascii="Times New Roman;serif" w:hAnsi="Times New Roman;serif"/>
                <w:color w:val="000000"/>
                <w:sz w:val="22"/>
              </w:rPr>
              <w:t xml:space="preserve"> </w:t>
            </w:r>
            <w:r>
              <w:rPr>
                <w:rFonts w:ascii="Arial-BoldMT;serif" w:hAnsi="Arial-BoldMT;serif"/>
                <w:b/>
                <w:color w:val="000000"/>
                <w:sz w:val="18"/>
              </w:rPr>
              <w:t>Az állatok</w:t>
            </w:r>
            <w:r>
              <w:rPr>
                <w:rFonts w:ascii="Times New Roman;serif" w:hAnsi="Times New Roman;serif"/>
                <w:color w:val="000000"/>
                <w:sz w:val="22"/>
              </w:rPr>
              <w:t xml:space="preserve"> </w:t>
            </w:r>
            <w:r>
              <w:rPr>
                <w:rFonts w:ascii="Arial-BoldMT;serif" w:hAnsi="Arial-BoldMT;serif"/>
                <w:b/>
                <w:color w:val="000000"/>
                <w:sz w:val="18"/>
              </w:rPr>
              <w:t>szenvedésének</w:t>
            </w:r>
            <w:r>
              <w:rPr>
                <w:rFonts w:ascii="Times New Roman;serif" w:hAnsi="Times New Roman;serif"/>
                <w:color w:val="000000"/>
                <w:sz w:val="22"/>
              </w:rPr>
              <w:t xml:space="preserve"> </w:t>
            </w:r>
            <w:r>
              <w:rPr>
                <w:rFonts w:ascii="Arial-BoldMT;serif" w:hAnsi="Arial-BoldMT;serif"/>
                <w:b/>
                <w:color w:val="000000"/>
                <w:sz w:val="18"/>
              </w:rPr>
              <w:t>megállítása</w:t>
            </w:r>
            <w:r>
              <w:rPr>
                <w:rFonts w:ascii="Times New Roman;serif" w:hAnsi="Times New Roman;serif"/>
                <w:color w:val="000000"/>
                <w:sz w:val="22"/>
              </w:rPr>
              <w:t xml:space="preserve"> </w:t>
            </w:r>
            <w:r>
              <w:rPr>
                <w:rFonts w:ascii="Arial-BoldMT;serif" w:hAnsi="Arial-BoldMT;serif"/>
                <w:b/>
                <w:color w:val="000000"/>
                <w:sz w:val="18"/>
              </w:rPr>
              <w:t>az egzotikus</w:t>
            </w:r>
            <w:r>
              <w:rPr>
                <w:rFonts w:ascii="Times New Roman;serif" w:hAnsi="Times New Roman;serif"/>
                <w:color w:val="000000"/>
                <w:sz w:val="22"/>
              </w:rPr>
              <w:t xml:space="preserve">  </w:t>
            </w:r>
            <w:r>
              <w:rPr>
                <w:rFonts w:ascii="Arial-BoldMT;serif" w:hAnsi="Arial-BoldMT;serif"/>
                <w:b/>
                <w:color w:val="000000"/>
                <w:sz w:val="18"/>
              </w:rPr>
              <w:t>állatkereskedelemben</w:t>
            </w:r>
            <w:r>
              <w:rPr>
                <w:rFonts w:ascii="Times New Roman;serif" w:hAnsi="Times New Roman;serif"/>
                <w:color w:val="000000"/>
                <w:sz w:val="22"/>
              </w:rPr>
              <w:t xml:space="preserve"> </w:t>
            </w:r>
            <w:r>
              <w:rPr>
                <w:rFonts w:ascii="Arial-BoldMT;serif" w:hAnsi="Arial-BoldMT;serif"/>
                <w:b/>
                <w:color w:val="000000"/>
                <w:sz w:val="18"/>
              </w:rPr>
              <w:t xml:space="preserve">  pozitív listával  (</w:t>
            </w:r>
            <w:r>
              <w:rPr>
                <w:rFonts w:ascii="Times New Roman;serif" w:hAnsi="Times New Roman;serif"/>
                <w:color w:val="000000"/>
                <w:sz w:val="22"/>
              </w:rPr>
              <w:t xml:space="preserve"> </w:t>
            </w:r>
            <w:r>
              <w:rPr>
                <w:rFonts w:ascii="ArialMT;serif" w:hAnsi="ArialMT;serif"/>
                <w:color w:val="000000"/>
                <w:sz w:val="18"/>
              </w:rPr>
              <w:t xml:space="preserve">lásd az </w:t>
            </w:r>
            <w:hyperlink r:id="rId2150">
              <w:r>
                <w:rPr>
                  <w:rStyle w:val="LienInternet"/>
                  <w:rFonts w:ascii="ArialMT;serif" w:hAnsi="ArialMT;serif"/>
                  <w:color w:val="0563C1"/>
                  <w:sz w:val="18"/>
                </w:rPr>
                <w:t>ötletet</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Jóváhagyások: 228</w:t>
            </w:r>
          </w:p>
          <w:p>
            <w:pPr>
              <w:pStyle w:val="P68B1DB1Contenudetableau17"/>
              <w:widowControl w:val="false"/>
              <w:spacing w:before="6" w:after="57"/>
              <w:ind w:left="91" w:right="1208" w:hanging="0"/>
              <w:jc w:val="left"/>
              <w:rPr>
                <w:rFonts w:ascii="ArialMT;serif" w:hAnsi="ArialMT;serif"/>
                <w:color w:val="000000"/>
                <w:sz w:val="18"/>
              </w:rPr>
            </w:pPr>
            <w:r>
              <w:rPr/>
              <w:t xml:space="preserve"> </w:t>
            </w:r>
            <w:r>
              <w:rPr/>
              <w:t xml:space="preserve">Hozzászólások: 8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Az ötlet:</w:t>
            </w:r>
            <w:r>
              <w:rPr>
                <w:rFonts w:ascii="Times New Roman;serif" w:hAnsi="Times New Roman;serif"/>
                <w:color w:val="000000"/>
                <w:sz w:val="22"/>
              </w:rPr>
              <w:t xml:space="preserve"> </w:t>
            </w:r>
            <w:r>
              <w:rPr>
                <w:rFonts w:ascii="Arial-BoldMT;serif" w:hAnsi="Arial-BoldMT;serif"/>
                <w:b/>
                <w:color w:val="000000"/>
                <w:sz w:val="18"/>
              </w:rPr>
              <w:t xml:space="preserve">Egy európai nyelvelfogadása (fordítva) </w:t>
            </w:r>
            <w:r>
              <w:rPr>
                <w:rFonts w:ascii="ArialMT;serif" w:hAnsi="ArialMT;serif"/>
                <w:color w:val="000000"/>
                <w:sz w:val="18"/>
              </w:rPr>
              <w:t xml:space="preserve">(lásd </w:t>
            </w:r>
            <w:hyperlink r:id="rId2151">
              <w:r>
                <w:rPr>
                  <w:rStyle w:val="LienInternet"/>
                  <w:rFonts w:ascii="ArialMT;serif" w:hAnsi="ArialMT;serif"/>
                  <w:color w:val="0563C1"/>
                  <w:sz w:val="18"/>
                </w:rPr>
                <w:t>az ötletet</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11" w:after="57"/>
              <w:ind w:left="91" w:right="1321" w:hanging="0"/>
              <w:jc w:val="left"/>
              <w:rPr>
                <w:rFonts w:ascii="ArialMT;serif" w:hAnsi="ArialMT;serif"/>
                <w:color w:val="000000"/>
                <w:sz w:val="18"/>
              </w:rPr>
            </w:pPr>
            <w:r>
              <w:rPr/>
              <w:t>Jóváhagyások: 75</w:t>
            </w:r>
          </w:p>
          <w:p>
            <w:pPr>
              <w:pStyle w:val="P68B1DB1Contenudetableau17"/>
              <w:widowControl w:val="false"/>
              <w:spacing w:before="11" w:after="57"/>
              <w:ind w:left="91" w:right="1321" w:hanging="0"/>
              <w:jc w:val="left"/>
              <w:rPr>
                <w:rFonts w:ascii="ArialMT;serif" w:hAnsi="ArialMT;serif"/>
                <w:color w:val="000000"/>
                <w:sz w:val="18"/>
              </w:rPr>
            </w:pPr>
            <w:r>
              <w:rPr/>
              <w:t xml:space="preserve"> </w:t>
            </w:r>
            <w:r>
              <w:rPr/>
              <w:t xml:space="preserve">Hozzászólások: 73 </w:t>
            </w:r>
          </w:p>
        </w:tc>
      </w:tr>
    </w:tbl>
    <w:p>
      <w:pPr>
        <w:pStyle w:val="Normal"/>
        <w:jc w:val="left"/>
        <w:rPr/>
      </w:pPr>
      <w:r>
        <w:rPr/>
      </w:r>
    </w:p>
    <w:p>
      <w:pPr>
        <w:sectPr>
          <w:headerReference w:type="default" r:id="rId2152"/>
          <w:footerReference w:type="default" r:id="rId2153"/>
          <w:type w:val="nextPage"/>
          <w:pgSz w:w="11906" w:h="16838"/>
          <w:pgMar w:left="1134" w:right="1134" w:gutter="0" w:header="1134" w:top="1417" w:footer="0" w:bottom="1134"/>
          <w:pgNumType w:fmt="decimal"/>
          <w:formProt w:val="false"/>
          <w:textDirection w:val="lrTb"/>
          <w:docGrid w:type="default" w:linePitch="600" w:charSpace="40960"/>
        </w:sectPr>
      </w:pPr>
      <w:r>
        <w:br w:type="page"/>
      </w:r>
    </w:p>
    <w:p>
      <w:pPr>
        <w:pStyle w:val="Normal"/>
        <w:jc w:val="left"/>
        <w:rPr/>
      </w:pPr>
      <w:r>
        <w:rPr/>
        <w:drawing>
          <wp:anchor behindDoc="0" distT="0" distB="0" distL="0" distR="0" simplePos="0" locked="0" layoutInCell="0" allowOverlap="1" relativeHeight="152">
            <wp:simplePos x="0" y="0"/>
            <wp:positionH relativeFrom="column">
              <wp:align>center</wp:align>
            </wp:positionH>
            <wp:positionV relativeFrom="paragraph">
              <wp:posOffset>635</wp:posOffset>
            </wp:positionV>
            <wp:extent cx="2970530" cy="1945640"/>
            <wp:effectExtent l="0" t="0" r="0" b="0"/>
            <wp:wrapSquare wrapText="largest"/>
            <wp:docPr id="167" name="Kép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Kép41" descr=""/>
                    <pic:cNvPicPr>
                      <a:picLocks noChangeAspect="1" noChangeArrowheads="1"/>
                    </pic:cNvPicPr>
                  </pic:nvPicPr>
                  <pic:blipFill>
                    <a:blip r:embed="rId2154"/>
                    <a:stretch>
                      <a:fillRect/>
                    </a:stretch>
                  </pic:blipFill>
                  <pic:spPr bwMode="auto">
                    <a:xfrm>
                      <a:off x="0" y="0"/>
                      <a:ext cx="2970530" cy="1945640"/>
                    </a:xfrm>
                    <a:prstGeom prst="rect">
                      <a:avLst/>
                    </a:prstGeom>
                  </pic:spPr>
                </pic:pic>
              </a:graphicData>
            </a:graphic>
          </wp:anchor>
        </w:drawing>
      </w:r>
    </w:p>
    <w:p>
      <w:pPr>
        <w:pStyle w:val="Titre1"/>
        <w:numPr>
          <w:ilvl w:val="0"/>
          <w:numId w:val="1"/>
        </w:numPr>
        <w:rPr/>
      </w:pPr>
      <w:bookmarkStart w:id="117" w:name="__RefHeading___Toc86557_2514204080"/>
      <w:bookmarkEnd w:id="117"/>
      <w:r>
        <w:rPr/>
        <w:t>II. melléklet: Módszertan</w:t>
      </w:r>
    </w:p>
    <w:p>
      <w:pPr>
        <w:pStyle w:val="Normal"/>
        <w:jc w:val="left"/>
        <w:rPr/>
      </w:pPr>
      <w:r>
        <w:rPr/>
        <w:t xml:space="preserve">Az elemzéshez használt mérőszámok egy élő platformról származnak, ahol az adatokat folyamatosan moderálják és frissítik, még a kutatócsoport adatelemzésének teljes időtartama alatt is. Ez kis eltérésekhez vezethet a numerikus adatokban. </w:t>
      </w:r>
    </w:p>
    <w:p>
      <w:pPr>
        <w:pStyle w:val="Normal"/>
        <w:jc w:val="left"/>
        <w:rPr/>
      </w:pPr>
      <w:r>
        <w:rPr/>
        <w:t xml:space="preserve">A kvantitatív elemzéshez használt fő mutatók a következők: </w:t>
      </w:r>
    </w:p>
    <w:p>
      <w:pPr>
        <w:pStyle w:val="Normal"/>
        <w:tabs>
          <w:tab w:val="clear" w:pos="709"/>
        </w:tabs>
        <w:ind w:left="454" w:right="0" w:hanging="454"/>
        <w:jc w:val="left"/>
        <w:rPr/>
      </w:pPr>
      <w:r>
        <w:rPr/>
        <w:t xml:space="preserve">• </w:t>
      </w:r>
      <w:r>
        <w:rPr>
          <w:u w:val="single"/>
        </w:rPr>
        <w:t>A közreműködők által feltöltött ötletek számszerű adatai</w:t>
      </w:r>
      <w:r>
        <w:rPr/>
        <w:t xml:space="preserve">, legyen szó akár magánszemélyekről, akár egy szervezet képviselőiről. A numerikus adatok számos ötletből állnak – összességében és a különböző témákon belül. </w:t>
      </w:r>
    </w:p>
    <w:p>
      <w:pPr>
        <w:pStyle w:val="Normal"/>
        <w:tabs>
          <w:tab w:val="clear" w:pos="709"/>
        </w:tabs>
        <w:ind w:left="454" w:right="0" w:hanging="454"/>
        <w:jc w:val="left"/>
        <w:rPr/>
      </w:pPr>
      <w:r>
        <w:rPr/>
        <w:t xml:space="preserve">• </w:t>
      </w:r>
      <w:r>
        <w:rPr>
          <w:u w:val="single"/>
        </w:rPr>
        <w:t>A jóváhagyásokra vonatkozó számadatok</w:t>
      </w:r>
      <w:r>
        <w:rPr/>
        <w:t xml:space="preserve">: a jóváhagyások hasonlóak a közösségi médiában megjelenő „hasonló/felülszavazáshoz”. Segítenek jelezni a résztvevők érdeklődését és általános előnyben részesítését egy ötlet iránt, miközben nem jeleznek semmilyen ellenvetést. Ezért a jóváhagyások száma önmagában nem az ötlet általános támogatásának mutatója, hanem csak egy azon számos szempont közül, amelyeket a platform hozzászólásainak elemzése során figyelembe vesznek. A numerikus adatok a jóváhagyások számából állnak – összességében, a különböző témákon belül és egy adott ötlethez kapcsolódóan (az ötleteknek a jóváhagyások számával történő felsorolásához is). </w:t>
      </w:r>
    </w:p>
    <w:p>
      <w:pPr>
        <w:pStyle w:val="Normal"/>
        <w:tabs>
          <w:tab w:val="clear" w:pos="709"/>
        </w:tabs>
        <w:ind w:left="454" w:right="0" w:hanging="454"/>
        <w:jc w:val="left"/>
        <w:rPr/>
      </w:pPr>
      <w:r>
        <w:rPr/>
        <w:t xml:space="preserve">• </w:t>
      </w:r>
      <w:r>
        <w:rPr>
          <w:u w:val="single"/>
        </w:rPr>
        <w:t>Numerikus adatok a résztvevők észrevételeiről</w:t>
      </w:r>
      <w:r>
        <w:rPr/>
        <w:t xml:space="preserve">: az elemzés kitér a résztvevők egymás ötleteivel kapcsolatos észrevételeinek mennyiségére is, mivel ezek jelzik az ötletekkel kapcsolatos aktív szerepvállalás szintjét. Ami a tartalmat illeti, az észrevételek számos visszajelzésre vonatkozhatnak, a semlegestől az egyetértésig vagy erősen nem ért egyet. Ezt tükrözi a minőségi elemzés (lásd alább). A numerikus adatok a hozzászólások számából állnak – összességében, a különböző témákon belül és egy adott ötlethez kapcsolódóan (az ötleteknek a hozzászólások számával való felsorolásához is). </w:t>
      </w:r>
    </w:p>
    <w:p>
      <w:pPr>
        <w:pStyle w:val="Normal"/>
        <w:tabs>
          <w:tab w:val="clear" w:pos="709"/>
        </w:tabs>
        <w:ind w:left="454" w:right="0" w:hanging="454"/>
        <w:jc w:val="left"/>
        <w:rPr/>
      </w:pPr>
      <w:r>
        <w:rPr/>
        <w:t xml:space="preserve">• </w:t>
      </w:r>
      <w:r>
        <w:rPr>
          <w:u w:val="single"/>
        </w:rPr>
        <w:t>Eseményekre vonatkozó numerikus adatok</w:t>
      </w:r>
      <w:r>
        <w:rPr/>
        <w:t xml:space="preserve">: a közreműködők létrehozhatnak eseményeket a platformon, és feltölthetnek eseményjelentéseket. A numerikus adatok lefedik az események számát – összességében és a különböző témákon belül. </w:t>
      </w:r>
    </w:p>
    <w:p>
      <w:pPr>
        <w:pStyle w:val="Normal"/>
        <w:tabs>
          <w:tab w:val="clear" w:pos="709"/>
        </w:tabs>
        <w:ind w:left="454" w:right="0" w:hanging="454"/>
        <w:jc w:val="left"/>
        <w:rPr/>
      </w:pPr>
      <w:r>
        <w:rPr/>
        <w:t xml:space="preserve">• </w:t>
      </w:r>
      <w:r>
        <w:rPr>
          <w:u w:val="single"/>
        </w:rPr>
        <w:t>Szociodemográfiai adatok (anonimizált)</w:t>
      </w:r>
      <w:r>
        <w:rPr/>
        <w:t xml:space="preserve">: A platformmal való kapcsolatfelvételt megelőzően a közreműködőknek tájékoztatást kell adniuk a lakóhelyük szerinti országról, az oktatási hátterükről, az életkorukról, a nemükről és a foglalkoztatási státuszukról. Az adatokat anonim módon kezeljük. Mivel ezt az információt önként osztják meg (a résztvevők mintegy 70,5%-a adja meg), a résztvevők profiljába betekintés korlátozott. Különösen valószínűtlen, hogy a válaszadók tájékoztatást nyújtsanak foglalkozásukról, iskolázottságukról és a lakóhelyük szerinti országról. Szervezetek esetében csak a lakóhely szerinti ország adható meg. </w:t>
      </w:r>
    </w:p>
    <w:p>
      <w:pPr>
        <w:pStyle w:val="Normal"/>
        <w:jc w:val="left"/>
        <w:rPr/>
      </w:pPr>
      <w:r>
        <w:rPr/>
        <w:t xml:space="preserve">A jelentés középpontjában az ötletek, észrevételek és eseményjelentések alapján </w:t>
      </w:r>
      <w:r>
        <w:rPr>
          <w:b/>
        </w:rPr>
        <w:t>végzett minőségi elemzés</w:t>
      </w:r>
      <w:r>
        <w:rPr/>
        <w:t xml:space="preserve"> áll, amely áttekintést nyújt a platform tartalmáról. A témákat és altémákat az előre meghatározott témákban azonosítják. </w:t>
      </w:r>
    </w:p>
    <w:p>
      <w:pPr>
        <w:pStyle w:val="Normal"/>
        <w:jc w:val="left"/>
        <w:rPr/>
      </w:pPr>
      <w:r>
        <w:rPr/>
        <w:t xml:space="preserve">A gyakorlatban az egyes témákban a javasolt ötletek és zárt események kézi szöveges elemzését és csoportosítását végezték el eseményjelentésekkel egy kutatócsoport. Ennek a munkának a támogatására a platformon keresztül elérhető tartalmakat egy automatikus Szövegelemzési rendszer dolgozta fel, amelyet arra használtak, hogy segítsenek az elemzőknek megérteni a nagy mennyiségű szövegbevitelt. Lehetővé teszi a hozzájárulások csoportosítását (klaszterezését) a nyelvek között, és lehetővé teszi a hasonló tartalmak keresését a platformon és a nyelveken. Az elemzők a szövegelemzési rendszert használják a többnyelvű tartalomelemzés megkönnyítésére, és kényelmesebben azonosítják egy hasonló ötlet többszörös előfordulását különböző hozzájárulásokban. Ez segíti az azonosított téma vagy altéma előfordulási szintjének felmérését. A Szövegelemző rendszer csak a platformon keresztül beküldött tartalmat értékeli. Ez magában foglalja a szociodemográfiai kérdőívre adott álnevesített válaszokat, amelyeket a szociodemográfiai adatok összeállításához használnak, valamint a platformon benyújtott egyéb tartalmakat (ötletek, megjegyzések és jóváhagyások) (beleértve a kapcsolódó metaadatokat, például a bemenet időpontját). Ezt követően a kutatócsoport átolvasta az azonosított klaszteren belüli ötleteket, valamint az eseményleírásokat és azok eseményjelentéseit, hogy összefoglalja a közös témákat és a lehetséges altémákat, megjegyezve a megjegyzésekben szereplő eltéréseket és lehetséges nézeteltéréseket. A témára vagy altémára vonatkozó, erősen vagy gyakran támogatott ötletek is említésre kerülnek. Az azonosított témák és altémák az elemző által a Szövegelemzési rendszer segítségével értékelt előfordulási szint sorrendjében kerülnek bemutatásra. </w:t>
      </w:r>
    </w:p>
    <w:p>
      <w:pPr>
        <w:pStyle w:val="Normal"/>
        <w:jc w:val="left"/>
        <w:rPr/>
      </w:pPr>
      <w:r>
        <w:rPr/>
        <w:t xml:space="preserve">Ennek a minőségi megközelítésnek a végső célja nemcsak az, hogy rögzítse azokat a témákat vagy ötleteket, amelyek a platformon a legnagyobb figyelmet vonják magukra, hanem az egy témába tartozó ötletek szélességének és sokféleségének rögzítése is. Abban az esetben, ha a platformon benyújtott több ötlet a gyakorlatban ugyanannak az ötletnek vagy altémának a kifejeződése, erre az összefoglalóban minőségi utalások találhatók, egy „ismétlődő” vagy „kiemelt” ötletre vagy altémára hivatkozva. </w:t>
      </w:r>
    </w:p>
    <w:p>
      <w:pPr>
        <w:pStyle w:val="Normal"/>
        <w:jc w:val="left"/>
        <w:rPr/>
      </w:pPr>
      <w:r>
        <w:rPr/>
        <w:t xml:space="preserve">Az összefoglalók olyan szemléltető ötletekre vagy eseményekre mutató linkeket is tartalmaznak, amelyek konkrét javaslatot írnak le, vagy jól összefoglalják az azonosított téma vagy altéma általános érvelését. </w:t>
      </w:r>
    </w:p>
    <w:p>
      <w:pPr>
        <w:pStyle w:val="Normal"/>
        <w:jc w:val="left"/>
        <w:rPr/>
      </w:pPr>
      <w:r>
        <w:rPr/>
        <w:t xml:space="preserve">Az események elemzése során a kutatócsoport egy eseményjelentéssel a zárt eseményekre összpontosít. Különös figyelmet fordítanak a részvételen alapuló és deliberatívabb konzultatív eseményekre, amelyek magukban foglalják azoknak a polgároknak a hangját és véleményét, akik egyébként nem találják meg az utat a digitális platformhoz. </w:t>
      </w:r>
    </w:p>
    <w:p>
      <w:pPr>
        <w:pStyle w:val="Normal"/>
        <w:jc w:val="left"/>
        <w:rPr/>
      </w:pPr>
      <w:r>
        <w:rPr/>
        <w:t>A téma témákra és altémákra vagy ötletekre való lebontása vizuálisan megjelenik a vonatkozó elmetérképen.</w:t>
      </w:r>
    </w:p>
    <w:p>
      <w:pPr>
        <w:pStyle w:val="Normal"/>
        <w:jc w:val="left"/>
        <w:rPr/>
      </w:pPr>
      <w:r>
        <w:rPr/>
      </w:r>
    </w:p>
    <w:p>
      <w:pPr>
        <w:pStyle w:val="Normal"/>
        <w:jc w:val="left"/>
        <w:rPr/>
      </w:pPr>
      <w:r>
        <w:rPr/>
      </w:r>
    </w:p>
    <w:sectPr>
      <w:headerReference w:type="default" r:id="rId2155"/>
      <w:footerReference w:type="default" r:id="rId2156"/>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Arial">
    <w:charset w:val="00"/>
    <w:family w:val="roman"/>
    <w:pitch w:val="variable"/>
  </w:font>
  <w:font w:name="Arial-BoldMT">
    <w:altName w:val="serif"/>
    <w:charset w:val="00"/>
    <w:family w:val="roman"/>
    <w:pitch w:val="variable"/>
  </w:font>
  <w:font w:name="ArialMT">
    <w:altName w:val="serif"/>
    <w:charset w:val="00"/>
    <w:family w:val="roman"/>
    <w:pitch w:val="variable"/>
  </w:font>
  <w:font w:name="ArialMT">
    <w:charset w:val="00"/>
    <w:family w:val="roman"/>
    <w:pitch w:val="variable"/>
  </w:font>
  <w:font w:name="Arial">
    <w:altName w:val="sans-serif"/>
    <w:charset w:val="00"/>
    <w:family w:val="roman"/>
    <w:pitch w:val="variable"/>
  </w:font>
  <w:font w:name="Times New Roman">
    <w:altName w:val="serif"/>
    <w:charset w:val="00"/>
    <w:family w:val="roman"/>
    <w:pitch w:val="variable"/>
  </w:font>
  <w:font w:name="Arial-BoldMT">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18</w:t>
    </w:r>
    <w:r>
      <w:rPr/>
      <w:fldChar w:fldCharType="end"/>
    </w:r>
  </w:p>
</w:ftr>
</file>

<file path=word/footer1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71</w:t>
    </w:r>
    <w:r>
      <w:rPr/>
      <w:fldChar w:fldCharType="end"/>
    </w:r>
  </w:p>
</w:ftr>
</file>

<file path=word/footer1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1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81</w:t>
    </w:r>
    <w:r>
      <w:rPr/>
      <w:fldChar w:fldCharType="end"/>
    </w:r>
  </w:p>
</w:ftr>
</file>

<file path=word/footer1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1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90</w:t>
    </w:r>
    <w:r>
      <w:rPr/>
      <w:fldChar w:fldCharType="end"/>
    </w:r>
  </w:p>
</w:ftr>
</file>

<file path=word/footer1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1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98</w:t>
    </w:r>
    <w:r>
      <w:rPr/>
      <w:fldChar w:fldCharType="end"/>
    </w:r>
  </w:p>
</w:ftr>
</file>

<file path=word/footer1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1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107</w:t>
    </w:r>
    <w:r>
      <w:rPr/>
      <w:fldChar w:fldCharType="end"/>
    </w:r>
  </w:p>
</w:ftr>
</file>

<file path=word/footer1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32</w:t>
    </w:r>
    <w:r>
      <w:rPr/>
      <w:fldChar w:fldCharType="end"/>
    </w:r>
  </w:p>
</w:ftr>
</file>

<file path=word/footer2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2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123</w:t>
    </w:r>
    <w:r>
      <w:rPr/>
      <w:fldChar w:fldCharType="end"/>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42</w:t>
    </w:r>
    <w:r>
      <w:rPr/>
      <w:fldChar w:fldCharType="end"/>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53</w:t>
    </w:r>
    <w:r>
      <w:rPr/>
      <w:fldChar w:fldCharType="end"/>
    </w:r>
  </w:p>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61</w:t>
    </w:r>
    <w:r>
      <w:rPr/>
      <w:fldChar w:fldCharType="end"/>
    </w:r>
  </w:p>
</w:ftr>
</file>

<file path=word/footer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1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1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1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1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1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1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1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1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1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1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2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2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2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none"/>
      <w:suff w:val="nothing"/>
      <w:lvlText w:val=""/>
      <w:lvlJc w:val="left"/>
      <w:pPr>
        <w:tabs>
          <w:tab w:val="num" w:pos="0"/>
        </w:tabs>
        <w:ind w:left="0" w:hanging="0"/>
      </w:pPr>
      <w:rPr/>
    </w:lvl>
    <w:lvl w:ilvl="1">
      <w:start w:val="1"/>
      <w:numFmt w:val="none"/>
      <w:suff w:val="nothing"/>
      <w:lvlText w:val=""/>
      <w:lvlJc w:val="left"/>
      <w:pPr>
        <w:tabs>
          <w:tab w:val="num" w:pos="0"/>
        </w:tabs>
        <w:ind w:left="0" w:hanging="0"/>
      </w:pPr>
      <w:rPr/>
    </w:lvl>
    <w:lvl w:ilvl="2">
      <w:start w:val="1"/>
      <w:numFmt w:val="none"/>
      <w:suff w:val="nothing"/>
      <w:lvlText w:val=""/>
      <w:lvlJc w:val="left"/>
      <w:pPr>
        <w:tabs>
          <w:tab w:val="num" w:pos="0"/>
        </w:tabs>
        <w:ind w:left="0" w:hanging="0"/>
      </w:pPr>
      <w:rPr/>
    </w:lvl>
    <w:lvl w:ilvl="3">
      <w:start w:val="1"/>
      <w:numFmt w:val="none"/>
      <w:suff w:val="nothing"/>
      <w:lvlText w:val=""/>
      <w:lvlJc w:val="left"/>
      <w:pPr>
        <w:tabs>
          <w:tab w:val="num" w:pos="0"/>
        </w:tabs>
        <w:ind w:left="0" w:hanging="0"/>
      </w:pPr>
      <w:rPr/>
    </w:lvl>
    <w:lvl w:ilvl="4">
      <w:start w:val="1"/>
      <w:numFmt w:val="none"/>
      <w:suff w:val="nothing"/>
      <w:lvlText w:val=""/>
      <w:lvlJc w:val="left"/>
      <w:pPr>
        <w:tabs>
          <w:tab w:val="num" w:pos="0"/>
        </w:tabs>
        <w:ind w:left="0" w:hanging="0"/>
      </w:pPr>
      <w:rPr/>
    </w:lvl>
    <w:lvl w:ilvl="5">
      <w:start w:val="1"/>
      <w:numFmt w:val="none"/>
      <w:suff w:val="nothing"/>
      <w:lvlText w:val=""/>
      <w:lvlJc w:val="left"/>
      <w:pPr>
        <w:tabs>
          <w:tab w:val="num" w:pos="0"/>
        </w:tabs>
        <w:ind w:left="0" w:hanging="0"/>
      </w:pPr>
      <w:rPr/>
    </w:lvl>
    <w:lvl w:ilvl="6">
      <w:start w:val="1"/>
      <w:numFmt w:val="none"/>
      <w:suff w:val="nothing"/>
      <w:lvlText w:val=""/>
      <w:lvlJc w:val="left"/>
      <w:pPr>
        <w:tabs>
          <w:tab w:val="num" w:pos="0"/>
        </w:tabs>
        <w:ind w:left="0" w:hanging="0"/>
      </w:pPr>
      <w:rPr/>
    </w:lvl>
    <w:lvl w:ilvl="7">
      <w:start w:val="1"/>
      <w:numFmt w:val="none"/>
      <w:suff w:val="nothing"/>
      <w:lvlText w:val=""/>
      <w:lvlJc w:val="left"/>
      <w:pPr>
        <w:tabs>
          <w:tab w:val="num" w:pos="0"/>
        </w:tabs>
        <w:ind w:left="0" w:hanging="0"/>
      </w:pPr>
      <w:rPr/>
    </w:lvl>
    <w:lvl w:ilvl="8">
      <w:start w:val="1"/>
      <w:numFmt w:val="none"/>
      <w:suff w:val="nothing"/>
      <w:lvlText w:val=""/>
      <w:lvlJc w:val="left"/>
      <w:pPr>
        <w:tabs>
          <w:tab w:val="num" w:pos="0"/>
        </w:tabs>
        <w:ind w:left="0" w:hanging="0"/>
      </w:pPr>
      <w:rPr/>
    </w:lvl>
  </w:abstractNum>
  <w:abstractNum w:abstractNumId="2">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bering>
</file>

<file path=word/settings.xml><?xml version="1.0" encoding="utf-8"?>
<w:settings xmlns:w="http://schemas.openxmlformats.org/wordprocessingml/2006/main">
  <w:zoom w:percent="90"/>
  <w:defaultTabStop w:val="709"/>
  <w:autoHyphenation w:val="true"/>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NSimSun" w:cs="Mangal"/>
        <w:kern w:val="2"/>
        <w:sz w:val="24"/>
        <w:lang w:val="hu-HU" w:eastAsia="zh-CN" w:bidi="hi-IN"/>
      </w:rPr>
    </w:rPrDefault>
    <w:pPrDefault>
      <w:pPr>
        <w:suppressAutoHyphens w:val="true"/>
      </w:pPr>
    </w:pPrDefault>
  </w:docDefaults>
  <w:style w:type="paragraph" w:styleId="Normal">
    <w:name w:val="Normal"/>
    <w:qFormat/>
    <w:pPr>
      <w:widowControl/>
      <w:suppressAutoHyphens w:val="true"/>
      <w:overflowPunct w:val="true"/>
      <w:bidi w:val="0"/>
      <w:spacing w:before="0" w:after="0"/>
      <w:jc w:val="left"/>
    </w:pPr>
    <w:rPr>
      <w:rFonts w:ascii="Arial" w:hAnsi="Arial" w:eastAsia="NSimSun" w:cs="Mangal"/>
      <w:b w:val="false"/>
      <w:color w:val="auto"/>
      <w:kern w:val="2"/>
      <w:sz w:val="20"/>
      <w:szCs w:val="20"/>
      <w:lang w:val="hu-HU" w:eastAsia="zh-CN" w:bidi="hi-IN"/>
    </w:rPr>
  </w:style>
  <w:style w:type="paragraph" w:styleId="Titre1">
    <w:name w:val="Heading 1"/>
    <w:basedOn w:val="Titre"/>
    <w:next w:val="Normal"/>
    <w:qFormat/>
    <w:pPr>
      <w:numPr>
        <w:ilvl w:val="0"/>
        <w:numId w:val="1"/>
      </w:numPr>
      <w:spacing w:before="240" w:after="120"/>
      <w:jc w:val="center"/>
      <w:outlineLvl w:val="0"/>
    </w:pPr>
    <w:rPr>
      <w:b w:val="false"/>
      <w:color w:val="A3238E"/>
      <w:sz w:val="64"/>
    </w:rPr>
  </w:style>
  <w:style w:type="paragraph" w:styleId="Titre2">
    <w:name w:val="Heading 2"/>
    <w:basedOn w:val="Titre"/>
    <w:next w:val="Normal"/>
    <w:qFormat/>
    <w:pPr>
      <w:numPr>
        <w:ilvl w:val="1"/>
        <w:numId w:val="1"/>
      </w:numPr>
      <w:spacing w:before="200" w:after="120"/>
      <w:outlineLvl w:val="1"/>
    </w:pPr>
    <w:rPr>
      <w:b/>
      <w:sz w:val="36"/>
    </w:rPr>
  </w:style>
  <w:style w:type="character" w:styleId="LienInternet">
    <w:name w:val="Lien Internet"/>
    <w:rPr>
      <w:color w:val="000080"/>
      <w:u w:val="single"/>
    </w:rPr>
  </w:style>
  <w:style w:type="character" w:styleId="Sautdindex">
    <w:name w:val="Saut d'index"/>
    <w:qFormat/>
    <w:rPr/>
  </w:style>
  <w:style w:type="character" w:styleId="LienInternetvisit">
    <w:name w:val="Lien Internet visité"/>
    <w:rPr>
      <w:color w:val="800000"/>
      <w:u w:val="single"/>
    </w:rPr>
  </w:style>
  <w:style w:type="paragraph" w:styleId="Titre">
    <w:name w:val="Titre"/>
    <w:basedOn w:val="Normal"/>
    <w:next w:val="Corpsdetexte"/>
    <w:qFormat/>
    <w:pPr>
      <w:keepNext w:val="true"/>
      <w:spacing w:before="240" w:after="120"/>
    </w:pPr>
    <w:rPr>
      <w:rFonts w:ascii="Arial" w:hAnsi="Arial" w:eastAsia="Microsoft YaHei" w:cs="Mangal"/>
      <w:sz w:val="28"/>
    </w:rPr>
  </w:style>
  <w:style w:type="paragraph" w:styleId="Corpsdetexte">
    <w:name w:val="Body Text"/>
    <w:basedOn w:val="Normal"/>
    <w:pPr>
      <w:spacing w:lineRule="auto" w:line="276" w:before="0" w:after="140"/>
    </w:pPr>
    <w:rPr/>
  </w:style>
  <w:style w:type="paragraph" w:styleId="Liste">
    <w:name w:val="List"/>
    <w:basedOn w:val="Corpsdetexte"/>
    <w:pPr/>
    <w:rPr>
      <w:rFonts w:cs="Mangal"/>
    </w:rPr>
  </w:style>
  <w:style w:type="paragraph" w:styleId="Lgende">
    <w:name w:val="Caption"/>
    <w:basedOn w:val="Normal"/>
    <w:qFormat/>
    <w:pPr>
      <w:suppressLineNumbers/>
      <w:spacing w:before="120" w:after="120"/>
    </w:pPr>
    <w:rPr>
      <w:rFonts w:cs="Mangal"/>
      <w:i/>
      <w:sz w:val="24"/>
    </w:rPr>
  </w:style>
  <w:style w:type="paragraph" w:styleId="Index">
    <w:name w:val="Index"/>
    <w:basedOn w:val="Normal"/>
    <w:qFormat/>
    <w:pPr>
      <w:suppressLineNumbers/>
    </w:pPr>
    <w:rPr>
      <w:rFonts w:cs="Mangal"/>
    </w:rPr>
  </w:style>
  <w:style w:type="paragraph" w:styleId="Entteetpieddepage">
    <w:name w:val="En-tête et pied de page"/>
    <w:basedOn w:val="Normal"/>
    <w:qFormat/>
    <w:pPr>
      <w:suppressLineNumbers/>
      <w:tabs>
        <w:tab w:val="clear" w:pos="709"/>
        <w:tab w:val="center" w:pos="4819" w:leader="none"/>
        <w:tab w:val="right" w:pos="9638" w:leader="none"/>
      </w:tabs>
    </w:pPr>
    <w:rPr/>
  </w:style>
  <w:style w:type="paragraph" w:styleId="Entte">
    <w:name w:val="Header"/>
    <w:basedOn w:val="Normal"/>
    <w:pPr>
      <w:suppressLineNumbers/>
      <w:tabs>
        <w:tab w:val="clear" w:pos="709"/>
        <w:tab w:val="center" w:pos="4819" w:leader="none"/>
        <w:tab w:val="right" w:pos="9638" w:leader="none"/>
      </w:tabs>
    </w:pPr>
    <w:rPr/>
  </w:style>
  <w:style w:type="paragraph" w:styleId="Indexlexicaltitre">
    <w:name w:val="Index Heading"/>
    <w:basedOn w:val="Titre"/>
    <w:pPr>
      <w:suppressLineNumbers/>
      <w:ind w:left="0" w:right="0" w:hanging="0"/>
    </w:pPr>
    <w:rPr>
      <w:b/>
      <w:sz w:val="32"/>
    </w:rPr>
  </w:style>
  <w:style w:type="paragraph" w:styleId="Titredetabledesmatires">
    <w:name w:val="TOC Heading"/>
    <w:basedOn w:val="Indexlexicaltitre"/>
    <w:pPr>
      <w:suppressLineNumbers/>
      <w:ind w:left="0" w:right="0" w:hanging="0"/>
    </w:pPr>
    <w:rPr>
      <w:b/>
      <w:sz w:val="32"/>
    </w:rPr>
  </w:style>
  <w:style w:type="paragraph" w:styleId="Tabledesmatiresniveau1">
    <w:name w:val="TOC 1"/>
    <w:basedOn w:val="Index"/>
    <w:pPr>
      <w:tabs>
        <w:tab w:val="clear" w:pos="709"/>
        <w:tab w:val="right" w:pos="9638" w:leader="dot"/>
      </w:tabs>
      <w:ind w:left="0" w:right="0" w:hanging="0"/>
    </w:pPr>
    <w:rPr/>
  </w:style>
  <w:style w:type="paragraph" w:styleId="Tabledesmatiresniveau2">
    <w:name w:val="TOC 2"/>
    <w:basedOn w:val="Index"/>
    <w:pPr>
      <w:tabs>
        <w:tab w:val="clear" w:pos="709"/>
        <w:tab w:val="right" w:pos="9638" w:leader="dot"/>
      </w:tabs>
      <w:ind w:left="283" w:right="0" w:hanging="0"/>
    </w:pPr>
    <w:rPr/>
  </w:style>
  <w:style w:type="paragraph" w:styleId="Contenudecadre">
    <w:name w:val="Contenu de cadre"/>
    <w:basedOn w:val="Normal"/>
    <w:qFormat/>
    <w:pPr>
      <w:spacing w:before="31" w:after="56"/>
    </w:pPr>
    <w:rPr>
      <w:sz w:val="20"/>
    </w:rPr>
  </w:style>
  <w:style w:type="paragraph" w:styleId="TableofFigures">
    <w:name w:val="Table of Figures"/>
    <w:basedOn w:val="Lgende"/>
    <w:qFormat/>
    <w:pPr/>
    <w:rPr/>
  </w:style>
  <w:style w:type="paragraph" w:styleId="Pieddepage">
    <w:name w:val="Footer"/>
    <w:basedOn w:val="Entteetpieddepage"/>
    <w:pPr>
      <w:suppressLineNumbers/>
    </w:pPr>
    <w:rPr/>
  </w:style>
  <w:style w:type="paragraph" w:styleId="Contenudetableau">
    <w:name w:val="Contenu de tableau"/>
    <w:basedOn w:val="Normal"/>
    <w:qFormat/>
    <w:pPr>
      <w:widowControl w:val="false"/>
      <w:suppressLineNumbers/>
    </w:pPr>
    <w:rPr/>
  </w:style>
  <w:style w:type="paragraph" w:styleId="P68B1DB1Normal1">
    <w:name w:val="P68B1DB1-Normal1"/>
    <w:basedOn w:val="Normal"/>
    <w:qFormat/>
    <w:pPr/>
    <w:rPr>
      <w:rFonts w:ascii="Times New Roman" w:hAnsi="Times New Roman"/>
      <w:color w:val="FFFFFF"/>
      <w:shd w:fill="A3238E" w:val="clear"/>
    </w:rPr>
  </w:style>
  <w:style w:type="paragraph" w:styleId="P68B1DB1Corpsdetexte2">
    <w:name w:val="P68B1DB1-Corpsdetexte2"/>
    <w:basedOn w:val="Corpsdetexte"/>
    <w:qFormat/>
    <w:pPr/>
    <w:rPr>
      <w:b/>
      <w:color w:val="000000"/>
      <w:sz w:val="96"/>
    </w:rPr>
  </w:style>
  <w:style w:type="paragraph" w:styleId="P68B1DB1Corpsdetexte3">
    <w:name w:val="P68B1DB1-Corpsdetexte3"/>
    <w:basedOn w:val="Corpsdetexte"/>
    <w:qFormat/>
    <w:pPr/>
    <w:rPr>
      <w:color w:val="000000"/>
      <w:sz w:val="40"/>
    </w:rPr>
  </w:style>
  <w:style w:type="paragraph" w:styleId="P68B1DB1Normal4">
    <w:name w:val="P68B1DB1-Normal4"/>
    <w:basedOn w:val="Normal"/>
    <w:qFormat/>
    <w:pPr/>
    <w:rPr>
      <w:b/>
    </w:rPr>
  </w:style>
  <w:style w:type="paragraph" w:styleId="P68B1DB1style5">
    <w:name w:val="P68B1DB1-style5"/>
    <w:qFormat/>
    <w:pPr>
      <w:widowControl/>
      <w:suppressAutoHyphens w:val="true"/>
      <w:bidi w:val="0"/>
      <w:spacing w:before="0" w:after="0"/>
      <w:jc w:val="left"/>
    </w:pPr>
    <w:rPr>
      <w:rFonts w:ascii="Arial" w:hAnsi="Arial" w:eastAsia="Microsoft YaHei" w:cs="Mangal"/>
      <w:color w:val="00000A"/>
      <w:kern w:val="2"/>
      <w:sz w:val="24"/>
      <w:szCs w:val="20"/>
      <w:lang w:val="hu-HU" w:eastAsia="zh-CN" w:bidi="hi-IN"/>
    </w:rPr>
  </w:style>
  <w:style w:type="paragraph" w:styleId="P68B1DB1style6">
    <w:name w:val="P68B1DB1-style6"/>
    <w:qFormat/>
    <w:pPr>
      <w:widowControl/>
      <w:suppressAutoHyphens w:val="true"/>
      <w:bidi w:val="0"/>
      <w:spacing w:before="0" w:after="0"/>
      <w:jc w:val="left"/>
    </w:pPr>
    <w:rPr>
      <w:rFonts w:ascii="Arial" w:hAnsi="Arial" w:eastAsia="Microsoft YaHei" w:cs="Mangal"/>
      <w:b/>
      <w:color w:val="00000A"/>
      <w:kern w:val="2"/>
      <w:sz w:val="20"/>
      <w:szCs w:val="20"/>
      <w:lang w:val="hu-HU" w:eastAsia="zh-CN" w:bidi="hi-IN"/>
    </w:rPr>
  </w:style>
  <w:style w:type="paragraph" w:styleId="P68B1DB1style7">
    <w:name w:val="P68B1DB1-style7"/>
    <w:qFormat/>
    <w:pPr>
      <w:widowControl/>
      <w:suppressAutoHyphens w:val="true"/>
      <w:bidi w:val="0"/>
      <w:spacing w:before="0" w:after="0"/>
      <w:jc w:val="left"/>
    </w:pPr>
    <w:rPr>
      <w:rFonts w:ascii="Arial" w:hAnsi="Arial" w:eastAsia="Microsoft YaHei" w:cs="Mangal"/>
      <w:color w:val="00000A"/>
      <w:kern w:val="2"/>
      <w:sz w:val="18"/>
      <w:szCs w:val="20"/>
      <w:lang w:val="hu-HU" w:eastAsia="zh-CN" w:bidi="hi-IN"/>
    </w:rPr>
  </w:style>
  <w:style w:type="paragraph" w:styleId="P68B1DB1style8">
    <w:name w:val="P68B1DB1-style8"/>
    <w:qFormat/>
    <w:pPr>
      <w:widowControl/>
      <w:suppressAutoHyphens w:val="true"/>
      <w:bidi w:val="0"/>
      <w:spacing w:before="0" w:after="0"/>
      <w:jc w:val="left"/>
    </w:pPr>
    <w:rPr>
      <w:rFonts w:ascii="Arial" w:hAnsi="Arial" w:eastAsia="Microsoft YaHei" w:cs="Mangal"/>
      <w:color w:val="00000A"/>
      <w:kern w:val="2"/>
      <w:sz w:val="16"/>
      <w:szCs w:val="20"/>
      <w:lang w:val="hu-HU" w:eastAsia="zh-CN" w:bidi="hi-IN"/>
    </w:rPr>
  </w:style>
  <w:style w:type="paragraph" w:styleId="P68B1DB1style9">
    <w:name w:val="P68B1DB1-style9"/>
    <w:qFormat/>
    <w:pPr>
      <w:widowControl/>
      <w:suppressAutoHyphens w:val="true"/>
      <w:bidi w:val="0"/>
      <w:spacing w:before="0" w:after="0"/>
      <w:jc w:val="left"/>
    </w:pPr>
    <w:rPr>
      <w:rFonts w:ascii="Arial" w:hAnsi="Arial" w:eastAsia="Microsoft YaHei" w:cs="Mangal"/>
      <w:color w:val="00000A"/>
      <w:kern w:val="2"/>
      <w:sz w:val="21"/>
      <w:szCs w:val="20"/>
      <w:lang w:val="hu-HU" w:eastAsia="zh-CN" w:bidi="hi-IN"/>
    </w:rPr>
  </w:style>
  <w:style w:type="paragraph" w:styleId="P68B1DB1style10">
    <w:name w:val="P68B1DB1-style10"/>
    <w:qFormat/>
    <w:pPr>
      <w:widowControl/>
      <w:suppressAutoHyphens w:val="true"/>
      <w:bidi w:val="0"/>
      <w:spacing w:before="0" w:after="0"/>
      <w:jc w:val="left"/>
    </w:pPr>
    <w:rPr>
      <w:rFonts w:ascii="Arial" w:hAnsi="Arial" w:eastAsia="Microsoft YaHei" w:cs="Mangal"/>
      <w:color w:val="00000A"/>
      <w:kern w:val="2"/>
      <w:sz w:val="32"/>
      <w:szCs w:val="20"/>
      <w:lang w:val="hu-HU" w:eastAsia="zh-CN" w:bidi="hi-IN"/>
    </w:rPr>
  </w:style>
  <w:style w:type="paragraph" w:styleId="P68B1DB1style11">
    <w:name w:val="P68B1DB1-style11"/>
    <w:qFormat/>
    <w:pPr>
      <w:widowControl/>
      <w:suppressAutoHyphens w:val="true"/>
      <w:bidi w:val="0"/>
      <w:spacing w:before="0" w:after="0"/>
      <w:jc w:val="left"/>
    </w:pPr>
    <w:rPr>
      <w:rFonts w:ascii="Arial" w:hAnsi="Arial" w:eastAsia="Microsoft YaHei" w:cs="Mangal"/>
      <w:color w:val="FFFFFF"/>
      <w:kern w:val="2"/>
      <w:sz w:val="26"/>
      <w:szCs w:val="20"/>
      <w:lang w:val="hu-HU" w:eastAsia="zh-CN" w:bidi="hi-IN"/>
    </w:rPr>
  </w:style>
  <w:style w:type="paragraph" w:styleId="P68B1DB1Corpsdetexte12">
    <w:name w:val="P68B1DB1-Corpsdetexte12"/>
    <w:basedOn w:val="Corpsdetexte"/>
    <w:qFormat/>
    <w:pPr/>
    <w:rPr>
      <w:b/>
    </w:rPr>
  </w:style>
  <w:style w:type="paragraph" w:styleId="P68B1DB1Contenudetableau13">
    <w:name w:val="P68B1DB1-Contenudetableau13"/>
    <w:basedOn w:val="Contenudetableau"/>
    <w:qFormat/>
    <w:pPr/>
    <w:rPr>
      <w:rFonts w:ascii="Arial-BoldMT;serif" w:hAnsi="Arial-BoldMT;serif"/>
      <w:b/>
      <w:color w:val="FFFFFF"/>
      <w:sz w:val="18"/>
    </w:rPr>
  </w:style>
  <w:style w:type="paragraph" w:styleId="P68B1DB1Contenudetableau14">
    <w:name w:val="P68B1DB1-Contenudetableau14"/>
    <w:basedOn w:val="Contenudetableau"/>
    <w:qFormat/>
    <w:pPr/>
    <w:rPr>
      <w:rFonts w:ascii="Arial-BoldMT;serif" w:hAnsi="Arial-BoldMT;serif"/>
      <w:b/>
      <w:color w:val="000000"/>
      <w:sz w:val="18"/>
    </w:rPr>
  </w:style>
  <w:style w:type="paragraph" w:styleId="P68B1DB1Corpsdetexte15">
    <w:name w:val="P68B1DB1-Corpsdetexte15"/>
    <w:basedOn w:val="Corpsdetexte"/>
    <w:qFormat/>
    <w:pPr/>
    <w:rPr>
      <w:rFonts w:ascii="ArialMT;serif" w:hAnsi="ArialMT;serif"/>
      <w:color w:val="000000"/>
      <w:sz w:val="18"/>
    </w:rPr>
  </w:style>
  <w:style w:type="paragraph" w:styleId="P68B1DB1Contenudetableau16">
    <w:name w:val="P68B1DB1-Contenudetableau16"/>
    <w:basedOn w:val="Contenudetableau"/>
    <w:qFormat/>
    <w:pPr/>
    <w:rPr>
      <w:color w:val="000000"/>
    </w:rPr>
  </w:style>
  <w:style w:type="paragraph" w:styleId="P68B1DB1Contenudetableau17">
    <w:name w:val="P68B1DB1-Contenudetableau17"/>
    <w:basedOn w:val="Contenudetableau"/>
    <w:qFormat/>
    <w:pPr/>
    <w:rPr>
      <w:rFonts w:ascii="ArialMT;serif" w:hAnsi="ArialMT;serif"/>
      <w:color w:val="000000"/>
      <w:sz w:val="18"/>
    </w:rPr>
  </w:style>
  <w:style w:type="paragraph" w:styleId="P68B1DB1Normal18">
    <w:name w:val="P68B1DB1-Normal18"/>
    <w:basedOn w:val="Normal"/>
    <w:qFormat/>
    <w:pPr/>
    <w:rPr>
      <w:rFonts w:ascii="ArialMT" w:hAnsi="ArialMT" w:eastAsia="Times New Roman" w:cs="ArialMT"/>
      <w:color w:val="000000"/>
      <w:kern w:val="0"/>
      <w:sz w:val="19"/>
    </w:rPr>
  </w:style>
  <w:style w:type="paragraph" w:styleId="P68B1DB1Normal19">
    <w:name w:val="P68B1DB1-Normal19"/>
    <w:basedOn w:val="Normal"/>
    <w:qFormat/>
    <w:pPr/>
    <w:rPr>
      <w:rFonts w:ascii="Times New Roman" w:hAnsi="Times New Roman" w:eastAsia="Times New Roman"/>
      <w:color w:val="000000"/>
      <w:kern w:val="0"/>
      <w:sz w:val="22"/>
    </w:rPr>
  </w:style>
  <w:style w:type="paragraph" w:styleId="P68B1DB1Contenudetableau20">
    <w:name w:val="P68B1DB1-Contenudetableau20"/>
    <w:basedOn w:val="Contenudetableau"/>
    <w:qFormat/>
    <w:pPr/>
    <w:rPr>
      <w:rFonts w:ascii="Arial-BoldMT;serif" w:hAnsi="Arial-BoldMT;serif"/>
      <w:color w:val="000000"/>
    </w:rPr>
  </w:style>
  <w:style w:type="paragraph" w:styleId="P68B1DB1Contenudetableau21">
    <w:name w:val="P68B1DB1-Contenudetableau21"/>
    <w:basedOn w:val="Contenudetableau"/>
    <w:qFormat/>
    <w:pPr/>
    <w:rPr>
      <w:sz w:val="18"/>
    </w:rPr>
  </w:style>
  <w:style w:type="paragraph" w:styleId="P68B1DB1Contenudetableau22">
    <w:name w:val="P68B1DB1-Contenudetableau22"/>
    <w:basedOn w:val="Contenudetableau"/>
    <w:qFormat/>
    <w:pPr/>
    <w:rPr>
      <w:rFonts w:ascii="Arial-BoldMT;serif" w:hAnsi="Arial-BoldMT;serif"/>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eader" Target="header1.xml"/><Relationship Id="rId4" Type="http://schemas.openxmlformats.org/officeDocument/2006/relationships/image" Target="media/image2.png"/><Relationship Id="rId5" Type="http://schemas.openxmlformats.org/officeDocument/2006/relationships/image" Target="media/image3.png"/><Relationship Id="rId6" Type="http://schemas.openxmlformats.org/officeDocument/2006/relationships/hyperlink" Target="https://e-d-e.org/" TargetMode="External"/><Relationship Id="rId7" Type="http://schemas.openxmlformats.org/officeDocument/2006/relationships/hyperlink" Target="https://e-d-e.org/" TargetMode="External"/><Relationship Id="rId8" Type="http://schemas.openxmlformats.org/officeDocument/2006/relationships/hyperlink" Target="https://webgate.ec.europa.eu/etranslation" TargetMode="External"/><Relationship Id="rId9" Type="http://schemas.openxmlformats.org/officeDocument/2006/relationships/image" Target="media/image3.png"/><Relationship Id="rId10" Type="http://schemas.openxmlformats.org/officeDocument/2006/relationships/hyperlink" Target="https://e-d-e.org/" TargetMode="External"/><Relationship Id="rId11" Type="http://schemas.openxmlformats.org/officeDocument/2006/relationships/hyperlink" Target="https://e-d-e.org/" TargetMode="External"/><Relationship Id="rId12" Type="http://schemas.openxmlformats.org/officeDocument/2006/relationships/hyperlink" Target="https://webgate.ec.europa.eu/etranslation" TargetMode="External"/><Relationship Id="rId13" Type="http://schemas.openxmlformats.org/officeDocument/2006/relationships/hyperlink" Target="https://futureu.europa.eu/" TargetMode="External"/><Relationship Id="rId14" Type="http://schemas.openxmlformats.org/officeDocument/2006/relationships/hyperlink" Target="https://futureu.europa.eu/assemblies/citizens-panels" TargetMode="External"/><Relationship Id="rId15" Type="http://schemas.openxmlformats.org/officeDocument/2006/relationships/hyperlink" Target="https://futureu.europa.eu/pages/plenary" TargetMode="External"/><Relationship Id="rId16" Type="http://schemas.openxmlformats.org/officeDocument/2006/relationships/hyperlink" Target="https://futureu.europa.eu/pages/reporting" TargetMode="External"/><Relationship Id="rId17" Type="http://schemas.openxmlformats.org/officeDocument/2006/relationships/image" Target="media/image4.png"/><Relationship Id="rId18" Type="http://schemas.openxmlformats.org/officeDocument/2006/relationships/image" Target="media/image5.png"/><Relationship Id="rId19" Type="http://schemas.openxmlformats.org/officeDocument/2006/relationships/image" Target="media/image6.png"/><Relationship Id="rId20" Type="http://schemas.openxmlformats.org/officeDocument/2006/relationships/image" Target="media/image7.png"/><Relationship Id="rId21" Type="http://schemas.openxmlformats.org/officeDocument/2006/relationships/image" Target="media/image8.png"/><Relationship Id="rId22" Type="http://schemas.openxmlformats.org/officeDocument/2006/relationships/image" Target="media/image9.png"/><Relationship Id="rId23" Type="http://schemas.openxmlformats.org/officeDocument/2006/relationships/image" Target="media/image10.png"/><Relationship Id="rId24" Type="http://schemas.openxmlformats.org/officeDocument/2006/relationships/image" Target="media/image11.png"/><Relationship Id="rId25" Type="http://schemas.openxmlformats.org/officeDocument/2006/relationships/image" Target="media/image12.png"/><Relationship Id="rId26" Type="http://schemas.openxmlformats.org/officeDocument/2006/relationships/image" Target="media/image13.png"/><Relationship Id="rId27" Type="http://schemas.openxmlformats.org/officeDocument/2006/relationships/image" Target="media/image14.png"/><Relationship Id="rId28" Type="http://schemas.openxmlformats.org/officeDocument/2006/relationships/image" Target="media/image15.png"/><Relationship Id="rId29" Type="http://schemas.openxmlformats.org/officeDocument/2006/relationships/header" Target="header2.xml"/><Relationship Id="rId30" Type="http://schemas.openxmlformats.org/officeDocument/2006/relationships/footer" Target="footer1.xml"/><Relationship Id="rId31" Type="http://schemas.openxmlformats.org/officeDocument/2006/relationships/image" Target="media/image16.png"/><Relationship Id="rId32" Type="http://schemas.openxmlformats.org/officeDocument/2006/relationships/image" Target="media/image16.png"/><Relationship Id="rId33" Type="http://schemas.openxmlformats.org/officeDocument/2006/relationships/image" Target="media/image17.png"/><Relationship Id="rId34" Type="http://schemas.openxmlformats.org/officeDocument/2006/relationships/image" Target="media/image17.png"/><Relationship Id="rId35" Type="http://schemas.openxmlformats.org/officeDocument/2006/relationships/image" Target="media/image18.png"/><Relationship Id="rId36" Type="http://schemas.openxmlformats.org/officeDocument/2006/relationships/hyperlink" Target="https://futureu.europa.eu/pages/charter" TargetMode="External"/><Relationship Id="rId37" Type="http://schemas.openxmlformats.org/officeDocument/2006/relationships/hyperlink" Target="https://futureu.europa.eu/pages/our-guides" TargetMode="External"/><Relationship Id="rId38" Type="http://schemas.openxmlformats.org/officeDocument/2006/relationships/hyperlink" Target="https://futureu.europa.eu/uploads/decidim/attachment/file/328/Step-by-step_guide_for_event_organisers.080421.pdf" TargetMode="External"/><Relationship Id="rId39" Type="http://schemas.openxmlformats.org/officeDocument/2006/relationships/hyperlink" Target="https://futureu.europa.eu/processes/Economy/f/13/meetings/64913" TargetMode="External"/><Relationship Id="rId40" Type="http://schemas.openxmlformats.org/officeDocument/2006/relationships/hyperlink" Target="https://futureu.europa.eu/processes/GreenDeal/f/2/meetings/36301" TargetMode="External"/><Relationship Id="rId41" Type="http://schemas.openxmlformats.org/officeDocument/2006/relationships/hyperlink" Target="https://futureu.europa.eu/processes/OtherIdeas/f/7/meetings/142264" TargetMode="External"/><Relationship Id="rId42" Type="http://schemas.openxmlformats.org/officeDocument/2006/relationships/hyperlink" Target="https://futureu.europa.eu/processes/Education/f/37/meetings/54253" TargetMode="External"/><Relationship Id="rId43" Type="http://schemas.openxmlformats.org/officeDocument/2006/relationships/hyperlink" Target="https://futureu.europa.eu/processes/GreenDeal/f/2/meetings/24751" TargetMode="External"/><Relationship Id="rId44" Type="http://schemas.openxmlformats.org/officeDocument/2006/relationships/hyperlink" Target="https://futureu.europa.eu/processes/GreenDeal/f/2/meetings/33166" TargetMode="External"/><Relationship Id="rId45" Type="http://schemas.openxmlformats.org/officeDocument/2006/relationships/hyperlink" Target="https://futureu.europa.eu/processes/GreenDeal/f/2/meetings/68776?toggle_translations=true" TargetMode="External"/><Relationship Id="rId46" Type="http://schemas.openxmlformats.org/officeDocument/2006/relationships/hyperlink" Target="https://futureu.europa.eu/processes/GreenDeal/f/2/meetings/68776" TargetMode="External"/><Relationship Id="rId47" Type="http://schemas.openxmlformats.org/officeDocument/2006/relationships/hyperlink" Target="https://futureu.europa.eu/processes/GreenDeal/f/2/meetings/66265" TargetMode="External"/><Relationship Id="rId48" Type="http://schemas.openxmlformats.org/officeDocument/2006/relationships/hyperlink" Target="https://futureu.europa.eu/processes/ValuesRights/f/11/meetings/42373" TargetMode="External"/><Relationship Id="rId49" Type="http://schemas.openxmlformats.org/officeDocument/2006/relationships/hyperlink" Target="https://futureu.europa.eu/processes/Democracy/f/5/meetings/100486" TargetMode="External"/><Relationship Id="rId50" Type="http://schemas.openxmlformats.org/officeDocument/2006/relationships/hyperlink" Target="https://futureu.europa.eu/processes/GreenDeal/f/2/meetings/79137" TargetMode="External"/><Relationship Id="rId51" Type="http://schemas.openxmlformats.org/officeDocument/2006/relationships/hyperlink" Target="https://futureu.europa.eu/processes/OtherIdeas/f/7/meetings/16600" TargetMode="External"/><Relationship Id="rId52" Type="http://schemas.openxmlformats.org/officeDocument/2006/relationships/hyperlink" Target="https://futureu.europa.eu/processes/OtherIdeas/f/7/meetings/150217" TargetMode="External"/><Relationship Id="rId53" Type="http://schemas.openxmlformats.org/officeDocument/2006/relationships/hyperlink" Target="https://futureu.europa.eu/processes/Digital/f/14/meetings/155365" TargetMode="External"/><Relationship Id="rId54" Type="http://schemas.openxmlformats.org/officeDocument/2006/relationships/image" Target="media/image19.png"/><Relationship Id="rId55" Type="http://schemas.openxmlformats.org/officeDocument/2006/relationships/image" Target="media/image20.png"/><Relationship Id="rId56" Type="http://schemas.openxmlformats.org/officeDocument/2006/relationships/image" Target="media/image21.png"/><Relationship Id="rId57" Type="http://schemas.openxmlformats.org/officeDocument/2006/relationships/image" Target="media/image22.png"/><Relationship Id="rId58" Type="http://schemas.openxmlformats.org/officeDocument/2006/relationships/image" Target="media/image23.png"/><Relationship Id="rId59" Type="http://schemas.openxmlformats.org/officeDocument/2006/relationships/image" Target="media/image24.png"/><Relationship Id="rId60" Type="http://schemas.openxmlformats.org/officeDocument/2006/relationships/image" Target="media/image25.png"/><Relationship Id="rId61" Type="http://schemas.openxmlformats.org/officeDocument/2006/relationships/image" Target="media/image26.png"/><Relationship Id="rId62" Type="http://schemas.openxmlformats.org/officeDocument/2006/relationships/image" Target="media/image26.png"/><Relationship Id="rId63" Type="http://schemas.openxmlformats.org/officeDocument/2006/relationships/image" Target="media/image27.png"/><Relationship Id="rId64" Type="http://schemas.openxmlformats.org/officeDocument/2006/relationships/image" Target="media/image27.png"/><Relationship Id="rId65" Type="http://schemas.openxmlformats.org/officeDocument/2006/relationships/image" Target="media/image28.png"/><Relationship Id="rId66" Type="http://schemas.openxmlformats.org/officeDocument/2006/relationships/image" Target="media/image29.png"/><Relationship Id="rId67" Type="http://schemas.openxmlformats.org/officeDocument/2006/relationships/image" Target="media/image30.png"/><Relationship Id="rId68" Type="http://schemas.openxmlformats.org/officeDocument/2006/relationships/image" Target="media/image31.png"/><Relationship Id="rId69" Type="http://schemas.openxmlformats.org/officeDocument/2006/relationships/image" Target="media/image32.png"/><Relationship Id="rId70" Type="http://schemas.openxmlformats.org/officeDocument/2006/relationships/hyperlink" Target="https://futureu.europa.eu/processes/GreenDeal/f/2/meetings/156256" TargetMode="External"/><Relationship Id="rId71" Type="http://schemas.openxmlformats.org/officeDocument/2006/relationships/hyperlink" Target="https://futureu.europa.eu/processes/GreenDeal/f/2/meetings/161734" TargetMode="External"/><Relationship Id="rId72" Type="http://schemas.openxmlformats.org/officeDocument/2006/relationships/hyperlink" Target="https://futureu.europa.eu/processes/GreenDeal/f/2/meetings/161734" TargetMode="External"/><Relationship Id="rId73" Type="http://schemas.openxmlformats.org/officeDocument/2006/relationships/hyperlink" Target="https://futureu.europa.eu/processes/GreenDeal/f/2/meetings/141010" TargetMode="External"/><Relationship Id="rId74" Type="http://schemas.openxmlformats.org/officeDocument/2006/relationships/hyperlink" Target="https://futureu.europa.eu/processes/GreenDeal/f/2/meetings/144970" TargetMode="External"/><Relationship Id="rId75" Type="http://schemas.openxmlformats.org/officeDocument/2006/relationships/hyperlink" Target="https://futureu.europa.eu/processes/GreenDeal/f/2/meetings/144970" TargetMode="External"/><Relationship Id="rId76" Type="http://schemas.openxmlformats.org/officeDocument/2006/relationships/hyperlink" Target="https://futureu.europa.eu/processes/GreenDeal/f/2/meetings/157312" TargetMode="External"/><Relationship Id="rId77" Type="http://schemas.openxmlformats.org/officeDocument/2006/relationships/hyperlink" Target="https://futureu.europa.eu/processes/GreenDeal/f/2/meetings/157312" TargetMode="External"/><Relationship Id="rId78" Type="http://schemas.openxmlformats.org/officeDocument/2006/relationships/hyperlink" Target="https://futureu.europa.eu/processes/GreenDeal/f/2/meetings/157312" TargetMode="External"/><Relationship Id="rId79" Type="http://schemas.openxmlformats.org/officeDocument/2006/relationships/hyperlink" Target="https://futureu.europa.eu/processes/GreenDeal/f/2/meetings/158533" TargetMode="External"/><Relationship Id="rId80" Type="http://schemas.openxmlformats.org/officeDocument/2006/relationships/hyperlink" Target="https://futureu.europa.eu/processes/GreenDeal/f/2/meetings/142891" TargetMode="External"/><Relationship Id="rId81" Type="http://schemas.openxmlformats.org/officeDocument/2006/relationships/hyperlink" Target="https://futureu.europa.eu/processes/GreenDeal/f/2/meetings/142891" TargetMode="External"/><Relationship Id="rId82" Type="http://schemas.openxmlformats.org/officeDocument/2006/relationships/hyperlink" Target="https://futureu.europa.eu/processes/GreenDeal/f/2/meetings/142891" TargetMode="External"/><Relationship Id="rId83" Type="http://schemas.openxmlformats.org/officeDocument/2006/relationships/hyperlink" Target="https://futureu.europa.eu/processes/GreenDeal/f/1/proposals/350?page=2" TargetMode="External"/><Relationship Id="rId84" Type="http://schemas.openxmlformats.org/officeDocument/2006/relationships/hyperlink" Target="https://futureu.europa.eu/processes/GreenDeal/f/1/proposals/350?page=2" TargetMode="External"/><Relationship Id="rId85" Type="http://schemas.openxmlformats.org/officeDocument/2006/relationships/hyperlink" Target="https://futureu.europa.eu/processes/GreenDeal/f/1/proposals/207274?order=recent&amp;amp;per_page=100" TargetMode="External"/><Relationship Id="rId86" Type="http://schemas.openxmlformats.org/officeDocument/2006/relationships/hyperlink" Target="https://futureu.europa.eu/processes/GreenDeal/f/2/meetings/3807?toggle_translations=true" TargetMode="External"/><Relationship Id="rId87" Type="http://schemas.openxmlformats.org/officeDocument/2006/relationships/hyperlink" Target="https://futureu.europa.eu/processes/GreenDeal/f/2/meetings/3807?toggle_translations=true" TargetMode="External"/><Relationship Id="rId88" Type="http://schemas.openxmlformats.org/officeDocument/2006/relationships/hyperlink" Target="https://futureu.europa.eu/processes/GreenDeal/f/2/meetings/3807?toggle_translations=true" TargetMode="External"/><Relationship Id="rId89" Type="http://schemas.openxmlformats.org/officeDocument/2006/relationships/hyperlink" Target="https://futureu.europa.eu/processes/GreenDeal/f/1/proposals/218362?order=recent&amp;amp;per_page=100" TargetMode="External"/><Relationship Id="rId90" Type="http://schemas.openxmlformats.org/officeDocument/2006/relationships/hyperlink" Target="https://futureu.europa.eu/processes/GreenDeal/f/1/proposals/218362?order=recent&amp;amp;per_page=100" TargetMode="External"/><Relationship Id="rId91" Type="http://schemas.openxmlformats.org/officeDocument/2006/relationships/hyperlink" Target="https://futureu.europa.eu/processes/GreenDeal/f/1/proposals/218362?order=recent&amp;amp;per_page=100" TargetMode="External"/><Relationship Id="rId92" Type="http://schemas.openxmlformats.org/officeDocument/2006/relationships/hyperlink" Target="https://futureu.europa.eu/processes/GreenDeal/f/1/proposals/197773?filter%5Bcategory_id%5D%5B%5D=7&amp;amp;filter%5Brelated_to%5D=&amp;amp;filter%5Bsearch_text%5D=&amp;amp;locale=en&amp;amp;order=random&amp;amp;page=3&amp;amp;per_page=100" TargetMode="External"/><Relationship Id="rId93" Type="http://schemas.openxmlformats.org/officeDocument/2006/relationships/hyperlink" Target="https://futureu.europa.eu/processes/GreenDeal/f/2/meetings/515" TargetMode="External"/><Relationship Id="rId94" Type="http://schemas.openxmlformats.org/officeDocument/2006/relationships/hyperlink" Target="https://futureu.europa.eu/processes/GreenDeal/f/2/meetings/515" TargetMode="External"/><Relationship Id="rId95" Type="http://schemas.openxmlformats.org/officeDocument/2006/relationships/hyperlink" Target="https://futureu.europa.eu/processes/GreenDeal/f/2/meetings/515" TargetMode="External"/><Relationship Id="rId96" Type="http://schemas.openxmlformats.org/officeDocument/2006/relationships/hyperlink" Target="https://futureu.europa.eu/processes/GreenDeal/f/1/proposals/13832" TargetMode="External"/><Relationship Id="rId97" Type="http://schemas.openxmlformats.org/officeDocument/2006/relationships/hyperlink" Target="https://futureu.europa.eu/processes/GreenDeal/f/1/proposals/13832" TargetMode="External"/><Relationship Id="rId98" Type="http://schemas.openxmlformats.org/officeDocument/2006/relationships/hyperlink" Target="https://futureu.europa.eu/processes/GreenDeal/f/1/proposals/13832" TargetMode="External"/><Relationship Id="rId99" Type="http://schemas.openxmlformats.org/officeDocument/2006/relationships/hyperlink" Target="https://futureu.europa.eu/processes/GreenDeal/f/1/proposals/114776" TargetMode="External"/><Relationship Id="rId100" Type="http://schemas.openxmlformats.org/officeDocument/2006/relationships/hyperlink" Target="https://futureu.europa.eu/processes/GreenDeal/f/1/proposals/114776" TargetMode="External"/><Relationship Id="rId101" Type="http://schemas.openxmlformats.org/officeDocument/2006/relationships/hyperlink" Target="https://futureu.europa.eu/processes/GreenDeal/f/2/meetings/111607" TargetMode="External"/><Relationship Id="rId102" Type="http://schemas.openxmlformats.org/officeDocument/2006/relationships/hyperlink" Target="https://futureu.europa.eu/processes/GreenDeal/f/1/proposals/64" TargetMode="External"/><Relationship Id="rId103" Type="http://schemas.openxmlformats.org/officeDocument/2006/relationships/hyperlink" Target="https://futureu.europa.eu/processes/GreenDeal/f/1/proposals/64" TargetMode="External"/><Relationship Id="rId104" Type="http://schemas.openxmlformats.org/officeDocument/2006/relationships/hyperlink" Target="https://futureu.europa.eu/processes/GreenDeal/f/1/proposals/175066" TargetMode="External"/><Relationship Id="rId105" Type="http://schemas.openxmlformats.org/officeDocument/2006/relationships/hyperlink" Target="https://futureu.europa.eu/processes/GreenDeal/f/1/proposals/175066" TargetMode="External"/><Relationship Id="rId106" Type="http://schemas.openxmlformats.org/officeDocument/2006/relationships/hyperlink" Target="https://futureu.europa.eu/processes/GreenDeal/f/1/proposals/190081?order=recent&amp;amp;page=3&amp;amp;per_page=100" TargetMode="External"/><Relationship Id="rId107" Type="http://schemas.openxmlformats.org/officeDocument/2006/relationships/hyperlink" Target="https://futureu.europa.eu/processes/GreenDeal/f/1/proposals/190081?order=recent&amp;amp;page=3&amp;amp;per_page=100" TargetMode="External"/><Relationship Id="rId108" Type="http://schemas.openxmlformats.org/officeDocument/2006/relationships/hyperlink" Target="https://futureu.europa.eu/processes/GreenDeal/f/1/proposals/190081?order=recent&amp;amp;page=3&amp;amp;per_page=100" TargetMode="External"/><Relationship Id="rId109" Type="http://schemas.openxmlformats.org/officeDocument/2006/relationships/hyperlink" Target="https://futureu.europa.eu/processes/GreenDeal/f/2/meetings/14457" TargetMode="External"/><Relationship Id="rId110" Type="http://schemas.openxmlformats.org/officeDocument/2006/relationships/hyperlink" Target="https://futureu.europa.eu/processes/GreenDeal/f/2/meetings/14457" TargetMode="External"/><Relationship Id="rId111" Type="http://schemas.openxmlformats.org/officeDocument/2006/relationships/hyperlink" Target="https://futureu.europa.eu/processes/GreenDeal/f/2/meetings/14457" TargetMode="External"/><Relationship Id="rId112" Type="http://schemas.openxmlformats.org/officeDocument/2006/relationships/hyperlink" Target="https://futureu.europa.eu/processes/GreenDeal/f/1/proposals/20297" TargetMode="External"/><Relationship Id="rId113" Type="http://schemas.openxmlformats.org/officeDocument/2006/relationships/hyperlink" Target="https://futureu.europa.eu/processes/GreenDeal/f/1/proposals/20297" TargetMode="External"/><Relationship Id="rId114" Type="http://schemas.openxmlformats.org/officeDocument/2006/relationships/hyperlink" Target="https://futureu.europa.eu/processes/GreenDeal/f/1/proposals/20297" TargetMode="External"/><Relationship Id="rId115" Type="http://schemas.openxmlformats.org/officeDocument/2006/relationships/hyperlink" Target="https://futureu.europa.eu/processes/GreenDeal/f/1/proposals/671" TargetMode="External"/><Relationship Id="rId116" Type="http://schemas.openxmlformats.org/officeDocument/2006/relationships/hyperlink" Target="https://futureu.europa.eu/processes/GreenDeal/f/1/proposals/671" TargetMode="External"/><Relationship Id="rId117" Type="http://schemas.openxmlformats.org/officeDocument/2006/relationships/hyperlink" Target="https://futureu.europa.eu/processes/GreenDeal/f/1/proposals/78608" TargetMode="External"/><Relationship Id="rId118" Type="http://schemas.openxmlformats.org/officeDocument/2006/relationships/hyperlink" Target="https://futureu.europa.eu/processes/GreenDeal/f/1/proposals/211069?order=recent&amp;amp;per_page=100" TargetMode="External"/><Relationship Id="rId119" Type="http://schemas.openxmlformats.org/officeDocument/2006/relationships/hyperlink" Target="https://futureu.europa.eu/processes/GreenDeal/f/1/proposals/211069?order=recent&amp;amp;per_page=100" TargetMode="External"/><Relationship Id="rId120" Type="http://schemas.openxmlformats.org/officeDocument/2006/relationships/hyperlink" Target="https://futureu.europa.eu/processes/GreenDeal/f/1/proposals/211069?order=recent&amp;amp;per_page=100" TargetMode="External"/><Relationship Id="rId121" Type="http://schemas.openxmlformats.org/officeDocument/2006/relationships/hyperlink" Target="https://futureu.europa.eu/processes/GreenDeal/f/1/proposals/190251?order=recent&amp;amp;page=3&amp;amp;per_page=100" TargetMode="External"/><Relationship Id="rId122" Type="http://schemas.openxmlformats.org/officeDocument/2006/relationships/hyperlink" Target="https://futureu.europa.eu/processes/GreenDeal/f/1/proposals/190251?order=recent&amp;amp;page=3&amp;amp;per_page=100" TargetMode="External"/><Relationship Id="rId123" Type="http://schemas.openxmlformats.org/officeDocument/2006/relationships/hyperlink" Target="https://futureu.europa.eu/processes/GreenDeal/f/1/proposals/190251?order=recent&amp;amp;page=3&amp;amp;per_page=100" TargetMode="External"/><Relationship Id="rId124" Type="http://schemas.openxmlformats.org/officeDocument/2006/relationships/hyperlink" Target="https://futureu.europa.eu/processes/GreenDeal/f/1/proposals/8785" TargetMode="External"/><Relationship Id="rId125" Type="http://schemas.openxmlformats.org/officeDocument/2006/relationships/hyperlink" Target="https://futureu.europa.eu/processes/GreenDeal/f/1/proposals/224039" TargetMode="External"/><Relationship Id="rId126" Type="http://schemas.openxmlformats.org/officeDocument/2006/relationships/hyperlink" Target="https://futureu.europa.eu/processes/GreenDeal/f/1/proposals/120" TargetMode="External"/><Relationship Id="rId127" Type="http://schemas.openxmlformats.org/officeDocument/2006/relationships/hyperlink" Target="https://futureu.europa.eu/processes/GreenDeal/f/1/proposals/120" TargetMode="External"/><Relationship Id="rId128" Type="http://schemas.openxmlformats.org/officeDocument/2006/relationships/hyperlink" Target="https://futureu.europa.eu/processes/GreenDeal/f/1/proposals/120" TargetMode="External"/><Relationship Id="rId129" Type="http://schemas.openxmlformats.org/officeDocument/2006/relationships/hyperlink" Target="https://futureu.europa.eu/processes/GreenDeal/f/2/meetings/49270" TargetMode="External"/><Relationship Id="rId130" Type="http://schemas.openxmlformats.org/officeDocument/2006/relationships/hyperlink" Target="https://futureu.europa.eu/processes/GreenDeal/f/2/meetings/49270" TargetMode="External"/><Relationship Id="rId131" Type="http://schemas.openxmlformats.org/officeDocument/2006/relationships/hyperlink" Target="https://futureu.europa.eu/processes/GreenDeal/f/1/proposals/100?t" TargetMode="External"/><Relationship Id="rId132" Type="http://schemas.openxmlformats.org/officeDocument/2006/relationships/hyperlink" Target="https://futureu.europa.eu/processes/GreenDeal/f/1/proposals/100?t" TargetMode="External"/><Relationship Id="rId133" Type="http://schemas.openxmlformats.org/officeDocument/2006/relationships/hyperlink" Target="https://futureu.europa.eu/processes/GreenDeal/f/1/proposals/2160" TargetMode="External"/><Relationship Id="rId134" Type="http://schemas.openxmlformats.org/officeDocument/2006/relationships/hyperlink" Target="https://futureu.europa.eu/processes/GreenDeal/f/1/proposals/2160" TargetMode="External"/><Relationship Id="rId135" Type="http://schemas.openxmlformats.org/officeDocument/2006/relationships/hyperlink" Target="https://futureu.europa.eu/processes/GreenDeal/f/1/proposals/2160" TargetMode="External"/><Relationship Id="rId136" Type="http://schemas.openxmlformats.org/officeDocument/2006/relationships/hyperlink" Target="https://futureu.europa.eu/processes/GreenDeal/f/2/meetings/49270" TargetMode="External"/><Relationship Id="rId137" Type="http://schemas.openxmlformats.org/officeDocument/2006/relationships/hyperlink" Target="https://futureu.europa.eu/processes/GreenDeal/f/2/meetings/49270" TargetMode="External"/><Relationship Id="rId138" Type="http://schemas.openxmlformats.org/officeDocument/2006/relationships/hyperlink" Target="https://futureu.europa.eu/processes/GreenDeal/f/1/proposals/55144" TargetMode="External"/><Relationship Id="rId139" Type="http://schemas.openxmlformats.org/officeDocument/2006/relationships/hyperlink" Target="https://futureu.europa.eu/processes/GreenDeal/f/1/proposals/55144" TargetMode="External"/><Relationship Id="rId140" Type="http://schemas.openxmlformats.org/officeDocument/2006/relationships/hyperlink" Target="https://futureu.europa.eu/processes/GreenDeal/f/1/proposals/148633" TargetMode="External"/><Relationship Id="rId141" Type="http://schemas.openxmlformats.org/officeDocument/2006/relationships/hyperlink" Target="http://futureu.europa.eu/processes/GreenDeal/f/1/proposals/1655" TargetMode="External"/><Relationship Id="rId142" Type="http://schemas.openxmlformats.org/officeDocument/2006/relationships/hyperlink" Target="http://futureu.europa.eu/processes/GreenDeal/f/1/proposals/1655" TargetMode="External"/><Relationship Id="rId143" Type="http://schemas.openxmlformats.org/officeDocument/2006/relationships/hyperlink" Target="http://futureu.europa.eu/processes/GreenDeal/f/1/proposals/1655" TargetMode="External"/><Relationship Id="rId144" Type="http://schemas.openxmlformats.org/officeDocument/2006/relationships/hyperlink" Target="https://futureu.europa.eu/processes/GreenDeal/f/1/proposals/205394" TargetMode="External"/><Relationship Id="rId145" Type="http://schemas.openxmlformats.org/officeDocument/2006/relationships/hyperlink" Target="https://futureu.europa.eu/processes/GreenDeal/f/1/proposals/205394" TargetMode="External"/><Relationship Id="rId146" Type="http://schemas.openxmlformats.org/officeDocument/2006/relationships/hyperlink" Target="https://futureu.europa.eu/processes/GreenDeal/f/1/proposals/205394" TargetMode="External"/><Relationship Id="rId147" Type="http://schemas.openxmlformats.org/officeDocument/2006/relationships/hyperlink" Target="https://futureu.europa.eu/processes/GreenDeal/f/1/proposals/86494" TargetMode="External"/><Relationship Id="rId148" Type="http://schemas.openxmlformats.org/officeDocument/2006/relationships/hyperlink" Target="https://futureu.europa.eu/processes/GreenDeal/f/1/proposals/86494" TargetMode="External"/><Relationship Id="rId149" Type="http://schemas.openxmlformats.org/officeDocument/2006/relationships/hyperlink" Target="https://futureu.europa.eu/processes/GreenDeal/f/1/proposals/35841" TargetMode="External"/><Relationship Id="rId150" Type="http://schemas.openxmlformats.org/officeDocument/2006/relationships/hyperlink" Target="https://futureu.europa.eu/processes/GreenDeal/f/1/proposals/35841" TargetMode="External"/><Relationship Id="rId151" Type="http://schemas.openxmlformats.org/officeDocument/2006/relationships/hyperlink" Target="https://futureu.europa.eu/processes/GreenDeal/f/1/proposals/35841" TargetMode="External"/><Relationship Id="rId152" Type="http://schemas.openxmlformats.org/officeDocument/2006/relationships/hyperlink" Target="https://futureu.europa.eu/processes/GreenDeal/f/1/proposals/40724" TargetMode="External"/><Relationship Id="rId153" Type="http://schemas.openxmlformats.org/officeDocument/2006/relationships/hyperlink" Target="https://futureu.europa.eu/processes/GreenDeal/f/1/proposals/40724" TargetMode="External"/><Relationship Id="rId154" Type="http://schemas.openxmlformats.org/officeDocument/2006/relationships/hyperlink" Target="https://futureu.europa.eu/processes/GreenDeal/f/1/proposals/40724" TargetMode="External"/><Relationship Id="rId155" Type="http://schemas.openxmlformats.org/officeDocument/2006/relationships/hyperlink" Target="http://futureu.europa.eu/processes/GreenDeal/f/1/proposals/75" TargetMode="External"/><Relationship Id="rId156" Type="http://schemas.openxmlformats.org/officeDocument/2006/relationships/hyperlink" Target="http://futureu.europa.eu/processes/GreenDeal/f/1/proposals/75" TargetMode="External"/><Relationship Id="rId157" Type="http://schemas.openxmlformats.org/officeDocument/2006/relationships/hyperlink" Target="https://futureu.europa.eu/processes/GreenDeal/f/1/proposals/191600?filter%5Bactivity%5D=all&amp;amp;filter%5Bcategory_id%5D%5B%5D=&amp;amp;filter%5Bcategory_id%5D%5B%5D=6&amp;amp;filter%5Bcategory_id%5D%5B%5D=7&amp;amp;filter%5Brelated_to%5D=&amp;amp;filter%5Bsearch_text%5D=&amp;amp;locale=en&amp;amp;order=random&amp;amp;page=13&amp;amp;per_page=100" TargetMode="External"/><Relationship Id="rId158" Type="http://schemas.openxmlformats.org/officeDocument/2006/relationships/hyperlink" Target="https://futureu.europa.eu/processes/GreenDeal/f/1/proposals/191600?filter%5Bactivity%5D=all&amp;amp;filter%5Bcategory_id%5D%5B%5D=&amp;amp;filter%5Bcategory_id%5D%5B%5D=6&amp;amp;filter%5Bcategory_id%5D%5B%5D=7&amp;amp;filter%5Brelated_to%5D=&amp;amp;filter%5Bsearch_text%5D=&amp;amp;locale=en&amp;amp;order=random&amp;amp;page=13&amp;amp;per_page=100" TargetMode="External"/><Relationship Id="rId159" Type="http://schemas.openxmlformats.org/officeDocument/2006/relationships/hyperlink" Target="https://futureu.europa.eu/processes/GreenDeal/f/1/proposals/191732?filter%5Bactivity%5D=all&amp;amp;filter%5Bcategory_id%5D%5B%5D=&amp;amp;filter%5Bcategory_id%5D%5B%5D=6&amp;amp;filter%5Bcategory_id%5D%5B%5D=7&amp;amp;filter%5Brelated_to%5D=&amp;amp;filter%5Bsearch_text%5D=&amp;amp;locale=en&amp;amp;order=random&amp;amp;page=13&amp;amp;per_page=100" TargetMode="External"/><Relationship Id="rId160" Type="http://schemas.openxmlformats.org/officeDocument/2006/relationships/hyperlink" Target="https://futureu.europa.eu/processes/GreenDeal/f/1/proposals/191732?filter%5Bactivity%5D=all&amp;amp;filter%5Bcategory_id%5D%5B%5D=&amp;amp;filter%5Bcategory_id%5D%5B%5D=6&amp;amp;filter%5Bcategory_id%5D%5B%5D=7&amp;amp;filter%5Brelated_to%5D=&amp;amp;filter%5Bsearch_text%5D=&amp;amp;locale=en&amp;amp;order=random&amp;amp;page=13&amp;amp;per_page=100" TargetMode="External"/><Relationship Id="rId161" Type="http://schemas.openxmlformats.org/officeDocument/2006/relationships/hyperlink" Target="https://futureu.europa.eu/processes/GreenDeal/f/1/proposals/1380" TargetMode="External"/><Relationship Id="rId162" Type="http://schemas.openxmlformats.org/officeDocument/2006/relationships/hyperlink" Target="https://futureu.europa.eu/processes/GreenDeal/f/1/proposals/1380" TargetMode="External"/><Relationship Id="rId163" Type="http://schemas.openxmlformats.org/officeDocument/2006/relationships/hyperlink" Target="https://futureu.europa.eu/processes/GreenDeal/f/1/proposals/1380" TargetMode="External"/><Relationship Id="rId164" Type="http://schemas.openxmlformats.org/officeDocument/2006/relationships/hyperlink" Target="https://futureu.europa.eu/processes/GreenDeal/f/1/proposals/84580" TargetMode="External"/><Relationship Id="rId165" Type="http://schemas.openxmlformats.org/officeDocument/2006/relationships/hyperlink" Target="https://futureu.europa.eu/processes/GreenDeal/f/1/proposals/84580" TargetMode="External"/><Relationship Id="rId166" Type="http://schemas.openxmlformats.org/officeDocument/2006/relationships/hyperlink" Target="https://futureu.europa.eu/processes/GreenDeal/f/1/proposals/84580" TargetMode="External"/><Relationship Id="rId167" Type="http://schemas.openxmlformats.org/officeDocument/2006/relationships/hyperlink" Target="https://futureu.europa.eu/processes/GreenDeal/f/1/proposals/1200" TargetMode="External"/><Relationship Id="rId168" Type="http://schemas.openxmlformats.org/officeDocument/2006/relationships/hyperlink" Target="https://futureu.europa.eu/processes/GreenDeal/f/1/proposals/370" TargetMode="External"/><Relationship Id="rId169" Type="http://schemas.openxmlformats.org/officeDocument/2006/relationships/hyperlink" Target="https://futureu.europa.eu/processes/GreenDeal/f/1/proposals/370" TargetMode="External"/><Relationship Id="rId170" Type="http://schemas.openxmlformats.org/officeDocument/2006/relationships/hyperlink" Target="https://futureu.europa.eu/processes/GreenDeal/f/1/proposals/370" TargetMode="External"/><Relationship Id="rId171" Type="http://schemas.openxmlformats.org/officeDocument/2006/relationships/hyperlink" Target="https://futureu.europa.eu/processes/GreenDeal/f/1/proposals/83" TargetMode="External"/><Relationship Id="rId172" Type="http://schemas.openxmlformats.org/officeDocument/2006/relationships/hyperlink" Target="https://futureu.europa.eu/processes/GreenDeal/f/1/proposals/83" TargetMode="External"/><Relationship Id="rId173" Type="http://schemas.openxmlformats.org/officeDocument/2006/relationships/hyperlink" Target="https://futureu.europa.eu/processes/GreenDeal/f/1/proposals/83" TargetMode="External"/><Relationship Id="rId174" Type="http://schemas.openxmlformats.org/officeDocument/2006/relationships/hyperlink" Target="https://futureu.europa.eu/processes/GreenDeal/f/1/proposals/71446" TargetMode="External"/><Relationship Id="rId175" Type="http://schemas.openxmlformats.org/officeDocument/2006/relationships/hyperlink" Target="https://futureu.europa.eu/processes/GreenDeal/f/1/proposals/71446" TargetMode="External"/><Relationship Id="rId176" Type="http://schemas.openxmlformats.org/officeDocument/2006/relationships/hyperlink" Target="https://futureu.europa.eu/processes/GreenDeal/f/1/proposals/115370" TargetMode="External"/><Relationship Id="rId177" Type="http://schemas.openxmlformats.org/officeDocument/2006/relationships/hyperlink" Target="https://futureu.europa.eu/processes/GreenDeal/f/1/proposals/115370" TargetMode="External"/><Relationship Id="rId178" Type="http://schemas.openxmlformats.org/officeDocument/2006/relationships/hyperlink" Target="https://futureu.europa.eu/processes/GreenDeal/f/1/proposals/186551?order=recent&amp;amp;page=4&amp;amp;per_page=100" TargetMode="External"/><Relationship Id="rId179" Type="http://schemas.openxmlformats.org/officeDocument/2006/relationships/hyperlink" Target="https://futureu.europa.eu/processes/GreenDeal/f/1/proposals/186551?order=recent&amp;amp;page=4&amp;amp;per_page=100" TargetMode="External"/><Relationship Id="rId180" Type="http://schemas.openxmlformats.org/officeDocument/2006/relationships/hyperlink" Target="https://futureu.europa.eu/processes/GreenDeal/f/1/proposals/186551?order=recent&amp;amp;page=4&amp;amp;per_page=100" TargetMode="External"/><Relationship Id="rId181" Type="http://schemas.openxmlformats.org/officeDocument/2006/relationships/hyperlink" Target="https://futureu.europa.eu/processes/GreenDeal/f/1/proposals/83623" TargetMode="External"/><Relationship Id="rId182" Type="http://schemas.openxmlformats.org/officeDocument/2006/relationships/hyperlink" Target="https://futureu.europa.eu/processes/GreenDeal/f/1/proposals/83623" TargetMode="External"/><Relationship Id="rId183" Type="http://schemas.openxmlformats.org/officeDocument/2006/relationships/hyperlink" Target="https://futureu.europa.eu/processes/GreenDeal/f/1/proposals/12277?toggle_translations=true" TargetMode="External"/><Relationship Id="rId184" Type="http://schemas.openxmlformats.org/officeDocument/2006/relationships/hyperlink" Target="https://futureu.europa.eu/processes/GreenDeal/f/1/proposals/6868" TargetMode="External"/><Relationship Id="rId185" Type="http://schemas.openxmlformats.org/officeDocument/2006/relationships/hyperlink" Target="https://futureu.europa.eu/processes/GreenDeal/f/1/proposals/83" TargetMode="External"/><Relationship Id="rId186" Type="http://schemas.openxmlformats.org/officeDocument/2006/relationships/hyperlink" Target="https://futureu.europa.eu/processes/GreenDeal/f/1/proposals/83" TargetMode="External"/><Relationship Id="rId187" Type="http://schemas.openxmlformats.org/officeDocument/2006/relationships/hyperlink" Target="https://futureu.europa.eu/processes/GreenDeal/f/1/proposals/11427" TargetMode="External"/><Relationship Id="rId188" Type="http://schemas.openxmlformats.org/officeDocument/2006/relationships/hyperlink" Target="https://futureu.europa.eu/processes/GreenDeal/f/1/proposals/11427" TargetMode="External"/><Relationship Id="rId189" Type="http://schemas.openxmlformats.org/officeDocument/2006/relationships/hyperlink" Target="https://futureu.europa.eu/processes/GreenDeal/f/1/proposals/11427" TargetMode="External"/><Relationship Id="rId190" Type="http://schemas.openxmlformats.org/officeDocument/2006/relationships/hyperlink" Target="https://futureu.europa.eu/processes/GreenDeal/f/2/meetings/78442" TargetMode="External"/><Relationship Id="rId191" Type="http://schemas.openxmlformats.org/officeDocument/2006/relationships/hyperlink" Target="https://futureu.europa.eu/processes/GreenDeal/f/2/meetings/78442" TargetMode="External"/><Relationship Id="rId192" Type="http://schemas.openxmlformats.org/officeDocument/2006/relationships/hyperlink" Target="https://futureu.europa.eu/processes/GreenDeal/f/2/meetings/78442" TargetMode="External"/><Relationship Id="rId193" Type="http://schemas.openxmlformats.org/officeDocument/2006/relationships/hyperlink" Target="https://futureu.europa.eu/processes/GreenDeal/f/2/meetings/5083" TargetMode="External"/><Relationship Id="rId194" Type="http://schemas.openxmlformats.org/officeDocument/2006/relationships/hyperlink" Target="https://futureu.europa.eu/processes/GreenDeal/f/2/meetings/5083" TargetMode="External"/><Relationship Id="rId195" Type="http://schemas.openxmlformats.org/officeDocument/2006/relationships/hyperlink" Target="https://futureu.europa.eu/processes/OtherIdeas/f/8/proposals/66728" TargetMode="External"/><Relationship Id="rId196" Type="http://schemas.openxmlformats.org/officeDocument/2006/relationships/hyperlink" Target="https://futureu.europa.eu/processes/OtherIdeas/f/8/proposals/66728" TargetMode="External"/><Relationship Id="rId197" Type="http://schemas.openxmlformats.org/officeDocument/2006/relationships/hyperlink" Target="https://futureu.europa.eu/processes/GreenDeal/f/1/proposals/34890" TargetMode="External"/><Relationship Id="rId198" Type="http://schemas.openxmlformats.org/officeDocument/2006/relationships/hyperlink" Target="https://futureu.europa.eu/processes/GreenDeal/f/1/proposals/34890" TargetMode="External"/><Relationship Id="rId199" Type="http://schemas.openxmlformats.org/officeDocument/2006/relationships/hyperlink" Target="https://futureu.europa.eu/processes/GreenDeal/f/1/proposals/158830?order=recent&amp;amp;page=7&amp;amp;per_page=100" TargetMode="External"/><Relationship Id="rId200" Type="http://schemas.openxmlformats.org/officeDocument/2006/relationships/hyperlink" Target="https://futureu.europa.eu/processes/GreenDeal/f/1/proposals/158830?order=recent&amp;amp;page=7&amp;amp;per_page=100" TargetMode="External"/><Relationship Id="rId201" Type="http://schemas.openxmlformats.org/officeDocument/2006/relationships/hyperlink" Target="https://futureu.europa.eu/processes/GreenDeal/f/1/proposals/158830?order=recent&amp;amp;page=7&amp;amp;per_page=100" TargetMode="External"/><Relationship Id="rId202" Type="http://schemas.openxmlformats.org/officeDocument/2006/relationships/hyperlink" Target="https://futureu.europa.eu/processes/GreenDeal/f/1/proposals/189069?order=recent&amp;amp;page=3&amp;amp;per_page=100" TargetMode="External"/><Relationship Id="rId203" Type="http://schemas.openxmlformats.org/officeDocument/2006/relationships/hyperlink" Target="https://futureu.europa.eu/processes/GreenDeal/f/1/proposals/189069?order=recent&amp;amp;page=3&amp;amp;per_page=100" TargetMode="External"/><Relationship Id="rId204" Type="http://schemas.openxmlformats.org/officeDocument/2006/relationships/hyperlink" Target="https://futureu.europa.eu/processes/GreenDeal/f/1/proposals/189069?order=recent&amp;amp;page=3&amp;amp;per_page=100" TargetMode="External"/><Relationship Id="rId205" Type="http://schemas.openxmlformats.org/officeDocument/2006/relationships/hyperlink" Target="https://futureu.europa.eu/processes/GreenDeal/f/1/proposals/130483" TargetMode="External"/><Relationship Id="rId206" Type="http://schemas.openxmlformats.org/officeDocument/2006/relationships/hyperlink" Target="https://futureu.europa.eu/processes/GreenDeal/f/1/proposals/130483" TargetMode="External"/><Relationship Id="rId207" Type="http://schemas.openxmlformats.org/officeDocument/2006/relationships/hyperlink" Target="https://futureu.europa.eu/processes/OtherIdeas/f/8/proposals/219880" TargetMode="External"/><Relationship Id="rId208" Type="http://schemas.openxmlformats.org/officeDocument/2006/relationships/hyperlink" Target="https://futureu.europa.eu/processes/GreenDeal/f/1/proposals/232619" TargetMode="External"/><Relationship Id="rId209" Type="http://schemas.openxmlformats.org/officeDocument/2006/relationships/hyperlink" Target="https://futureu.europa.eu/processes/GreenDeal/f/1/proposals/232619" TargetMode="External"/><Relationship Id="rId210" Type="http://schemas.openxmlformats.org/officeDocument/2006/relationships/hyperlink" Target="https://futureu.europa.eu/processes/GreenDeal/f/1/proposals/78179" TargetMode="External"/><Relationship Id="rId211" Type="http://schemas.openxmlformats.org/officeDocument/2006/relationships/hyperlink" Target="https://futureu.europa.eu/processes/GreenDeal/f/1/proposals/78179" TargetMode="External"/><Relationship Id="rId212" Type="http://schemas.openxmlformats.org/officeDocument/2006/relationships/hyperlink" Target="https://futureu.europa.eu/processes/GreenDeal/f/2/meetings/479" TargetMode="External"/><Relationship Id="rId213" Type="http://schemas.openxmlformats.org/officeDocument/2006/relationships/hyperlink" Target="https://futureu.europa.eu/processes/GreenDeal/f/1/proposals/84548" TargetMode="External"/><Relationship Id="rId214" Type="http://schemas.openxmlformats.org/officeDocument/2006/relationships/hyperlink" Target="https://futureu.europa.eu/processes/GreenDeal/f/1/proposals/84548" TargetMode="External"/><Relationship Id="rId215" Type="http://schemas.openxmlformats.org/officeDocument/2006/relationships/hyperlink" Target="https://futureu.europa.eu/processes/GreenDeal/f/1/proposals/84548" TargetMode="External"/><Relationship Id="rId216" Type="http://schemas.openxmlformats.org/officeDocument/2006/relationships/hyperlink" Target="https://futureu.europa.eu/processes/GreenDeal/f/1/proposals/37786" TargetMode="External"/><Relationship Id="rId217" Type="http://schemas.openxmlformats.org/officeDocument/2006/relationships/hyperlink" Target="https://futureu.europa.eu/processes/GreenDeal/f/1/proposals/37786" TargetMode="External"/><Relationship Id="rId218" Type="http://schemas.openxmlformats.org/officeDocument/2006/relationships/hyperlink" Target="https://futureu.europa.eu/processes/GreenDeal/f/1/proposals/32639?order=random&amp;amp;per_page=100" TargetMode="External"/><Relationship Id="rId219" Type="http://schemas.openxmlformats.org/officeDocument/2006/relationships/hyperlink" Target="https://futureu.europa.eu/processes/GreenDeal/f/1/proposals/32639?order=random&amp;amp;per_page=100" TargetMode="External"/><Relationship Id="rId220" Type="http://schemas.openxmlformats.org/officeDocument/2006/relationships/hyperlink" Target="https://futureu.europa.eu/processes/GreenDeal/f/1/proposals/32639?order=random&amp;amp;per_page=100" TargetMode="External"/><Relationship Id="rId221" Type="http://schemas.openxmlformats.org/officeDocument/2006/relationships/hyperlink" Target="https://futureu.europa.eu/processes/GreenDeal/f/1/proposals/1672l" TargetMode="External"/><Relationship Id="rId222" Type="http://schemas.openxmlformats.org/officeDocument/2006/relationships/hyperlink" Target="https://futureu.europa.eu/processes/GreenDeal/f/1/proposals/1672l" TargetMode="External"/><Relationship Id="rId223" Type="http://schemas.openxmlformats.org/officeDocument/2006/relationships/hyperlink" Target="https://futureu.europa.eu/processes/GreenDeal/f/2/meetings/80390" TargetMode="External"/><Relationship Id="rId224" Type="http://schemas.openxmlformats.org/officeDocument/2006/relationships/hyperlink" Target="https://futureu.europa.eu/processes/GreenDeal/f/2/meetings/80390" TargetMode="External"/><Relationship Id="rId225" Type="http://schemas.openxmlformats.org/officeDocument/2006/relationships/hyperlink" Target="https://futureu.europa.eu/processes/GreenDeal/f/1/proposals/86527" TargetMode="External"/><Relationship Id="rId226" Type="http://schemas.openxmlformats.org/officeDocument/2006/relationships/hyperlink" Target="https://futureu.europa.eu/processes/GreenDeal/f/1/proposals/86527" TargetMode="External"/><Relationship Id="rId227" Type="http://schemas.openxmlformats.org/officeDocument/2006/relationships/hyperlink" Target="https://futureu.europa.eu/processes/GreenDeal/f/1/proposals/69269" TargetMode="External"/><Relationship Id="rId228" Type="http://schemas.openxmlformats.org/officeDocument/2006/relationships/hyperlink" Target="https://futureu.europa.eu/processes/GreenDeal/f/1/proposals/69269" TargetMode="External"/><Relationship Id="rId229" Type="http://schemas.openxmlformats.org/officeDocument/2006/relationships/hyperlink" Target="https://futureu.europa.eu/processes/GreenDeal/f/1/proposals/713" TargetMode="External"/><Relationship Id="rId230" Type="http://schemas.openxmlformats.org/officeDocument/2006/relationships/hyperlink" Target="https://futureu.europa.eu/processes/GreenDeal/f/1/proposals/1218" TargetMode="External"/><Relationship Id="rId231" Type="http://schemas.openxmlformats.org/officeDocument/2006/relationships/hyperlink" Target="https://futureu.europa.eu/processes/GreenDeal/f/1/proposals/1218" TargetMode="External"/><Relationship Id="rId232" Type="http://schemas.openxmlformats.org/officeDocument/2006/relationships/hyperlink" Target="https://futureu.europa.eu/processes/GreenDeal/f/1/proposals/211135?order=recent&amp;amp;per_page=100" TargetMode="External"/><Relationship Id="rId233" Type="http://schemas.openxmlformats.org/officeDocument/2006/relationships/hyperlink" Target="https://futureu.europa.eu/processes/GreenDeal/f/1/proposals/211135?order=recent&amp;amp;per_page=100" TargetMode="External"/><Relationship Id="rId234" Type="http://schemas.openxmlformats.org/officeDocument/2006/relationships/hyperlink" Target="https://futureu.europa.eu/processes/GreenDeal/f/1/proposals/84514" TargetMode="External"/><Relationship Id="rId235" Type="http://schemas.openxmlformats.org/officeDocument/2006/relationships/hyperlink" Target="https://futureu.europa.eu/processes/GreenDeal/f/1/proposals/76099" TargetMode="External"/><Relationship Id="rId236" Type="http://schemas.openxmlformats.org/officeDocument/2006/relationships/hyperlink" Target="https://futureu.europa.eu/processes/GreenDeal/f/1/proposals/76099" TargetMode="External"/><Relationship Id="rId237" Type="http://schemas.openxmlformats.org/officeDocument/2006/relationships/hyperlink" Target="https://futureu.europa.eu/processes/GreenDeal/f/1/proposals/43990" TargetMode="External"/><Relationship Id="rId238" Type="http://schemas.openxmlformats.org/officeDocument/2006/relationships/hyperlink" Target="https://futureu.europa.eu/processes/GreenDeal/f/1/proposals/43990" TargetMode="External"/><Relationship Id="rId239" Type="http://schemas.openxmlformats.org/officeDocument/2006/relationships/hyperlink" Target="https://futureu.europa.eu/processes/GreenDeal/f/1/proposals/43990" TargetMode="External"/><Relationship Id="rId240" Type="http://schemas.openxmlformats.org/officeDocument/2006/relationships/hyperlink" Target="https://futureu.europa.eu/processes/GreenDeal/f/2/meetings/18085" TargetMode="External"/><Relationship Id="rId241" Type="http://schemas.openxmlformats.org/officeDocument/2006/relationships/hyperlink" Target="https://futureu.europa.eu/processes/GreenDeal/f/2/meetings/18085" TargetMode="External"/><Relationship Id="rId242" Type="http://schemas.openxmlformats.org/officeDocument/2006/relationships/hyperlink" Target="https://futureu.europa.eu/processes/GreenDeal/f/1/proposals/81941" TargetMode="External"/><Relationship Id="rId243" Type="http://schemas.openxmlformats.org/officeDocument/2006/relationships/hyperlink" Target="https://futureu.europa.eu/processes/GreenDeal/f/1/proposals/81941" TargetMode="External"/><Relationship Id="rId244" Type="http://schemas.openxmlformats.org/officeDocument/2006/relationships/hyperlink" Target="https://futureu.europa.eu/processes/GreenDeal/f/1/proposals/81941" TargetMode="External"/><Relationship Id="rId245" Type="http://schemas.openxmlformats.org/officeDocument/2006/relationships/hyperlink" Target="https://futureu.europa.eu/processes/GreenDeal/f/2/meetings/15313" TargetMode="External"/><Relationship Id="rId246" Type="http://schemas.openxmlformats.org/officeDocument/2006/relationships/hyperlink" Target="https://futureu.europa.eu/processes/GreenDeal/f/2/meetings/15313" TargetMode="External"/><Relationship Id="rId247" Type="http://schemas.openxmlformats.org/officeDocument/2006/relationships/hyperlink" Target="https://futureu.europa.eu/processes/GreenDeal/f/2/meetings/15313" TargetMode="External"/><Relationship Id="rId248" Type="http://schemas.openxmlformats.org/officeDocument/2006/relationships/hyperlink" Target="https://futureu.europa.eu/processes/GreenDeal/f/1/proposals/668" TargetMode="External"/><Relationship Id="rId249" Type="http://schemas.openxmlformats.org/officeDocument/2006/relationships/hyperlink" Target="https://futureu.europa.eu/processes/GreenDeal/f/1/proposals/668" TargetMode="External"/><Relationship Id="rId250" Type="http://schemas.openxmlformats.org/officeDocument/2006/relationships/hyperlink" Target="https://futureu.europa.eu/processes/GreenDeal/f/1/proposals/15028" TargetMode="External"/><Relationship Id="rId251" Type="http://schemas.openxmlformats.org/officeDocument/2006/relationships/hyperlink" Target="https://futureu.europa.eu/processes/GreenDeal/f/1/proposals/15028" TargetMode="External"/><Relationship Id="rId252" Type="http://schemas.openxmlformats.org/officeDocument/2006/relationships/hyperlink" Target="https://futureu.europa.eu/processes/GreenDeal/f/1/proposals/15028" TargetMode="External"/><Relationship Id="rId253" Type="http://schemas.openxmlformats.org/officeDocument/2006/relationships/hyperlink" Target="https://futureu.europa.eu/processes/GreenDeal/f/1/proposals/1780" TargetMode="External"/><Relationship Id="rId254" Type="http://schemas.openxmlformats.org/officeDocument/2006/relationships/hyperlink" Target="https://futureu.europa.eu/processes/GreenDeal/f/1/proposals/1780" TargetMode="External"/><Relationship Id="rId255" Type="http://schemas.openxmlformats.org/officeDocument/2006/relationships/hyperlink" Target="https://futureu.europa.eu/processes/GreenDeal/f/1/proposals/1780" TargetMode="External"/><Relationship Id="rId256" Type="http://schemas.openxmlformats.org/officeDocument/2006/relationships/hyperlink" Target="https://futureu.europa.eu/processes/GreenDeal/f/1/proposals/85?to" TargetMode="External"/><Relationship Id="rId257" Type="http://schemas.openxmlformats.org/officeDocument/2006/relationships/hyperlink" Target="https://futureu.europa.eu/processes/GreenDeal/f/1/proposals/85?to" TargetMode="External"/><Relationship Id="rId258" Type="http://schemas.openxmlformats.org/officeDocument/2006/relationships/hyperlink" Target="https://futureu.europa.eu/processes/GreenDeal/f/1/proposals/5546" TargetMode="External"/><Relationship Id="rId259" Type="http://schemas.openxmlformats.org/officeDocument/2006/relationships/hyperlink" Target="https://futureu.europa.eu/processes/GreenDeal/f/1/proposals/5546" TargetMode="External"/><Relationship Id="rId260" Type="http://schemas.openxmlformats.org/officeDocument/2006/relationships/hyperlink" Target="https://futureu.europa.eu/processes/GreenDeal/f/1/proposals/198401?order=recent&amp;amp;page=2&amp;amp;per_page=100" TargetMode="External"/><Relationship Id="rId261" Type="http://schemas.openxmlformats.org/officeDocument/2006/relationships/hyperlink" Target="https://futureu.europa.eu/processes/GreenDeal/f/1/proposals/198401?order=recent&amp;amp;page=2&amp;amp;per_page=100" TargetMode="External"/><Relationship Id="rId262" Type="http://schemas.openxmlformats.org/officeDocument/2006/relationships/hyperlink" Target="https://futureu.europa.eu/processes/GreenDeal/f/1/proposals/198401?order=recent&amp;amp;page=2&amp;amp;per_page=100" TargetMode="External"/><Relationship Id="rId263" Type="http://schemas.openxmlformats.org/officeDocument/2006/relationships/hyperlink" Target="https://futureu.europa.eu/processes/GreenDeal/f/1/proposals/458" TargetMode="External"/><Relationship Id="rId264" Type="http://schemas.openxmlformats.org/officeDocument/2006/relationships/hyperlink" Target="https://futureu.europa.eu/processes/GreenDeal/f/1/proposals/105274" TargetMode="External"/><Relationship Id="rId265" Type="http://schemas.openxmlformats.org/officeDocument/2006/relationships/hyperlink" Target="https://futureu.europa.eu/processes/GreenDeal/f/1/proposals/105274" TargetMode="External"/><Relationship Id="rId266" Type="http://schemas.openxmlformats.org/officeDocument/2006/relationships/hyperlink" Target="https://futureu.europa.eu/processes/GreenDeal/f/1/proposals/105274" TargetMode="External"/><Relationship Id="rId267" Type="http://schemas.openxmlformats.org/officeDocument/2006/relationships/hyperlink" Target="https://futureu.europa.eu/processes/GreenDeal/f/2/meetings/1289" TargetMode="External"/><Relationship Id="rId268" Type="http://schemas.openxmlformats.org/officeDocument/2006/relationships/hyperlink" Target="https://futureu.europa.eu/processes/GreenDeal/f/1/proposals/536" TargetMode="External"/><Relationship Id="rId269" Type="http://schemas.openxmlformats.org/officeDocument/2006/relationships/hyperlink" Target="https://futureu.europa.eu/processes/GreenDeal/f/1/proposals/536" TargetMode="External"/><Relationship Id="rId270" Type="http://schemas.openxmlformats.org/officeDocument/2006/relationships/hyperlink" Target="https://futureu.europa.eu/processes/GreenDeal/f/1/proposals/536" TargetMode="External"/><Relationship Id="rId271" Type="http://schemas.openxmlformats.org/officeDocument/2006/relationships/hyperlink" Target="https://futureu.europa.eu/processes/GreenDeal/f/1/proposals/76825" TargetMode="External"/><Relationship Id="rId272" Type="http://schemas.openxmlformats.org/officeDocument/2006/relationships/hyperlink" Target="https://futureu.europa.eu/processes/GreenDeal/f/1/proposals/2872" TargetMode="External"/><Relationship Id="rId273" Type="http://schemas.openxmlformats.org/officeDocument/2006/relationships/hyperlink" Target="https://futureu.europa.eu/processes/GreenDeal/f/1/proposals/59434" TargetMode="External"/><Relationship Id="rId274" Type="http://schemas.openxmlformats.org/officeDocument/2006/relationships/hyperlink" Target="https://futureu.europa.eu/processes/GreenDeal/f/1/proposals/188894?order=recent&amp;amp;page=4&amp;amp;per_page=100" TargetMode="External"/><Relationship Id="rId275" Type="http://schemas.openxmlformats.org/officeDocument/2006/relationships/hyperlink" Target="https://futureu.europa.eu/processes/GreenDeal/f/1/proposals/188894?order=recent&amp;amp;page=4&amp;amp;per_page=100" TargetMode="External"/><Relationship Id="rId276" Type="http://schemas.openxmlformats.org/officeDocument/2006/relationships/hyperlink" Target="https://futureu.europa.eu/processes/GreenDeal/f/2/meetings/9241" TargetMode="External"/><Relationship Id="rId277" Type="http://schemas.openxmlformats.org/officeDocument/2006/relationships/hyperlink" Target="https://futureu.europa.eu/processes/GreenDeal/f/2/meetings/9241" TargetMode="External"/><Relationship Id="rId278" Type="http://schemas.openxmlformats.org/officeDocument/2006/relationships/hyperlink" Target="https://futureu.europa.eu/processes/GreenDeal/f/1/proposals/86131" TargetMode="External"/><Relationship Id="rId279" Type="http://schemas.openxmlformats.org/officeDocument/2006/relationships/hyperlink" Target="https://futureu.europa.eu/processes/GreenDeal/f/1/proposals/86131" TargetMode="External"/><Relationship Id="rId280" Type="http://schemas.openxmlformats.org/officeDocument/2006/relationships/hyperlink" Target="https://futureu.europa.eu/processes/GreenDeal/f/1/proposals/86131" TargetMode="External"/><Relationship Id="rId281" Type="http://schemas.openxmlformats.org/officeDocument/2006/relationships/hyperlink" Target="https://futureu.europa.eu/processes/OtherIdeas/f/7/meetings/3829" TargetMode="External"/><Relationship Id="rId282" Type="http://schemas.openxmlformats.org/officeDocument/2006/relationships/hyperlink" Target="https://futureu.europa.eu/processes/OtherIdeas/f/7/meetings/3829" TargetMode="External"/><Relationship Id="rId283" Type="http://schemas.openxmlformats.org/officeDocument/2006/relationships/hyperlink" Target="https://futureu.europa.eu/processes/OtherIdeas/f/7/meetings/3829" TargetMode="External"/><Relationship Id="rId284" Type="http://schemas.openxmlformats.org/officeDocument/2006/relationships/hyperlink" Target="https://futureu.europa.eu/processes/GreenDeal/f/1/proposals/75505" TargetMode="External"/><Relationship Id="rId285" Type="http://schemas.openxmlformats.org/officeDocument/2006/relationships/hyperlink" Target="https://futureu.europa.eu/processes/GreenDeal/f/1/proposals/75505" TargetMode="External"/><Relationship Id="rId286" Type="http://schemas.openxmlformats.org/officeDocument/2006/relationships/hyperlink" Target="https://futureu.europa.eu/processes/GreenDeal/f/1/proposals/75505" TargetMode="External"/><Relationship Id="rId287" Type="http://schemas.openxmlformats.org/officeDocument/2006/relationships/hyperlink" Target="https://futureu.europa.eu/processes/GreenDeal/f/1/proposals/215062?order=recent" TargetMode="External"/><Relationship Id="rId288" Type="http://schemas.openxmlformats.org/officeDocument/2006/relationships/hyperlink" Target="https://futureu.europa.eu/processes/GreenDeal/f/1/proposals/215062?order=recent" TargetMode="External"/><Relationship Id="rId289" Type="http://schemas.openxmlformats.org/officeDocument/2006/relationships/hyperlink" Target="https://futureu.europa.eu/processes/GreenDeal/f/1/proposals/301690" TargetMode="External"/><Relationship Id="rId290" Type="http://schemas.openxmlformats.org/officeDocument/2006/relationships/hyperlink" Target="https://futureu.europa.eu/processes/GreenDeal/f/1/proposals/289708" TargetMode="External"/><Relationship Id="rId291" Type="http://schemas.openxmlformats.org/officeDocument/2006/relationships/hyperlink" Target="https://futureu.europa.eu/processes/GreenDeal/f/1/proposals/263902" TargetMode="External"/><Relationship Id="rId292" Type="http://schemas.openxmlformats.org/officeDocument/2006/relationships/hyperlink" Target="https://futureu.europa.eu/processes/GreenDeal/f/1/proposals/263902" TargetMode="External"/><Relationship Id="rId293" Type="http://schemas.openxmlformats.org/officeDocument/2006/relationships/hyperlink" Target="https://futureu.europa.eu/processes/GreenDeal/f/1/proposals/271921" TargetMode="External"/><Relationship Id="rId294" Type="http://schemas.openxmlformats.org/officeDocument/2006/relationships/hyperlink" Target="https://futureu.europa.eu/processes/GreenDeal/f/1/proposals/271921" TargetMode="External"/><Relationship Id="rId295" Type="http://schemas.openxmlformats.org/officeDocument/2006/relationships/hyperlink" Target="https://futureu.europa.eu/processes/GreenDeal/f/1/proposals/271921" TargetMode="External"/><Relationship Id="rId296" Type="http://schemas.openxmlformats.org/officeDocument/2006/relationships/hyperlink" Target="https://futureu.europa.eu/processes/GreenDeal/f/1/proposals/285187" TargetMode="External"/><Relationship Id="rId297" Type="http://schemas.openxmlformats.org/officeDocument/2006/relationships/hyperlink" Target="https://futureu.europa.eu/processes/GreenDeal/f/1/proposals/285187" TargetMode="External"/><Relationship Id="rId298" Type="http://schemas.openxmlformats.org/officeDocument/2006/relationships/hyperlink" Target="https://futureu.europa.eu/processes/OtherIdeas/f/8/proposals/272053" TargetMode="External"/><Relationship Id="rId299" Type="http://schemas.openxmlformats.org/officeDocument/2006/relationships/hyperlink" Target="https://futureu.europa.eu/processes/OtherIdeas/f/8/proposals/305515" TargetMode="External"/><Relationship Id="rId300" Type="http://schemas.openxmlformats.org/officeDocument/2006/relationships/hyperlink" Target="https://futureu.europa.eu/processes/OtherIdeas/f/8/proposals/305515" TargetMode="External"/><Relationship Id="rId301" Type="http://schemas.openxmlformats.org/officeDocument/2006/relationships/hyperlink" Target="https://futureu.europa.eu/processes/GreenDeal/f/1/proposals/272450" TargetMode="External"/><Relationship Id="rId302" Type="http://schemas.openxmlformats.org/officeDocument/2006/relationships/hyperlink" Target="https://futureu.europa.eu/processes/GreenDeal/f/1/proposals/272450" TargetMode="External"/><Relationship Id="rId303" Type="http://schemas.openxmlformats.org/officeDocument/2006/relationships/hyperlink" Target="https://futureu.europa.eu/processes/GreenDeal/f/1/proposals/272450" TargetMode="External"/><Relationship Id="rId304" Type="http://schemas.openxmlformats.org/officeDocument/2006/relationships/hyperlink" Target="https://futureu.europa.eu/processes/GreenDeal/f/1/proposals/302581" TargetMode="External"/><Relationship Id="rId305" Type="http://schemas.openxmlformats.org/officeDocument/2006/relationships/hyperlink" Target="https://futureu.europa.eu/processes/GreenDeal/f/1/proposals/302581" TargetMode="External"/><Relationship Id="rId306" Type="http://schemas.openxmlformats.org/officeDocument/2006/relationships/hyperlink" Target="https://futureu.europa.eu/processes/GreenDeal/f/1/proposals/302581" TargetMode="External"/><Relationship Id="rId307" Type="http://schemas.openxmlformats.org/officeDocument/2006/relationships/hyperlink" Target="https://futureu.europa.eu/processes/OtherIdeas/f/8/proposals/298621" TargetMode="External"/><Relationship Id="rId308" Type="http://schemas.openxmlformats.org/officeDocument/2006/relationships/header" Target="header3.xml"/><Relationship Id="rId309" Type="http://schemas.openxmlformats.org/officeDocument/2006/relationships/footer" Target="footer2.xml"/><Relationship Id="rId310" Type="http://schemas.openxmlformats.org/officeDocument/2006/relationships/image" Target="media/image33.png"/><Relationship Id="rId311" Type="http://schemas.openxmlformats.org/officeDocument/2006/relationships/image" Target="media/image33.png"/><Relationship Id="rId312" Type="http://schemas.openxmlformats.org/officeDocument/2006/relationships/header" Target="header4.xml"/><Relationship Id="rId313" Type="http://schemas.openxmlformats.org/officeDocument/2006/relationships/footer" Target="footer3.xml"/><Relationship Id="rId314" Type="http://schemas.openxmlformats.org/officeDocument/2006/relationships/image" Target="media/image34.png"/><Relationship Id="rId315" Type="http://schemas.openxmlformats.org/officeDocument/2006/relationships/hyperlink" Target="https://futureu.europa.eu/processes/Health/f/4/meetings/160810" TargetMode="External"/><Relationship Id="rId316" Type="http://schemas.openxmlformats.org/officeDocument/2006/relationships/hyperlink" Target="https://futureu.europa.eu/processes/Health/f/4/meetings/156190" TargetMode="External"/><Relationship Id="rId317" Type="http://schemas.openxmlformats.org/officeDocument/2006/relationships/hyperlink" Target="https://futureu.europa.eu/processes/Health/f/4/meetings/156190" TargetMode="External"/><Relationship Id="rId318" Type="http://schemas.openxmlformats.org/officeDocument/2006/relationships/hyperlink" Target="https://futureu.europa.eu/processes/Health/f/4/meetings/138337" TargetMode="External"/><Relationship Id="rId319" Type="http://schemas.openxmlformats.org/officeDocument/2006/relationships/hyperlink" Target="https://futureu.europa.eu/processes/Health/f/4/meetings/138337" TargetMode="External"/><Relationship Id="rId320" Type="http://schemas.openxmlformats.org/officeDocument/2006/relationships/hyperlink" Target="https://futureu.europa.eu/processes/Health/f/4/meetings/138337" TargetMode="External"/><Relationship Id="rId321" Type="http://schemas.openxmlformats.org/officeDocument/2006/relationships/hyperlink" Target="https://futureu.europa.eu/processes/Health/f/4/meetings/153748" TargetMode="External"/><Relationship Id="rId322" Type="http://schemas.openxmlformats.org/officeDocument/2006/relationships/hyperlink" Target="https://futureu.europa.eu/processes/Health/f/4/meetings/153748" TargetMode="External"/><Relationship Id="rId323" Type="http://schemas.openxmlformats.org/officeDocument/2006/relationships/hyperlink" Target="https://futureu.europa.eu/processes/Health/f/4/meetings/153748" TargetMode="External"/><Relationship Id="rId324" Type="http://schemas.openxmlformats.org/officeDocument/2006/relationships/hyperlink" Target="https://futureu.europa.eu/processes/Health/f/4/meetings/145597" TargetMode="External"/><Relationship Id="rId325" Type="http://schemas.openxmlformats.org/officeDocument/2006/relationships/hyperlink" Target="https://futureu.europa.eu/processes/Health/f/4/meetings/145597" TargetMode="External"/><Relationship Id="rId326" Type="http://schemas.openxmlformats.org/officeDocument/2006/relationships/hyperlink" Target="https://futureu.europa.eu/processes/Health/f/4/meetings/145597" TargetMode="External"/><Relationship Id="rId327" Type="http://schemas.openxmlformats.org/officeDocument/2006/relationships/hyperlink" Target="https://futureu.europa.eu/processes/Health/f/3/proposals/13834" TargetMode="External"/><Relationship Id="rId328" Type="http://schemas.openxmlformats.org/officeDocument/2006/relationships/hyperlink" Target="http://futureu.europa.eu/processes/Health/f/3/proposals/13051" TargetMode="External"/><Relationship Id="rId329" Type="http://schemas.openxmlformats.org/officeDocument/2006/relationships/hyperlink" Target="https://futureu.europa.eu/processes/Health/f/3/proposals/13834" TargetMode="External"/><Relationship Id="rId330" Type="http://schemas.openxmlformats.org/officeDocument/2006/relationships/hyperlink" Target="https://futureu.europa.eu/processes/Health/f/3/proposals/13834" TargetMode="External"/><Relationship Id="rId331" Type="http://schemas.openxmlformats.org/officeDocument/2006/relationships/hyperlink" Target="https://futureu.europa.eu/processes/Health/f/3/proposals/13834" TargetMode="External"/><Relationship Id="rId332" Type="http://schemas.openxmlformats.org/officeDocument/2006/relationships/hyperlink" Target="https://futureu.europa.eu/processes/Health/f/3/proposals/249118" TargetMode="External"/><Relationship Id="rId333" Type="http://schemas.openxmlformats.org/officeDocument/2006/relationships/hyperlink" Target="https://futureu.europa.eu/processes/Health/f/3/proposals/249118" TargetMode="External"/><Relationship Id="rId334" Type="http://schemas.openxmlformats.org/officeDocument/2006/relationships/hyperlink" Target="https://futureu.europa.eu/processes/Health/f/3/proposals/260902" TargetMode="External"/><Relationship Id="rId335" Type="http://schemas.openxmlformats.org/officeDocument/2006/relationships/hyperlink" Target="https://futureu.europa.eu/processes/Health/f/3/proposals/260902" TargetMode="External"/><Relationship Id="rId336" Type="http://schemas.openxmlformats.org/officeDocument/2006/relationships/hyperlink" Target="https://futureu.europa.eu/processes/Health/f/3/proposals/133884" TargetMode="External"/><Relationship Id="rId337" Type="http://schemas.openxmlformats.org/officeDocument/2006/relationships/hyperlink" Target="https://futureu.europa.eu/processes/Health/f/3/proposals/133884" TargetMode="External"/><Relationship Id="rId338" Type="http://schemas.openxmlformats.org/officeDocument/2006/relationships/hyperlink" Target="https://futureu.europa.eu/processes/Health/f/3/proposals/253837" TargetMode="External"/><Relationship Id="rId339" Type="http://schemas.openxmlformats.org/officeDocument/2006/relationships/hyperlink" Target="https://futureu.europa.eu/processes/Health/f/3/proposals/253837" TargetMode="External"/><Relationship Id="rId340" Type="http://schemas.openxmlformats.org/officeDocument/2006/relationships/hyperlink" Target="https://futureu.europa.eu/processes/Health/f/3/proposals/253837" TargetMode="External"/><Relationship Id="rId341" Type="http://schemas.openxmlformats.org/officeDocument/2006/relationships/hyperlink" Target="https://futureu.europa.eu/processes/Health/f/3/proposals/198530" TargetMode="External"/><Relationship Id="rId342" Type="http://schemas.openxmlformats.org/officeDocument/2006/relationships/hyperlink" Target="https://futureu.europa.eu/processes/Health/f/3/proposals/5890" TargetMode="External"/><Relationship Id="rId343" Type="http://schemas.openxmlformats.org/officeDocument/2006/relationships/hyperlink" Target="https://futureu.europa.eu/processes/Health/f/3/proposals/5890" TargetMode="External"/><Relationship Id="rId344" Type="http://schemas.openxmlformats.org/officeDocument/2006/relationships/hyperlink" Target="https://futureu.europa.eu/processes/Health/f/3/proposals/187144" TargetMode="External"/><Relationship Id="rId345" Type="http://schemas.openxmlformats.org/officeDocument/2006/relationships/hyperlink" Target="https://futureu.europa.eu/processes/Health/f/3/proposals/187144" TargetMode="External"/><Relationship Id="rId346" Type="http://schemas.openxmlformats.org/officeDocument/2006/relationships/hyperlink" Target="https://futureu.europa.eu/processes/Health/f/3/proposals/169655" TargetMode="External"/><Relationship Id="rId347" Type="http://schemas.openxmlformats.org/officeDocument/2006/relationships/hyperlink" Target="https://futureu.europa.eu/processes/Health/f/3/proposals/169655" TargetMode="External"/><Relationship Id="rId348" Type="http://schemas.openxmlformats.org/officeDocument/2006/relationships/hyperlink" Target="https://futureu.europa.eu/processes/Health/f/3/proposals/169655" TargetMode="External"/><Relationship Id="rId349" Type="http://schemas.openxmlformats.org/officeDocument/2006/relationships/hyperlink" Target="https://futureu.europa.eu/processes/Health/f/3/proposals/225590" TargetMode="External"/><Relationship Id="rId350" Type="http://schemas.openxmlformats.org/officeDocument/2006/relationships/hyperlink" Target="https://futureu.europa.eu/processes/Health/f/3/proposals/225590" TargetMode="External"/><Relationship Id="rId351" Type="http://schemas.openxmlformats.org/officeDocument/2006/relationships/hyperlink" Target="https://futureu.europa.eu/processes/Health/f/3/proposals/225590" TargetMode="External"/><Relationship Id="rId352" Type="http://schemas.openxmlformats.org/officeDocument/2006/relationships/hyperlink" Target="https://futureu.europa.eu/processes/Health/f/3/proposals/249118" TargetMode="External"/><Relationship Id="rId353" Type="http://schemas.openxmlformats.org/officeDocument/2006/relationships/hyperlink" Target="https://futureu.europa.eu/processes/Health/f/3/proposals/249118" TargetMode="External"/><Relationship Id="rId354" Type="http://schemas.openxmlformats.org/officeDocument/2006/relationships/hyperlink" Target="https://futureu.europa.eu/processes/Health/f/4/meetings/70359" TargetMode="External"/><Relationship Id="rId355" Type="http://schemas.openxmlformats.org/officeDocument/2006/relationships/hyperlink" Target="https://futureu.europa.eu/processes/Health/f/4/meetings/70359" TargetMode="External"/><Relationship Id="rId356" Type="http://schemas.openxmlformats.org/officeDocument/2006/relationships/hyperlink" Target="https://futureu.europa.eu/processes/Health/f/4/meetings/70359" TargetMode="External"/><Relationship Id="rId357" Type="http://schemas.openxmlformats.org/officeDocument/2006/relationships/hyperlink" Target="https://futureu.europa.eu/processes/Health/f/3/proposals/249251" TargetMode="External"/><Relationship Id="rId358" Type="http://schemas.openxmlformats.org/officeDocument/2006/relationships/hyperlink" Target="https://futureu.europa.eu/processes/Health/f/3/proposals/249251" TargetMode="External"/><Relationship Id="rId359" Type="http://schemas.openxmlformats.org/officeDocument/2006/relationships/hyperlink" Target="https://futureu.europa.eu/processes/Health/f/4/meetings/43396" TargetMode="External"/><Relationship Id="rId360" Type="http://schemas.openxmlformats.org/officeDocument/2006/relationships/hyperlink" Target="https://futureu.europa.eu/processes/Health/f/3/proposals/83527" TargetMode="External"/><Relationship Id="rId361" Type="http://schemas.openxmlformats.org/officeDocument/2006/relationships/hyperlink" Target="https://futureu.europa.eu/processes/Health/f/3/proposals/83527" TargetMode="External"/><Relationship Id="rId362" Type="http://schemas.openxmlformats.org/officeDocument/2006/relationships/hyperlink" Target="https://futureu.europa.eu/processes/Health/f/3/proposals/83527" TargetMode="External"/><Relationship Id="rId363" Type="http://schemas.openxmlformats.org/officeDocument/2006/relationships/hyperlink" Target="https://futureu.europa.eu/processes/Health/f/3/proposals/260901" TargetMode="External"/><Relationship Id="rId364" Type="http://schemas.openxmlformats.org/officeDocument/2006/relationships/hyperlink" Target="https://futureu.europa.eu/processes/Health/f/3/proposals/260901" TargetMode="External"/><Relationship Id="rId365" Type="http://schemas.openxmlformats.org/officeDocument/2006/relationships/hyperlink" Target="https://futureu.europa.eu/processes/Health/f/3/proposals/243510" TargetMode="External"/><Relationship Id="rId366" Type="http://schemas.openxmlformats.org/officeDocument/2006/relationships/hyperlink" Target="https://futureu.europa.eu/processes/Health/f/3/proposals/64120" TargetMode="External"/><Relationship Id="rId367" Type="http://schemas.openxmlformats.org/officeDocument/2006/relationships/hyperlink" Target="https://futureu.europa.eu/processes/Health/f/3/proposals/2015" TargetMode="External"/><Relationship Id="rId368" Type="http://schemas.openxmlformats.org/officeDocument/2006/relationships/hyperlink" Target="https://futureu.europa.eu/processes/Health/f/3/proposals/55344" TargetMode="External"/><Relationship Id="rId369" Type="http://schemas.openxmlformats.org/officeDocument/2006/relationships/hyperlink" Target="https://futureu.europa.eu/processes/Health/f/3/proposals/55344" TargetMode="External"/><Relationship Id="rId370" Type="http://schemas.openxmlformats.org/officeDocument/2006/relationships/hyperlink" Target="https://futureu.europa.eu/processes/Health/f/3/proposals/177541" TargetMode="External"/><Relationship Id="rId371" Type="http://schemas.openxmlformats.org/officeDocument/2006/relationships/hyperlink" Target="https://futureu.europa.eu/processes/Health/f/3/proposals/177541" TargetMode="External"/><Relationship Id="rId372" Type="http://schemas.openxmlformats.org/officeDocument/2006/relationships/hyperlink" Target="https://futureu.europa.eu/processes/Health/f/3/proposals/177541" TargetMode="External"/><Relationship Id="rId373" Type="http://schemas.openxmlformats.org/officeDocument/2006/relationships/hyperlink" Target="https://futureu.europa.eu/processes/Health/f/3/proposals/82039" TargetMode="External"/><Relationship Id="rId374" Type="http://schemas.openxmlformats.org/officeDocument/2006/relationships/hyperlink" Target="https://futureu.europa.eu/processes/Health/f/3/proposals/198531" TargetMode="External"/><Relationship Id="rId375" Type="http://schemas.openxmlformats.org/officeDocument/2006/relationships/hyperlink" Target="https://futureu.europa.eu/processes/Health/f/3/proposals/198531" TargetMode="External"/><Relationship Id="rId376" Type="http://schemas.openxmlformats.org/officeDocument/2006/relationships/hyperlink" Target="https://futureu.europa.eu/processes/Health/f/3/proposals/86725" TargetMode="External"/><Relationship Id="rId377" Type="http://schemas.openxmlformats.org/officeDocument/2006/relationships/hyperlink" Target="https://futureu.europa.eu/processes/Health/f/3/proposals/86725" TargetMode="External"/><Relationship Id="rId378" Type="http://schemas.openxmlformats.org/officeDocument/2006/relationships/hyperlink" Target="https://futureu.europa.eu/processes/Health/f/4/meetings/36598" TargetMode="External"/><Relationship Id="rId379" Type="http://schemas.openxmlformats.org/officeDocument/2006/relationships/hyperlink" Target="https://futureu.europa.eu/processes/Health/f/4/meetings/36598" TargetMode="External"/><Relationship Id="rId380" Type="http://schemas.openxmlformats.org/officeDocument/2006/relationships/hyperlink" Target="https://futureu.europa.eu/processes/Health/f/3/proposals/677" TargetMode="External"/><Relationship Id="rId381" Type="http://schemas.openxmlformats.org/officeDocument/2006/relationships/hyperlink" Target="https://futureu.europa.eu/processes/Health/f/3/proposals/677" TargetMode="External"/><Relationship Id="rId382" Type="http://schemas.openxmlformats.org/officeDocument/2006/relationships/hyperlink" Target="https://futureu.europa.eu/processes/Health/f/3/proposals/203545" TargetMode="External"/><Relationship Id="rId383" Type="http://schemas.openxmlformats.org/officeDocument/2006/relationships/hyperlink" Target="https://futureu.europa.eu/processes/Health/f/3/proposals/188761" TargetMode="External"/><Relationship Id="rId384" Type="http://schemas.openxmlformats.org/officeDocument/2006/relationships/hyperlink" Target="https://futureu.europa.eu/processes/Health/f/3/proposals/188761" TargetMode="External"/><Relationship Id="rId385" Type="http://schemas.openxmlformats.org/officeDocument/2006/relationships/hyperlink" Target="https://futureu.europa.eu/processes/Health/f/3/proposals/111" TargetMode="External"/><Relationship Id="rId386" Type="http://schemas.openxmlformats.org/officeDocument/2006/relationships/hyperlink" Target="https://futureu.europa.eu/processes/Health/f/3/proposals/111" TargetMode="External"/><Relationship Id="rId387" Type="http://schemas.openxmlformats.org/officeDocument/2006/relationships/hyperlink" Target="https://futureu.europa.eu/processes/Health/f/3/proposals/111" TargetMode="External"/><Relationship Id="rId388" Type="http://schemas.openxmlformats.org/officeDocument/2006/relationships/hyperlink" Target="https://futureu.europa.eu/processes/Health/f/3/proposals/251073" TargetMode="External"/><Relationship Id="rId389" Type="http://schemas.openxmlformats.org/officeDocument/2006/relationships/hyperlink" Target="https://futureu.europa.eu/processes/Health/f/3/proposals/71347" TargetMode="External"/><Relationship Id="rId390" Type="http://schemas.openxmlformats.org/officeDocument/2006/relationships/hyperlink" Target="https://futureu.europa.eu/processes/Health/f/3/proposals/225853" TargetMode="External"/><Relationship Id="rId391" Type="http://schemas.openxmlformats.org/officeDocument/2006/relationships/hyperlink" Target="https://futureu.europa.eu/processes/Health/f/3/proposals/1546" TargetMode="External"/><Relationship Id="rId392" Type="http://schemas.openxmlformats.org/officeDocument/2006/relationships/hyperlink" Target="https://futureu.europa.eu/processes/Health/f/3/proposals/225820" TargetMode="External"/><Relationship Id="rId393" Type="http://schemas.openxmlformats.org/officeDocument/2006/relationships/hyperlink" Target="https://futureu.europa.eu/processes/Health/f/3/proposals/225820" TargetMode="External"/><Relationship Id="rId394" Type="http://schemas.openxmlformats.org/officeDocument/2006/relationships/hyperlink" Target="https://futureu.europa.eu/processes/Health/f/4/meetings/82336" TargetMode="External"/><Relationship Id="rId395" Type="http://schemas.openxmlformats.org/officeDocument/2006/relationships/hyperlink" Target="https://futureu.europa.eu/processes/Health/f/4/meetings/82336" TargetMode="External"/><Relationship Id="rId396" Type="http://schemas.openxmlformats.org/officeDocument/2006/relationships/hyperlink" Target="https://futureu.europa.eu/processes/Health/f/3/proposals/226051" TargetMode="External"/><Relationship Id="rId397" Type="http://schemas.openxmlformats.org/officeDocument/2006/relationships/hyperlink" Target="https://futureu.europa.eu/processes/Health/f/3/proposals/91807" TargetMode="External"/><Relationship Id="rId398" Type="http://schemas.openxmlformats.org/officeDocument/2006/relationships/hyperlink" Target="https://futureu.europa.eu/processes/Health/f/3/proposals/94216" TargetMode="External"/><Relationship Id="rId399" Type="http://schemas.openxmlformats.org/officeDocument/2006/relationships/hyperlink" Target="https://futureu.europa.eu/processes/Health/f/3/proposals/94216" TargetMode="External"/><Relationship Id="rId400" Type="http://schemas.openxmlformats.org/officeDocument/2006/relationships/hyperlink" Target="https://futureu.europa.eu/processes/Health/f/3/proposals/94216" TargetMode="External"/><Relationship Id="rId401" Type="http://schemas.openxmlformats.org/officeDocument/2006/relationships/hyperlink" Target="https://futureu.europa.eu/processes/Health/f/3/proposals/248299" TargetMode="External"/><Relationship Id="rId402" Type="http://schemas.openxmlformats.org/officeDocument/2006/relationships/hyperlink" Target="https://futureu.europa.eu/processes/Health/f/3/proposals/3697" TargetMode="External"/><Relationship Id="rId403" Type="http://schemas.openxmlformats.org/officeDocument/2006/relationships/hyperlink" Target="https://futureu.europa.eu/processes/Health/f/3/proposals/3697" TargetMode="External"/><Relationship Id="rId404" Type="http://schemas.openxmlformats.org/officeDocument/2006/relationships/hyperlink" Target="https://futureu.europa.eu/processes/Health/f/3/proposals/260107" TargetMode="External"/><Relationship Id="rId405" Type="http://schemas.openxmlformats.org/officeDocument/2006/relationships/hyperlink" Target="https://futureu.europa.eu/processes/Health/f/3/proposals/260107" TargetMode="External"/><Relationship Id="rId406" Type="http://schemas.openxmlformats.org/officeDocument/2006/relationships/hyperlink" Target="https://futureu.europa.eu/processes/Health/f/3/proposals/139459" TargetMode="External"/><Relationship Id="rId407" Type="http://schemas.openxmlformats.org/officeDocument/2006/relationships/hyperlink" Target="https://futureu.europa.eu/processes/Health/f/3/proposals/139459" TargetMode="External"/><Relationship Id="rId408" Type="http://schemas.openxmlformats.org/officeDocument/2006/relationships/hyperlink" Target="https://futureu.europa.eu/processes/Health/f/3/proposals/139459" TargetMode="External"/><Relationship Id="rId409" Type="http://schemas.openxmlformats.org/officeDocument/2006/relationships/hyperlink" Target="http://futureu.europa.eu/processes/Health/f/3/proposals/98706" TargetMode="External"/><Relationship Id="rId410" Type="http://schemas.openxmlformats.org/officeDocument/2006/relationships/hyperlink" Target="http://futureu.europa.eu/processes/Health/f/3/proposals/98706" TargetMode="External"/><Relationship Id="rId411" Type="http://schemas.openxmlformats.org/officeDocument/2006/relationships/hyperlink" Target="http://futureu.europa.eu/processes/Health/f/3/proposals/98706" TargetMode="External"/><Relationship Id="rId412" Type="http://schemas.openxmlformats.org/officeDocument/2006/relationships/hyperlink" Target="https://futureu.europa.eu/processes/Health/f/3/proposals/5747" TargetMode="External"/><Relationship Id="rId413" Type="http://schemas.openxmlformats.org/officeDocument/2006/relationships/hyperlink" Target="https://futureu.europa.eu/processes/Health/f/3/proposals/5747" TargetMode="External"/><Relationship Id="rId414" Type="http://schemas.openxmlformats.org/officeDocument/2006/relationships/hyperlink" Target="https://futureu.europa.eu/processes/Health/f/3/proposals/2045" TargetMode="External"/><Relationship Id="rId415" Type="http://schemas.openxmlformats.org/officeDocument/2006/relationships/hyperlink" Target="https://futureu.europa.eu/processes/Health/f/3/proposals/2045" TargetMode="External"/><Relationship Id="rId416" Type="http://schemas.openxmlformats.org/officeDocument/2006/relationships/hyperlink" Target="https://futureu.europa.eu/processes/Health/f/3/proposals/2045" TargetMode="External"/><Relationship Id="rId417" Type="http://schemas.openxmlformats.org/officeDocument/2006/relationships/hyperlink" Target="https://futureu.europa.eu/processes/Health/f/3/proposals/157247" TargetMode="External"/><Relationship Id="rId418" Type="http://schemas.openxmlformats.org/officeDocument/2006/relationships/hyperlink" Target="https://futureu.europa.eu/processes/Health/f/3/proposals/157247" TargetMode="External"/><Relationship Id="rId419" Type="http://schemas.openxmlformats.org/officeDocument/2006/relationships/hyperlink" Target="https://futureu.europa.eu/processes/Health/f/3/proposals/260703" TargetMode="External"/><Relationship Id="rId420" Type="http://schemas.openxmlformats.org/officeDocument/2006/relationships/hyperlink" Target="https://futureu.europa.eu/processes/Health/f/3/proposals/260703" TargetMode="External"/><Relationship Id="rId421" Type="http://schemas.openxmlformats.org/officeDocument/2006/relationships/hyperlink" Target="https://futureu.europa.eu/processes/Health/f/3/proposals/87055" TargetMode="External"/><Relationship Id="rId422" Type="http://schemas.openxmlformats.org/officeDocument/2006/relationships/hyperlink" Target="https://futureu.europa.eu/processes/Health/f/3/proposals/87055" TargetMode="External"/><Relationship Id="rId423" Type="http://schemas.openxmlformats.org/officeDocument/2006/relationships/hyperlink" Target="https://futureu.europa.eu/processes/Health/f/3/proposals/692" TargetMode="External"/><Relationship Id="rId424" Type="http://schemas.openxmlformats.org/officeDocument/2006/relationships/hyperlink" Target="https://futureu.europa.eu/processes/Health/f/3/proposals/692" TargetMode="External"/><Relationship Id="rId425" Type="http://schemas.openxmlformats.org/officeDocument/2006/relationships/hyperlink" Target="https://futureu.europa.eu/processes/Health/f/3/proposals/692" TargetMode="External"/><Relationship Id="rId426" Type="http://schemas.openxmlformats.org/officeDocument/2006/relationships/hyperlink" Target="https://futureu.europa.eu/processes/Health/f/3/proposals/18747" TargetMode="External"/><Relationship Id="rId427" Type="http://schemas.openxmlformats.org/officeDocument/2006/relationships/hyperlink" Target="https://futureu.europa.eu/processes/Health/f/4/meetings/76396" TargetMode="External"/><Relationship Id="rId428" Type="http://schemas.openxmlformats.org/officeDocument/2006/relationships/hyperlink" Target="https://futureu.europa.eu/processes/Health/f/3/proposals/16832" TargetMode="External"/><Relationship Id="rId429" Type="http://schemas.openxmlformats.org/officeDocument/2006/relationships/hyperlink" Target="https://futureu.europa.eu/processes/Health/f/3/proposals/16832" TargetMode="External"/><Relationship Id="rId430" Type="http://schemas.openxmlformats.org/officeDocument/2006/relationships/hyperlink" Target="https://futureu.europa.eu/processes/Health/f/3/proposals/19735" TargetMode="External"/><Relationship Id="rId431" Type="http://schemas.openxmlformats.org/officeDocument/2006/relationships/hyperlink" Target="https://futureu.europa.eu/processes/Health/f/3/proposals/198532" TargetMode="External"/><Relationship Id="rId432" Type="http://schemas.openxmlformats.org/officeDocument/2006/relationships/hyperlink" Target="https://futureu.europa.eu/processes/Health/f/3/proposals/198532" TargetMode="External"/><Relationship Id="rId433" Type="http://schemas.openxmlformats.org/officeDocument/2006/relationships/hyperlink" Target="https://futureu.europa.eu/processes/Health/f/3/proposals/157972" TargetMode="External"/><Relationship Id="rId434" Type="http://schemas.openxmlformats.org/officeDocument/2006/relationships/hyperlink" Target="https://futureu.europa.eu/processes/Health/f/3/proposals/157972" TargetMode="External"/><Relationship Id="rId435" Type="http://schemas.openxmlformats.org/officeDocument/2006/relationships/hyperlink" Target="https://futureu.europa.eu/processes/Health/f/3/proposals/249712" TargetMode="External"/><Relationship Id="rId436" Type="http://schemas.openxmlformats.org/officeDocument/2006/relationships/hyperlink" Target="https://futureu.europa.eu/processes/Health/f/3/proposals/249712" TargetMode="External"/><Relationship Id="rId437" Type="http://schemas.openxmlformats.org/officeDocument/2006/relationships/hyperlink" Target="https://futureu.europa.eu/processes/Health/f/3/proposals/249712" TargetMode="External"/><Relationship Id="rId438" Type="http://schemas.openxmlformats.org/officeDocument/2006/relationships/hyperlink" Target="https://futureu.europa.eu/processes/Health/f/3/proposals/256380" TargetMode="External"/><Relationship Id="rId439" Type="http://schemas.openxmlformats.org/officeDocument/2006/relationships/hyperlink" Target="https://futureu.europa.eu/processes/Health/f/3/proposals/256380" TargetMode="External"/><Relationship Id="rId440" Type="http://schemas.openxmlformats.org/officeDocument/2006/relationships/hyperlink" Target="https://futureu.europa.eu/processes/Health/f/3/proposals/1352" TargetMode="External"/><Relationship Id="rId441" Type="http://schemas.openxmlformats.org/officeDocument/2006/relationships/hyperlink" Target="https://futureu.europa.eu/processes/Health/f/3/proposals/194800" TargetMode="External"/><Relationship Id="rId442" Type="http://schemas.openxmlformats.org/officeDocument/2006/relationships/hyperlink" Target="https://futureu.europa.eu/processes/Health/f/3/proposals/194800" TargetMode="External"/><Relationship Id="rId443" Type="http://schemas.openxmlformats.org/officeDocument/2006/relationships/hyperlink" Target="https://futureu.europa.eu/processes/Health/f/3/proposals/194800" TargetMode="External"/><Relationship Id="rId444" Type="http://schemas.openxmlformats.org/officeDocument/2006/relationships/hyperlink" Target="https://futureu.europa.eu/processes/Health/f/3/proposals/32111" TargetMode="External"/><Relationship Id="rId445" Type="http://schemas.openxmlformats.org/officeDocument/2006/relationships/hyperlink" Target="https://futureu.europa.eu/processes/Health/f/3/proposals/32111" TargetMode="External"/><Relationship Id="rId446" Type="http://schemas.openxmlformats.org/officeDocument/2006/relationships/hyperlink" Target="https://futureu.europa.eu/processes/Health/f/3/proposals/3408" TargetMode="External"/><Relationship Id="rId447" Type="http://schemas.openxmlformats.org/officeDocument/2006/relationships/hyperlink" Target="https://futureu.europa.eu/processes/Health/f/3/proposals/2271" TargetMode="External"/><Relationship Id="rId448" Type="http://schemas.openxmlformats.org/officeDocument/2006/relationships/hyperlink" Target="https://futureu.europa.eu/processes/Health/f/3/proposals/2271" TargetMode="External"/><Relationship Id="rId449" Type="http://schemas.openxmlformats.org/officeDocument/2006/relationships/hyperlink" Target="https://futureu.europa.eu/processes/Health/f/3/proposals/8551" TargetMode="External"/><Relationship Id="rId450" Type="http://schemas.openxmlformats.org/officeDocument/2006/relationships/hyperlink" Target="https://futureu.europa.eu/processes/Health/f/3/proposals/8551" TargetMode="External"/><Relationship Id="rId451" Type="http://schemas.openxmlformats.org/officeDocument/2006/relationships/hyperlink" Target="https://futureu.europa.eu/processes/Health/f/3/proposals/1161" TargetMode="External"/><Relationship Id="rId452" Type="http://schemas.openxmlformats.org/officeDocument/2006/relationships/hyperlink" Target="https://futureu.europa.eu/processes/Health/f/3/proposals/1161" TargetMode="External"/><Relationship Id="rId453" Type="http://schemas.openxmlformats.org/officeDocument/2006/relationships/hyperlink" Target="https://futureu.europa.eu/processes/Health/f/3/proposals/1161" TargetMode="External"/><Relationship Id="rId454" Type="http://schemas.openxmlformats.org/officeDocument/2006/relationships/hyperlink" Target="https://futureu.europa.eu/processes/Health/f/3/proposals/191112" TargetMode="External"/><Relationship Id="rId455" Type="http://schemas.openxmlformats.org/officeDocument/2006/relationships/hyperlink" Target="https://futureu.europa.eu/processes/Health/f/3/proposals/191112" TargetMode="External"/><Relationship Id="rId456" Type="http://schemas.openxmlformats.org/officeDocument/2006/relationships/hyperlink" Target="https://futureu.europa.eu/processes/Health/f/3/proposals/5228" TargetMode="External"/><Relationship Id="rId457" Type="http://schemas.openxmlformats.org/officeDocument/2006/relationships/hyperlink" Target="https://futureu.europa.eu/processes/Health/f/3/proposals/5228" TargetMode="External"/><Relationship Id="rId458" Type="http://schemas.openxmlformats.org/officeDocument/2006/relationships/hyperlink" Target="https://futureu.europa.eu/processes/Health/f/3/proposals/5228" TargetMode="External"/><Relationship Id="rId459" Type="http://schemas.openxmlformats.org/officeDocument/2006/relationships/hyperlink" Target="https://futureu.europa.eu/processes/Health/f/3/proposals/215954" TargetMode="External"/><Relationship Id="rId460" Type="http://schemas.openxmlformats.org/officeDocument/2006/relationships/hyperlink" Target="https://futureu.europa.eu/processes/Health/f/3/proposals/215954" TargetMode="External"/><Relationship Id="rId461" Type="http://schemas.openxmlformats.org/officeDocument/2006/relationships/hyperlink" Target="https://futureu.europa.eu/processes/Health/f/3/proposals/215954" TargetMode="External"/><Relationship Id="rId462" Type="http://schemas.openxmlformats.org/officeDocument/2006/relationships/hyperlink" Target="https://futureu.europa.eu/processes/OtherIdeas/f/8/proposals/219914" TargetMode="External"/><Relationship Id="rId463" Type="http://schemas.openxmlformats.org/officeDocument/2006/relationships/hyperlink" Target="https://futureu.europa.eu/processes/OtherIdeas/f/8/proposals/219914" TargetMode="External"/><Relationship Id="rId464" Type="http://schemas.openxmlformats.org/officeDocument/2006/relationships/hyperlink" Target="https://futureu.europa.eu/processes/Health/f/3/proposals/10957" TargetMode="External"/><Relationship Id="rId465" Type="http://schemas.openxmlformats.org/officeDocument/2006/relationships/hyperlink" Target="https://futureu.europa.eu/processes/Health/f/3/proposals/131506" TargetMode="External"/><Relationship Id="rId466" Type="http://schemas.openxmlformats.org/officeDocument/2006/relationships/hyperlink" Target="https://futureu.europa.eu/processes/Health/f/3/proposals/131506" TargetMode="External"/><Relationship Id="rId467" Type="http://schemas.openxmlformats.org/officeDocument/2006/relationships/hyperlink" Target="https://futureu.europa.eu/processes/Health/f/3/proposals/209353" TargetMode="External"/><Relationship Id="rId468" Type="http://schemas.openxmlformats.org/officeDocument/2006/relationships/hyperlink" Target="https://futureu.europa.eu/processes/Health/f/3/proposals/209353" TargetMode="External"/><Relationship Id="rId469" Type="http://schemas.openxmlformats.org/officeDocument/2006/relationships/hyperlink" Target="https://futureu.europa.eu/processes/Health/f/3/proposals/134047" TargetMode="External"/><Relationship Id="rId470" Type="http://schemas.openxmlformats.org/officeDocument/2006/relationships/hyperlink" Target="https://futureu.europa.eu/processes/Health/f/3/proposals/134047" TargetMode="External"/><Relationship Id="rId471" Type="http://schemas.openxmlformats.org/officeDocument/2006/relationships/hyperlink" Target="https://futureu.europa.eu/processes/Health/f/3/proposals/143123" TargetMode="External"/><Relationship Id="rId472" Type="http://schemas.openxmlformats.org/officeDocument/2006/relationships/hyperlink" Target="https://futureu.europa.eu/processes/Health/f/3/proposals/143123" TargetMode="External"/><Relationship Id="rId473" Type="http://schemas.openxmlformats.org/officeDocument/2006/relationships/hyperlink" Target="https://futureu.europa.eu/processes/Health/f/3/proposals/9578" TargetMode="External"/><Relationship Id="rId474" Type="http://schemas.openxmlformats.org/officeDocument/2006/relationships/hyperlink" Target="https://futureu.europa.eu/processes/Health/f/3/proposals/9578" TargetMode="External"/><Relationship Id="rId475" Type="http://schemas.openxmlformats.org/officeDocument/2006/relationships/hyperlink" Target="https://futureu.europa.eu/processes/Health/f/3/proposals/2806" TargetMode="External"/><Relationship Id="rId476" Type="http://schemas.openxmlformats.org/officeDocument/2006/relationships/hyperlink" Target="https://futureu.europa.eu/processes/Health/f/3/proposals/2393" TargetMode="External"/><Relationship Id="rId477" Type="http://schemas.openxmlformats.org/officeDocument/2006/relationships/hyperlink" Target="https://futureu.europa.eu/processes/Health/f/3/proposals/2393" TargetMode="External"/><Relationship Id="rId478" Type="http://schemas.openxmlformats.org/officeDocument/2006/relationships/hyperlink" Target="https://futureu.europa.eu/processes/Health/f/3/proposals/2393" TargetMode="External"/><Relationship Id="rId479" Type="http://schemas.openxmlformats.org/officeDocument/2006/relationships/hyperlink" Target="https://futureu.europa.eu/processes/Health/f/3/proposals/133189" TargetMode="External"/><Relationship Id="rId480" Type="http://schemas.openxmlformats.org/officeDocument/2006/relationships/hyperlink" Target="https://futureu.europa.eu/processes/Health/f/3/proposals/133189" TargetMode="External"/><Relationship Id="rId481" Type="http://schemas.openxmlformats.org/officeDocument/2006/relationships/hyperlink" Target="https://futureu.europa.eu/processes/Health/f/4/meetings/117515" TargetMode="External"/><Relationship Id="rId482" Type="http://schemas.openxmlformats.org/officeDocument/2006/relationships/hyperlink" Target="https://futureu.europa.eu/processes/Health/f/4/meetings/117515" TargetMode="External"/><Relationship Id="rId483" Type="http://schemas.openxmlformats.org/officeDocument/2006/relationships/hyperlink" Target="https://futureu.europa.eu/processes/Health/f/4/meetings/117515" TargetMode="External"/><Relationship Id="rId484" Type="http://schemas.openxmlformats.org/officeDocument/2006/relationships/hyperlink" Target="https://futureu.europa.eu/processes/Health/f/3/proposals/225853" TargetMode="External"/><Relationship Id="rId485" Type="http://schemas.openxmlformats.org/officeDocument/2006/relationships/hyperlink" Target="https://futureu.europa.eu/processes/Health/f/3/proposals/225853" TargetMode="External"/><Relationship Id="rId486" Type="http://schemas.openxmlformats.org/officeDocument/2006/relationships/hyperlink" Target="https://futureu.europa.eu/processes/Health/f/3/proposals/115535" TargetMode="External"/><Relationship Id="rId487" Type="http://schemas.openxmlformats.org/officeDocument/2006/relationships/hyperlink" Target="https://futureu.europa.eu/processes/Health/f/3/proposals/115535" TargetMode="External"/><Relationship Id="rId488" Type="http://schemas.openxmlformats.org/officeDocument/2006/relationships/hyperlink" Target="https://futureu.europa.eu/processes/Health/f/3/proposals/826" TargetMode="External"/><Relationship Id="rId489" Type="http://schemas.openxmlformats.org/officeDocument/2006/relationships/hyperlink" Target="https://futureu.europa.eu/processes/Health/f/3/proposals/826" TargetMode="External"/><Relationship Id="rId490" Type="http://schemas.openxmlformats.org/officeDocument/2006/relationships/hyperlink" Target="https://futureu.europa.eu/processes/Health/f/3/proposals/57982" TargetMode="External"/><Relationship Id="rId491" Type="http://schemas.openxmlformats.org/officeDocument/2006/relationships/hyperlink" Target="https://futureu.europa.eu/processes/Health/f/3/proposals/57982" TargetMode="External"/><Relationship Id="rId492" Type="http://schemas.openxmlformats.org/officeDocument/2006/relationships/hyperlink" Target="https://futureu.europa.eu/processes/Health/f/3/proposals/57982" TargetMode="External"/><Relationship Id="rId493" Type="http://schemas.openxmlformats.org/officeDocument/2006/relationships/hyperlink" Target="https://futureu.europa.eu/processes/Health/f/3/proposals/130947" TargetMode="External"/><Relationship Id="rId494" Type="http://schemas.openxmlformats.org/officeDocument/2006/relationships/hyperlink" Target="https://futureu.europa.eu/processes/Health/f/3/proposals/130947" TargetMode="External"/><Relationship Id="rId495" Type="http://schemas.openxmlformats.org/officeDocument/2006/relationships/hyperlink" Target="https://futureu.europa.eu/processes/Health/f/3/proposals/8682" TargetMode="External"/><Relationship Id="rId496" Type="http://schemas.openxmlformats.org/officeDocument/2006/relationships/hyperlink" Target="https://futureu.europa.eu/processes/Health/f/3/proposals/8682" TargetMode="External"/><Relationship Id="rId497" Type="http://schemas.openxmlformats.org/officeDocument/2006/relationships/hyperlink" Target="https://futureu.europa.eu/processes/Health/f/3/proposals/227140" TargetMode="External"/><Relationship Id="rId498" Type="http://schemas.openxmlformats.org/officeDocument/2006/relationships/hyperlink" Target="https://futureu.europa.eu/processes/Health/f/3/proposals/227140" TargetMode="External"/><Relationship Id="rId499" Type="http://schemas.openxmlformats.org/officeDocument/2006/relationships/hyperlink" Target="https://futureu.europa.eu/processes/Health/f/3/proposals/227140" TargetMode="External"/><Relationship Id="rId500" Type="http://schemas.openxmlformats.org/officeDocument/2006/relationships/hyperlink" Target="https://futureu.europa.eu/processes/Health/f/4/meetings/102631" TargetMode="External"/><Relationship Id="rId501" Type="http://schemas.openxmlformats.org/officeDocument/2006/relationships/hyperlink" Target="https://futureu.europa.eu/processes/Health/f/3/proposals/91807" TargetMode="External"/><Relationship Id="rId502" Type="http://schemas.openxmlformats.org/officeDocument/2006/relationships/hyperlink" Target="https://futureu.europa.eu/processes/Health/f/3/proposals/91807" TargetMode="External"/><Relationship Id="rId503" Type="http://schemas.openxmlformats.org/officeDocument/2006/relationships/hyperlink" Target="https://futureu.europa.eu/processes/Health/f/3/proposals/91807" TargetMode="External"/><Relationship Id="rId504" Type="http://schemas.openxmlformats.org/officeDocument/2006/relationships/hyperlink" Target="https://futureu.europa.eu/processes/Health/f/3/proposals/94216" TargetMode="External"/><Relationship Id="rId505" Type="http://schemas.openxmlformats.org/officeDocument/2006/relationships/hyperlink" Target="https://futureu.europa.eu/processes/Health/f/3/proposals/94216" TargetMode="External"/><Relationship Id="rId506" Type="http://schemas.openxmlformats.org/officeDocument/2006/relationships/hyperlink" Target="https://futureu.europa.eu/processes/Health/f/3/proposals/3470" TargetMode="External"/><Relationship Id="rId507" Type="http://schemas.openxmlformats.org/officeDocument/2006/relationships/hyperlink" Target="https://futureu.europa.eu/processes/Health/f/3/proposals/3470" TargetMode="External"/><Relationship Id="rId508" Type="http://schemas.openxmlformats.org/officeDocument/2006/relationships/hyperlink" Target="https://futureu.europa.eu/processes/Health/f/3/proposals/3470" TargetMode="External"/><Relationship Id="rId509" Type="http://schemas.openxmlformats.org/officeDocument/2006/relationships/hyperlink" Target="https://futureu.europa.eu/processes/Health/f/3/proposals/218131" TargetMode="External"/><Relationship Id="rId510" Type="http://schemas.openxmlformats.org/officeDocument/2006/relationships/hyperlink" Target="https://futureu.europa.eu/processes/Health/f/3/proposals/218131" TargetMode="External"/><Relationship Id="rId511" Type="http://schemas.openxmlformats.org/officeDocument/2006/relationships/hyperlink" Target="https://futureu.europa.eu/processes/Health/f/3/proposals/45806" TargetMode="External"/><Relationship Id="rId512" Type="http://schemas.openxmlformats.org/officeDocument/2006/relationships/hyperlink" Target="https://futureu.europa.eu/processes/Health/f/3/proposals/45806" TargetMode="External"/><Relationship Id="rId513" Type="http://schemas.openxmlformats.org/officeDocument/2006/relationships/hyperlink" Target="https://futureu.europa.eu/processes/Health/f/3/proposals/129066" TargetMode="External"/><Relationship Id="rId514" Type="http://schemas.openxmlformats.org/officeDocument/2006/relationships/hyperlink" Target="https://futureu.europa.eu/processes/Health/f/3/proposals/129066" TargetMode="External"/><Relationship Id="rId515" Type="http://schemas.openxmlformats.org/officeDocument/2006/relationships/hyperlink" Target="https://futureu.europa.eu/processes/Health/f/3/proposals/58874" TargetMode="External"/><Relationship Id="rId516" Type="http://schemas.openxmlformats.org/officeDocument/2006/relationships/hyperlink" Target="https://futureu.europa.eu/processes/Health/f/3/proposals/243512" TargetMode="External"/><Relationship Id="rId517" Type="http://schemas.openxmlformats.org/officeDocument/2006/relationships/hyperlink" Target="https://futureu.europa.eu/processes/Health/f/3/proposals/243512" TargetMode="External"/><Relationship Id="rId518" Type="http://schemas.openxmlformats.org/officeDocument/2006/relationships/hyperlink" Target="https://futureu.europa.eu/processes/Health/f/3/proposals/243512" TargetMode="External"/><Relationship Id="rId519" Type="http://schemas.openxmlformats.org/officeDocument/2006/relationships/hyperlink" Target="https://futureu.europa.eu/processes/Health/f/3/proposals/217" TargetMode="External"/><Relationship Id="rId520" Type="http://schemas.openxmlformats.org/officeDocument/2006/relationships/hyperlink" Target="https://futureu.europa.eu/processes/Health/f/3/proposals/217" TargetMode="External"/><Relationship Id="rId521" Type="http://schemas.openxmlformats.org/officeDocument/2006/relationships/hyperlink" Target="https://futureu.europa.eu/processes/Health/f/3/proposals/217" TargetMode="External"/><Relationship Id="rId522" Type="http://schemas.openxmlformats.org/officeDocument/2006/relationships/hyperlink" Target="https://futureu.europa.eu/processes/Health/f/3/proposals/10694" TargetMode="External"/><Relationship Id="rId523" Type="http://schemas.openxmlformats.org/officeDocument/2006/relationships/hyperlink" Target="https://futureu.europa.eu/processes/Health/f/3/proposals/10694" TargetMode="External"/><Relationship Id="rId524" Type="http://schemas.openxmlformats.org/officeDocument/2006/relationships/hyperlink" Target="https://futureu.europa.eu/processes/Health/f/3/proposals/85999" TargetMode="External"/><Relationship Id="rId525" Type="http://schemas.openxmlformats.org/officeDocument/2006/relationships/hyperlink" Target="https://futureu.europa.eu/processes/Health/f/3/proposals/85999" TargetMode="External"/><Relationship Id="rId526" Type="http://schemas.openxmlformats.org/officeDocument/2006/relationships/hyperlink" Target="https://futureu.europa.eu/processes/Health/f/3/proposals/95338" TargetMode="External"/><Relationship Id="rId527" Type="http://schemas.openxmlformats.org/officeDocument/2006/relationships/hyperlink" Target="https://futureu.europa.eu/processes/Health/f/3/proposals/95338" TargetMode="External"/><Relationship Id="rId528" Type="http://schemas.openxmlformats.org/officeDocument/2006/relationships/hyperlink" Target="https://futureu.europa.eu/processes/Health/f/3/proposals/95338" TargetMode="External"/><Relationship Id="rId529" Type="http://schemas.openxmlformats.org/officeDocument/2006/relationships/hyperlink" Target="https://futureu.europa.eu/processes/Health/f/3/proposals/6951" TargetMode="External"/><Relationship Id="rId530" Type="http://schemas.openxmlformats.org/officeDocument/2006/relationships/hyperlink" Target="https://futureu.europa.eu/processes/Health/f/3/proposals/11153" TargetMode="External"/><Relationship Id="rId531" Type="http://schemas.openxmlformats.org/officeDocument/2006/relationships/hyperlink" Target="https://futureu.europa.eu/processes/Health/f/3/proposals/11153" TargetMode="External"/><Relationship Id="rId532" Type="http://schemas.openxmlformats.org/officeDocument/2006/relationships/hyperlink" Target="https://futureu.europa.eu/processes/Health/f/3/proposals/107944" TargetMode="External"/><Relationship Id="rId533" Type="http://schemas.openxmlformats.org/officeDocument/2006/relationships/hyperlink" Target="https://futureu.europa.eu/processes/Health/f/3/proposals/82798" TargetMode="External"/><Relationship Id="rId534" Type="http://schemas.openxmlformats.org/officeDocument/2006/relationships/hyperlink" Target="https://futureu.europa.eu/processes/Health/f/3/proposals/82798" TargetMode="External"/><Relationship Id="rId535" Type="http://schemas.openxmlformats.org/officeDocument/2006/relationships/hyperlink" Target="https://futureu.europa.eu/processes/Health/f/3/proposals/241792" TargetMode="External"/><Relationship Id="rId536" Type="http://schemas.openxmlformats.org/officeDocument/2006/relationships/hyperlink" Target="https://futureu.europa.eu/processes/Health/f/3/proposals/241792" TargetMode="External"/><Relationship Id="rId537" Type="http://schemas.openxmlformats.org/officeDocument/2006/relationships/hyperlink" Target="https://futureu.europa.eu/processes/Health/f/4/meetings/22573" TargetMode="External"/><Relationship Id="rId538" Type="http://schemas.openxmlformats.org/officeDocument/2006/relationships/hyperlink" Target="https://futureu.europa.eu/processes/Health/f/4/meetings/22573" TargetMode="External"/><Relationship Id="rId539" Type="http://schemas.openxmlformats.org/officeDocument/2006/relationships/hyperlink" Target="https://futureu.europa.eu/processes/Health/f/4/meetings/22573" TargetMode="External"/><Relationship Id="rId540" Type="http://schemas.openxmlformats.org/officeDocument/2006/relationships/hyperlink" Target="https://futureu.europa.eu/processes/Health/f/3/proposals/47059" TargetMode="External"/><Relationship Id="rId541" Type="http://schemas.openxmlformats.org/officeDocument/2006/relationships/hyperlink" Target="https://futureu.europa.eu/processes/Health/f/3/proposals/47059" TargetMode="External"/><Relationship Id="rId542" Type="http://schemas.openxmlformats.org/officeDocument/2006/relationships/hyperlink" Target="https://futureu.europa.eu/processes/Health/f/3/proposals/247831" TargetMode="External"/><Relationship Id="rId543" Type="http://schemas.openxmlformats.org/officeDocument/2006/relationships/hyperlink" Target="https://futureu.europa.eu/processes/Health/f/3/proposals/32675" TargetMode="External"/><Relationship Id="rId544" Type="http://schemas.openxmlformats.org/officeDocument/2006/relationships/hyperlink" Target="https://futureu.europa.eu/processes/Health/f/3/proposals/32675" TargetMode="External"/><Relationship Id="rId545" Type="http://schemas.openxmlformats.org/officeDocument/2006/relationships/hyperlink" Target="https://futureu.europa.eu/processes/Health/f/3/proposals/32675" TargetMode="External"/><Relationship Id="rId546" Type="http://schemas.openxmlformats.org/officeDocument/2006/relationships/hyperlink" Target="https://futureu.europa.eu/processes/Health/f/3/proposals/39686" TargetMode="External"/><Relationship Id="rId547" Type="http://schemas.openxmlformats.org/officeDocument/2006/relationships/hyperlink" Target="https://futureu.europa.eu/processes/Health/f/3/proposals/39686" TargetMode="External"/><Relationship Id="rId548" Type="http://schemas.openxmlformats.org/officeDocument/2006/relationships/hyperlink" Target="https://futureu.europa.eu/processes/Health/f/3/proposals/242782" TargetMode="External"/><Relationship Id="rId549" Type="http://schemas.openxmlformats.org/officeDocument/2006/relationships/hyperlink" Target="https://futureu.europa.eu/processes/Health/f/3/proposals/242782" TargetMode="External"/><Relationship Id="rId550" Type="http://schemas.openxmlformats.org/officeDocument/2006/relationships/hyperlink" Target="https://futureu.europa.eu/processes/Health/f/3/proposals/888" TargetMode="External"/><Relationship Id="rId551" Type="http://schemas.openxmlformats.org/officeDocument/2006/relationships/hyperlink" Target="https://futureu.europa.eu/processes/Health/f/3/proposals/18316" TargetMode="External"/><Relationship Id="rId552" Type="http://schemas.openxmlformats.org/officeDocument/2006/relationships/hyperlink" Target="https://futureu.europa.eu/processes/Health/f/3/proposals/16931" TargetMode="External"/><Relationship Id="rId553" Type="http://schemas.openxmlformats.org/officeDocument/2006/relationships/hyperlink" Target="https://futureu.europa.eu/processes/Health/f/3/proposals/16931" TargetMode="External"/><Relationship Id="rId554" Type="http://schemas.openxmlformats.org/officeDocument/2006/relationships/hyperlink" Target="https://futureu.europa.eu/processes/Health/f/3/proposals/17262" TargetMode="External"/><Relationship Id="rId555" Type="http://schemas.openxmlformats.org/officeDocument/2006/relationships/hyperlink" Target="https://futureu.europa.eu/processes/Health/f/3/proposals/17262" TargetMode="External"/><Relationship Id="rId556" Type="http://schemas.openxmlformats.org/officeDocument/2006/relationships/hyperlink" Target="https://futureu.europa.eu/processes/Health/f/3/proposals/17262" TargetMode="External"/><Relationship Id="rId557" Type="http://schemas.openxmlformats.org/officeDocument/2006/relationships/hyperlink" Target="https://futureu.europa.eu/processes/Health/f/3/proposals/4065" TargetMode="External"/><Relationship Id="rId558" Type="http://schemas.openxmlformats.org/officeDocument/2006/relationships/hyperlink" Target="https://futureu.europa.eu/processes/Health/f/3/proposals/4065" TargetMode="External"/><Relationship Id="rId559" Type="http://schemas.openxmlformats.org/officeDocument/2006/relationships/hyperlink" Target="https://futureu.europa.eu/processes/Health/f/3/proposals/33958" TargetMode="External"/><Relationship Id="rId560" Type="http://schemas.openxmlformats.org/officeDocument/2006/relationships/hyperlink" Target="https://futureu.europa.eu/processes/Health/f/3/proposals/33958" TargetMode="External"/><Relationship Id="rId561" Type="http://schemas.openxmlformats.org/officeDocument/2006/relationships/hyperlink" Target="https://futureu.europa.eu/processes/Health/f/3/proposals/65770" TargetMode="External"/><Relationship Id="rId562" Type="http://schemas.openxmlformats.org/officeDocument/2006/relationships/hyperlink" Target="https://futureu.europa.eu/processes/Health/f/3/proposals/15151" TargetMode="External"/><Relationship Id="rId563" Type="http://schemas.openxmlformats.org/officeDocument/2006/relationships/hyperlink" Target="https://futureu.europa.eu/processes/Health/f/3/proposals/15151" TargetMode="External"/><Relationship Id="rId564" Type="http://schemas.openxmlformats.org/officeDocument/2006/relationships/hyperlink" Target="https://futureu.europa.eu/processes/Health/f/3/proposals/15151" TargetMode="External"/><Relationship Id="rId565" Type="http://schemas.openxmlformats.org/officeDocument/2006/relationships/hyperlink" Target="https://futureu.europa.eu/processes/Health/f/3/proposals/254894" TargetMode="External"/><Relationship Id="rId566" Type="http://schemas.openxmlformats.org/officeDocument/2006/relationships/hyperlink" Target="https://futureu.europa.eu/processes/Health/f/3/proposals/254894" TargetMode="External"/><Relationship Id="rId567" Type="http://schemas.openxmlformats.org/officeDocument/2006/relationships/hyperlink" Target="https://futureu.europa.eu/processes/Health/f/3/proposals/254894" TargetMode="External"/><Relationship Id="rId568" Type="http://schemas.openxmlformats.org/officeDocument/2006/relationships/hyperlink" Target="https://futureu.europa.eu/processes/Health/f/3/proposals/226084" TargetMode="External"/><Relationship Id="rId569" Type="http://schemas.openxmlformats.org/officeDocument/2006/relationships/hyperlink" Target="https://futureu.europa.eu/processes/Health/f/3/proposals/226084" TargetMode="External"/><Relationship Id="rId570" Type="http://schemas.openxmlformats.org/officeDocument/2006/relationships/hyperlink" Target="https://futureu.europa.eu/processes/Health/f/3/proposals/226051" TargetMode="External"/><Relationship Id="rId571" Type="http://schemas.openxmlformats.org/officeDocument/2006/relationships/hyperlink" Target="https://futureu.europa.eu/processes/Health/f/3/proposals/226051" TargetMode="External"/><Relationship Id="rId572" Type="http://schemas.openxmlformats.org/officeDocument/2006/relationships/hyperlink" Target="https://futureu.europa.eu/processes/Health/f/3/proposals/226051" TargetMode="External"/><Relationship Id="rId573" Type="http://schemas.openxmlformats.org/officeDocument/2006/relationships/hyperlink" Target="http://futureu.europa.eu/processes/Health/f/3/proposals/238331" TargetMode="External"/><Relationship Id="rId574" Type="http://schemas.openxmlformats.org/officeDocument/2006/relationships/hyperlink" Target="http://futureu.europa.eu/processes/Health/f/3/proposals/238331" TargetMode="External"/><Relationship Id="rId575" Type="http://schemas.openxmlformats.org/officeDocument/2006/relationships/hyperlink" Target="http://futureu.europa.eu/processes/Health/f/3/proposals/238331" TargetMode="External"/><Relationship Id="rId576" Type="http://schemas.openxmlformats.org/officeDocument/2006/relationships/hyperlink" Target="https://futureu.europa.eu/processes/Health/f/3/proposals/109858" TargetMode="External"/><Relationship Id="rId577" Type="http://schemas.openxmlformats.org/officeDocument/2006/relationships/hyperlink" Target="https://futureu.europa.eu/processes/Health/f/3/proposals/109858" TargetMode="External"/><Relationship Id="rId578" Type="http://schemas.openxmlformats.org/officeDocument/2006/relationships/hyperlink" Target="https://futureu.europa.eu/processes/Health/f/3/proposals/109858" TargetMode="External"/><Relationship Id="rId579" Type="http://schemas.openxmlformats.org/officeDocument/2006/relationships/hyperlink" Target="https://futureu.europa.eu/processes/Health/f/3/proposals/140251" TargetMode="External"/><Relationship Id="rId580" Type="http://schemas.openxmlformats.org/officeDocument/2006/relationships/hyperlink" Target="https://futureu.europa.eu/processes/Health/f/3/proposals/140251" TargetMode="External"/><Relationship Id="rId581" Type="http://schemas.openxmlformats.org/officeDocument/2006/relationships/hyperlink" Target="https://futureu.europa.eu/processes/Health/f/3/proposals/188764" TargetMode="External"/><Relationship Id="rId582" Type="http://schemas.openxmlformats.org/officeDocument/2006/relationships/hyperlink" Target="https://futureu.europa.eu/processes/Health/f/3/proposals/188764" TargetMode="External"/><Relationship Id="rId583" Type="http://schemas.openxmlformats.org/officeDocument/2006/relationships/hyperlink" Target="https://futureu.europa.eu/processes/Health/f/3/proposals/218396" TargetMode="External"/><Relationship Id="rId584" Type="http://schemas.openxmlformats.org/officeDocument/2006/relationships/hyperlink" Target="https://futureu.europa.eu/processes/Health/f/3/proposals/218396" TargetMode="External"/><Relationship Id="rId585" Type="http://schemas.openxmlformats.org/officeDocument/2006/relationships/hyperlink" Target="https://futureu.europa.eu/processes/Health/f/3/proposals/126325" TargetMode="External"/><Relationship Id="rId586" Type="http://schemas.openxmlformats.org/officeDocument/2006/relationships/hyperlink" Target="https://futureu.europa.eu/processes/Health/f/3/proposals/227965" TargetMode="External"/><Relationship Id="rId587" Type="http://schemas.openxmlformats.org/officeDocument/2006/relationships/hyperlink" Target="https://futureu.europa.eu/processes/Health/f/3/proposals/900" TargetMode="External"/><Relationship Id="rId588" Type="http://schemas.openxmlformats.org/officeDocument/2006/relationships/hyperlink" Target="https://futureu.europa.eu/processes/Health/f/3/proposals/900" TargetMode="External"/><Relationship Id="rId589" Type="http://schemas.openxmlformats.org/officeDocument/2006/relationships/hyperlink" Target="https://futureu.europa.eu/processes/Health/f/3/proposals/900" TargetMode="External"/><Relationship Id="rId590" Type="http://schemas.openxmlformats.org/officeDocument/2006/relationships/hyperlink" Target="https://futureu.europa.eu/processes/Health/f/3/proposals/251428" TargetMode="External"/><Relationship Id="rId591" Type="http://schemas.openxmlformats.org/officeDocument/2006/relationships/hyperlink" Target="https://futureu.europa.eu/processes/Health/f/3/proposals/251428" TargetMode="External"/><Relationship Id="rId592" Type="http://schemas.openxmlformats.org/officeDocument/2006/relationships/hyperlink" Target="https://futureu.europa.eu/processes/Health/f/4/meetings/116854" TargetMode="External"/><Relationship Id="rId593" Type="http://schemas.openxmlformats.org/officeDocument/2006/relationships/hyperlink" Target="https://futureu.europa.eu/processes/Health/f/3/proposals/4985" TargetMode="External"/><Relationship Id="rId594" Type="http://schemas.openxmlformats.org/officeDocument/2006/relationships/hyperlink" Target="https://futureu.europa.eu/processes/Health/f/3/proposals/4985" TargetMode="External"/><Relationship Id="rId595" Type="http://schemas.openxmlformats.org/officeDocument/2006/relationships/hyperlink" Target="https://futureu.europa.eu/processes/Economy/f/10/proposals/1172" TargetMode="External"/><Relationship Id="rId596" Type="http://schemas.openxmlformats.org/officeDocument/2006/relationships/hyperlink" Target="https://futureu.europa.eu/processes/Economy/f/10/proposals/1172" TargetMode="External"/><Relationship Id="rId597" Type="http://schemas.openxmlformats.org/officeDocument/2006/relationships/hyperlink" Target="https://futureu.europa.eu/processes/Economy/f/10/proposals/1172" TargetMode="External"/><Relationship Id="rId598" Type="http://schemas.openxmlformats.org/officeDocument/2006/relationships/hyperlink" Target="https://futureu.europa.eu/processes/Health/f/3/proposals/1136" TargetMode="External"/><Relationship Id="rId599" Type="http://schemas.openxmlformats.org/officeDocument/2006/relationships/hyperlink" Target="https://futureu.europa.eu/processes/Health/f/3/proposals/1136" TargetMode="External"/><Relationship Id="rId600" Type="http://schemas.openxmlformats.org/officeDocument/2006/relationships/hyperlink" Target="https://futureu.europa.eu/processes/Health/f/3/proposals/252786" TargetMode="External"/><Relationship Id="rId601" Type="http://schemas.openxmlformats.org/officeDocument/2006/relationships/hyperlink" Target="http://futureu.europa.eu/processes/Health/f/3/proposals/238327" TargetMode="External"/><Relationship Id="rId602" Type="http://schemas.openxmlformats.org/officeDocument/2006/relationships/hyperlink" Target="http://futureu.europa.eu/processes/Health/f/3/proposals/238327" TargetMode="External"/><Relationship Id="rId603" Type="http://schemas.openxmlformats.org/officeDocument/2006/relationships/hyperlink" Target="http://futureu.europa.eu/processes/Health/f/3/proposals/238327" TargetMode="External"/><Relationship Id="rId604" Type="http://schemas.openxmlformats.org/officeDocument/2006/relationships/hyperlink" Target="https://futureu.europa.eu/processes/Health/f/4/meetings/24190" TargetMode="External"/><Relationship Id="rId605" Type="http://schemas.openxmlformats.org/officeDocument/2006/relationships/hyperlink" Target="https://futureu.europa.eu/processes/Health/f/4/meetings/24190" TargetMode="External"/><Relationship Id="rId606" Type="http://schemas.openxmlformats.org/officeDocument/2006/relationships/hyperlink" Target="https://futureu.europa.eu/processes/Health/f/3/proposals/57784" TargetMode="External"/><Relationship Id="rId607" Type="http://schemas.openxmlformats.org/officeDocument/2006/relationships/hyperlink" Target="https://futureu.europa.eu/processes/Health/f/3/proposals/190742" TargetMode="External"/><Relationship Id="rId608" Type="http://schemas.openxmlformats.org/officeDocument/2006/relationships/hyperlink" Target="https://futureu.europa.eu/processes/Health/f/3/proposals/190742" TargetMode="External"/><Relationship Id="rId609" Type="http://schemas.openxmlformats.org/officeDocument/2006/relationships/hyperlink" Target="https://futureu.europa.eu/processes/Health/f/3/proposals/190742" TargetMode="External"/><Relationship Id="rId610" Type="http://schemas.openxmlformats.org/officeDocument/2006/relationships/hyperlink" Target="https://futureu.europa.eu/processes/Health/f/3/proposals/261665" TargetMode="External"/><Relationship Id="rId611" Type="http://schemas.openxmlformats.org/officeDocument/2006/relationships/hyperlink" Target="https://futureu.europa.eu/processes/Health/f/3/proposals/297069" TargetMode="External"/><Relationship Id="rId612" Type="http://schemas.openxmlformats.org/officeDocument/2006/relationships/hyperlink" Target="https://futureu.europa.eu/processes/Health/f/3/proposals/297069" TargetMode="External"/><Relationship Id="rId613" Type="http://schemas.openxmlformats.org/officeDocument/2006/relationships/hyperlink" Target="https://futureu.europa.eu/processes/Health/f/3/proposals/297069" TargetMode="External"/><Relationship Id="rId614" Type="http://schemas.openxmlformats.org/officeDocument/2006/relationships/hyperlink" Target="https://futureu.europa.eu/processes/Health/f/3/proposals/303340" TargetMode="External"/><Relationship Id="rId615" Type="http://schemas.openxmlformats.org/officeDocument/2006/relationships/hyperlink" Target="https://futureu.europa.eu/processes/Health/f/3/proposals/278257" TargetMode="External"/><Relationship Id="rId616" Type="http://schemas.openxmlformats.org/officeDocument/2006/relationships/hyperlink" Target="https://futureu.europa.eu/processes/Health/f/3/proposals/257470" TargetMode="External"/><Relationship Id="rId617" Type="http://schemas.openxmlformats.org/officeDocument/2006/relationships/hyperlink" Target="https://futureu.europa.eu/processes/Health/f/3/proposals/257470" TargetMode="External"/><Relationship Id="rId618" Type="http://schemas.openxmlformats.org/officeDocument/2006/relationships/hyperlink" Target="https://futureu.europa.eu/processes/Health/f/3/proposals/257470" TargetMode="External"/><Relationship Id="rId619" Type="http://schemas.openxmlformats.org/officeDocument/2006/relationships/hyperlink" Target="https://futureu.europa.eu/processes/Health/f/3/proposals/256411" TargetMode="External"/><Relationship Id="rId620" Type="http://schemas.openxmlformats.org/officeDocument/2006/relationships/hyperlink" Target="https://futureu.europa.eu/processes/Health/f/3/proposals/256411" TargetMode="External"/><Relationship Id="rId621" Type="http://schemas.openxmlformats.org/officeDocument/2006/relationships/hyperlink" Target="https://futureu.europa.eu/processes/Health/f/3/proposals/256411" TargetMode="External"/><Relationship Id="rId622" Type="http://schemas.openxmlformats.org/officeDocument/2006/relationships/hyperlink" Target="https://futureu.europa.eu/processes/Health/f/3/proposals/271129" TargetMode="External"/><Relationship Id="rId623" Type="http://schemas.openxmlformats.org/officeDocument/2006/relationships/hyperlink" Target="https://futureu.europa.eu/processes/Health/f/3/proposals/271129" TargetMode="External"/><Relationship Id="rId624" Type="http://schemas.openxmlformats.org/officeDocument/2006/relationships/hyperlink" Target="https://futureu.europa.eu/processes/Health/f/3/proposals/285220" TargetMode="External"/><Relationship Id="rId625" Type="http://schemas.openxmlformats.org/officeDocument/2006/relationships/hyperlink" Target="https://futureu.europa.eu/processes/Health/f/3/proposals/285220" TargetMode="External"/><Relationship Id="rId626" Type="http://schemas.openxmlformats.org/officeDocument/2006/relationships/hyperlink" Target="https://futureu.europa.eu/processes/Health/f/3/proposals/302550" TargetMode="External"/><Relationship Id="rId627" Type="http://schemas.openxmlformats.org/officeDocument/2006/relationships/hyperlink" Target="https://futureu.europa.eu/processes/Health/f/3/proposals/308024" TargetMode="External"/><Relationship Id="rId628" Type="http://schemas.openxmlformats.org/officeDocument/2006/relationships/hyperlink" Target="https://futureu.europa.eu/processes/Health/f/3/proposals/272449" TargetMode="External"/><Relationship Id="rId629" Type="http://schemas.openxmlformats.org/officeDocument/2006/relationships/hyperlink" Target="https://futureu.europa.eu/processes/Health/f/3/proposals/281095" TargetMode="External"/><Relationship Id="rId630" Type="http://schemas.openxmlformats.org/officeDocument/2006/relationships/hyperlink" Target="https://futureu.europa.eu/processes/Health/f/3/proposals/281095" TargetMode="External"/><Relationship Id="rId631" Type="http://schemas.openxmlformats.org/officeDocument/2006/relationships/hyperlink" Target="https://futureu.europa.eu/processes/Health/f/3/proposals/281095" TargetMode="External"/><Relationship Id="rId632" Type="http://schemas.openxmlformats.org/officeDocument/2006/relationships/hyperlink" Target="https://futureu.europa.eu/processes/Health/f/3/proposals/266708" TargetMode="External"/><Relationship Id="rId633" Type="http://schemas.openxmlformats.org/officeDocument/2006/relationships/hyperlink" Target="https://futureu.europa.eu/processes/Health/f/3/proposals/280205" TargetMode="External"/><Relationship Id="rId634" Type="http://schemas.openxmlformats.org/officeDocument/2006/relationships/hyperlink" Target="https://futureu.europa.eu/processes/Health/f/3/proposals/280205" TargetMode="External"/><Relationship Id="rId635" Type="http://schemas.openxmlformats.org/officeDocument/2006/relationships/hyperlink" Target="https://futureu.europa.eu/processes/Health/f/3/proposals/280205" TargetMode="External"/><Relationship Id="rId636" Type="http://schemas.openxmlformats.org/officeDocument/2006/relationships/header" Target="header5.xml"/><Relationship Id="rId637" Type="http://schemas.openxmlformats.org/officeDocument/2006/relationships/footer" Target="footer4.xml"/><Relationship Id="rId638" Type="http://schemas.openxmlformats.org/officeDocument/2006/relationships/image" Target="media/image35.png"/><Relationship Id="rId639" Type="http://schemas.openxmlformats.org/officeDocument/2006/relationships/image" Target="media/image35.png"/><Relationship Id="rId640" Type="http://schemas.openxmlformats.org/officeDocument/2006/relationships/header" Target="header6.xml"/><Relationship Id="rId641" Type="http://schemas.openxmlformats.org/officeDocument/2006/relationships/footer" Target="footer5.xml"/><Relationship Id="rId642" Type="http://schemas.openxmlformats.org/officeDocument/2006/relationships/image" Target="media/image36.png"/><Relationship Id="rId643" Type="http://schemas.openxmlformats.org/officeDocument/2006/relationships/hyperlink" Target="https://futureu.europa.eu/processes/Economy/f/13/meetings/149195" TargetMode="External"/><Relationship Id="rId644" Type="http://schemas.openxmlformats.org/officeDocument/2006/relationships/hyperlink" Target="https://futureu.europa.eu/processes/Economy/f/13/meetings/154441" TargetMode="External"/><Relationship Id="rId645" Type="http://schemas.openxmlformats.org/officeDocument/2006/relationships/hyperlink" Target="https://futureu.europa.eu/processes/Economy/f/13/meetings/154441" TargetMode="External"/><Relationship Id="rId646" Type="http://schemas.openxmlformats.org/officeDocument/2006/relationships/hyperlink" Target="https://futureu.europa.eu/processes/Economy/f/13/meetings/142297" TargetMode="External"/><Relationship Id="rId647" Type="http://schemas.openxmlformats.org/officeDocument/2006/relationships/hyperlink" Target="https://futureu.europa.eu/processes/Economy/f/13/meetings/142297" TargetMode="External"/><Relationship Id="rId648" Type="http://schemas.openxmlformats.org/officeDocument/2006/relationships/hyperlink" Target="https://futureu.europa.eu/processes/Economy/f/13/meetings/142792" TargetMode="External"/><Relationship Id="rId649" Type="http://schemas.openxmlformats.org/officeDocument/2006/relationships/hyperlink" Target="https://futureu.europa.eu/processes/Economy/f/13/meetings/144838" TargetMode="External"/><Relationship Id="rId650" Type="http://schemas.openxmlformats.org/officeDocument/2006/relationships/hyperlink" Target="https://futureu.europa.eu/processes/Economy/f/13/meetings/144838" TargetMode="External"/><Relationship Id="rId651" Type="http://schemas.openxmlformats.org/officeDocument/2006/relationships/hyperlink" Target="https://futureu.europa.eu/processes/Economy/f/13/meetings/154474" TargetMode="External"/><Relationship Id="rId652" Type="http://schemas.openxmlformats.org/officeDocument/2006/relationships/hyperlink" Target="https://futureu.europa.eu/processes/Economy/f/13/meetings/154474" TargetMode="External"/><Relationship Id="rId653" Type="http://schemas.openxmlformats.org/officeDocument/2006/relationships/hyperlink" Target="https://futureu.europa.eu/processes/Economy/f/13/meetings/141373" TargetMode="External"/><Relationship Id="rId654" Type="http://schemas.openxmlformats.org/officeDocument/2006/relationships/hyperlink" Target="https://futureu.europa.eu/processes/Economy/f/13/meetings/151471" TargetMode="External"/><Relationship Id="rId655" Type="http://schemas.openxmlformats.org/officeDocument/2006/relationships/hyperlink" Target="https://futureu.europa.eu/processes/Economy/f/13/meetings/151471" TargetMode="External"/><Relationship Id="rId656" Type="http://schemas.openxmlformats.org/officeDocument/2006/relationships/hyperlink" Target="https://futureu.europa.eu/processes/Economy/f/13/meetings/141439" TargetMode="External"/><Relationship Id="rId657" Type="http://schemas.openxmlformats.org/officeDocument/2006/relationships/hyperlink" Target="https://futureu.europa.eu/processes/Economy/f/13/meetings/141439" TargetMode="External"/><Relationship Id="rId658" Type="http://schemas.openxmlformats.org/officeDocument/2006/relationships/hyperlink" Target="https://futureu.europa.eu/processes/Economy/f/13/meetings/150353" TargetMode="External"/><Relationship Id="rId659" Type="http://schemas.openxmlformats.org/officeDocument/2006/relationships/hyperlink" Target="https://futureu.europa.eu/processes/Economy/f/13/meetings/152329" TargetMode="External"/><Relationship Id="rId660" Type="http://schemas.openxmlformats.org/officeDocument/2006/relationships/hyperlink" Target="https://futureu.europa.eu/processes/Economy/f/13/meetings/152329" TargetMode="External"/><Relationship Id="rId661" Type="http://schemas.openxmlformats.org/officeDocument/2006/relationships/hyperlink" Target="https://futureu.europa.eu/processes/Economy/f/10/proposals/224996" TargetMode="External"/><Relationship Id="rId662" Type="http://schemas.openxmlformats.org/officeDocument/2006/relationships/hyperlink" Target="https://futureu.europa.eu/processes/Economy/f/10/proposals/224996" TargetMode="External"/><Relationship Id="rId663" Type="http://schemas.openxmlformats.org/officeDocument/2006/relationships/hyperlink" Target="https://futureu.europa.eu/processes/Economy/f/10/proposals/224996" TargetMode="External"/><Relationship Id="rId664" Type="http://schemas.openxmlformats.org/officeDocument/2006/relationships/hyperlink" Target="https://futureu.europa.eu/processes/Economy/f/10/proposals/13837" TargetMode="External"/><Relationship Id="rId665" Type="http://schemas.openxmlformats.org/officeDocument/2006/relationships/hyperlink" Target="https://futureu.europa.eu/processes/Economy/f/10/proposals/13837" TargetMode="External"/><Relationship Id="rId666" Type="http://schemas.openxmlformats.org/officeDocument/2006/relationships/hyperlink" Target="https://futureu.europa.eu/processes/Economy/f/13/meetings/90421" TargetMode="External"/><Relationship Id="rId667" Type="http://schemas.openxmlformats.org/officeDocument/2006/relationships/hyperlink" Target="https://futureu.europa.eu/processes/Economy/f/13/meetings/90421" TargetMode="External"/><Relationship Id="rId668" Type="http://schemas.openxmlformats.org/officeDocument/2006/relationships/hyperlink" Target="https://futureu.europa.eu/processes/Economy/f/10/proposals/112729" TargetMode="External"/><Relationship Id="rId669" Type="http://schemas.openxmlformats.org/officeDocument/2006/relationships/hyperlink" Target="https://futureu.europa.eu/processes/Economy/f/10/proposals/112729" TargetMode="External"/><Relationship Id="rId670" Type="http://schemas.openxmlformats.org/officeDocument/2006/relationships/hyperlink" Target="https://futureu.europa.eu/processes/Economy/f/10/proposals/112729" TargetMode="External"/><Relationship Id="rId671" Type="http://schemas.openxmlformats.org/officeDocument/2006/relationships/hyperlink" Target="https://futureu.europa.eu/processes/Economy/f/10/proposals/171701" TargetMode="External"/><Relationship Id="rId672" Type="http://schemas.openxmlformats.org/officeDocument/2006/relationships/hyperlink" Target="https://futureu.europa.eu/processes/Economy/f/10/proposals/171701" TargetMode="External"/><Relationship Id="rId673" Type="http://schemas.openxmlformats.org/officeDocument/2006/relationships/hyperlink" Target="https://futureu.europa.eu/processes/Economy/f/10/proposals/171701" TargetMode="External"/><Relationship Id="rId674" Type="http://schemas.openxmlformats.org/officeDocument/2006/relationships/hyperlink" Target="https://futureu.europa.eu/processes/Economy/f/10/proposals/896" TargetMode="External"/><Relationship Id="rId675" Type="http://schemas.openxmlformats.org/officeDocument/2006/relationships/hyperlink" Target="https://futureu.europa.eu/processes/Economy/f/10/proposals/896" TargetMode="External"/><Relationship Id="rId676" Type="http://schemas.openxmlformats.org/officeDocument/2006/relationships/hyperlink" Target="https://futureu.europa.eu/processes/Economy/f/10/proposals/176584" TargetMode="External"/><Relationship Id="rId677" Type="http://schemas.openxmlformats.org/officeDocument/2006/relationships/hyperlink" Target="https://futureu.europa.eu/processes/Economy/f/10/proposals/162363" TargetMode="External"/><Relationship Id="rId678" Type="http://schemas.openxmlformats.org/officeDocument/2006/relationships/hyperlink" Target="https://futureu.europa.eu/processes/Economy/f/10/proposals/162363" TargetMode="External"/><Relationship Id="rId679" Type="http://schemas.openxmlformats.org/officeDocument/2006/relationships/hyperlink" Target="https://futureu.europa.eu/processes/Economy/f/10/proposals/138568" TargetMode="External"/><Relationship Id="rId680" Type="http://schemas.openxmlformats.org/officeDocument/2006/relationships/hyperlink" Target="https://futureu.europa.eu/processes/Economy/f/10/proposals/120385" TargetMode="External"/><Relationship Id="rId681" Type="http://schemas.openxmlformats.org/officeDocument/2006/relationships/hyperlink" Target="https://futureu.europa.eu/processes/Economy/f/10/proposals/120385" TargetMode="External"/><Relationship Id="rId682" Type="http://schemas.openxmlformats.org/officeDocument/2006/relationships/hyperlink" Target="https://futureu.europa.eu/processes/Economy/f/10/proposals/120385" TargetMode="External"/><Relationship Id="rId683" Type="http://schemas.openxmlformats.org/officeDocument/2006/relationships/hyperlink" Target="https://futureu.europa.eu/processes/Economy/f/13/meetings/98870" TargetMode="External"/><Relationship Id="rId684" Type="http://schemas.openxmlformats.org/officeDocument/2006/relationships/hyperlink" Target="https://futureu.europa.eu/processes/Economy/f/13/meetings/98870" TargetMode="External"/><Relationship Id="rId685" Type="http://schemas.openxmlformats.org/officeDocument/2006/relationships/hyperlink" Target="https://futureu.europa.eu/processes/Economy/f/13/meetings/98870" TargetMode="External"/><Relationship Id="rId686" Type="http://schemas.openxmlformats.org/officeDocument/2006/relationships/hyperlink" Target="https://futureu.europa.eu/processes/Economy/f/13/meetings/98870" TargetMode="External"/><Relationship Id="rId687" Type="http://schemas.openxmlformats.org/officeDocument/2006/relationships/hyperlink" Target="https://futureu.europa.eu/processes/Economy/f/13/meetings/98870" TargetMode="External"/><Relationship Id="rId688" Type="http://schemas.openxmlformats.org/officeDocument/2006/relationships/hyperlink" Target="https://futureu.europa.eu/processes/Economy/f/10/proposals/248756" TargetMode="External"/><Relationship Id="rId689" Type="http://schemas.openxmlformats.org/officeDocument/2006/relationships/hyperlink" Target="https://futureu.europa.eu/processes/Economy/f/10/proposals/248756" TargetMode="External"/><Relationship Id="rId690" Type="http://schemas.openxmlformats.org/officeDocument/2006/relationships/hyperlink" Target="https://futureu.europa.eu/processes/Economy/f/10/proposals/248756" TargetMode="External"/><Relationship Id="rId691" Type="http://schemas.openxmlformats.org/officeDocument/2006/relationships/hyperlink" Target="https://futureu.europa.eu/processes/Economy/f/10/proposals/256052" TargetMode="External"/><Relationship Id="rId692" Type="http://schemas.openxmlformats.org/officeDocument/2006/relationships/hyperlink" Target="https://futureu.europa.eu/processes/Economy/f/10/proposals/256052" TargetMode="External"/><Relationship Id="rId693" Type="http://schemas.openxmlformats.org/officeDocument/2006/relationships/hyperlink" Target="https://futureu.europa.eu/processes/Economy/f/10/proposals/85639" TargetMode="External"/><Relationship Id="rId694" Type="http://schemas.openxmlformats.org/officeDocument/2006/relationships/hyperlink" Target="https://futureu.europa.eu/processes/Economy/f/10/proposals/112767" TargetMode="External"/><Relationship Id="rId695" Type="http://schemas.openxmlformats.org/officeDocument/2006/relationships/hyperlink" Target="http://futureu.europa.eu/processes/OtherIdeas/f/8/proposals/31751" TargetMode="External"/><Relationship Id="rId696" Type="http://schemas.openxmlformats.org/officeDocument/2006/relationships/hyperlink" Target="https://futureu.europa.eu/processes/Economy/f/10/proposals/67849" TargetMode="External"/><Relationship Id="rId697" Type="http://schemas.openxmlformats.org/officeDocument/2006/relationships/hyperlink" Target="https://futureu.europa.eu/processes/Economy/f/10/proposals/67849" TargetMode="External"/><Relationship Id="rId698" Type="http://schemas.openxmlformats.org/officeDocument/2006/relationships/hyperlink" Target="https://futureu.europa.eu/processes/Economy/f/10/proposals/156983" TargetMode="External"/><Relationship Id="rId699" Type="http://schemas.openxmlformats.org/officeDocument/2006/relationships/hyperlink" Target="https://futureu.europa.eu/processes/Economy/f/10/proposals/156983" TargetMode="External"/><Relationship Id="rId700" Type="http://schemas.openxmlformats.org/officeDocument/2006/relationships/hyperlink" Target="https://futureu.europa.eu/processes/Economy/f/13/meetings/51283" TargetMode="External"/><Relationship Id="rId701" Type="http://schemas.openxmlformats.org/officeDocument/2006/relationships/hyperlink" Target="https://futureu.europa.eu/processes/Economy/f/10/proposals/163945" TargetMode="External"/><Relationship Id="rId702" Type="http://schemas.openxmlformats.org/officeDocument/2006/relationships/hyperlink" Target="https://futureu.europa.eu/processes/Economy/f/10/proposals/163945" TargetMode="External"/><Relationship Id="rId703" Type="http://schemas.openxmlformats.org/officeDocument/2006/relationships/hyperlink" Target="https://futureu.europa.eu/processes/Economy/f/10/proposals/112432" TargetMode="External"/><Relationship Id="rId704" Type="http://schemas.openxmlformats.org/officeDocument/2006/relationships/hyperlink" Target="https://futureu.europa.eu/processes/Economy/f/13/meetings/49869" TargetMode="External"/><Relationship Id="rId705" Type="http://schemas.openxmlformats.org/officeDocument/2006/relationships/hyperlink" Target="https://futureu.europa.eu/processes/Economy/f/13/meetings/49869" TargetMode="External"/><Relationship Id="rId706" Type="http://schemas.openxmlformats.org/officeDocument/2006/relationships/hyperlink" Target="https://futureu.europa.eu/processes/Economy/f/10/proposals/218664" TargetMode="External"/><Relationship Id="rId707" Type="http://schemas.openxmlformats.org/officeDocument/2006/relationships/hyperlink" Target="https://futureu.europa.eu/processes/Economy/f/10/proposals/218664" TargetMode="External"/><Relationship Id="rId708" Type="http://schemas.openxmlformats.org/officeDocument/2006/relationships/hyperlink" Target="https://futureu.europa.eu/processes/Economy/f/10/proposals/218664" TargetMode="External"/><Relationship Id="rId709" Type="http://schemas.openxmlformats.org/officeDocument/2006/relationships/hyperlink" Target="https://futureu.europa.eu/processes/Economy/f/10/proposals/153319" TargetMode="External"/><Relationship Id="rId710" Type="http://schemas.openxmlformats.org/officeDocument/2006/relationships/hyperlink" Target="https://futureu.europa.eu/processes/Economy/f/10/proposals/153319" TargetMode="External"/><Relationship Id="rId711" Type="http://schemas.openxmlformats.org/officeDocument/2006/relationships/hyperlink" Target="http://futureu.europa.eu/processes/Economy/f/10/proposals/21682" TargetMode="External"/><Relationship Id="rId712" Type="http://schemas.openxmlformats.org/officeDocument/2006/relationships/hyperlink" Target="https://futureu.europa.eu/processes/Economy/f/10/proposals/105972" TargetMode="External"/><Relationship Id="rId713" Type="http://schemas.openxmlformats.org/officeDocument/2006/relationships/hyperlink" Target="https://futureu.europa.eu/processes/Economy/f/13/meetings/52570" TargetMode="External"/><Relationship Id="rId714" Type="http://schemas.openxmlformats.org/officeDocument/2006/relationships/hyperlink" Target="https://futureu.europa.eu/processes/Economy/f/13/meetings/52570" TargetMode="External"/><Relationship Id="rId715" Type="http://schemas.openxmlformats.org/officeDocument/2006/relationships/hyperlink" Target="https://futureu.europa.eu/processes/Economy/f/13/meetings/121078" TargetMode="External"/><Relationship Id="rId716" Type="http://schemas.openxmlformats.org/officeDocument/2006/relationships/hyperlink" Target="https://futureu.europa.eu/processes/Economy/f/13/meetings/121078" TargetMode="External"/><Relationship Id="rId717" Type="http://schemas.openxmlformats.org/officeDocument/2006/relationships/hyperlink" Target="https://futureu.europa.eu/processes/Economy/f/10/proposals/234400" TargetMode="External"/><Relationship Id="rId718" Type="http://schemas.openxmlformats.org/officeDocument/2006/relationships/hyperlink" Target="https://futureu.europa.eu/processes/Economy/f/10/proposals/234400" TargetMode="External"/><Relationship Id="rId719" Type="http://schemas.openxmlformats.org/officeDocument/2006/relationships/hyperlink" Target="https://futureu.europa.eu/processes/Economy/f/10/proposals/176651" TargetMode="External"/><Relationship Id="rId720" Type="http://schemas.openxmlformats.org/officeDocument/2006/relationships/hyperlink" Target="https://futureu.europa.eu/processes/Economy/f/10/proposals/176651" TargetMode="External"/><Relationship Id="rId721" Type="http://schemas.openxmlformats.org/officeDocument/2006/relationships/hyperlink" Target="https://futureu.europa.eu/processes/Economy/f/10/proposals/171772" TargetMode="External"/><Relationship Id="rId722" Type="http://schemas.openxmlformats.org/officeDocument/2006/relationships/hyperlink" Target="https://futureu.europa.eu/processes/Economy/f/10/proposals/171772" TargetMode="External"/><Relationship Id="rId723" Type="http://schemas.openxmlformats.org/officeDocument/2006/relationships/hyperlink" Target="https://futureu.europa.eu/processes/Economy/f/10/proposals/149260" TargetMode="External"/><Relationship Id="rId724" Type="http://schemas.openxmlformats.org/officeDocument/2006/relationships/hyperlink" Target="https://futureu.europa.eu/processes/Economy/f/10/proposals/149260" TargetMode="External"/><Relationship Id="rId725" Type="http://schemas.openxmlformats.org/officeDocument/2006/relationships/hyperlink" Target="https://futureu.europa.eu/processes/Economy/f/10/proposals/149260" TargetMode="External"/><Relationship Id="rId726" Type="http://schemas.openxmlformats.org/officeDocument/2006/relationships/hyperlink" Target="https://futureu.europa.eu/processes/Economy/f/10/proposals/143684" TargetMode="External"/><Relationship Id="rId727" Type="http://schemas.openxmlformats.org/officeDocument/2006/relationships/hyperlink" Target="https://futureu.europa.eu/processes/Economy/f/10/proposals/13835" TargetMode="External"/><Relationship Id="rId728" Type="http://schemas.openxmlformats.org/officeDocument/2006/relationships/hyperlink" Target="https://futureu.europa.eu/processes/Economy/f/10/proposals/242091" TargetMode="External"/><Relationship Id="rId729" Type="http://schemas.openxmlformats.org/officeDocument/2006/relationships/hyperlink" Target="https://futureu.europa.eu/processes/Economy/f/10/proposals/242091" TargetMode="External"/><Relationship Id="rId730" Type="http://schemas.openxmlformats.org/officeDocument/2006/relationships/hyperlink" Target="https://futureu.europa.eu/processes/Economy/f/10/proposals/242091" TargetMode="External"/><Relationship Id="rId731" Type="http://schemas.openxmlformats.org/officeDocument/2006/relationships/hyperlink" Target="https://futureu.europa.eu/processes/Economy/f/10/proposals/105073" TargetMode="External"/><Relationship Id="rId732" Type="http://schemas.openxmlformats.org/officeDocument/2006/relationships/hyperlink" Target="https://futureu.europa.eu/processes/Economy/f/10/proposals/105073" TargetMode="External"/><Relationship Id="rId733" Type="http://schemas.openxmlformats.org/officeDocument/2006/relationships/hyperlink" Target="https://futureu.europa.eu/processes/Economy/f/13/meetings/52405" TargetMode="External"/><Relationship Id="rId734" Type="http://schemas.openxmlformats.org/officeDocument/2006/relationships/hyperlink" Target="https://futureu.europa.eu/processes/Economy/f/13/meetings/52405" TargetMode="External"/><Relationship Id="rId735" Type="http://schemas.openxmlformats.org/officeDocument/2006/relationships/hyperlink" Target="http://futureu.europa.eu/processes/Economy/f/10/proposals/1333" TargetMode="External"/><Relationship Id="rId736" Type="http://schemas.openxmlformats.org/officeDocument/2006/relationships/hyperlink" Target="https://futureu.europa.eu/processes/Economy/f/10/proposals/26634" TargetMode="External"/><Relationship Id="rId737" Type="http://schemas.openxmlformats.org/officeDocument/2006/relationships/hyperlink" Target="https://futureu.europa.eu/processes/Economy/f/10/proposals/26634" TargetMode="External"/><Relationship Id="rId738" Type="http://schemas.openxmlformats.org/officeDocument/2006/relationships/hyperlink" Target="https://futureu.europa.eu/processes/Economy/f/10/proposals/81942" TargetMode="External"/><Relationship Id="rId739" Type="http://schemas.openxmlformats.org/officeDocument/2006/relationships/hyperlink" Target="https://futureu.europa.eu/processes/Economy/f/10/proposals/81942" TargetMode="External"/><Relationship Id="rId740" Type="http://schemas.openxmlformats.org/officeDocument/2006/relationships/hyperlink" Target="https://futureu.europa.eu/processes/Economy/f/10/proposals/81942" TargetMode="External"/><Relationship Id="rId741" Type="http://schemas.openxmlformats.org/officeDocument/2006/relationships/hyperlink" Target="https://futureu.europa.eu/processes/Economy/f/10/proposals/243145" TargetMode="External"/><Relationship Id="rId742" Type="http://schemas.openxmlformats.org/officeDocument/2006/relationships/hyperlink" Target="https://futureu.europa.eu/processes/Economy/f/10/proposals/243145" TargetMode="External"/><Relationship Id="rId743" Type="http://schemas.openxmlformats.org/officeDocument/2006/relationships/hyperlink" Target="https://futureu.europa.eu/processes/Economy/f/10/proposals/145135" TargetMode="External"/><Relationship Id="rId744" Type="http://schemas.openxmlformats.org/officeDocument/2006/relationships/hyperlink" Target="https://futureu.europa.eu/processes/Economy/f/10/proposals/145135" TargetMode="External"/><Relationship Id="rId745" Type="http://schemas.openxmlformats.org/officeDocument/2006/relationships/hyperlink" Target="https://futureu.europa.eu/processes/Economy/f/13/meetings/107647" TargetMode="External"/><Relationship Id="rId746" Type="http://schemas.openxmlformats.org/officeDocument/2006/relationships/hyperlink" Target="https://futureu.europa.eu/processes/Economy/f/13/meetings/107647" TargetMode="External"/><Relationship Id="rId747" Type="http://schemas.openxmlformats.org/officeDocument/2006/relationships/hyperlink" Target="https://futureu.europa.eu/processes/Economy/f/10/proposals/145136" TargetMode="External"/><Relationship Id="rId748" Type="http://schemas.openxmlformats.org/officeDocument/2006/relationships/hyperlink" Target="https://futureu.europa.eu/processes/Economy/f/10/proposals/145136" TargetMode="External"/><Relationship Id="rId749" Type="http://schemas.openxmlformats.org/officeDocument/2006/relationships/hyperlink" Target="https://futureu.europa.eu/processes/Economy/f/10/proposals/100389" TargetMode="External"/><Relationship Id="rId750" Type="http://schemas.openxmlformats.org/officeDocument/2006/relationships/hyperlink" Target="https://futureu.europa.eu/processes/Economy/f/10/proposals/100389" TargetMode="External"/><Relationship Id="rId751" Type="http://schemas.openxmlformats.org/officeDocument/2006/relationships/hyperlink" Target="https://futureu.europa.eu/processes/Economy/f/13/meetings/46928" TargetMode="External"/><Relationship Id="rId752" Type="http://schemas.openxmlformats.org/officeDocument/2006/relationships/hyperlink" Target="https://futureu.europa.eu/processes/Economy/f/13/meetings/46928" TargetMode="External"/><Relationship Id="rId753" Type="http://schemas.openxmlformats.org/officeDocument/2006/relationships/hyperlink" Target="https://futureu.europa.eu/processes/Economy/f/10/proposals/253528" TargetMode="External"/><Relationship Id="rId754" Type="http://schemas.openxmlformats.org/officeDocument/2006/relationships/hyperlink" Target="https://futureu.europa.eu/processes/Economy/f/10/proposals/100390" TargetMode="External"/><Relationship Id="rId755" Type="http://schemas.openxmlformats.org/officeDocument/2006/relationships/hyperlink" Target="https://futureu.europa.eu/processes/Economy/f/10/proposals/100390" TargetMode="External"/><Relationship Id="rId756" Type="http://schemas.openxmlformats.org/officeDocument/2006/relationships/hyperlink" Target="https://futureu.europa.eu/processes/Economy/f/10/proposals/100390" TargetMode="External"/><Relationship Id="rId757" Type="http://schemas.openxmlformats.org/officeDocument/2006/relationships/hyperlink" Target="https://futureu.europa.eu/processes/Economy/f/10/proposals/176785" TargetMode="External"/><Relationship Id="rId758" Type="http://schemas.openxmlformats.org/officeDocument/2006/relationships/hyperlink" Target="https://futureu.europa.eu/processes/Economy/f/10/proposals/176785" TargetMode="External"/><Relationship Id="rId759" Type="http://schemas.openxmlformats.org/officeDocument/2006/relationships/hyperlink" Target="https://futureu.europa.eu/processes/Economy/f/10/proposals/176785" TargetMode="External"/><Relationship Id="rId760" Type="http://schemas.openxmlformats.org/officeDocument/2006/relationships/hyperlink" Target="https://futureu.europa.eu/processes/Economy/f/10/proposals/258359" TargetMode="External"/><Relationship Id="rId761" Type="http://schemas.openxmlformats.org/officeDocument/2006/relationships/hyperlink" Target="https://futureu.europa.eu/processes/Economy/f/10/proposals/258359" TargetMode="External"/><Relationship Id="rId762" Type="http://schemas.openxmlformats.org/officeDocument/2006/relationships/hyperlink" Target="https://futureu.europa.eu/processes/Economy/f/10/proposals/258359" TargetMode="External"/><Relationship Id="rId763" Type="http://schemas.openxmlformats.org/officeDocument/2006/relationships/hyperlink" Target="https://futureu.europa.eu/processes/Economy/f/10/proposals/187739" TargetMode="External"/><Relationship Id="rId764" Type="http://schemas.openxmlformats.org/officeDocument/2006/relationships/hyperlink" Target="https://futureu.europa.eu/processes/Economy/f/10/proposals/187739" TargetMode="External"/><Relationship Id="rId765" Type="http://schemas.openxmlformats.org/officeDocument/2006/relationships/hyperlink" Target="https://futureu.europa.eu/processes/Economy/f/10/proposals/187739" TargetMode="External"/><Relationship Id="rId766" Type="http://schemas.openxmlformats.org/officeDocument/2006/relationships/hyperlink" Target="https://futureu.europa.eu/processes/Economy/f/13/meetings/55672" TargetMode="External"/><Relationship Id="rId767" Type="http://schemas.openxmlformats.org/officeDocument/2006/relationships/hyperlink" Target="https://futureu.europa.eu/processes/Economy/f/10/proposals/100685" TargetMode="External"/><Relationship Id="rId768" Type="http://schemas.openxmlformats.org/officeDocument/2006/relationships/hyperlink" Target="https://futureu.europa.eu/processes/Health/f/3/proposals/28249?filter%5Bcategory_id%5D%5B%5D=15&amp;amp;order=most_followed&amp;amp;per_page=100" TargetMode="External"/><Relationship Id="rId769" Type="http://schemas.openxmlformats.org/officeDocument/2006/relationships/hyperlink" Target="https://futureu.europa.eu/processes/Health/f/3/proposals/28249?filter%5Bcategory_id%5D%5B%5D=15&amp;amp;order=most_followed&amp;amp;per_page=100" TargetMode="External"/><Relationship Id="rId770" Type="http://schemas.openxmlformats.org/officeDocument/2006/relationships/hyperlink" Target="https://futureu.europa.eu/processes/Economy/f/10/proposals/88091" TargetMode="External"/><Relationship Id="rId771" Type="http://schemas.openxmlformats.org/officeDocument/2006/relationships/hyperlink" Target="https://futureu.europa.eu/processes/Economy/f/10/proposals/88091" TargetMode="External"/><Relationship Id="rId772" Type="http://schemas.openxmlformats.org/officeDocument/2006/relationships/hyperlink" Target="https://futureu.europa.eu/processes/Economy/f/10/proposals/88091" TargetMode="External"/><Relationship Id="rId773" Type="http://schemas.openxmlformats.org/officeDocument/2006/relationships/hyperlink" Target="https://futureu.europa.eu/processes/ValuesRights/f/12/proposals/86593" TargetMode="External"/><Relationship Id="rId774" Type="http://schemas.openxmlformats.org/officeDocument/2006/relationships/hyperlink" Target="https://futureu.europa.eu/processes/ValuesRights/f/12/proposals/86593" TargetMode="External"/><Relationship Id="rId775" Type="http://schemas.openxmlformats.org/officeDocument/2006/relationships/hyperlink" Target="https://futureu.europa.eu/processes/ValuesRights/f/12/proposals/86593" TargetMode="External"/><Relationship Id="rId776" Type="http://schemas.openxmlformats.org/officeDocument/2006/relationships/hyperlink" Target="https://futureu.europa.eu/processes/Economy/f/10/proposals/249514" TargetMode="External"/><Relationship Id="rId777" Type="http://schemas.openxmlformats.org/officeDocument/2006/relationships/hyperlink" Target="https://futureu.europa.eu/processes/Economy/f/10/proposals/248605" TargetMode="External"/><Relationship Id="rId778" Type="http://schemas.openxmlformats.org/officeDocument/2006/relationships/hyperlink" Target="https://futureu.europa.eu/processes/Economy/f/10/proposals/230737" TargetMode="External"/><Relationship Id="rId779" Type="http://schemas.openxmlformats.org/officeDocument/2006/relationships/hyperlink" Target="https://futureu.europa.eu/processes/Economy/f/10/proposals/230737" TargetMode="External"/><Relationship Id="rId780" Type="http://schemas.openxmlformats.org/officeDocument/2006/relationships/hyperlink" Target="https://futureu.europa.eu/processes/Economy/f/10/proposals/158368" TargetMode="External"/><Relationship Id="rId781" Type="http://schemas.openxmlformats.org/officeDocument/2006/relationships/hyperlink" Target="https://futureu.europa.eu/processes/Economy/f/10/proposals/158368" TargetMode="External"/><Relationship Id="rId782" Type="http://schemas.openxmlformats.org/officeDocument/2006/relationships/hyperlink" Target="https://futureu.europa.eu/processes/Economy/f/10/proposals/248062" TargetMode="External"/><Relationship Id="rId783" Type="http://schemas.openxmlformats.org/officeDocument/2006/relationships/hyperlink" Target="https://futureu.europa.eu/processes/Economy/f/10/proposals/248062" TargetMode="External"/><Relationship Id="rId784" Type="http://schemas.openxmlformats.org/officeDocument/2006/relationships/hyperlink" Target="https://futureu.europa.eu/processes/Economy/f/10/proposals/9934?page=20&amp;amp;toggle_translations=true" TargetMode="External"/><Relationship Id="rId785" Type="http://schemas.openxmlformats.org/officeDocument/2006/relationships/hyperlink" Target="https://futureu.europa.eu/processes/Economy/f/10/proposals/8322" TargetMode="External"/><Relationship Id="rId786" Type="http://schemas.openxmlformats.org/officeDocument/2006/relationships/hyperlink" Target="https://futureu.europa.eu/processes/Economy/f/10/proposals/3604" TargetMode="External"/><Relationship Id="rId787" Type="http://schemas.openxmlformats.org/officeDocument/2006/relationships/hyperlink" Target="https://futureu.europa.eu/processes/Economy/f/10/proposals/87187" TargetMode="External"/><Relationship Id="rId788" Type="http://schemas.openxmlformats.org/officeDocument/2006/relationships/hyperlink" Target="https://futureu.europa.eu/processes/Economy/f/10/proposals/245258" TargetMode="External"/><Relationship Id="rId789" Type="http://schemas.openxmlformats.org/officeDocument/2006/relationships/hyperlink" Target="https://futureu.europa.eu/processes/Economy/f/10/proposals/245258" TargetMode="External"/><Relationship Id="rId790" Type="http://schemas.openxmlformats.org/officeDocument/2006/relationships/hyperlink" Target="https://futureu.europa.eu/processes/Economy/f/10/proposals/202557" TargetMode="External"/><Relationship Id="rId791" Type="http://schemas.openxmlformats.org/officeDocument/2006/relationships/hyperlink" Target="https://futureu.europa.eu/processes/Economy/f/13/meetings/110716" TargetMode="External"/><Relationship Id="rId792" Type="http://schemas.openxmlformats.org/officeDocument/2006/relationships/hyperlink" Target="https://futureu.europa.eu/processes/Economy/f/10/proposals/177013" TargetMode="External"/><Relationship Id="rId793" Type="http://schemas.openxmlformats.org/officeDocument/2006/relationships/hyperlink" Target="https://futureu.europa.eu/processes/Economy/f/10/proposals/173053" TargetMode="External"/><Relationship Id="rId794" Type="http://schemas.openxmlformats.org/officeDocument/2006/relationships/hyperlink" Target="https://futureu.europa.eu/processes/Economy/f/10/proposals/173053" TargetMode="External"/><Relationship Id="rId795" Type="http://schemas.openxmlformats.org/officeDocument/2006/relationships/hyperlink" Target="https://futureu.europa.eu/processes/Economy/f/13/meetings/81709" TargetMode="External"/><Relationship Id="rId796" Type="http://schemas.openxmlformats.org/officeDocument/2006/relationships/hyperlink" Target="https://futureu.europa.eu/processes/Economy/f/13/meetings/123520" TargetMode="External"/><Relationship Id="rId797" Type="http://schemas.openxmlformats.org/officeDocument/2006/relationships/hyperlink" Target="https://futureu.europa.eu/processes/Economy/f/13/meetings/81678" TargetMode="External"/><Relationship Id="rId798" Type="http://schemas.openxmlformats.org/officeDocument/2006/relationships/hyperlink" Target="https://futureu.europa.eu/processes/Economy/f/13/meetings/134971" TargetMode="External"/><Relationship Id="rId799" Type="http://schemas.openxmlformats.org/officeDocument/2006/relationships/hyperlink" Target="https://futureu.europa.eu/processes/Economy/f/13/meetings/134971" TargetMode="External"/><Relationship Id="rId800" Type="http://schemas.openxmlformats.org/officeDocument/2006/relationships/hyperlink" Target="https://futureu.europa.eu/processes/Economy/f/13/meetings/124280" TargetMode="External"/><Relationship Id="rId801" Type="http://schemas.openxmlformats.org/officeDocument/2006/relationships/hyperlink" Target="https://futureu.europa.eu/processes/Economy/f/13/meetings/124280" TargetMode="External"/><Relationship Id="rId802" Type="http://schemas.openxmlformats.org/officeDocument/2006/relationships/hyperlink" Target="https://futureu.europa.eu/processes/Economy/f/10/proposals/124279" TargetMode="External"/><Relationship Id="rId803" Type="http://schemas.openxmlformats.org/officeDocument/2006/relationships/hyperlink" Target="https://futureu.europa.eu/processes/Economy/f/13/meetings/64484" TargetMode="External"/><Relationship Id="rId804" Type="http://schemas.openxmlformats.org/officeDocument/2006/relationships/hyperlink" Target="https://futureu.europa.eu/processes/Economy/f/10/proposals/2386" TargetMode="External"/><Relationship Id="rId805" Type="http://schemas.openxmlformats.org/officeDocument/2006/relationships/hyperlink" Target="https://futureu.europa.eu/processes/OtherIdeas/f/8/proposals/70192" TargetMode="External"/><Relationship Id="rId806" Type="http://schemas.openxmlformats.org/officeDocument/2006/relationships/hyperlink" Target="https://futureu.europa.eu/processes/Economy/f/10/proposals/24256" TargetMode="External"/><Relationship Id="rId807" Type="http://schemas.openxmlformats.org/officeDocument/2006/relationships/hyperlink" Target="https://futureu.europa.eu/processes/Economy/f/10/proposals/132166" TargetMode="External"/><Relationship Id="rId808" Type="http://schemas.openxmlformats.org/officeDocument/2006/relationships/hyperlink" Target="https://futureu.europa.eu/processes/Economy/f/10/proposals/27227" TargetMode="External"/><Relationship Id="rId809" Type="http://schemas.openxmlformats.org/officeDocument/2006/relationships/hyperlink" Target="https://futureu.europa.eu/processes/Economy/f/10/proposals/211829" TargetMode="External"/><Relationship Id="rId810" Type="http://schemas.openxmlformats.org/officeDocument/2006/relationships/hyperlink" Target="https://futureu.europa.eu/processes/Economy/f/10/proposals/217570" TargetMode="External"/><Relationship Id="rId811" Type="http://schemas.openxmlformats.org/officeDocument/2006/relationships/hyperlink" Target="https://futureu.europa.eu/processes/Economy/f/10/proposals/172129" TargetMode="External"/><Relationship Id="rId812" Type="http://schemas.openxmlformats.org/officeDocument/2006/relationships/hyperlink" Target="https://futureu.europa.eu/processes/Economy/f/10/proposals/172129" TargetMode="External"/><Relationship Id="rId813" Type="http://schemas.openxmlformats.org/officeDocument/2006/relationships/hyperlink" Target="https://futureu.europa.eu/processes/Economy/f/10/proposals/1289" TargetMode="External"/><Relationship Id="rId814" Type="http://schemas.openxmlformats.org/officeDocument/2006/relationships/hyperlink" Target="http://futureu.europa.eu/processes/Economy/f/10/proposals/8008" TargetMode="External"/><Relationship Id="rId815" Type="http://schemas.openxmlformats.org/officeDocument/2006/relationships/hyperlink" Target="https://futureu.europa.eu/processes/Economy/f/10/proposals/485" TargetMode="External"/><Relationship Id="rId816" Type="http://schemas.openxmlformats.org/officeDocument/2006/relationships/hyperlink" Target="https://futureu.europa.eu/processes/Economy/f/10/proposals/485" TargetMode="External"/><Relationship Id="rId817" Type="http://schemas.openxmlformats.org/officeDocument/2006/relationships/hyperlink" Target="https://futureu.europa.eu/processes/Economy/f/10/proposals/195130" TargetMode="External"/><Relationship Id="rId818" Type="http://schemas.openxmlformats.org/officeDocument/2006/relationships/hyperlink" Target="https://futureu.europa.eu/processes/Economy/f/10/proposals/1499" TargetMode="External"/><Relationship Id="rId819" Type="http://schemas.openxmlformats.org/officeDocument/2006/relationships/hyperlink" Target="https://futureu.europa.eu/processes/Economy/f/10/proposals/224963" TargetMode="External"/><Relationship Id="rId820" Type="http://schemas.openxmlformats.org/officeDocument/2006/relationships/hyperlink" Target="https://futureu.europa.eu/processes/Economy/f/10/proposals/224963" TargetMode="External"/><Relationship Id="rId821" Type="http://schemas.openxmlformats.org/officeDocument/2006/relationships/hyperlink" Target="https://futureu.europa.eu/processes/Economy/f/10/proposals/248590" TargetMode="External"/><Relationship Id="rId822" Type="http://schemas.openxmlformats.org/officeDocument/2006/relationships/hyperlink" Target="https://futureu.europa.eu/processes/Economy/f/10/proposals/248590" TargetMode="External"/><Relationship Id="rId823" Type="http://schemas.openxmlformats.org/officeDocument/2006/relationships/hyperlink" Target="https://futureu.europa.eu/processes/Economy/f/10/proposals/5387" TargetMode="External"/><Relationship Id="rId824" Type="http://schemas.openxmlformats.org/officeDocument/2006/relationships/hyperlink" Target="https://futureu.europa.eu/processes/Economy/f/10/proposals/5387" TargetMode="External"/><Relationship Id="rId825" Type="http://schemas.openxmlformats.org/officeDocument/2006/relationships/hyperlink" Target="https://futureu.europa.eu/processes/Economy/f/10/proposals/143716" TargetMode="External"/><Relationship Id="rId826" Type="http://schemas.openxmlformats.org/officeDocument/2006/relationships/hyperlink" Target="https://futureu.europa.eu/processes/Economy/f/10/proposals/143716" TargetMode="External"/><Relationship Id="rId827" Type="http://schemas.openxmlformats.org/officeDocument/2006/relationships/hyperlink" Target="https://futureu.europa.eu/processes/Economy/f/10/proposals/131474" TargetMode="External"/><Relationship Id="rId828" Type="http://schemas.openxmlformats.org/officeDocument/2006/relationships/hyperlink" Target="https://futureu.europa.eu/processes/Economy/f/13/meetings/125765" TargetMode="External"/><Relationship Id="rId829" Type="http://schemas.openxmlformats.org/officeDocument/2006/relationships/hyperlink" Target="https://futureu.europa.eu/processes/Economy/f/10/proposals/1501" TargetMode="External"/><Relationship Id="rId830" Type="http://schemas.openxmlformats.org/officeDocument/2006/relationships/hyperlink" Target="https://futureu.europa.eu/processes/Economy/f/10/proposals/162365" TargetMode="External"/><Relationship Id="rId831" Type="http://schemas.openxmlformats.org/officeDocument/2006/relationships/hyperlink" Target="https://futureu.europa.eu/processes/Economy/f/10/proposals/162365" TargetMode="External"/><Relationship Id="rId832" Type="http://schemas.openxmlformats.org/officeDocument/2006/relationships/hyperlink" Target="https://futureu.europa.eu/processes/Economy/f/10/proposals/224831" TargetMode="External"/><Relationship Id="rId833" Type="http://schemas.openxmlformats.org/officeDocument/2006/relationships/hyperlink" Target="https://futureu.europa.eu/processes/Economy/f/10/proposals/224831" TargetMode="External"/><Relationship Id="rId834" Type="http://schemas.openxmlformats.org/officeDocument/2006/relationships/hyperlink" Target="https://futureu.europa.eu/processes/Economy/f/10/proposals/196153" TargetMode="External"/><Relationship Id="rId835" Type="http://schemas.openxmlformats.org/officeDocument/2006/relationships/hyperlink" Target="https://futureu.europa.eu/processes/Economy/f/10/proposals/196153" TargetMode="External"/><Relationship Id="rId836" Type="http://schemas.openxmlformats.org/officeDocument/2006/relationships/hyperlink" Target="https://futureu.europa.eu/processes/Economy/f/10/proposals/1556" TargetMode="External"/><Relationship Id="rId837" Type="http://schemas.openxmlformats.org/officeDocument/2006/relationships/hyperlink" Target="https://futureu.europa.eu/processes/Economy/f/10/proposals/112" TargetMode="External"/><Relationship Id="rId838" Type="http://schemas.openxmlformats.org/officeDocument/2006/relationships/hyperlink" Target="https://futureu.europa.eu/processes/Economy/f/10/proposals/57190" TargetMode="External"/><Relationship Id="rId839" Type="http://schemas.openxmlformats.org/officeDocument/2006/relationships/hyperlink" Target="https://futureu.europa.eu/processes/Economy/f/10/proposals/203017" TargetMode="External"/><Relationship Id="rId840" Type="http://schemas.openxmlformats.org/officeDocument/2006/relationships/hyperlink" Target="http://futureu.europa.eu/processes/Economy/f/10/proposals/287" TargetMode="External"/><Relationship Id="rId841" Type="http://schemas.openxmlformats.org/officeDocument/2006/relationships/hyperlink" Target="https://futureu.europa.eu/processes/Economy/f/10/proposals/2027" TargetMode="External"/><Relationship Id="rId842" Type="http://schemas.openxmlformats.org/officeDocument/2006/relationships/hyperlink" Target="https://futureu.europa.eu/processes/Economy/f/10/proposals/252884" TargetMode="External"/><Relationship Id="rId843" Type="http://schemas.openxmlformats.org/officeDocument/2006/relationships/hyperlink" Target="https://futureu.europa.eu/processes/Economy/f/10/proposals/252884" TargetMode="External"/><Relationship Id="rId844" Type="http://schemas.openxmlformats.org/officeDocument/2006/relationships/hyperlink" Target="https://futureu.europa.eu/processes/Economy/f/10/proposals/201829" TargetMode="External"/><Relationship Id="rId845" Type="http://schemas.openxmlformats.org/officeDocument/2006/relationships/hyperlink" Target="https://futureu.europa.eu/processes/Economy/f/10/proposals/201829" TargetMode="External"/><Relationship Id="rId846" Type="http://schemas.openxmlformats.org/officeDocument/2006/relationships/hyperlink" Target="https://futureu.europa.eu/processes/Economy/f/10/proposals/143490" TargetMode="External"/><Relationship Id="rId847" Type="http://schemas.openxmlformats.org/officeDocument/2006/relationships/hyperlink" Target="https://futureu.europa.eu/processes/Economy/f/10/proposals/160876" TargetMode="External"/><Relationship Id="rId848" Type="http://schemas.openxmlformats.org/officeDocument/2006/relationships/hyperlink" Target="https://futureu.europa.eu/processes/Economy/f/10/proposals/143552" TargetMode="External"/><Relationship Id="rId849" Type="http://schemas.openxmlformats.org/officeDocument/2006/relationships/hyperlink" Target="https://futureu.europa.eu/processes/Economy/f/10/proposals/143552" TargetMode="External"/><Relationship Id="rId850" Type="http://schemas.openxmlformats.org/officeDocument/2006/relationships/hyperlink" Target="https://futureu.europa.eu/processes/Economy/f/10/proposals/63757?page=4&amp;amp;per_page=100" TargetMode="External"/><Relationship Id="rId851" Type="http://schemas.openxmlformats.org/officeDocument/2006/relationships/hyperlink" Target="https://futureu.europa.eu/processes/Economy/f/10/proposals/33430" TargetMode="External"/><Relationship Id="rId852" Type="http://schemas.openxmlformats.org/officeDocument/2006/relationships/hyperlink" Target="https://futureu.europa.eu/processes/Economy/f/10/proposals/121111" TargetMode="External"/><Relationship Id="rId853" Type="http://schemas.openxmlformats.org/officeDocument/2006/relationships/hyperlink" Target="https://futureu.europa.eu/processes/Economy/f/10/proposals/121111" TargetMode="External"/><Relationship Id="rId854" Type="http://schemas.openxmlformats.org/officeDocument/2006/relationships/hyperlink" Target="https://futureu.europa.eu/processes/Economy/f/10/proposals/114346" TargetMode="External"/><Relationship Id="rId855" Type="http://schemas.openxmlformats.org/officeDocument/2006/relationships/hyperlink" Target="https://futureu.europa.eu/processes/Economy/f/10/proposals/114346" TargetMode="External"/><Relationship Id="rId856" Type="http://schemas.openxmlformats.org/officeDocument/2006/relationships/hyperlink" Target="https://futureu.europa.eu/processes/Economy/f/10/proposals/153486" TargetMode="External"/><Relationship Id="rId857" Type="http://schemas.openxmlformats.org/officeDocument/2006/relationships/hyperlink" Target="http://futureu.europa.eu/processes/Economy/f/10/proposals/2107" TargetMode="External"/><Relationship Id="rId858" Type="http://schemas.openxmlformats.org/officeDocument/2006/relationships/hyperlink" Target="https://futureu.europa.eu/processes/Economy/f/10/proposals/233179" TargetMode="External"/><Relationship Id="rId859" Type="http://schemas.openxmlformats.org/officeDocument/2006/relationships/hyperlink" Target="https://futureu.europa.eu/processes/Economy/f/10/proposals/260008?filter%5Bdecidim_scope_id%5D=&amp;amp;filter%5Bresource_type%5D=Decidim%3A%3AProposals%3A%3AProposal&amp;amp;filter%5Bterm%5D=demograph" TargetMode="External"/><Relationship Id="rId860" Type="http://schemas.openxmlformats.org/officeDocument/2006/relationships/hyperlink" Target="https://futureu.europa.eu/processes/OtherIdeas/f/8/proposals/136657?filter%5Bdecidim_scope_id%5D=&amp;amp;filter%5Bresource_type%5D=Decidim%3A%3AProposals%3A%3AProposal&amp;amp;filter%5Bterm%5D=demograph&amp;amp;page=3" TargetMode="External"/><Relationship Id="rId861" Type="http://schemas.openxmlformats.org/officeDocument/2006/relationships/hyperlink" Target="https://futureu.europa.eu/processes/OtherIdeas/f/8/proposals/136657?filter%5Bdecidim_scope_id%5D=&amp;amp;filter%5Bresource_type%5D=Decidim%3A%3AProposals%3A%3AProposal&amp;amp;filter%5Bterm%5D=demograph&amp;amp;page=3" TargetMode="External"/><Relationship Id="rId862" Type="http://schemas.openxmlformats.org/officeDocument/2006/relationships/hyperlink" Target="https://futureu.europa.eu/processes/Economy/f/10/proposals/2401" TargetMode="External"/><Relationship Id="rId863" Type="http://schemas.openxmlformats.org/officeDocument/2006/relationships/hyperlink" Target="https://futureu.europa.eu/processes/Economy/f/10/proposals/92005" TargetMode="External"/><Relationship Id="rId864" Type="http://schemas.openxmlformats.org/officeDocument/2006/relationships/hyperlink" Target="https://futureu.europa.eu/processes/Economy/f/10/proposals/92005" TargetMode="External"/><Relationship Id="rId865" Type="http://schemas.openxmlformats.org/officeDocument/2006/relationships/hyperlink" Target="https://futureu.europa.eu/processes/Economy/f/10/proposals/130" TargetMode="External"/><Relationship Id="rId866" Type="http://schemas.openxmlformats.org/officeDocument/2006/relationships/hyperlink" Target="https://futureu.europa.eu/processes/Economy/f/10/proposals/87682" TargetMode="External"/><Relationship Id="rId867" Type="http://schemas.openxmlformats.org/officeDocument/2006/relationships/hyperlink" Target="https://futureu.europa.eu/processes/Economy/f/10/proposals/1691" TargetMode="External"/><Relationship Id="rId868" Type="http://schemas.openxmlformats.org/officeDocument/2006/relationships/hyperlink" Target="https://futureu.europa.eu/processes/Economy/f/10/proposals/91" TargetMode="External"/><Relationship Id="rId869" Type="http://schemas.openxmlformats.org/officeDocument/2006/relationships/hyperlink" Target="https://futureu.europa.eu/processes/Economy/f/10/proposals/251337" TargetMode="External"/><Relationship Id="rId870" Type="http://schemas.openxmlformats.org/officeDocument/2006/relationships/hyperlink" Target="https://futureu.europa.eu/processes/Economy/f/10/proposals/173784" TargetMode="External"/><Relationship Id="rId871" Type="http://schemas.openxmlformats.org/officeDocument/2006/relationships/hyperlink" Target="https://futureu.europa.eu/processes/Economy/f/10/proposals/97318" TargetMode="External"/><Relationship Id="rId872" Type="http://schemas.openxmlformats.org/officeDocument/2006/relationships/hyperlink" Target="https://futureu.europa.eu/processes/Economy/f/13/meetings/64286" TargetMode="External"/><Relationship Id="rId873" Type="http://schemas.openxmlformats.org/officeDocument/2006/relationships/hyperlink" Target="https://futureu.europa.eu/processes/Economy/f/13/meetings/64286" TargetMode="External"/><Relationship Id="rId874" Type="http://schemas.openxmlformats.org/officeDocument/2006/relationships/hyperlink" Target="https://futureu.europa.eu/processes/Economy/f/10/proposals/188" TargetMode="External"/><Relationship Id="rId875" Type="http://schemas.openxmlformats.org/officeDocument/2006/relationships/hyperlink" Target="https://futureu.europa.eu/processes/Economy/f/10/proposals/121839" TargetMode="External"/><Relationship Id="rId876" Type="http://schemas.openxmlformats.org/officeDocument/2006/relationships/hyperlink" Target="https://futureu.europa.eu/processes/Economy/f/10/proposals/8318" TargetMode="External"/><Relationship Id="rId877" Type="http://schemas.openxmlformats.org/officeDocument/2006/relationships/hyperlink" Target="https://futureu.europa.eu/processes/Economy/f/10/proposals/8004" TargetMode="External"/><Relationship Id="rId878" Type="http://schemas.openxmlformats.org/officeDocument/2006/relationships/hyperlink" Target="https://futureu.europa.eu/processes/GreenDeal/f/1/proposals/73426" TargetMode="External"/><Relationship Id="rId879" Type="http://schemas.openxmlformats.org/officeDocument/2006/relationships/hyperlink" Target="https://futureu.europa.eu/processes/Economy/f/10/proposals/95371" TargetMode="External"/><Relationship Id="rId880" Type="http://schemas.openxmlformats.org/officeDocument/2006/relationships/hyperlink" Target="https://futureu.europa.eu/processes/Economy/f/13/meetings/27820" TargetMode="External"/><Relationship Id="rId881" Type="http://schemas.openxmlformats.org/officeDocument/2006/relationships/hyperlink" Target="https://futureu.europa.eu/processes/Economy/f/13/meetings/27820" TargetMode="External"/><Relationship Id="rId882" Type="http://schemas.openxmlformats.org/officeDocument/2006/relationships/hyperlink" Target="https://futureu.europa.eu/processes/Economy/f/10/proposals/86726" TargetMode="External"/><Relationship Id="rId883" Type="http://schemas.openxmlformats.org/officeDocument/2006/relationships/hyperlink" Target="https://futureu.europa.eu/processes/Economy/f/10/proposals/1172" TargetMode="External"/><Relationship Id="rId884" Type="http://schemas.openxmlformats.org/officeDocument/2006/relationships/hyperlink" Target="https://futureu.europa.eu/processes/Economy/f/10/proposals/1172" TargetMode="External"/><Relationship Id="rId885" Type="http://schemas.openxmlformats.org/officeDocument/2006/relationships/hyperlink" Target="https://futureu.europa.eu/processes/Economy/f/10/proposals/115967" TargetMode="External"/><Relationship Id="rId886" Type="http://schemas.openxmlformats.org/officeDocument/2006/relationships/hyperlink" Target="https://futureu.europa.eu/processes/Economy/f/13/meetings/125735" TargetMode="External"/><Relationship Id="rId887" Type="http://schemas.openxmlformats.org/officeDocument/2006/relationships/hyperlink" Target="https://futureu.europa.eu/processes/Economy/f/10/proposals/250373" TargetMode="External"/><Relationship Id="rId888" Type="http://schemas.openxmlformats.org/officeDocument/2006/relationships/hyperlink" Target="https://futureu.europa.eu/processes/Economy/f/10/proposals/250373" TargetMode="External"/><Relationship Id="rId889" Type="http://schemas.openxmlformats.org/officeDocument/2006/relationships/hyperlink" Target="https://futureu.europa.eu/processes/Economy/f/10/proposals/249977" TargetMode="External"/><Relationship Id="rId890" Type="http://schemas.openxmlformats.org/officeDocument/2006/relationships/hyperlink" Target="https://futureu.europa.eu/processes/Economy/f/10/proposals/249977" TargetMode="External"/><Relationship Id="rId891" Type="http://schemas.openxmlformats.org/officeDocument/2006/relationships/hyperlink" Target="https://futureu.europa.eu/processes/Economy/f/10/proposals/160975" TargetMode="External"/><Relationship Id="rId892" Type="http://schemas.openxmlformats.org/officeDocument/2006/relationships/hyperlink" Target="https://futureu.europa.eu/processes/Economy/f/10/proposals/235522" TargetMode="External"/><Relationship Id="rId893" Type="http://schemas.openxmlformats.org/officeDocument/2006/relationships/hyperlink" Target="https://futureu.europa.eu/processes/Economy/f/10/proposals/117382" TargetMode="External"/><Relationship Id="rId894" Type="http://schemas.openxmlformats.org/officeDocument/2006/relationships/hyperlink" Target="https://futureu.europa.eu/processes/Economy/f/10/proposals/116229" TargetMode="External"/><Relationship Id="rId895" Type="http://schemas.openxmlformats.org/officeDocument/2006/relationships/hyperlink" Target="https://futureu.europa.eu/processes/Economy/f/10/proposals/157609" TargetMode="External"/><Relationship Id="rId896" Type="http://schemas.openxmlformats.org/officeDocument/2006/relationships/hyperlink" Target="https://futureu.europa.eu/processes/Economy/f/10/proposals/165067" TargetMode="External"/><Relationship Id="rId897" Type="http://schemas.openxmlformats.org/officeDocument/2006/relationships/hyperlink" Target="https://futureu.europa.eu/processes/Economy/f/10/proposals/165067" TargetMode="External"/><Relationship Id="rId898" Type="http://schemas.openxmlformats.org/officeDocument/2006/relationships/hyperlink" Target="https://futureu.europa.eu/processes/Economy/f/10/proposals/173020" TargetMode="External"/><Relationship Id="rId899" Type="http://schemas.openxmlformats.org/officeDocument/2006/relationships/hyperlink" Target="https://futureu.europa.eu/processes/Economy/f/10/proposals/173020" TargetMode="External"/><Relationship Id="rId900" Type="http://schemas.openxmlformats.org/officeDocument/2006/relationships/hyperlink" Target="https://futureu.europa.eu/processes/Economy/f/10/proposals/95371" TargetMode="External"/><Relationship Id="rId901" Type="http://schemas.openxmlformats.org/officeDocument/2006/relationships/hyperlink" Target="https://futureu.europa.eu/processes/Economy/f/13/meetings/27820" TargetMode="External"/><Relationship Id="rId902" Type="http://schemas.openxmlformats.org/officeDocument/2006/relationships/hyperlink" Target="https://futureu.europa.eu/processes/Economy/f/13/meetings/27820" TargetMode="External"/><Relationship Id="rId903" Type="http://schemas.openxmlformats.org/officeDocument/2006/relationships/hyperlink" Target="https://futureu.europa.eu/processes/Economy/f/10/proposals/215854" TargetMode="External"/><Relationship Id="rId904" Type="http://schemas.openxmlformats.org/officeDocument/2006/relationships/hyperlink" Target="https://futureu.europa.eu/processes/Economy/f/10/proposals/215854" TargetMode="External"/><Relationship Id="rId905" Type="http://schemas.openxmlformats.org/officeDocument/2006/relationships/hyperlink" Target="https://futureu.europa.eu/processes/Economy/f/10/proposals/261036" TargetMode="External"/><Relationship Id="rId906" Type="http://schemas.openxmlformats.org/officeDocument/2006/relationships/hyperlink" Target="https://futureu.europa.eu/processes/Economy/f/10/proposals/32473" TargetMode="External"/><Relationship Id="rId907" Type="http://schemas.openxmlformats.org/officeDocument/2006/relationships/hyperlink" Target="https://futureu.europa.eu/processes/Economy/f/10/proposals/32473" TargetMode="External"/><Relationship Id="rId908" Type="http://schemas.openxmlformats.org/officeDocument/2006/relationships/hyperlink" Target="https://futureu.europa.eu/processes/Economy/f/13/meetings/12642" TargetMode="External"/><Relationship Id="rId909" Type="http://schemas.openxmlformats.org/officeDocument/2006/relationships/hyperlink" Target="https://futureu.europa.eu/processes/Economy/f/10/proposals/202060" TargetMode="External"/><Relationship Id="rId910" Type="http://schemas.openxmlformats.org/officeDocument/2006/relationships/hyperlink" Target="https://futureu.europa.eu/processes/Economy/f/10/proposals/169457" TargetMode="External"/><Relationship Id="rId911" Type="http://schemas.openxmlformats.org/officeDocument/2006/relationships/hyperlink" Target="https://futureu.europa.eu/processes/Economy/f/10/proposals/147379" TargetMode="External"/><Relationship Id="rId912" Type="http://schemas.openxmlformats.org/officeDocument/2006/relationships/hyperlink" Target="https://futureu.europa.eu/processes/Economy/f/10/proposals/179852" TargetMode="External"/><Relationship Id="rId913" Type="http://schemas.openxmlformats.org/officeDocument/2006/relationships/hyperlink" Target="https://futureu.europa.eu/processes/Economy/f/10/proposals/69565" TargetMode="External"/><Relationship Id="rId914" Type="http://schemas.openxmlformats.org/officeDocument/2006/relationships/hyperlink" Target="https://futureu.europa.eu/processes/Economy/f/10/proposals/259018" TargetMode="External"/><Relationship Id="rId915" Type="http://schemas.openxmlformats.org/officeDocument/2006/relationships/hyperlink" Target="https://futureu.europa.eu/processes/Economy/f/10/proposals/259018" TargetMode="External"/><Relationship Id="rId916" Type="http://schemas.openxmlformats.org/officeDocument/2006/relationships/hyperlink" Target="https://futureu.europa.eu/processes/Economy/f/10/proposals/100388" TargetMode="External"/><Relationship Id="rId917" Type="http://schemas.openxmlformats.org/officeDocument/2006/relationships/hyperlink" Target="https://futureu.europa.eu/processes/Economy/f/10/proposals/143388" TargetMode="External"/><Relationship Id="rId918" Type="http://schemas.openxmlformats.org/officeDocument/2006/relationships/hyperlink" Target="https://futureu.europa.eu/processes/Economy/f/10/proposals/194411" TargetMode="External"/><Relationship Id="rId919" Type="http://schemas.openxmlformats.org/officeDocument/2006/relationships/hyperlink" Target="https://futureu.europa.eu/processes/Economy/f/10/proposals/194411" TargetMode="External"/><Relationship Id="rId920" Type="http://schemas.openxmlformats.org/officeDocument/2006/relationships/hyperlink" Target="https://futureu.europa.eu/processes/Economy/f/10/proposals/62670" TargetMode="External"/><Relationship Id="rId921" Type="http://schemas.openxmlformats.org/officeDocument/2006/relationships/hyperlink" Target="https://futureu.europa.eu/processes/Economy/f/10/proposals/62670" TargetMode="External"/><Relationship Id="rId922" Type="http://schemas.openxmlformats.org/officeDocument/2006/relationships/hyperlink" Target="https://futureu.europa.eu/processes/Economy/f/10/proposals/95503" TargetMode="External"/><Relationship Id="rId923" Type="http://schemas.openxmlformats.org/officeDocument/2006/relationships/hyperlink" Target="https://futureu.europa.eu/processes/Economy/f/10/proposals/126754" TargetMode="External"/><Relationship Id="rId924" Type="http://schemas.openxmlformats.org/officeDocument/2006/relationships/hyperlink" Target="https://futureu.europa.eu/processes/Economy/f/10/proposals/126754" TargetMode="External"/><Relationship Id="rId925" Type="http://schemas.openxmlformats.org/officeDocument/2006/relationships/hyperlink" Target="https://futureu.europa.eu/processes/Economy/f/10/proposals/82501" TargetMode="External"/><Relationship Id="rId926" Type="http://schemas.openxmlformats.org/officeDocument/2006/relationships/hyperlink" Target="https://futureu.europa.eu/processes/Economy/f/10/proposals/82501" TargetMode="External"/><Relationship Id="rId927" Type="http://schemas.openxmlformats.org/officeDocument/2006/relationships/hyperlink" Target="https://futureu.europa.eu/processes/Economy/f/10/proposals/93457" TargetMode="External"/><Relationship Id="rId928" Type="http://schemas.openxmlformats.org/officeDocument/2006/relationships/hyperlink" Target="https://futureu.europa.eu/processes/Economy/f/13/meetings/102433" TargetMode="External"/><Relationship Id="rId929" Type="http://schemas.openxmlformats.org/officeDocument/2006/relationships/hyperlink" Target="https://futureu.europa.eu/processes/Economy/f/10/proposals/257863" TargetMode="External"/><Relationship Id="rId930" Type="http://schemas.openxmlformats.org/officeDocument/2006/relationships/hyperlink" Target="https://futureu.europa.eu/processes/Economy/f/10/proposals/257863" TargetMode="External"/><Relationship Id="rId931" Type="http://schemas.openxmlformats.org/officeDocument/2006/relationships/hyperlink" Target="https://futureu.europa.eu/processes/Economy/f/10/proposals/84976" TargetMode="External"/><Relationship Id="rId932" Type="http://schemas.openxmlformats.org/officeDocument/2006/relationships/hyperlink" Target="https://futureu.europa.eu/processes/Economy/f/10/proposals/82008" TargetMode="External"/><Relationship Id="rId933" Type="http://schemas.openxmlformats.org/officeDocument/2006/relationships/hyperlink" Target="https://futureu.europa.eu/processes/Economy/f/10/proposals/69103" TargetMode="External"/><Relationship Id="rId934" Type="http://schemas.openxmlformats.org/officeDocument/2006/relationships/hyperlink" Target="http://futureu.europa.eu/processes/Economy/f/10/proposals/351" TargetMode="External"/><Relationship Id="rId935" Type="http://schemas.openxmlformats.org/officeDocument/2006/relationships/hyperlink" Target="https://futureu.europa.eu/processes/Economy/f/10/proposals/740" TargetMode="External"/><Relationship Id="rId936" Type="http://schemas.openxmlformats.org/officeDocument/2006/relationships/hyperlink" Target="https://futureu.europa.eu/processes/Health/f/3/proposals/1715" TargetMode="External"/><Relationship Id="rId937" Type="http://schemas.openxmlformats.org/officeDocument/2006/relationships/hyperlink" Target="https://futureu.europa.eu/processes/Economy/f/10/proposals/183020" TargetMode="External"/><Relationship Id="rId938" Type="http://schemas.openxmlformats.org/officeDocument/2006/relationships/hyperlink" Target="https://futureu.europa.eu/processes/Economy/f/10/proposals/157313" TargetMode="External"/><Relationship Id="rId939" Type="http://schemas.openxmlformats.org/officeDocument/2006/relationships/hyperlink" Target="https://futureu.europa.eu/processes/Economy/f/10/proposals/251132" TargetMode="External"/><Relationship Id="rId940" Type="http://schemas.openxmlformats.org/officeDocument/2006/relationships/hyperlink" Target="https://futureu.europa.eu/processes/Economy/f/10/proposals/230737" TargetMode="External"/><Relationship Id="rId941" Type="http://schemas.openxmlformats.org/officeDocument/2006/relationships/hyperlink" Target="https://futureu.europa.eu/processes/Economy/f/10/proposals/230737" TargetMode="External"/><Relationship Id="rId942" Type="http://schemas.openxmlformats.org/officeDocument/2006/relationships/hyperlink" Target="https://futureu.europa.eu/processes/Economy/f/10/proposals/13836" TargetMode="External"/><Relationship Id="rId943" Type="http://schemas.openxmlformats.org/officeDocument/2006/relationships/hyperlink" Target="https://futureu.europa.eu/processes/Economy/f/10/proposals/13836" TargetMode="External"/><Relationship Id="rId944" Type="http://schemas.openxmlformats.org/officeDocument/2006/relationships/hyperlink" Target="https://futureu.europa.eu/processes/Economy/f/13/meetings/63955" TargetMode="External"/><Relationship Id="rId945" Type="http://schemas.openxmlformats.org/officeDocument/2006/relationships/hyperlink" Target="https://futureu.europa.eu/processes/Economy/f/13/meetings/63955" TargetMode="External"/><Relationship Id="rId946" Type="http://schemas.openxmlformats.org/officeDocument/2006/relationships/hyperlink" Target="https://futureu.europa.eu/processes/Economy/f/13/meetings/61645" TargetMode="External"/><Relationship Id="rId947" Type="http://schemas.openxmlformats.org/officeDocument/2006/relationships/hyperlink" Target="https://futureu.europa.eu/processes/Economy/f/13/meetings/54847" TargetMode="External"/><Relationship Id="rId948" Type="http://schemas.openxmlformats.org/officeDocument/2006/relationships/hyperlink" Target="https://futureu.europa.eu/processes/Economy/f/13/meetings/54847" TargetMode="External"/><Relationship Id="rId949" Type="http://schemas.openxmlformats.org/officeDocument/2006/relationships/hyperlink" Target="https://futureu.europa.eu/processes/Economy/f/10/proposals/100454" TargetMode="External"/><Relationship Id="rId950" Type="http://schemas.openxmlformats.org/officeDocument/2006/relationships/hyperlink" Target="https://futureu.europa.eu/processes/Economy/f/13/meetings/46960" TargetMode="External"/><Relationship Id="rId951" Type="http://schemas.openxmlformats.org/officeDocument/2006/relationships/hyperlink" Target="https://futureu.europa.eu/processes/Economy/f/10/proposals/251309" TargetMode="External"/><Relationship Id="rId952" Type="http://schemas.openxmlformats.org/officeDocument/2006/relationships/hyperlink" Target="https://futureu.europa.eu/processes/Economy/f/10/proposals/242091" TargetMode="External"/><Relationship Id="rId953" Type="http://schemas.openxmlformats.org/officeDocument/2006/relationships/hyperlink" Target="https://futureu.europa.eu/processes/Economy/f/10/proposals/242091" TargetMode="External"/><Relationship Id="rId954" Type="http://schemas.openxmlformats.org/officeDocument/2006/relationships/hyperlink" Target="https://futureu.europa.eu/processes/Economy/f/10/proposals/176422" TargetMode="External"/><Relationship Id="rId955" Type="http://schemas.openxmlformats.org/officeDocument/2006/relationships/hyperlink" Target="https://futureu.europa.eu/processes/Economy/f/13/meetings/80521" TargetMode="External"/><Relationship Id="rId956" Type="http://schemas.openxmlformats.org/officeDocument/2006/relationships/hyperlink" Target="https://futureu.europa.eu/processes/Economy/f/10/proposals/152494" TargetMode="External"/><Relationship Id="rId957" Type="http://schemas.openxmlformats.org/officeDocument/2006/relationships/hyperlink" Target="https://futureu.europa.eu/processes/Economy/f/10/proposals/152494" TargetMode="External"/><Relationship Id="rId958" Type="http://schemas.openxmlformats.org/officeDocument/2006/relationships/hyperlink" Target="https://futureu.europa.eu/processes/Economy/f/10/proposals/10671" TargetMode="External"/><Relationship Id="rId959" Type="http://schemas.openxmlformats.org/officeDocument/2006/relationships/hyperlink" Target="https://futureu.europa.eu/processes/Economy/f/10/proposals/664" TargetMode="External"/><Relationship Id="rId960" Type="http://schemas.openxmlformats.org/officeDocument/2006/relationships/hyperlink" Target="https://futureu.europa.eu/processes/Economy/f/10/proposals/125005" TargetMode="External"/><Relationship Id="rId961" Type="http://schemas.openxmlformats.org/officeDocument/2006/relationships/hyperlink" Target="https://futureu.europa.eu/processes/Economy/f/10/proposals/125005" TargetMode="External"/><Relationship Id="rId962" Type="http://schemas.openxmlformats.org/officeDocument/2006/relationships/hyperlink" Target="https://futureu.europa.eu/processes/Economy/f/10/proposals/230704" TargetMode="External"/><Relationship Id="rId963" Type="http://schemas.openxmlformats.org/officeDocument/2006/relationships/hyperlink" Target="https://futureu.europa.eu/processes/Economy/f/10/proposals/230704" TargetMode="External"/><Relationship Id="rId964" Type="http://schemas.openxmlformats.org/officeDocument/2006/relationships/hyperlink" Target="https://futureu.europa.eu/processes/Economy/f/10/proposals/85273" TargetMode="External"/><Relationship Id="rId965" Type="http://schemas.openxmlformats.org/officeDocument/2006/relationships/hyperlink" Target="https://futureu.europa.eu/processes/Economy/f/10/proposals/100750" TargetMode="External"/><Relationship Id="rId966" Type="http://schemas.openxmlformats.org/officeDocument/2006/relationships/hyperlink" Target="https://futureu.europa.eu/processes/Economy/f/10/proposals/251173" TargetMode="External"/><Relationship Id="rId967" Type="http://schemas.openxmlformats.org/officeDocument/2006/relationships/hyperlink" Target="https://futureu.europa.eu/processes/Economy/f/10/proposals/251171" TargetMode="External"/><Relationship Id="rId968" Type="http://schemas.openxmlformats.org/officeDocument/2006/relationships/hyperlink" Target="https://futureu.europa.eu/processes/Economy/f/10/proposals/302776" TargetMode="External"/><Relationship Id="rId969" Type="http://schemas.openxmlformats.org/officeDocument/2006/relationships/hyperlink" Target="https://futureu.europa.eu/processes/Economy/f/10/proposals/302615" TargetMode="External"/><Relationship Id="rId970" Type="http://schemas.openxmlformats.org/officeDocument/2006/relationships/hyperlink" Target="https://futureu.europa.eu/processes/Economy/f/10/proposals/303997" TargetMode="External"/><Relationship Id="rId971" Type="http://schemas.openxmlformats.org/officeDocument/2006/relationships/hyperlink" Target="https://futureu.europa.eu/processes/Economy/f/10/proposals/303469" TargetMode="External"/><Relationship Id="rId972" Type="http://schemas.openxmlformats.org/officeDocument/2006/relationships/hyperlink" Target="https://futureu.europa.eu/processes/Economy/f/10/proposals/305153" TargetMode="External"/><Relationship Id="rId973" Type="http://schemas.openxmlformats.org/officeDocument/2006/relationships/hyperlink" Target="https://futureu.europa.eu/processes/Economy/f/10/proposals/305153" TargetMode="External"/><Relationship Id="rId974" Type="http://schemas.openxmlformats.org/officeDocument/2006/relationships/hyperlink" Target="https://futureu.europa.eu/processes/EUInTheWorld/f/16/proposals/161239" TargetMode="External"/><Relationship Id="rId975" Type="http://schemas.openxmlformats.org/officeDocument/2006/relationships/hyperlink" Target="https://futureu.europa.eu/processes/EUInTheWorld/f/16/proposals/58115" TargetMode="External"/><Relationship Id="rId976" Type="http://schemas.openxmlformats.org/officeDocument/2006/relationships/hyperlink" Target="https://futureu.europa.eu/processes/Economy/f/10/proposals/294394" TargetMode="External"/><Relationship Id="rId977" Type="http://schemas.openxmlformats.org/officeDocument/2006/relationships/hyperlink" Target="https://futureu.europa.eu/processes/Economy/f/10/proposals/300637" TargetMode="External"/><Relationship Id="rId978" Type="http://schemas.openxmlformats.org/officeDocument/2006/relationships/hyperlink" Target="https://futureu.europa.eu/processes/Economy/f/10/proposals/300635" TargetMode="External"/><Relationship Id="rId979" Type="http://schemas.openxmlformats.org/officeDocument/2006/relationships/hyperlink" Target="https://futureu.europa.eu/processes/OtherIdeas/f/8/proposals/285352" TargetMode="External"/><Relationship Id="rId980" Type="http://schemas.openxmlformats.org/officeDocument/2006/relationships/hyperlink" Target="https://futureu.europa.eu/processes/Economy/f/10/proposals/261793" TargetMode="External"/><Relationship Id="rId981" Type="http://schemas.openxmlformats.org/officeDocument/2006/relationships/hyperlink" Target="https://futureu.europa.eu/processes/Economy/f/10/proposals/306275" TargetMode="External"/><Relationship Id="rId982" Type="http://schemas.openxmlformats.org/officeDocument/2006/relationships/hyperlink" Target="https://futureu.europa.eu/processes/Economy/f/10/proposals/303769" TargetMode="External"/><Relationship Id="rId983" Type="http://schemas.openxmlformats.org/officeDocument/2006/relationships/hyperlink" Target="https://futureu.europa.eu/processes/Economy/f/10/proposals/292317" TargetMode="External"/><Relationship Id="rId984" Type="http://schemas.openxmlformats.org/officeDocument/2006/relationships/hyperlink" Target="https://futureu.europa.eu/processes/Economy/f/10/proposals/284824" TargetMode="External"/><Relationship Id="rId985" Type="http://schemas.openxmlformats.org/officeDocument/2006/relationships/header" Target="header7.xml"/><Relationship Id="rId986" Type="http://schemas.openxmlformats.org/officeDocument/2006/relationships/footer" Target="footer6.xml"/><Relationship Id="rId987" Type="http://schemas.openxmlformats.org/officeDocument/2006/relationships/image" Target="media/image37.png"/><Relationship Id="rId988" Type="http://schemas.openxmlformats.org/officeDocument/2006/relationships/image" Target="media/image37.png"/><Relationship Id="rId989" Type="http://schemas.openxmlformats.org/officeDocument/2006/relationships/header" Target="header8.xml"/><Relationship Id="rId990" Type="http://schemas.openxmlformats.org/officeDocument/2006/relationships/footer" Target="footer7.xml"/><Relationship Id="rId991" Type="http://schemas.openxmlformats.org/officeDocument/2006/relationships/image" Target="media/image38.png"/><Relationship Id="rId992" Type="http://schemas.openxmlformats.org/officeDocument/2006/relationships/hyperlink" Target="https://futureu.europa.eu/processes/EUInTheWorld/f/17/meetings/144409" TargetMode="External"/><Relationship Id="rId993" Type="http://schemas.openxmlformats.org/officeDocument/2006/relationships/hyperlink" Target="https://futureu.europa.eu/processes/EUInTheWorld/f/17/meetings/144409" TargetMode="External"/><Relationship Id="rId994" Type="http://schemas.openxmlformats.org/officeDocument/2006/relationships/hyperlink" Target="https://futureu.europa.eu/processes/EUInTheWorld/f/17/meetings/148732" TargetMode="External"/><Relationship Id="rId995" Type="http://schemas.openxmlformats.org/officeDocument/2006/relationships/hyperlink" Target="https://futureu.europa.eu/processes/EUInTheWorld/f/17/meetings/154771" TargetMode="External"/><Relationship Id="rId996" Type="http://schemas.openxmlformats.org/officeDocument/2006/relationships/hyperlink" Target="https://futureu.europa.eu/processes/EUInTheWorld/f/17/meetings/154771" TargetMode="External"/><Relationship Id="rId997" Type="http://schemas.openxmlformats.org/officeDocument/2006/relationships/hyperlink" Target="https://futureu.europa.eu/processes/EUInTheWorld/f/17/meetings/147941" TargetMode="External"/><Relationship Id="rId998" Type="http://schemas.openxmlformats.org/officeDocument/2006/relationships/hyperlink" Target="https://futureu.europa.eu/processes/EUInTheWorld/f/17/meetings/147941" TargetMode="External"/><Relationship Id="rId999" Type="http://schemas.openxmlformats.org/officeDocument/2006/relationships/hyperlink" Target="https://futureu.europa.eu/processes/EUInTheWorld/f/16/proposals/1354" TargetMode="External"/><Relationship Id="rId1000" Type="http://schemas.openxmlformats.org/officeDocument/2006/relationships/hyperlink" Target="https://futureu.europa.eu/processes/EUInTheWorld/f/16/proposals/1354" TargetMode="External"/><Relationship Id="rId1001" Type="http://schemas.openxmlformats.org/officeDocument/2006/relationships/hyperlink" Target="https://futureu.europa.eu/processes/EUInTheWorld/f/16/proposals/13844" TargetMode="External"/><Relationship Id="rId1002" Type="http://schemas.openxmlformats.org/officeDocument/2006/relationships/hyperlink" Target="https://futureu.europa.eu/processes/EUInTheWorld/f/16/proposals/13844" TargetMode="External"/><Relationship Id="rId1003" Type="http://schemas.openxmlformats.org/officeDocument/2006/relationships/hyperlink" Target="https://futureu.europa.eu/processes/EUInTheWorld/f/16/proposals/80294" TargetMode="External"/><Relationship Id="rId1004" Type="http://schemas.openxmlformats.org/officeDocument/2006/relationships/hyperlink" Target="https://futureu.europa.eu/processes/EUInTheWorld/f/17/meetings/8053" TargetMode="External"/><Relationship Id="rId1005" Type="http://schemas.openxmlformats.org/officeDocument/2006/relationships/hyperlink" Target="https://futureu.europa.eu/processes/EUInTheWorld/f/17/meetings/8053" TargetMode="External"/><Relationship Id="rId1006" Type="http://schemas.openxmlformats.org/officeDocument/2006/relationships/hyperlink" Target="https://futureu.europa.eu/processes/EUInTheWorld/f/16/proposals/220309" TargetMode="External"/><Relationship Id="rId1007" Type="http://schemas.openxmlformats.org/officeDocument/2006/relationships/hyperlink" Target="https://futureu.europa.eu/processes/EUInTheWorld/f/16/proposals/220309" TargetMode="External"/><Relationship Id="rId1008" Type="http://schemas.openxmlformats.org/officeDocument/2006/relationships/hyperlink" Target="https://futureu.europa.eu/processes/EUInTheWorld/f/16/proposals/233080" TargetMode="External"/><Relationship Id="rId1009" Type="http://schemas.openxmlformats.org/officeDocument/2006/relationships/hyperlink" Target="https://futureu.europa.eu/processes/EUInTheWorld/f/16/proposals/223312" TargetMode="External"/><Relationship Id="rId1010" Type="http://schemas.openxmlformats.org/officeDocument/2006/relationships/hyperlink" Target="https://futureu.europa.eu/processes/EUInTheWorld/f/17/meetings/488" TargetMode="External"/><Relationship Id="rId1011" Type="http://schemas.openxmlformats.org/officeDocument/2006/relationships/hyperlink" Target="https://futureu.europa.eu/processes/EUInTheWorld/f/16/proposals/49" TargetMode="External"/><Relationship Id="rId1012" Type="http://schemas.openxmlformats.org/officeDocument/2006/relationships/hyperlink" Target="https://futureu.europa.eu/processes/EUInTheWorld/f/16/proposals/9010" TargetMode="External"/><Relationship Id="rId1013" Type="http://schemas.openxmlformats.org/officeDocument/2006/relationships/hyperlink" Target="https://futureu.europa.eu/processes/EUInTheWorld/f/16/proposals/9010" TargetMode="External"/><Relationship Id="rId1014" Type="http://schemas.openxmlformats.org/officeDocument/2006/relationships/hyperlink" Target="https://futureu.europa.eu/processes/EUInTheWorld/f/16/proposals/36301" TargetMode="External"/><Relationship Id="rId1015" Type="http://schemas.openxmlformats.org/officeDocument/2006/relationships/hyperlink" Target="https://futureu.europa.eu/processes/EUInTheWorld/f/16/proposals/36301" TargetMode="External"/><Relationship Id="rId1016" Type="http://schemas.openxmlformats.org/officeDocument/2006/relationships/hyperlink" Target="https://futureu.europa.eu/processes/EUInTheWorld/f/16/proposals/192" TargetMode="External"/><Relationship Id="rId1017" Type="http://schemas.openxmlformats.org/officeDocument/2006/relationships/hyperlink" Target="https://futureu.europa.eu/processes/EUInTheWorld/f/16/proposals/192" TargetMode="External"/><Relationship Id="rId1018" Type="http://schemas.openxmlformats.org/officeDocument/2006/relationships/hyperlink" Target="https://futureu.europa.eu/processes/EUInTheWorld/f/16/proposals/222455" TargetMode="External"/><Relationship Id="rId1019" Type="http://schemas.openxmlformats.org/officeDocument/2006/relationships/hyperlink" Target="https://futureu.europa.eu/processes/EUInTheWorld/f/16/proposals/215693" TargetMode="External"/><Relationship Id="rId1020" Type="http://schemas.openxmlformats.org/officeDocument/2006/relationships/hyperlink" Target="https://futureu.europa.eu/processes/EUInTheWorld/f/16/proposals/218432" TargetMode="External"/><Relationship Id="rId1021" Type="http://schemas.openxmlformats.org/officeDocument/2006/relationships/hyperlink" Target="https://futureu.europa.eu/processes/EUInTheWorld/f/16/proposals/218432" TargetMode="External"/><Relationship Id="rId1022" Type="http://schemas.openxmlformats.org/officeDocument/2006/relationships/hyperlink" Target="https://futureu.europa.eu/processes/EUInTheWorld/f/16/proposals/136655" TargetMode="External"/><Relationship Id="rId1023" Type="http://schemas.openxmlformats.org/officeDocument/2006/relationships/hyperlink" Target="https://futureu.europa.eu/processes/EUInTheWorld/f/16/proposals/63823" TargetMode="External"/><Relationship Id="rId1024" Type="http://schemas.openxmlformats.org/officeDocument/2006/relationships/hyperlink" Target="https://futureu.europa.eu/processes/EUInTheWorld/f/16/proposals/63823" TargetMode="External"/><Relationship Id="rId1025" Type="http://schemas.openxmlformats.org/officeDocument/2006/relationships/hyperlink" Target="https://futureu.europa.eu/processes/EUInTheWorld/f/16/proposals/20726" TargetMode="External"/><Relationship Id="rId1026" Type="http://schemas.openxmlformats.org/officeDocument/2006/relationships/hyperlink" Target="https://futureu.europa.eu/processes/EUInTheWorld/f/16/proposals/20726" TargetMode="External"/><Relationship Id="rId1027" Type="http://schemas.openxmlformats.org/officeDocument/2006/relationships/hyperlink" Target="https://futureu.europa.eu/processes/EUInTheWorld/f/16/proposals/36301" TargetMode="External"/><Relationship Id="rId1028" Type="http://schemas.openxmlformats.org/officeDocument/2006/relationships/hyperlink" Target="https://futureu.europa.eu/processes/EUInTheWorld/f/16/proposals/36301" TargetMode="External"/><Relationship Id="rId1029" Type="http://schemas.openxmlformats.org/officeDocument/2006/relationships/hyperlink" Target="https://futureu.europa.eu/processes/EUInTheWorld/f/16/proposals/21684" TargetMode="External"/><Relationship Id="rId1030" Type="http://schemas.openxmlformats.org/officeDocument/2006/relationships/hyperlink" Target="https://futureu.europa.eu/processes/EUInTheWorld/f/16/proposals/21684" TargetMode="External"/><Relationship Id="rId1031" Type="http://schemas.openxmlformats.org/officeDocument/2006/relationships/hyperlink" Target="https://futureu.europa.eu/processes/EUInTheWorld/f/17/meetings/22145" TargetMode="External"/><Relationship Id="rId1032" Type="http://schemas.openxmlformats.org/officeDocument/2006/relationships/hyperlink" Target="https://futureu.europa.eu/processes/ValuesRights/f/12/proposals/67453" TargetMode="External"/><Relationship Id="rId1033" Type="http://schemas.openxmlformats.org/officeDocument/2006/relationships/hyperlink" Target="https://futureu.europa.eu/processes/EUInTheWorld/f/16/proposals/11043" TargetMode="External"/><Relationship Id="rId1034" Type="http://schemas.openxmlformats.org/officeDocument/2006/relationships/hyperlink" Target="https://futureu.europa.eu/processes/EUInTheWorld/f/16/proposals/142" TargetMode="External"/><Relationship Id="rId1035" Type="http://schemas.openxmlformats.org/officeDocument/2006/relationships/hyperlink" Target="https://futureu.europa.eu/processes/EUInTheWorld/f/16/proposals/1175" TargetMode="External"/><Relationship Id="rId1036" Type="http://schemas.openxmlformats.org/officeDocument/2006/relationships/hyperlink" Target="https://futureu.europa.eu/processes/EUInTheWorld/f/16/proposals/181501" TargetMode="External"/><Relationship Id="rId1037" Type="http://schemas.openxmlformats.org/officeDocument/2006/relationships/hyperlink" Target="https://futureu.europa.eu/processes/EUInTheWorld/f/16/proposals/245191" TargetMode="External"/><Relationship Id="rId1038" Type="http://schemas.openxmlformats.org/officeDocument/2006/relationships/hyperlink" Target="https://futureu.europa.eu/processes/EUInTheWorld/f/16/proposals/245191" TargetMode="External"/><Relationship Id="rId1039" Type="http://schemas.openxmlformats.org/officeDocument/2006/relationships/hyperlink" Target="https://futureu.europa.eu/processes/EUInTheWorld/f/16/proposals/200476" TargetMode="External"/><Relationship Id="rId1040" Type="http://schemas.openxmlformats.org/officeDocument/2006/relationships/hyperlink" Target="https://futureu.europa.eu/processes/EUInTheWorld/f/16/proposals/150019" TargetMode="External"/><Relationship Id="rId1041" Type="http://schemas.openxmlformats.org/officeDocument/2006/relationships/hyperlink" Target="https://futureu.europa.eu/processes/EUInTheWorld/f/16/proposals/1951" TargetMode="External"/><Relationship Id="rId1042" Type="http://schemas.openxmlformats.org/officeDocument/2006/relationships/hyperlink" Target="https://futureu.europa.eu/processes/EUInTheWorld/f/16/proposals/110386" TargetMode="External"/><Relationship Id="rId1043" Type="http://schemas.openxmlformats.org/officeDocument/2006/relationships/hyperlink" Target="https://futureu.europa.eu/processes/EUInTheWorld/f/16/proposals/78905" TargetMode="External"/><Relationship Id="rId1044" Type="http://schemas.openxmlformats.org/officeDocument/2006/relationships/hyperlink" Target="https://futureu.europa.eu/processes/EUInTheWorld/f/16/proposals/78905" TargetMode="External"/><Relationship Id="rId1045" Type="http://schemas.openxmlformats.org/officeDocument/2006/relationships/hyperlink" Target="https://futureu.europa.eu/processes/EUInTheWorld/f/16/proposals/192" TargetMode="External"/><Relationship Id="rId1046" Type="http://schemas.openxmlformats.org/officeDocument/2006/relationships/hyperlink" Target="https://futureu.europa.eu/processes/EUInTheWorld/f/16/proposals/192" TargetMode="External"/><Relationship Id="rId1047" Type="http://schemas.openxmlformats.org/officeDocument/2006/relationships/hyperlink" Target="https://futureu.europa.eu/processes/OtherIdeas/f/7/meetings/24586" TargetMode="External"/><Relationship Id="rId1048" Type="http://schemas.openxmlformats.org/officeDocument/2006/relationships/hyperlink" Target="https://futureu.europa.eu/processes/OtherIdeas/f/7/meetings/24586" TargetMode="External"/><Relationship Id="rId1049" Type="http://schemas.openxmlformats.org/officeDocument/2006/relationships/hyperlink" Target="https://futureu.europa.eu/processes/EUInTheWorld/f/16/proposals/356" TargetMode="External"/><Relationship Id="rId1050" Type="http://schemas.openxmlformats.org/officeDocument/2006/relationships/hyperlink" Target="https://futureu.europa.eu/processes/EUInTheWorld/f/17/meetings/4390" TargetMode="External"/><Relationship Id="rId1051" Type="http://schemas.openxmlformats.org/officeDocument/2006/relationships/hyperlink" Target="https://futureu.europa.eu/processes/EUInTheWorld/f/16/proposals/159" TargetMode="External"/><Relationship Id="rId1052" Type="http://schemas.openxmlformats.org/officeDocument/2006/relationships/hyperlink" Target="https://futureu.europa.eu/processes/EUInTheWorld/f/16/proposals/42109" TargetMode="External"/><Relationship Id="rId1053" Type="http://schemas.openxmlformats.org/officeDocument/2006/relationships/hyperlink" Target="https://futureu.europa.eu/processes/EUInTheWorld/f/16/proposals/42109" TargetMode="External"/><Relationship Id="rId1054" Type="http://schemas.openxmlformats.org/officeDocument/2006/relationships/hyperlink" Target="https://futureu.europa.eu/processes/EUInTheWorld/f/16/proposals/1730" TargetMode="External"/><Relationship Id="rId1055" Type="http://schemas.openxmlformats.org/officeDocument/2006/relationships/hyperlink" Target="https://futureu.europa.eu/processes/EUInTheWorld/f/16/proposals/1730" TargetMode="External"/><Relationship Id="rId1056" Type="http://schemas.openxmlformats.org/officeDocument/2006/relationships/hyperlink" Target="https://futureu.europa.eu/processes/EUInTheWorld/f/16/proposals/30065" TargetMode="External"/><Relationship Id="rId1057" Type="http://schemas.openxmlformats.org/officeDocument/2006/relationships/hyperlink" Target="https://futureu.europa.eu/processes/EUInTheWorld/f/16/proposals/169727" TargetMode="External"/><Relationship Id="rId1058" Type="http://schemas.openxmlformats.org/officeDocument/2006/relationships/hyperlink" Target="https://futureu.europa.eu/processes/EUInTheWorld/f/16/proposals/851" TargetMode="External"/><Relationship Id="rId1059" Type="http://schemas.openxmlformats.org/officeDocument/2006/relationships/hyperlink" Target="https://futureu.europa.eu/processes/EUInTheWorld/f/16/proposals/122200" TargetMode="External"/><Relationship Id="rId1060" Type="http://schemas.openxmlformats.org/officeDocument/2006/relationships/hyperlink" Target="https://futureu.europa.eu/processes/EUInTheWorld/f/16/proposals/5281" TargetMode="External"/><Relationship Id="rId1061" Type="http://schemas.openxmlformats.org/officeDocument/2006/relationships/hyperlink" Target="https://futureu.europa.eu/processes/EUInTheWorld/f/16/proposals/68839" TargetMode="External"/><Relationship Id="rId1062" Type="http://schemas.openxmlformats.org/officeDocument/2006/relationships/hyperlink" Target="https://futureu.europa.eu/processes/EUInTheWorld/f/16/proposals/68839" TargetMode="External"/><Relationship Id="rId1063" Type="http://schemas.openxmlformats.org/officeDocument/2006/relationships/hyperlink" Target="https://futureu.europa.eu/processes/EUInTheWorld/f/17/meetings/112927" TargetMode="External"/><Relationship Id="rId1064" Type="http://schemas.openxmlformats.org/officeDocument/2006/relationships/hyperlink" Target="https://futureu.europa.eu/processes/EUInTheWorld/f/16/proposals/253575" TargetMode="External"/><Relationship Id="rId1065" Type="http://schemas.openxmlformats.org/officeDocument/2006/relationships/hyperlink" Target="https://futureu.europa.eu/processes/EUInTheWorld/f/17/meetings/70" TargetMode="External"/><Relationship Id="rId1066" Type="http://schemas.openxmlformats.org/officeDocument/2006/relationships/hyperlink" Target="https://futureu.europa.eu/processes/EUInTheWorld/f/16/proposals/197836" TargetMode="External"/><Relationship Id="rId1067" Type="http://schemas.openxmlformats.org/officeDocument/2006/relationships/hyperlink" Target="https://futureu.europa.eu/processes/EUInTheWorld/f/16/proposals/197836" TargetMode="External"/><Relationship Id="rId1068" Type="http://schemas.openxmlformats.org/officeDocument/2006/relationships/hyperlink" Target="https://futureu.europa.eu/processes/EUInTheWorld/f/16/proposals/750" TargetMode="External"/><Relationship Id="rId1069" Type="http://schemas.openxmlformats.org/officeDocument/2006/relationships/hyperlink" Target="https://futureu.europa.eu/processes/EUInTheWorld/f/16/proposals/750" TargetMode="External"/><Relationship Id="rId1070" Type="http://schemas.openxmlformats.org/officeDocument/2006/relationships/hyperlink" Target="https://futureu.europa.eu/processes/OtherIdeas/f/7/meetings/35674" TargetMode="External"/><Relationship Id="rId1071" Type="http://schemas.openxmlformats.org/officeDocument/2006/relationships/hyperlink" Target="https://futureu.europa.eu/processes/EUInTheWorld/f/16/proposals/175661" TargetMode="External"/><Relationship Id="rId1072" Type="http://schemas.openxmlformats.org/officeDocument/2006/relationships/hyperlink" Target="https://futureu.europa.eu/processes/EUInTheWorld/f/16/proposals/15182?locale=en&amp;amp;order=recent&amp;amp;per_page=100" TargetMode="External"/><Relationship Id="rId1073" Type="http://schemas.openxmlformats.org/officeDocument/2006/relationships/hyperlink" Target="https://futureu.europa.eu/processes/EUInTheWorld/f/16/proposals/15182?locale=en&amp;amp;order=recent&amp;amp;per_page=100" TargetMode="External"/><Relationship Id="rId1074" Type="http://schemas.openxmlformats.org/officeDocument/2006/relationships/hyperlink" Target="https://futureu.europa.eu/processes/EUInTheWorld/f/17/meetings/397" TargetMode="External"/><Relationship Id="rId1075" Type="http://schemas.openxmlformats.org/officeDocument/2006/relationships/hyperlink" Target="https://futureu.europa.eu/processes/EUInTheWorld/f/17/meetings/397" TargetMode="External"/><Relationship Id="rId1076" Type="http://schemas.openxmlformats.org/officeDocument/2006/relationships/hyperlink" Target="https://futureu.europa.eu/processes/EUInTheWorld/f/16/proposals/61979" TargetMode="External"/><Relationship Id="rId1077" Type="http://schemas.openxmlformats.org/officeDocument/2006/relationships/hyperlink" Target="https://futureu.europa.eu/processes/EUInTheWorld/f/16/proposals/61979" TargetMode="External"/><Relationship Id="rId1078" Type="http://schemas.openxmlformats.org/officeDocument/2006/relationships/hyperlink" Target="https://futureu.europa.eu/processes/EUInTheWorld/f/16/proposals/184735" TargetMode="External"/><Relationship Id="rId1079" Type="http://schemas.openxmlformats.org/officeDocument/2006/relationships/hyperlink" Target="https://futureu.europa.eu/processes/EUInTheWorld/f/16/proposals/1194" TargetMode="External"/><Relationship Id="rId1080" Type="http://schemas.openxmlformats.org/officeDocument/2006/relationships/hyperlink" Target="https://futureu.europa.eu/processes/EUInTheWorld/f/16/proposals/1194" TargetMode="External"/><Relationship Id="rId1081" Type="http://schemas.openxmlformats.org/officeDocument/2006/relationships/hyperlink" Target="https://futureu.europa.eu/processes/EUInTheWorld/f/16/proposals/93" TargetMode="External"/><Relationship Id="rId1082" Type="http://schemas.openxmlformats.org/officeDocument/2006/relationships/hyperlink" Target="https://futureu.europa.eu/processes/EUInTheWorld/f/17/meetings/37461" TargetMode="External"/><Relationship Id="rId1083" Type="http://schemas.openxmlformats.org/officeDocument/2006/relationships/hyperlink" Target="https://futureu.europa.eu/processes/EUInTheWorld/f/17/meetings/87286" TargetMode="External"/><Relationship Id="rId1084" Type="http://schemas.openxmlformats.org/officeDocument/2006/relationships/hyperlink" Target="https://futureu.europa.eu/processes/EUInTheWorld/f/17/meetings/85934" TargetMode="External"/><Relationship Id="rId1085" Type="http://schemas.openxmlformats.org/officeDocument/2006/relationships/hyperlink" Target="https://futureu.europa.eu/processes/EUInTheWorld/f/16/proposals/34486" TargetMode="External"/><Relationship Id="rId1086" Type="http://schemas.openxmlformats.org/officeDocument/2006/relationships/hyperlink" Target="https://futureu.europa.eu/processes/EUInTheWorld/f/16/proposals/31681" TargetMode="External"/><Relationship Id="rId1087" Type="http://schemas.openxmlformats.org/officeDocument/2006/relationships/hyperlink" Target="https://futureu.europa.eu/processes/EUInTheWorld/f/16/proposals/34554" TargetMode="External"/><Relationship Id="rId1088" Type="http://schemas.openxmlformats.org/officeDocument/2006/relationships/hyperlink" Target="https://futureu.europa.eu/processes/EUInTheWorld/f/16/proposals/199322" TargetMode="External"/><Relationship Id="rId1089" Type="http://schemas.openxmlformats.org/officeDocument/2006/relationships/hyperlink" Target="https://futureu.europa.eu/processes/EUInTheWorld/f/16/proposals/199322" TargetMode="External"/><Relationship Id="rId1090" Type="http://schemas.openxmlformats.org/officeDocument/2006/relationships/hyperlink" Target="https://futureu.europa.eu/processes/EUInTheWorld/f/16/proposals/1432" TargetMode="External"/><Relationship Id="rId1091" Type="http://schemas.openxmlformats.org/officeDocument/2006/relationships/hyperlink" Target="https://futureu.europa.eu/processes/EUInTheWorld/f/16/proposals/11223" TargetMode="External"/><Relationship Id="rId1092" Type="http://schemas.openxmlformats.org/officeDocument/2006/relationships/hyperlink" Target="https://futureu.europa.eu/processes/EUInTheWorld/f/16/proposals/11223" TargetMode="External"/><Relationship Id="rId1093" Type="http://schemas.openxmlformats.org/officeDocument/2006/relationships/hyperlink" Target="https://futureu.europa.eu/processes/EUInTheWorld/f/16/proposals/257434" TargetMode="External"/><Relationship Id="rId1094" Type="http://schemas.openxmlformats.org/officeDocument/2006/relationships/hyperlink" Target="https://futureu.europa.eu/processes/EUInTheWorld/f/16/proposals/2503" TargetMode="External"/><Relationship Id="rId1095" Type="http://schemas.openxmlformats.org/officeDocument/2006/relationships/hyperlink" Target="https://futureu.europa.eu/processes/EUInTheWorld/f/16/proposals/13844" TargetMode="External"/><Relationship Id="rId1096" Type="http://schemas.openxmlformats.org/officeDocument/2006/relationships/hyperlink" Target="https://futureu.europa.eu/processes/EUInTheWorld/f/17/meetings/395" TargetMode="External"/><Relationship Id="rId1097" Type="http://schemas.openxmlformats.org/officeDocument/2006/relationships/hyperlink" Target="https://futureu.europa.eu/processes/EUInTheWorld/f/17/meetings/395" TargetMode="External"/><Relationship Id="rId1098" Type="http://schemas.openxmlformats.org/officeDocument/2006/relationships/hyperlink" Target="https://futureu.europa.eu/processes/EUInTheWorld/f/16/proposals/130847" TargetMode="External"/><Relationship Id="rId1099" Type="http://schemas.openxmlformats.org/officeDocument/2006/relationships/hyperlink" Target="https://futureu.europa.eu/processes/EUInTheWorld/f/16/proposals/197870" TargetMode="External"/><Relationship Id="rId1100" Type="http://schemas.openxmlformats.org/officeDocument/2006/relationships/hyperlink" Target="https://futureu.europa.eu/processes/EUInTheWorld/f/16/proposals/205427" TargetMode="External"/><Relationship Id="rId1101" Type="http://schemas.openxmlformats.org/officeDocument/2006/relationships/hyperlink" Target="https://futureu.europa.eu/processes/EUInTheWorld/f/16/proposals/205427" TargetMode="External"/><Relationship Id="rId1102" Type="http://schemas.openxmlformats.org/officeDocument/2006/relationships/hyperlink" Target="https://futureu.europa.eu/processes/EUInTheWorld/f/16/proposals/311224" TargetMode="External"/><Relationship Id="rId1103" Type="http://schemas.openxmlformats.org/officeDocument/2006/relationships/hyperlink" Target="https://futureu.europa.eu/processes/EUInTheWorld/f/16/proposals/277036" TargetMode="External"/><Relationship Id="rId1104" Type="http://schemas.openxmlformats.org/officeDocument/2006/relationships/hyperlink" Target="https://futureu.europa.eu/processes/EUInTheWorld/f/16/proposals/306044" TargetMode="External"/><Relationship Id="rId1105" Type="http://schemas.openxmlformats.org/officeDocument/2006/relationships/hyperlink" Target="https://futureu.europa.eu/processes/EUInTheWorld/f/16/proposals/306044" TargetMode="External"/><Relationship Id="rId1106" Type="http://schemas.openxmlformats.org/officeDocument/2006/relationships/hyperlink" Target="https://futureu.europa.eu/processes/EUInTheWorld/f/16/proposals/310864" TargetMode="External"/><Relationship Id="rId1107" Type="http://schemas.openxmlformats.org/officeDocument/2006/relationships/hyperlink" Target="https://futureu.europa.eu/processes/EUInTheWorld/f/16/proposals/294064" TargetMode="External"/><Relationship Id="rId1108" Type="http://schemas.openxmlformats.org/officeDocument/2006/relationships/hyperlink" Target="https://futureu.europa.eu/processes/EUInTheWorld/f/16/proposals/277069" TargetMode="External"/><Relationship Id="rId1109" Type="http://schemas.openxmlformats.org/officeDocument/2006/relationships/hyperlink" Target="https://futureu.europa.eu/processes/EUInTheWorld/f/16/proposals/277069" TargetMode="External"/><Relationship Id="rId1110" Type="http://schemas.openxmlformats.org/officeDocument/2006/relationships/hyperlink" Target="https://futureu.europa.eu/processes/EUInTheWorld/f/16/proposals/303931" TargetMode="External"/><Relationship Id="rId1111" Type="http://schemas.openxmlformats.org/officeDocument/2006/relationships/hyperlink" Target="https://futureu.europa.eu/processes/EUInTheWorld/f/16/proposals/302842" TargetMode="External"/><Relationship Id="rId1112" Type="http://schemas.openxmlformats.org/officeDocument/2006/relationships/header" Target="header9.xml"/><Relationship Id="rId1113" Type="http://schemas.openxmlformats.org/officeDocument/2006/relationships/footer" Target="footer8.xml"/><Relationship Id="rId1114" Type="http://schemas.openxmlformats.org/officeDocument/2006/relationships/image" Target="media/image39.png"/><Relationship Id="rId1115" Type="http://schemas.openxmlformats.org/officeDocument/2006/relationships/image" Target="media/image39.png"/><Relationship Id="rId1116" Type="http://schemas.openxmlformats.org/officeDocument/2006/relationships/header" Target="header10.xml"/><Relationship Id="rId1117" Type="http://schemas.openxmlformats.org/officeDocument/2006/relationships/footer" Target="footer9.xml"/><Relationship Id="rId1118" Type="http://schemas.openxmlformats.org/officeDocument/2006/relationships/image" Target="media/image40.png"/><Relationship Id="rId1119" Type="http://schemas.openxmlformats.org/officeDocument/2006/relationships/hyperlink" Target="https://futureu.europa.eu/processes/ValuesRights/f/11/meetings/159888" TargetMode="External"/><Relationship Id="rId1120" Type="http://schemas.openxmlformats.org/officeDocument/2006/relationships/hyperlink" Target="https://futureu.europa.eu/processes/ValuesRights/f/11/meetings/156355" TargetMode="External"/><Relationship Id="rId1121" Type="http://schemas.openxmlformats.org/officeDocument/2006/relationships/hyperlink" Target="https://futureu.europa.eu/processes/ValuesRights/f/11/meetings/162691" TargetMode="External"/><Relationship Id="rId1122" Type="http://schemas.openxmlformats.org/officeDocument/2006/relationships/hyperlink" Target="https://futureu.europa.eu/processes/ValuesRights/f/11/meetings/159919" TargetMode="External"/><Relationship Id="rId1123" Type="http://schemas.openxmlformats.org/officeDocument/2006/relationships/hyperlink" Target="https://futureu.europa.eu/processes/ValuesRights/f/11/meetings/159919" TargetMode="External"/><Relationship Id="rId1124" Type="http://schemas.openxmlformats.org/officeDocument/2006/relationships/hyperlink" Target="https://futureu.europa.eu/processes/ValuesRights/f/11/meetings/147775" TargetMode="External"/><Relationship Id="rId1125" Type="http://schemas.openxmlformats.org/officeDocument/2006/relationships/hyperlink" Target="https://futureu.europa.eu/processes/ValuesRights/f/11/meetings/156487" TargetMode="External"/><Relationship Id="rId1126" Type="http://schemas.openxmlformats.org/officeDocument/2006/relationships/hyperlink" Target="https://futureu.europa.eu/processes/ValuesRights/f/11/meetings/143914" TargetMode="External"/><Relationship Id="rId1127" Type="http://schemas.openxmlformats.org/officeDocument/2006/relationships/hyperlink" Target="https://futureu.europa.eu/processes/ValuesRights/f/11/meetings/143914" TargetMode="External"/><Relationship Id="rId1128" Type="http://schemas.openxmlformats.org/officeDocument/2006/relationships/hyperlink" Target="https://futureu.europa.eu/processes/ValuesRights/f/11/meetings/148897" TargetMode="External"/><Relationship Id="rId1129" Type="http://schemas.openxmlformats.org/officeDocument/2006/relationships/hyperlink" Target="https://futureu.europa.eu/processes/ValuesRights/f/11/meetings/145993" TargetMode="External"/><Relationship Id="rId1130" Type="http://schemas.openxmlformats.org/officeDocument/2006/relationships/hyperlink" Target="https://futureu.europa.eu/processes/ValuesRights/f/11/meetings/145993" TargetMode="External"/><Relationship Id="rId1131" Type="http://schemas.openxmlformats.org/officeDocument/2006/relationships/hyperlink" Target="https://futureu.europa.eu/processes/ValuesRights/f/12/proposals/258165" TargetMode="External"/><Relationship Id="rId1132" Type="http://schemas.openxmlformats.org/officeDocument/2006/relationships/hyperlink" Target="https://futureu.europa.eu/processes/ValuesRights/f/12/proposals/13839" TargetMode="External"/><Relationship Id="rId1133" Type="http://schemas.openxmlformats.org/officeDocument/2006/relationships/hyperlink" Target="https://futureu.europa.eu/processes/ValuesRights/f/12/proposals/5364" TargetMode="External"/><Relationship Id="rId1134" Type="http://schemas.openxmlformats.org/officeDocument/2006/relationships/hyperlink" Target="https://futureu.europa.eu/processes/ValuesRights/f/12/proposals/5364" TargetMode="External"/><Relationship Id="rId1135" Type="http://schemas.openxmlformats.org/officeDocument/2006/relationships/hyperlink" Target="https://futureu.europa.eu/processes/ValuesRights/f/12/proposals/232586" TargetMode="External"/><Relationship Id="rId1136" Type="http://schemas.openxmlformats.org/officeDocument/2006/relationships/hyperlink" Target="https://futureu.europa.eu/processes/ValuesRights/f/12/proposals/232586" TargetMode="External"/><Relationship Id="rId1137" Type="http://schemas.openxmlformats.org/officeDocument/2006/relationships/hyperlink" Target="https://futureu.europa.eu/processes/ValuesRights/f/12/proposals/254433" TargetMode="External"/><Relationship Id="rId1138" Type="http://schemas.openxmlformats.org/officeDocument/2006/relationships/hyperlink" Target="https://futureu.europa.eu/processes/ValuesRights/f/12/proposals/99958" TargetMode="External"/><Relationship Id="rId1139" Type="http://schemas.openxmlformats.org/officeDocument/2006/relationships/hyperlink" Target="https://futureu.europa.eu/processes/ValuesRights/f/12/proposals/1470" TargetMode="External"/><Relationship Id="rId1140" Type="http://schemas.openxmlformats.org/officeDocument/2006/relationships/hyperlink" Target="https://futureu.europa.eu/processes/ValuesRights/f/12/proposals/2038" TargetMode="External"/><Relationship Id="rId1141" Type="http://schemas.openxmlformats.org/officeDocument/2006/relationships/hyperlink" Target="http://futureu.europa.eu/processes/ValuesRights/f/12/proposals/6733" TargetMode="External"/><Relationship Id="rId1142" Type="http://schemas.openxmlformats.org/officeDocument/2006/relationships/hyperlink" Target="https://futureu.europa.eu/processes/ValuesRights/f/12/proposals/178729" TargetMode="External"/><Relationship Id="rId1143" Type="http://schemas.openxmlformats.org/officeDocument/2006/relationships/hyperlink" Target="https://futureu.europa.eu/processes/ValuesRights/f/12/proposals/205464" TargetMode="External"/><Relationship Id="rId1144" Type="http://schemas.openxmlformats.org/officeDocument/2006/relationships/hyperlink" Target="https://futureu.europa.eu/processes/ValuesRights/f/12/proposals/205464" TargetMode="External"/><Relationship Id="rId1145" Type="http://schemas.openxmlformats.org/officeDocument/2006/relationships/hyperlink" Target="https://futureu.europa.eu/processes/ValuesRights/f/12/proposals/154375" TargetMode="External"/><Relationship Id="rId1146" Type="http://schemas.openxmlformats.org/officeDocument/2006/relationships/hyperlink" Target="https://futureu.europa.eu/processes/ValuesRights/f/12/proposals/154375" TargetMode="External"/><Relationship Id="rId1147" Type="http://schemas.openxmlformats.org/officeDocument/2006/relationships/hyperlink" Target="https://futureu.europa.eu/processes/ValuesRights/f/11/meetings/39436" TargetMode="External"/><Relationship Id="rId1148" Type="http://schemas.openxmlformats.org/officeDocument/2006/relationships/hyperlink" Target="https://futureu.europa.eu/processes/ValuesRights/f/11/meetings/50164" TargetMode="External"/><Relationship Id="rId1149" Type="http://schemas.openxmlformats.org/officeDocument/2006/relationships/hyperlink" Target="https://futureu.europa.eu/processes/ValuesRights/f/12/proposals/68675" TargetMode="External"/><Relationship Id="rId1150" Type="http://schemas.openxmlformats.org/officeDocument/2006/relationships/hyperlink" Target="https://futureu.europa.eu/processes/ValuesRights/f/11/meetings/12674" TargetMode="External"/><Relationship Id="rId1151" Type="http://schemas.openxmlformats.org/officeDocument/2006/relationships/hyperlink" Target="https://futureu.europa.eu/processes/ValuesRights/f/11/meetings/21385" TargetMode="External"/><Relationship Id="rId1152" Type="http://schemas.openxmlformats.org/officeDocument/2006/relationships/hyperlink" Target="https://futureu.europa.eu/processes/ValuesRights/f/11/meetings/21385" TargetMode="External"/><Relationship Id="rId1153" Type="http://schemas.openxmlformats.org/officeDocument/2006/relationships/hyperlink" Target="https://futureu.europa.eu/processes/ValuesRights/f/12/proposals/218759" TargetMode="External"/><Relationship Id="rId1154" Type="http://schemas.openxmlformats.org/officeDocument/2006/relationships/hyperlink" Target="https://futureu.europa.eu/processes/ValuesRights/f/11/meetings/24784" TargetMode="External"/><Relationship Id="rId1155" Type="http://schemas.openxmlformats.org/officeDocument/2006/relationships/hyperlink" Target="https://futureu.europa.eu/processes/ValuesRights/f/11/meetings/24784" TargetMode="External"/><Relationship Id="rId1156" Type="http://schemas.openxmlformats.org/officeDocument/2006/relationships/hyperlink" Target="https://futureu.europa.eu/processes/ValuesRights/f/12/proposals/10733" TargetMode="External"/><Relationship Id="rId1157" Type="http://schemas.openxmlformats.org/officeDocument/2006/relationships/hyperlink" Target="https://futureu.europa.eu/processes/ValuesRights/f/12/proposals/10733" TargetMode="External"/><Relationship Id="rId1158" Type="http://schemas.openxmlformats.org/officeDocument/2006/relationships/hyperlink" Target="https://futureu.europa.eu/processes/ValuesRights/f/12/proposals/5364" TargetMode="External"/><Relationship Id="rId1159" Type="http://schemas.openxmlformats.org/officeDocument/2006/relationships/hyperlink" Target="https://futureu.europa.eu/processes/ValuesRights/f/12/proposals/4496" TargetMode="External"/><Relationship Id="rId1160" Type="http://schemas.openxmlformats.org/officeDocument/2006/relationships/hyperlink" Target="https://futureu.europa.eu/processes/ValuesRights/f/12/proposals/4496" TargetMode="External"/><Relationship Id="rId1161" Type="http://schemas.openxmlformats.org/officeDocument/2006/relationships/hyperlink" Target="https://futureu.europa.eu/processes/ValuesRights/f/12/proposals/95900" TargetMode="External"/><Relationship Id="rId1162" Type="http://schemas.openxmlformats.org/officeDocument/2006/relationships/hyperlink" Target="https://futureu.europa.eu/processes/ValuesRights/f/12/proposals/95900" TargetMode="External"/><Relationship Id="rId1163" Type="http://schemas.openxmlformats.org/officeDocument/2006/relationships/hyperlink" Target="https://futureu.europa.eu/processes/ValuesRights/f/12/proposals/145037" TargetMode="External"/><Relationship Id="rId1164" Type="http://schemas.openxmlformats.org/officeDocument/2006/relationships/hyperlink" Target="https://futureu.europa.eu/processes/ValuesRights/f/12/proposals/115699" TargetMode="External"/><Relationship Id="rId1165" Type="http://schemas.openxmlformats.org/officeDocument/2006/relationships/hyperlink" Target="https://futureu.europa.eu/processes/ValuesRights/f/12/proposals/20859" TargetMode="External"/><Relationship Id="rId1166" Type="http://schemas.openxmlformats.org/officeDocument/2006/relationships/hyperlink" Target="https://futureu.europa.eu/processes/ValuesRights/f/12/proposals/5911" TargetMode="External"/><Relationship Id="rId1167" Type="http://schemas.openxmlformats.org/officeDocument/2006/relationships/hyperlink" Target="https://futureu.europa.eu/processes/ValuesRights/f/12/proposals/102169" TargetMode="External"/><Relationship Id="rId1168" Type="http://schemas.openxmlformats.org/officeDocument/2006/relationships/hyperlink" Target="https://futureu.europa.eu/processes/ValuesRights/f/12/proposals/29110" TargetMode="External"/><Relationship Id="rId1169" Type="http://schemas.openxmlformats.org/officeDocument/2006/relationships/hyperlink" Target="https://futureu.europa.eu/processes/ValuesRights/f/12/proposals/29110" TargetMode="External"/><Relationship Id="rId1170" Type="http://schemas.openxmlformats.org/officeDocument/2006/relationships/hyperlink" Target="https://futureu.europa.eu/processes/ValuesRights/f/12/proposals/108509" TargetMode="External"/><Relationship Id="rId1171" Type="http://schemas.openxmlformats.org/officeDocument/2006/relationships/hyperlink" Target="https://futureu.europa.eu/processes/ValuesRights/f/12/proposals/104248" TargetMode="External"/><Relationship Id="rId1172" Type="http://schemas.openxmlformats.org/officeDocument/2006/relationships/hyperlink" Target="https://futureu.europa.eu/processes/ValuesRights/f/12/proposals/108538" TargetMode="External"/><Relationship Id="rId1173" Type="http://schemas.openxmlformats.org/officeDocument/2006/relationships/hyperlink" Target="https://futureu.europa.eu/processes/ValuesRights/f/11/meetings/18151" TargetMode="External"/><Relationship Id="rId1174" Type="http://schemas.openxmlformats.org/officeDocument/2006/relationships/hyperlink" Target="https://futureu.europa.eu/processes/ValuesRights/f/11/meetings/18151" TargetMode="External"/><Relationship Id="rId1175" Type="http://schemas.openxmlformats.org/officeDocument/2006/relationships/hyperlink" Target="https://futureu.europa.eu/processes/ValuesRights/f/12/proposals/2058" TargetMode="External"/><Relationship Id="rId1176" Type="http://schemas.openxmlformats.org/officeDocument/2006/relationships/hyperlink" Target="https://futureu.europa.eu/processes/ValuesRights/f/12/proposals/13630" TargetMode="External"/><Relationship Id="rId1177" Type="http://schemas.openxmlformats.org/officeDocument/2006/relationships/hyperlink" Target="https://futureu.europa.eu/processes/ValuesRights/f/12/proposals/11452" TargetMode="External"/><Relationship Id="rId1178" Type="http://schemas.openxmlformats.org/officeDocument/2006/relationships/hyperlink" Target="https://futureu.europa.eu/processes/ValuesRights/f/12/proposals/11452" TargetMode="External"/><Relationship Id="rId1179" Type="http://schemas.openxmlformats.org/officeDocument/2006/relationships/hyperlink" Target="https://futureu.europa.eu/processes/ValuesRights/f/11/meetings/7030" TargetMode="External"/><Relationship Id="rId1180" Type="http://schemas.openxmlformats.org/officeDocument/2006/relationships/hyperlink" Target="https://futureu.europa.eu/processes/ValuesRights/f/11/meetings/25873" TargetMode="External"/><Relationship Id="rId1181" Type="http://schemas.openxmlformats.org/officeDocument/2006/relationships/hyperlink" Target="https://futureu.europa.eu/processes/ValuesRights/f/12/proposals/31780" TargetMode="External"/><Relationship Id="rId1182" Type="http://schemas.openxmlformats.org/officeDocument/2006/relationships/hyperlink" Target="https://futureu.europa.eu/processes/ValuesRights/f/12/proposals/157015" TargetMode="External"/><Relationship Id="rId1183" Type="http://schemas.openxmlformats.org/officeDocument/2006/relationships/hyperlink" Target="https://futureu.europa.eu/processes/ValuesRights/f/12/proposals/186319" TargetMode="External"/><Relationship Id="rId1184" Type="http://schemas.openxmlformats.org/officeDocument/2006/relationships/hyperlink" Target="https://futureu.europa.eu/processes/ValuesRights/f/12/proposals/186319" TargetMode="External"/><Relationship Id="rId1185" Type="http://schemas.openxmlformats.org/officeDocument/2006/relationships/hyperlink" Target="https://futureu.europa.eu/processes/ValuesRights/f/12/proposals/115410" TargetMode="External"/><Relationship Id="rId1186" Type="http://schemas.openxmlformats.org/officeDocument/2006/relationships/hyperlink" Target="https://futureu.europa.eu/processes/ValuesRights/f/12/proposals/152329" TargetMode="External"/><Relationship Id="rId1187" Type="http://schemas.openxmlformats.org/officeDocument/2006/relationships/hyperlink" Target="https://futureu.europa.eu/processes/ValuesRights/f/12/proposals/214864" TargetMode="External"/><Relationship Id="rId1188" Type="http://schemas.openxmlformats.org/officeDocument/2006/relationships/hyperlink" Target="https://futureu.europa.eu/processes/ValuesRights/f/11/meetings/89794" TargetMode="External"/><Relationship Id="rId1189" Type="http://schemas.openxmlformats.org/officeDocument/2006/relationships/hyperlink" Target="https://futureu.europa.eu/processes/ValuesRights/f/11/meetings/48711" TargetMode="External"/><Relationship Id="rId1190" Type="http://schemas.openxmlformats.org/officeDocument/2006/relationships/hyperlink" Target="https://futureu.europa.eu/processes/ValuesRights/f/11/meetings/48711" TargetMode="External"/><Relationship Id="rId1191" Type="http://schemas.openxmlformats.org/officeDocument/2006/relationships/hyperlink" Target="https://futureu.europa.eu/processes/ValuesRights/f/12/proposals/134773" TargetMode="External"/><Relationship Id="rId1192" Type="http://schemas.openxmlformats.org/officeDocument/2006/relationships/hyperlink" Target="https://futureu.europa.eu/processes/ValuesRights/f/12/proposals/179160" TargetMode="External"/><Relationship Id="rId1193" Type="http://schemas.openxmlformats.org/officeDocument/2006/relationships/hyperlink" Target="https://futureu.europa.eu/processes/ValuesRights/f/11/meetings/93919" TargetMode="External"/><Relationship Id="rId1194" Type="http://schemas.openxmlformats.org/officeDocument/2006/relationships/hyperlink" Target="https://futureu.europa.eu/processes/ValuesRights/f/12/proposals/185990" TargetMode="External"/><Relationship Id="rId1195" Type="http://schemas.openxmlformats.org/officeDocument/2006/relationships/hyperlink" Target="https://futureu.europa.eu/processes/ValuesRights/f/12/proposals/185989" TargetMode="External"/><Relationship Id="rId1196" Type="http://schemas.openxmlformats.org/officeDocument/2006/relationships/hyperlink" Target="https://futureu.europa.eu/processes/ValuesRights/f/12/proposals/256945" TargetMode="External"/><Relationship Id="rId1197" Type="http://schemas.openxmlformats.org/officeDocument/2006/relationships/hyperlink" Target="https://futureu.europa.eu/processes/ValuesRights/f/12/proposals/256945" TargetMode="External"/><Relationship Id="rId1198" Type="http://schemas.openxmlformats.org/officeDocument/2006/relationships/hyperlink" Target="https://futureu.europa.eu/processes/ValuesRights/f/12/proposals/88151" TargetMode="External"/><Relationship Id="rId1199" Type="http://schemas.openxmlformats.org/officeDocument/2006/relationships/hyperlink" Target="https://futureu.europa.eu/processes/ValuesRights/f/11/meetings/267" TargetMode="External"/><Relationship Id="rId1200" Type="http://schemas.openxmlformats.org/officeDocument/2006/relationships/hyperlink" Target="https://futureu.europa.eu/processes/ValuesRights/f/12/proposals/84217" TargetMode="External"/><Relationship Id="rId1201" Type="http://schemas.openxmlformats.org/officeDocument/2006/relationships/hyperlink" Target="https://futureu.europa.eu/processes/ValuesRights/f/12/proposals/67222" TargetMode="External"/><Relationship Id="rId1202" Type="http://schemas.openxmlformats.org/officeDocument/2006/relationships/hyperlink" Target="https://futureu.europa.eu/processes/ValuesRights/f/11/meetings/19405" TargetMode="External"/><Relationship Id="rId1203" Type="http://schemas.openxmlformats.org/officeDocument/2006/relationships/hyperlink" Target="https://futureu.europa.eu/processes/ValuesRights/f/11/meetings/19405" TargetMode="External"/><Relationship Id="rId1204" Type="http://schemas.openxmlformats.org/officeDocument/2006/relationships/hyperlink" Target="https://futureu.europa.eu/processes/ValuesRights/f/12/proposals/159920" TargetMode="External"/><Relationship Id="rId1205" Type="http://schemas.openxmlformats.org/officeDocument/2006/relationships/hyperlink" Target="https://futureu.europa.eu/processes/ValuesRights/f/12/proposals/159920" TargetMode="External"/><Relationship Id="rId1206" Type="http://schemas.openxmlformats.org/officeDocument/2006/relationships/hyperlink" Target="https://futureu.europa.eu/processes/ValuesRights/f/12/proposals/6512" TargetMode="External"/><Relationship Id="rId1207" Type="http://schemas.openxmlformats.org/officeDocument/2006/relationships/hyperlink" Target="https://futureu.europa.eu/processes/ValuesRights/f/12/proposals/110518" TargetMode="External"/><Relationship Id="rId1208" Type="http://schemas.openxmlformats.org/officeDocument/2006/relationships/hyperlink" Target="https://futureu.europa.eu/processes/ValuesRights/f/12/proposals/110518" TargetMode="External"/><Relationship Id="rId1209" Type="http://schemas.openxmlformats.org/officeDocument/2006/relationships/hyperlink" Target="https://futureu.europa.eu/processes/ValuesRights/f/12/proposals/30066" TargetMode="External"/><Relationship Id="rId1210" Type="http://schemas.openxmlformats.org/officeDocument/2006/relationships/hyperlink" Target="https://futureu.europa.eu/processes/ValuesRights/f/12/proposals/2400" TargetMode="External"/><Relationship Id="rId1211" Type="http://schemas.openxmlformats.org/officeDocument/2006/relationships/hyperlink" Target="https://futureu.europa.eu/processes/ValuesRights/f/12/proposals/209485" TargetMode="External"/><Relationship Id="rId1212" Type="http://schemas.openxmlformats.org/officeDocument/2006/relationships/hyperlink" Target="https://futureu.europa.eu/processes/ValuesRights/f/11/meetings/34024" TargetMode="External"/><Relationship Id="rId1213" Type="http://schemas.openxmlformats.org/officeDocument/2006/relationships/hyperlink" Target="https://futureu.europa.eu/processes/ValuesRights/f/12/proposals/162955" TargetMode="External"/><Relationship Id="rId1214" Type="http://schemas.openxmlformats.org/officeDocument/2006/relationships/hyperlink" Target="https://futureu.europa.eu/processes/ValuesRights/f/12/proposals/162955" TargetMode="External"/><Relationship Id="rId1215" Type="http://schemas.openxmlformats.org/officeDocument/2006/relationships/hyperlink" Target="https://futureu.europa.eu/processes/ValuesRights/f/12/proposals/96460" TargetMode="External"/><Relationship Id="rId1216" Type="http://schemas.openxmlformats.org/officeDocument/2006/relationships/hyperlink" Target="https://futureu.europa.eu/processes/ValuesRights/f/11/meetings/6801" TargetMode="External"/><Relationship Id="rId1217" Type="http://schemas.openxmlformats.org/officeDocument/2006/relationships/hyperlink" Target="https://futureu.europa.eu/processes/ValuesRights/f/11/meetings/6801" TargetMode="External"/><Relationship Id="rId1218" Type="http://schemas.openxmlformats.org/officeDocument/2006/relationships/hyperlink" Target="https://futureu.europa.eu/processes/ValuesRights/f/12/proposals/225491" TargetMode="External"/><Relationship Id="rId1219" Type="http://schemas.openxmlformats.org/officeDocument/2006/relationships/hyperlink" Target="https://futureu.europa.eu/processes/ValuesRights/f/11/meetings/32869" TargetMode="External"/><Relationship Id="rId1220" Type="http://schemas.openxmlformats.org/officeDocument/2006/relationships/hyperlink" Target="https://futureu.europa.eu/processes/ValuesRights/f/12/proposals/61945" TargetMode="External"/><Relationship Id="rId1221" Type="http://schemas.openxmlformats.org/officeDocument/2006/relationships/hyperlink" Target="https://futureu.europa.eu/processes/ValuesRights/f/12/proposals/61945" TargetMode="External"/><Relationship Id="rId1222" Type="http://schemas.openxmlformats.org/officeDocument/2006/relationships/hyperlink" Target="https://futureu.europa.eu/processes/ValuesRights/f/11/meetings/18052" TargetMode="External"/><Relationship Id="rId1223" Type="http://schemas.openxmlformats.org/officeDocument/2006/relationships/hyperlink" Target="https://futureu.europa.eu/processes/ValuesRights/f/11/meetings/12706" TargetMode="External"/><Relationship Id="rId1224" Type="http://schemas.openxmlformats.org/officeDocument/2006/relationships/hyperlink" Target="https://futureu.europa.eu/processes/ValuesRights/f/12/proposals/233875" TargetMode="External"/><Relationship Id="rId1225" Type="http://schemas.openxmlformats.org/officeDocument/2006/relationships/hyperlink" Target="https://futureu.europa.eu/processes/ValuesRights/f/12/proposals/233875" TargetMode="External"/><Relationship Id="rId1226" Type="http://schemas.openxmlformats.org/officeDocument/2006/relationships/hyperlink" Target="https://futureu.europa.eu/processes/ValuesRights/f/12/proposals/254369" TargetMode="External"/><Relationship Id="rId1227" Type="http://schemas.openxmlformats.org/officeDocument/2006/relationships/hyperlink" Target="https://futureu.europa.eu/processes/ValuesRights/f/12/proposals/254369" TargetMode="External"/><Relationship Id="rId1228" Type="http://schemas.openxmlformats.org/officeDocument/2006/relationships/hyperlink" Target="https://futureu.europa.eu/processes/ValuesRights/f/12/proposals/161404" TargetMode="External"/><Relationship Id="rId1229" Type="http://schemas.openxmlformats.org/officeDocument/2006/relationships/hyperlink" Target="https://futureu.europa.eu/processes/ValuesRights/f/12/proposals/161404" TargetMode="External"/><Relationship Id="rId1230" Type="http://schemas.openxmlformats.org/officeDocument/2006/relationships/hyperlink" Target="https://futureu.europa.eu/processes/ValuesRights/f/12/proposals/196846" TargetMode="External"/><Relationship Id="rId1231" Type="http://schemas.openxmlformats.org/officeDocument/2006/relationships/hyperlink" Target="https://futureu.europa.eu/processes/ValuesRights/f/12/proposals/196846" TargetMode="External"/><Relationship Id="rId1232" Type="http://schemas.openxmlformats.org/officeDocument/2006/relationships/hyperlink" Target="https://futureu.europa.eu/processes/ValuesRights/f/11/meetings/103159" TargetMode="External"/><Relationship Id="rId1233" Type="http://schemas.openxmlformats.org/officeDocument/2006/relationships/hyperlink" Target="https://futureu.europa.eu/processes/ValuesRights/f/11/meetings/103159" TargetMode="External"/><Relationship Id="rId1234" Type="http://schemas.openxmlformats.org/officeDocument/2006/relationships/hyperlink" Target="https://futureu.europa.eu/processes/ValuesRights/f/12/proposals/162427" TargetMode="External"/><Relationship Id="rId1235" Type="http://schemas.openxmlformats.org/officeDocument/2006/relationships/hyperlink" Target="https://futureu.europa.eu/processes/ValuesRights/f/12/proposals/162427" TargetMode="External"/><Relationship Id="rId1236" Type="http://schemas.openxmlformats.org/officeDocument/2006/relationships/hyperlink" Target="https://futureu.europa.eu/processes/ValuesRights/f/12/proposals/250174" TargetMode="External"/><Relationship Id="rId1237" Type="http://schemas.openxmlformats.org/officeDocument/2006/relationships/hyperlink" Target="https://futureu.europa.eu/processes/ValuesRights/f/12/proposals/77" TargetMode="External"/><Relationship Id="rId1238" Type="http://schemas.openxmlformats.org/officeDocument/2006/relationships/hyperlink" Target="https://futureu.europa.eu/processes/ValuesRights/f/12/proposals/163550" TargetMode="External"/><Relationship Id="rId1239" Type="http://schemas.openxmlformats.org/officeDocument/2006/relationships/hyperlink" Target="https://futureu.europa.eu/processes/ValuesRights/f/12/proposals/160" TargetMode="External"/><Relationship Id="rId1240" Type="http://schemas.openxmlformats.org/officeDocument/2006/relationships/hyperlink" Target="https://futureu.europa.eu/processes/ValuesRights/f/12/proposals/163549" TargetMode="External"/><Relationship Id="rId1241" Type="http://schemas.openxmlformats.org/officeDocument/2006/relationships/hyperlink" Target="https://futureu.europa.eu/processes/ValuesRights/f/12/proposals/162262" TargetMode="External"/><Relationship Id="rId1242" Type="http://schemas.openxmlformats.org/officeDocument/2006/relationships/hyperlink" Target="https://futureu.europa.eu/processes/ValuesRights/f/12/proposals/162262" TargetMode="External"/><Relationship Id="rId1243" Type="http://schemas.openxmlformats.org/officeDocument/2006/relationships/hyperlink" Target="https://futureu.europa.eu/processes/ValuesRights/f/12/proposals/121871" TargetMode="External"/><Relationship Id="rId1244" Type="http://schemas.openxmlformats.org/officeDocument/2006/relationships/hyperlink" Target="https://futureu.europa.eu/processes/ValuesRights/f/12/proposals/172756" TargetMode="External"/><Relationship Id="rId1245" Type="http://schemas.openxmlformats.org/officeDocument/2006/relationships/hyperlink" Target="https://futureu.europa.eu/processes/ValuesRights/f/12/proposals/51948" TargetMode="External"/><Relationship Id="rId1246" Type="http://schemas.openxmlformats.org/officeDocument/2006/relationships/hyperlink" Target="https://futureu.europa.eu/processes/ValuesRights/f/12/proposals/30066" TargetMode="External"/><Relationship Id="rId1247" Type="http://schemas.openxmlformats.org/officeDocument/2006/relationships/hyperlink" Target="https://futureu.europa.eu/processes/ValuesRights/f/12/proposals/30066" TargetMode="External"/><Relationship Id="rId1248" Type="http://schemas.openxmlformats.org/officeDocument/2006/relationships/hyperlink" Target="https://futureu.europa.eu/processes/ValuesRights/f/12/proposals/172756" TargetMode="External"/><Relationship Id="rId1249" Type="http://schemas.openxmlformats.org/officeDocument/2006/relationships/hyperlink" Target="https://futureu.europa.eu/processes/ValuesRights/f/12/proposals/172756" TargetMode="External"/><Relationship Id="rId1250" Type="http://schemas.openxmlformats.org/officeDocument/2006/relationships/hyperlink" Target="https://futureu.europa.eu/processes/ValuesRights/f/12/proposals/250174" TargetMode="External"/><Relationship Id="rId1251" Type="http://schemas.openxmlformats.org/officeDocument/2006/relationships/hyperlink" Target="https://futureu.europa.eu/processes/ValuesRights/f/12/proposals/250174" TargetMode="External"/><Relationship Id="rId1252" Type="http://schemas.openxmlformats.org/officeDocument/2006/relationships/hyperlink" Target="https://futureu.europa.eu/processes/Democracy/f/6/proposals/66562?locale=en" TargetMode="External"/><Relationship Id="rId1253" Type="http://schemas.openxmlformats.org/officeDocument/2006/relationships/hyperlink" Target="https://futureu.europa.eu/processes/ValuesRights/f/12/proposals/426" TargetMode="External"/><Relationship Id="rId1254" Type="http://schemas.openxmlformats.org/officeDocument/2006/relationships/hyperlink" Target="https://futureu.europa.eu/processes/ValuesRights/f/12/proposals/421" TargetMode="External"/><Relationship Id="rId1255" Type="http://schemas.openxmlformats.org/officeDocument/2006/relationships/hyperlink" Target="https://futureu.europa.eu/processes/ValuesRights/f/12/proposals/146455" TargetMode="External"/><Relationship Id="rId1256" Type="http://schemas.openxmlformats.org/officeDocument/2006/relationships/hyperlink" Target="https://futureu.europa.eu/processes/ValuesRights/f/12/proposals/2157" TargetMode="External"/><Relationship Id="rId1257" Type="http://schemas.openxmlformats.org/officeDocument/2006/relationships/hyperlink" Target="https://futureu.europa.eu/processes/ValuesRights/f/12/proposals/2157" TargetMode="External"/><Relationship Id="rId1258" Type="http://schemas.openxmlformats.org/officeDocument/2006/relationships/hyperlink" Target="https://futureu.europa.eu/processes/ValuesRights/f/12/proposals/162494" TargetMode="External"/><Relationship Id="rId1259" Type="http://schemas.openxmlformats.org/officeDocument/2006/relationships/hyperlink" Target="https://futureu.europa.eu/processes/ValuesRights/f/12/proposals/234697" TargetMode="External"/><Relationship Id="rId1260" Type="http://schemas.openxmlformats.org/officeDocument/2006/relationships/hyperlink" Target="https://futureu.europa.eu/processes/ValuesRights/f/12/proposals/118933" TargetMode="External"/><Relationship Id="rId1261" Type="http://schemas.openxmlformats.org/officeDocument/2006/relationships/hyperlink" Target="https://futureu.europa.eu/processes/ValuesRights/f/12/proposals/5453" TargetMode="External"/><Relationship Id="rId1262" Type="http://schemas.openxmlformats.org/officeDocument/2006/relationships/hyperlink" Target="https://futureu.europa.eu/processes/ValuesRights/f/11/meetings/13400" TargetMode="External"/><Relationship Id="rId1263" Type="http://schemas.openxmlformats.org/officeDocument/2006/relationships/hyperlink" Target="https://futureu.europa.eu/processes/ValuesRights/f/12/proposals/254436" TargetMode="External"/><Relationship Id="rId1264" Type="http://schemas.openxmlformats.org/officeDocument/2006/relationships/hyperlink" Target="https://futureu.europa.eu/processes/ValuesRights/f/12/proposals/117250" TargetMode="External"/><Relationship Id="rId1265" Type="http://schemas.openxmlformats.org/officeDocument/2006/relationships/hyperlink" Target="https://futureu.europa.eu/processes/ValuesRights/f/12/proposals/105667" TargetMode="External"/><Relationship Id="rId1266" Type="http://schemas.openxmlformats.org/officeDocument/2006/relationships/hyperlink" Target="https://futureu.europa.eu/processes/ValuesRights/f/11/meetings/53857" TargetMode="External"/><Relationship Id="rId1267" Type="http://schemas.openxmlformats.org/officeDocument/2006/relationships/hyperlink" Target="https://futureu.europa.eu/processes/ValuesRights/f/12/proposals/184174" TargetMode="External"/><Relationship Id="rId1268" Type="http://schemas.openxmlformats.org/officeDocument/2006/relationships/hyperlink" Target="https://futureu.europa.eu/processes/Democracy/f/6/proposals/46267" TargetMode="External"/><Relationship Id="rId1269" Type="http://schemas.openxmlformats.org/officeDocument/2006/relationships/hyperlink" Target="https://futureu.europa.eu/processes/Democracy/f/6/proposals/46267" TargetMode="External"/><Relationship Id="rId1270" Type="http://schemas.openxmlformats.org/officeDocument/2006/relationships/hyperlink" Target="http://futureu.europa.eu/processes/ValuesRights/f/12/proposals/299" TargetMode="External"/><Relationship Id="rId1271" Type="http://schemas.openxmlformats.org/officeDocument/2006/relationships/hyperlink" Target="https://futureu.europa.eu/processes/ValuesRights/f/11/meetings/103984" TargetMode="External"/><Relationship Id="rId1272" Type="http://schemas.openxmlformats.org/officeDocument/2006/relationships/hyperlink" Target="https://futureu.europa.eu/processes/ValuesRights/f/12/proposals/166585" TargetMode="External"/><Relationship Id="rId1273" Type="http://schemas.openxmlformats.org/officeDocument/2006/relationships/hyperlink" Target="https://futureu.europa.eu/processes/ValuesRights/f/12/proposals/260441" TargetMode="External"/><Relationship Id="rId1274" Type="http://schemas.openxmlformats.org/officeDocument/2006/relationships/hyperlink" Target="https://futureu.europa.eu/processes/ValuesRights/f/12/proposals/260441" TargetMode="External"/><Relationship Id="rId1275" Type="http://schemas.openxmlformats.org/officeDocument/2006/relationships/hyperlink" Target="https://futureu.europa.eu/processes/ValuesRights/f/11/meetings/51613" TargetMode="External"/><Relationship Id="rId1276" Type="http://schemas.openxmlformats.org/officeDocument/2006/relationships/hyperlink" Target="https://futureu.europa.eu/processes/ValuesRights/f/11/meetings/51613" TargetMode="External"/><Relationship Id="rId1277" Type="http://schemas.openxmlformats.org/officeDocument/2006/relationships/hyperlink" Target="https://futureu.europa.eu/processes/ValuesRights/f/12/proposals/101707" TargetMode="External"/><Relationship Id="rId1278" Type="http://schemas.openxmlformats.org/officeDocument/2006/relationships/hyperlink" Target="https://futureu.europa.eu/processes/ValuesRights/f/12/proposals/160579" TargetMode="External"/><Relationship Id="rId1279" Type="http://schemas.openxmlformats.org/officeDocument/2006/relationships/hyperlink" Target="https://futureu.europa.eu/processes/ValuesRights/f/12/proposals/160711" TargetMode="External"/><Relationship Id="rId1280" Type="http://schemas.openxmlformats.org/officeDocument/2006/relationships/hyperlink" Target="https://futureu.europa.eu/processes/ValuesRights/f/12/proposals/251989" TargetMode="External"/><Relationship Id="rId1281" Type="http://schemas.openxmlformats.org/officeDocument/2006/relationships/hyperlink" Target="https://futureu.europa.eu/processes/ValuesRights/f/12/proposals/244234" TargetMode="External"/><Relationship Id="rId1282" Type="http://schemas.openxmlformats.org/officeDocument/2006/relationships/hyperlink" Target="https://futureu.europa.eu/processes/ValuesRights/f/12/proposals/259085" TargetMode="External"/><Relationship Id="rId1283" Type="http://schemas.openxmlformats.org/officeDocument/2006/relationships/hyperlink" Target="https://futureu.europa.eu/processes/ValuesRights/f/12/proposals/259085" TargetMode="External"/><Relationship Id="rId1284" Type="http://schemas.openxmlformats.org/officeDocument/2006/relationships/hyperlink" Target="https://futureu.europa.eu/processes/ValuesRights/f/12/proposals/183911" TargetMode="External"/><Relationship Id="rId1285" Type="http://schemas.openxmlformats.org/officeDocument/2006/relationships/hyperlink" Target="https://futureu.europa.eu/processes/ValuesRights/f/11/meetings/99365" TargetMode="External"/><Relationship Id="rId1286" Type="http://schemas.openxmlformats.org/officeDocument/2006/relationships/hyperlink" Target="https://futureu.europa.eu/processes/ValuesRights/f/12/proposals/183943" TargetMode="External"/><Relationship Id="rId1287" Type="http://schemas.openxmlformats.org/officeDocument/2006/relationships/hyperlink" Target="https://futureu.europa.eu/processes/ValuesRights/f/12/proposals/183943" TargetMode="External"/><Relationship Id="rId1288" Type="http://schemas.openxmlformats.org/officeDocument/2006/relationships/hyperlink" Target="https://futureu.europa.eu/processes/ValuesRights/f/12/proposals/261531" TargetMode="External"/><Relationship Id="rId1289" Type="http://schemas.openxmlformats.org/officeDocument/2006/relationships/hyperlink" Target="https://futureu.europa.eu/processes/ValuesRights/f/11/meetings/103984" TargetMode="External"/><Relationship Id="rId1290" Type="http://schemas.openxmlformats.org/officeDocument/2006/relationships/hyperlink" Target="https://futureu.europa.eu/processes/ValuesRights/f/12/proposals/198334" TargetMode="External"/><Relationship Id="rId1291" Type="http://schemas.openxmlformats.org/officeDocument/2006/relationships/hyperlink" Target="https://futureu.europa.eu/processes/ValuesRights/f/12/proposals/198334" TargetMode="External"/><Relationship Id="rId1292" Type="http://schemas.openxmlformats.org/officeDocument/2006/relationships/hyperlink" Target="https://futureu.europa.eu/processes/ValuesRights/f/12/proposals/260109" TargetMode="External"/><Relationship Id="rId1293" Type="http://schemas.openxmlformats.org/officeDocument/2006/relationships/hyperlink" Target="https://futureu.europa.eu/processes/ValuesRights/f/12/proposals/260109" TargetMode="External"/><Relationship Id="rId1294" Type="http://schemas.openxmlformats.org/officeDocument/2006/relationships/hyperlink" Target="https://futureu.europa.eu/processes/ValuesRights/f/12/proposals/101938" TargetMode="External"/><Relationship Id="rId1295" Type="http://schemas.openxmlformats.org/officeDocument/2006/relationships/hyperlink" Target="https://futureu.europa.eu/processes/ValuesRights/f/12/proposals/179059" TargetMode="External"/><Relationship Id="rId1296" Type="http://schemas.openxmlformats.org/officeDocument/2006/relationships/hyperlink" Target="https://futureu.europa.eu/processes/ValuesRights/f/12/proposals/144014" TargetMode="External"/><Relationship Id="rId1297" Type="http://schemas.openxmlformats.org/officeDocument/2006/relationships/hyperlink" Target="https://futureu.europa.eu/processes/ValuesRights/f/12/proposals/199654" TargetMode="External"/><Relationship Id="rId1298" Type="http://schemas.openxmlformats.org/officeDocument/2006/relationships/hyperlink" Target="https://futureu.europa.eu/processes/ValuesRights/f/12/proposals/202027" TargetMode="External"/><Relationship Id="rId1299" Type="http://schemas.openxmlformats.org/officeDocument/2006/relationships/hyperlink" Target="https://futureu.europa.eu/processes/ValuesRights/f/12/proposals/209716" TargetMode="External"/><Relationship Id="rId1300" Type="http://schemas.openxmlformats.org/officeDocument/2006/relationships/hyperlink" Target="https://futureu.europa.eu/processes/ValuesRights/f/12/proposals/2101" TargetMode="External"/><Relationship Id="rId1301" Type="http://schemas.openxmlformats.org/officeDocument/2006/relationships/hyperlink" Target="https://futureu.europa.eu/processes/ValuesRights/f/12/proposals/245884" TargetMode="External"/><Relationship Id="rId1302" Type="http://schemas.openxmlformats.org/officeDocument/2006/relationships/hyperlink" Target="https://futureu.europa.eu/processes/ValuesRights/f/12/proposals/258333" TargetMode="External"/><Relationship Id="rId1303" Type="http://schemas.openxmlformats.org/officeDocument/2006/relationships/hyperlink" Target="https://futureu.europa.eu/processes/EUInTheWorld/f/16/proposals/119263" TargetMode="External"/><Relationship Id="rId1304" Type="http://schemas.openxmlformats.org/officeDocument/2006/relationships/hyperlink" Target="https://futureu.europa.eu/processes/EUInTheWorld/f/16/proposals/119263" TargetMode="External"/><Relationship Id="rId1305" Type="http://schemas.openxmlformats.org/officeDocument/2006/relationships/hyperlink" Target="https://futureu.europa.eu/processes/ValuesRights/f/12/proposals/199255" TargetMode="External"/><Relationship Id="rId1306" Type="http://schemas.openxmlformats.org/officeDocument/2006/relationships/hyperlink" Target="https://futureu.europa.eu/processes/ValuesRights/f/12/proposals/523" TargetMode="External"/><Relationship Id="rId1307" Type="http://schemas.openxmlformats.org/officeDocument/2006/relationships/hyperlink" Target="https://futureu.europa.eu/processes/ValuesRights/f/11/meetings/61612" TargetMode="External"/><Relationship Id="rId1308" Type="http://schemas.openxmlformats.org/officeDocument/2006/relationships/hyperlink" Target="https://futureu.europa.eu/processes/ValuesRights/f/11/meetings/82996" TargetMode="External"/><Relationship Id="rId1309" Type="http://schemas.openxmlformats.org/officeDocument/2006/relationships/hyperlink" Target="https://futureu.europa.eu/processes/ValuesRights/f/12/proposals/160" TargetMode="External"/><Relationship Id="rId1310" Type="http://schemas.openxmlformats.org/officeDocument/2006/relationships/hyperlink" Target="https://futureu.europa.eu/processes/ValuesRights/f/12/proposals/160" TargetMode="External"/><Relationship Id="rId1311" Type="http://schemas.openxmlformats.org/officeDocument/2006/relationships/hyperlink" Target="https://futureu.europa.eu/processes/ValuesRights/f/12/proposals/143683" TargetMode="External"/><Relationship Id="rId1312" Type="http://schemas.openxmlformats.org/officeDocument/2006/relationships/hyperlink" Target="https://futureu.europa.eu/processes/ValuesRights/f/12/proposals/143683" TargetMode="External"/><Relationship Id="rId1313" Type="http://schemas.openxmlformats.org/officeDocument/2006/relationships/hyperlink" Target="https://futureu.europa.eu/processes/ValuesRights/f/12/proposals/159919" TargetMode="External"/><Relationship Id="rId1314" Type="http://schemas.openxmlformats.org/officeDocument/2006/relationships/hyperlink" Target="https://futureu.europa.eu/processes/ValuesRights/f/12/proposals/159919" TargetMode="External"/><Relationship Id="rId1315" Type="http://schemas.openxmlformats.org/officeDocument/2006/relationships/hyperlink" Target="https://futureu.europa.eu/processes/ValuesRights/f/12/proposals/18052" TargetMode="External"/><Relationship Id="rId1316" Type="http://schemas.openxmlformats.org/officeDocument/2006/relationships/hyperlink" Target="https://futureu.europa.eu/processes/ValuesRights/f/12/proposals/18052" TargetMode="External"/><Relationship Id="rId1317" Type="http://schemas.openxmlformats.org/officeDocument/2006/relationships/hyperlink" Target="https://futureu.europa.eu/processes/ValuesRights/f/12/proposals/2105" TargetMode="External"/><Relationship Id="rId1318" Type="http://schemas.openxmlformats.org/officeDocument/2006/relationships/hyperlink" Target="https://futureu.europa.eu/processes/ValuesRights/f/12/proposals/2105" TargetMode="External"/><Relationship Id="rId1319" Type="http://schemas.openxmlformats.org/officeDocument/2006/relationships/hyperlink" Target="https://futureu.europa.eu/processes/ValuesRights/f/11/meetings/52" TargetMode="External"/><Relationship Id="rId1320" Type="http://schemas.openxmlformats.org/officeDocument/2006/relationships/hyperlink" Target="https://futureu.europa.eu/processes/ValuesRights/f/11/meetings/52" TargetMode="External"/><Relationship Id="rId1321" Type="http://schemas.openxmlformats.org/officeDocument/2006/relationships/hyperlink" Target="https://futureu.europa.eu/processes/ValuesRights/f/12/proposals/18648" TargetMode="External"/><Relationship Id="rId1322" Type="http://schemas.openxmlformats.org/officeDocument/2006/relationships/hyperlink" Target="https://futureu.europa.eu/processes/ValuesRights/f/11/meetings/342" TargetMode="External"/><Relationship Id="rId1323" Type="http://schemas.openxmlformats.org/officeDocument/2006/relationships/hyperlink" Target="https://futureu.europa.eu/processes/ValuesRights/f/11/meetings/94018" TargetMode="External"/><Relationship Id="rId1324" Type="http://schemas.openxmlformats.org/officeDocument/2006/relationships/hyperlink" Target="https://futureu.europa.eu/processes/ValuesRights/f/11/meetings/94018" TargetMode="External"/><Relationship Id="rId1325" Type="http://schemas.openxmlformats.org/officeDocument/2006/relationships/hyperlink" Target="https://futureu.europa.eu/processes/ValuesRights/f/12/proposals/245785" TargetMode="External"/><Relationship Id="rId1326" Type="http://schemas.openxmlformats.org/officeDocument/2006/relationships/hyperlink" Target="https://futureu.europa.eu/processes/ValuesRights/f/12/proposals/245785" TargetMode="External"/><Relationship Id="rId1327" Type="http://schemas.openxmlformats.org/officeDocument/2006/relationships/hyperlink" Target="https://futureu.europa.eu/processes/ValuesRights/f/12/proposals/143652" TargetMode="External"/><Relationship Id="rId1328" Type="http://schemas.openxmlformats.org/officeDocument/2006/relationships/hyperlink" Target="https://futureu.europa.eu/processes/ValuesRights/f/12/proposals/143652" TargetMode="External"/><Relationship Id="rId1329" Type="http://schemas.openxmlformats.org/officeDocument/2006/relationships/hyperlink" Target="https://futureu.europa.eu/processes/ValuesRights/f/12/proposals/143056" TargetMode="External"/><Relationship Id="rId1330" Type="http://schemas.openxmlformats.org/officeDocument/2006/relationships/hyperlink" Target="https://futureu.europa.eu/processes/ValuesRights/f/12/proposals/28480" TargetMode="External"/><Relationship Id="rId1331" Type="http://schemas.openxmlformats.org/officeDocument/2006/relationships/hyperlink" Target="https://futureu.europa.eu/processes/ValuesRights/f/12/proposals/117" TargetMode="External"/><Relationship Id="rId1332" Type="http://schemas.openxmlformats.org/officeDocument/2006/relationships/hyperlink" Target="https://futureu.europa.eu/processes/ValuesRights/f/12/proposals/89530" TargetMode="External"/><Relationship Id="rId1333" Type="http://schemas.openxmlformats.org/officeDocument/2006/relationships/hyperlink" Target="https://futureu.europa.eu/processes/ValuesRights/f/12/proposals/89530" TargetMode="External"/><Relationship Id="rId1334" Type="http://schemas.openxmlformats.org/officeDocument/2006/relationships/hyperlink" Target="https://futureu.europa.eu/processes/ValuesRights/f/12/proposals/83228" TargetMode="External"/><Relationship Id="rId1335" Type="http://schemas.openxmlformats.org/officeDocument/2006/relationships/hyperlink" Target="https://futureu.europa.eu/processes/ValuesRights/f/11/meetings/21682" TargetMode="External"/><Relationship Id="rId1336" Type="http://schemas.openxmlformats.org/officeDocument/2006/relationships/hyperlink" Target="https://futureu.europa.eu/processes/ValuesRights/f/12/proposals/128800" TargetMode="External"/><Relationship Id="rId1337" Type="http://schemas.openxmlformats.org/officeDocument/2006/relationships/hyperlink" Target="http://futureu.europa.eu/processes/ValuesRights/f/12/proposals/1781" TargetMode="External"/><Relationship Id="rId1338" Type="http://schemas.openxmlformats.org/officeDocument/2006/relationships/hyperlink" Target="https://futureu.europa.eu/processes/ValuesRights/f/12/proposals/184901" TargetMode="External"/><Relationship Id="rId1339" Type="http://schemas.openxmlformats.org/officeDocument/2006/relationships/hyperlink" Target="https://futureu.europa.eu/processes/ValuesRights/f/12/proposals/184901" TargetMode="External"/><Relationship Id="rId1340" Type="http://schemas.openxmlformats.org/officeDocument/2006/relationships/hyperlink" Target="https://futureu.europa.eu/processes/ValuesRights/f/12/proposals/308098" TargetMode="External"/><Relationship Id="rId1341" Type="http://schemas.openxmlformats.org/officeDocument/2006/relationships/hyperlink" Target="https://futureu.europa.eu/processes/ValuesRights/f/12/proposals/267565" TargetMode="External"/><Relationship Id="rId1342" Type="http://schemas.openxmlformats.org/officeDocument/2006/relationships/hyperlink" Target="https://futureu.europa.eu/processes/ValuesRights/f/12/proposals/302479" TargetMode="External"/><Relationship Id="rId1343" Type="http://schemas.openxmlformats.org/officeDocument/2006/relationships/hyperlink" Target="https://futureu.europa.eu/processes/ValuesRights/f/12/proposals/269050" TargetMode="External"/><Relationship Id="rId1344" Type="http://schemas.openxmlformats.org/officeDocument/2006/relationships/hyperlink" Target="https://futureu.europa.eu/processes/ValuesRights/f/12/proposals/269050" TargetMode="External"/><Relationship Id="rId1345" Type="http://schemas.openxmlformats.org/officeDocument/2006/relationships/hyperlink" Target="https://futureu.europa.eu/processes/ValuesRights/f/12/proposals/271723" TargetMode="External"/><Relationship Id="rId1346" Type="http://schemas.openxmlformats.org/officeDocument/2006/relationships/hyperlink" Target="https://futureu.europa.eu/processes/ValuesRights/f/12/proposals/308489" TargetMode="External"/><Relationship Id="rId1347" Type="http://schemas.openxmlformats.org/officeDocument/2006/relationships/hyperlink" Target="https://futureu.europa.eu/processes/ValuesRights/f/12/proposals/288157" TargetMode="External"/><Relationship Id="rId1348" Type="http://schemas.openxmlformats.org/officeDocument/2006/relationships/hyperlink" Target="https://futureu.europa.eu/processes/ValuesRights/f/11/meetings/161701" TargetMode="External"/><Relationship Id="rId1349" Type="http://schemas.openxmlformats.org/officeDocument/2006/relationships/hyperlink" Target="https://futureu.europa.eu/processes/ValuesRights/f/12/proposals/272713" TargetMode="External"/><Relationship Id="rId1350" Type="http://schemas.openxmlformats.org/officeDocument/2006/relationships/hyperlink" Target="https://futureu.europa.eu/processes/ValuesRights/f/12/proposals/272713" TargetMode="External"/><Relationship Id="rId1351" Type="http://schemas.openxmlformats.org/officeDocument/2006/relationships/hyperlink" Target="https://futureu.europa.eu/processes/ValuesRights/f/12/proposals/279715" TargetMode="External"/><Relationship Id="rId1352" Type="http://schemas.openxmlformats.org/officeDocument/2006/relationships/hyperlink" Target="https://futureu.europa.eu/processes/ValuesRights/f/12/proposals/279715" TargetMode="External"/><Relationship Id="rId1353" Type="http://schemas.openxmlformats.org/officeDocument/2006/relationships/hyperlink" Target="https://futureu.europa.eu/processes/ValuesRights/f/12/proposals/289477" TargetMode="External"/><Relationship Id="rId1354" Type="http://schemas.openxmlformats.org/officeDocument/2006/relationships/hyperlink" Target="https://futureu.europa.eu/processes/ValuesRights/f/12/proposals/289477" TargetMode="External"/><Relationship Id="rId1355" Type="http://schemas.openxmlformats.org/officeDocument/2006/relationships/hyperlink" Target="https://futureu.europa.eu/processes/ValuesRights/f/12/proposals/288190" TargetMode="External"/><Relationship Id="rId1356" Type="http://schemas.openxmlformats.org/officeDocument/2006/relationships/hyperlink" Target="https://futureu.europa.eu/processes/ValuesRights/f/12/proposals/268954" TargetMode="External"/><Relationship Id="rId1357" Type="http://schemas.openxmlformats.org/officeDocument/2006/relationships/hyperlink" Target="https://futureu.europa.eu/processes/ValuesRights/f/12/proposals/268954" TargetMode="External"/><Relationship Id="rId1358" Type="http://schemas.openxmlformats.org/officeDocument/2006/relationships/hyperlink" Target="https://futureu.europa.eu/processes/ValuesRights/f/12/proposals/290864" TargetMode="External"/><Relationship Id="rId1359" Type="http://schemas.openxmlformats.org/officeDocument/2006/relationships/hyperlink" Target="https://futureu.europa.eu/processes/ValuesRights/f/12/proposals/303077" TargetMode="External"/><Relationship Id="rId1360" Type="http://schemas.openxmlformats.org/officeDocument/2006/relationships/hyperlink" Target="https://futureu.europa.eu/processes/ValuesRights/f/12/proposals/291424" TargetMode="External"/><Relationship Id="rId1361" Type="http://schemas.openxmlformats.org/officeDocument/2006/relationships/hyperlink" Target="https://futureu.europa.eu/processes/ValuesRights/f/12/proposals/291424" TargetMode="External"/><Relationship Id="rId1362" Type="http://schemas.openxmlformats.org/officeDocument/2006/relationships/header" Target="header11.xml"/><Relationship Id="rId1363" Type="http://schemas.openxmlformats.org/officeDocument/2006/relationships/footer" Target="footer10.xml"/><Relationship Id="rId1364" Type="http://schemas.openxmlformats.org/officeDocument/2006/relationships/image" Target="media/image41.png"/><Relationship Id="rId1365" Type="http://schemas.openxmlformats.org/officeDocument/2006/relationships/image" Target="media/image41.png"/><Relationship Id="rId1366" Type="http://schemas.openxmlformats.org/officeDocument/2006/relationships/header" Target="header12.xml"/><Relationship Id="rId1367" Type="http://schemas.openxmlformats.org/officeDocument/2006/relationships/footer" Target="footer11.xml"/><Relationship Id="rId1368" Type="http://schemas.openxmlformats.org/officeDocument/2006/relationships/image" Target="media/image42.png"/><Relationship Id="rId1369" Type="http://schemas.openxmlformats.org/officeDocument/2006/relationships/hyperlink" Target="https://futureu.europa.eu/processes/Digital/f/14/meetings/155365" TargetMode="External"/><Relationship Id="rId1370" Type="http://schemas.openxmlformats.org/officeDocument/2006/relationships/hyperlink" Target="https://futureu.europa.eu/processes/Digital/f/14/meetings/155365" TargetMode="External"/><Relationship Id="rId1371" Type="http://schemas.openxmlformats.org/officeDocument/2006/relationships/hyperlink" Target="https://futureu.europa.eu/processes/Digital/f/14/meetings/155365" TargetMode="External"/><Relationship Id="rId1372" Type="http://schemas.openxmlformats.org/officeDocument/2006/relationships/hyperlink" Target="https://futureu.europa.eu/processes/Digital/f/14/meetings/140055" TargetMode="External"/><Relationship Id="rId1373" Type="http://schemas.openxmlformats.org/officeDocument/2006/relationships/hyperlink" Target="https://futureu.europa.eu/processes/Digital/f/14/meetings/142661" TargetMode="External"/><Relationship Id="rId1374" Type="http://schemas.openxmlformats.org/officeDocument/2006/relationships/hyperlink" Target="https://futureu.europa.eu/processes/Digital/f/15/proposals/32110" TargetMode="External"/><Relationship Id="rId1375" Type="http://schemas.openxmlformats.org/officeDocument/2006/relationships/hyperlink" Target="https://futureu.europa.eu/processes/Digital/f/15/proposals/139690" TargetMode="External"/><Relationship Id="rId1376" Type="http://schemas.openxmlformats.org/officeDocument/2006/relationships/hyperlink" Target="https://futureu.europa.eu/processes/Digital/f/15/proposals/169027" TargetMode="External"/><Relationship Id="rId1377" Type="http://schemas.openxmlformats.org/officeDocument/2006/relationships/hyperlink" Target="https://futureu.europa.eu/processes/Digital/f/15/proposals/4925?=&amp;amp;order=most_commented&amp;amp;pe" TargetMode="External"/><Relationship Id="rId1378" Type="http://schemas.openxmlformats.org/officeDocument/2006/relationships/hyperlink" Target="https://futureu.europa.eu/processes/Digital/f/14/meetings/316" TargetMode="External"/><Relationship Id="rId1379" Type="http://schemas.openxmlformats.org/officeDocument/2006/relationships/hyperlink" Target="https://futureu.europa.eu/processes/Digital/f/14/meetings/9934" TargetMode="External"/><Relationship Id="rId1380" Type="http://schemas.openxmlformats.org/officeDocument/2006/relationships/hyperlink" Target="https://futureu.europa.eu/processes/Digital/f/15/proposals/182395" TargetMode="External"/><Relationship Id="rId1381" Type="http://schemas.openxmlformats.org/officeDocument/2006/relationships/hyperlink" Target="https://futureu.europa.eu/processes/Digital/f/15/proposals/168731" TargetMode="External"/><Relationship Id="rId1382" Type="http://schemas.openxmlformats.org/officeDocument/2006/relationships/hyperlink" Target="https://futureu.europa.eu/processes/Digital/f/15/proposals/168995" TargetMode="External"/><Relationship Id="rId1383" Type="http://schemas.openxmlformats.org/officeDocument/2006/relationships/hyperlink" Target="https://futureu.europa.eu/processes/Digital/f/15/proposals/244135" TargetMode="External"/><Relationship Id="rId1384" Type="http://schemas.openxmlformats.org/officeDocument/2006/relationships/hyperlink" Target="https://futureu.europa.eu/processes/Digital/f/15/proposals/244135" TargetMode="External"/><Relationship Id="rId1385" Type="http://schemas.openxmlformats.org/officeDocument/2006/relationships/hyperlink" Target="https://futureu.europa.eu/processes/Digital/f/15/proposals/198464" TargetMode="External"/><Relationship Id="rId1386" Type="http://schemas.openxmlformats.org/officeDocument/2006/relationships/hyperlink" Target="http://futureu.europa.eu/processes/Digital/f/15/proposals/123721" TargetMode="External"/><Relationship Id="rId1387" Type="http://schemas.openxmlformats.org/officeDocument/2006/relationships/hyperlink" Target="https://futureu.europa.eu/processes/Digital/f/15/proposals/253112" TargetMode="External"/><Relationship Id="rId1388" Type="http://schemas.openxmlformats.org/officeDocument/2006/relationships/hyperlink" Target="https://futureu.europa.eu/processes/Digital/f/15/proposals/169423" TargetMode="External"/><Relationship Id="rId1389" Type="http://schemas.openxmlformats.org/officeDocument/2006/relationships/hyperlink" Target="https://futureu.europa.eu/processes/Digital/f/15/proposals/169423" TargetMode="External"/><Relationship Id="rId1390" Type="http://schemas.openxmlformats.org/officeDocument/2006/relationships/hyperlink" Target="http://futureu.europa.eu/processes/Digital/f/15/proposals/119705" TargetMode="External"/><Relationship Id="rId1391" Type="http://schemas.openxmlformats.org/officeDocument/2006/relationships/hyperlink" Target="https://futureu.europa.eu/processes/Digital/f/15/proposals/119698" TargetMode="External"/><Relationship Id="rId1392" Type="http://schemas.openxmlformats.org/officeDocument/2006/relationships/hyperlink" Target="https://futureu.europa.eu/processes/Digital/f/14/meetings/56464" TargetMode="External"/><Relationship Id="rId1393" Type="http://schemas.openxmlformats.org/officeDocument/2006/relationships/hyperlink" Target="http://futureu.europa.eu/processes/Digital/f/15/proposals/129725" TargetMode="External"/><Relationship Id="rId1394" Type="http://schemas.openxmlformats.org/officeDocument/2006/relationships/hyperlink" Target="https://futureu.europa.eu/processes/Digital/f/15/proposals/207307" TargetMode="External"/><Relationship Id="rId1395" Type="http://schemas.openxmlformats.org/officeDocument/2006/relationships/hyperlink" Target="https://futureu.europa.eu/processes/Digital/f/15/proposals/256944" TargetMode="External"/><Relationship Id="rId1396" Type="http://schemas.openxmlformats.org/officeDocument/2006/relationships/hyperlink" Target="http://futureu.europa.eu/processes/Digital/f/15/proposals/61" TargetMode="External"/><Relationship Id="rId1397" Type="http://schemas.openxmlformats.org/officeDocument/2006/relationships/hyperlink" Target="https://futureu.europa.eu/processes/Digital/f/15/proposals/106162" TargetMode="External"/><Relationship Id="rId1398" Type="http://schemas.openxmlformats.org/officeDocument/2006/relationships/hyperlink" Target="https://futureu.europa.eu/processes/Digital/f/15/proposals/80587" TargetMode="External"/><Relationship Id="rId1399" Type="http://schemas.openxmlformats.org/officeDocument/2006/relationships/hyperlink" Target="https://futureu.europa.eu/processes/Digital/f/15/proposals/253527" TargetMode="External"/><Relationship Id="rId1400" Type="http://schemas.openxmlformats.org/officeDocument/2006/relationships/hyperlink" Target="https://futureu.europa.eu/processes/Digital/f/15/proposals/236149" TargetMode="External"/><Relationship Id="rId1401" Type="http://schemas.openxmlformats.org/officeDocument/2006/relationships/hyperlink" Target="https://futureu.europa.eu/processes/Digital/f/15/proposals/165533" TargetMode="External"/><Relationship Id="rId1402" Type="http://schemas.openxmlformats.org/officeDocument/2006/relationships/hyperlink" Target="https://futureu.europa.eu/processes/OtherIdeas/f/7/meetings/487" TargetMode="External"/><Relationship Id="rId1403" Type="http://schemas.openxmlformats.org/officeDocument/2006/relationships/hyperlink" Target="https://futureu.europa.eu/processes/OtherIdeas/f/7/meetings/487" TargetMode="External"/><Relationship Id="rId1404" Type="http://schemas.openxmlformats.org/officeDocument/2006/relationships/hyperlink" Target="https://futureu.europa.eu/processes/Digital/f/14/meetings/124312" TargetMode="External"/><Relationship Id="rId1405" Type="http://schemas.openxmlformats.org/officeDocument/2006/relationships/hyperlink" Target="https://futureu.europa.eu/processes/Digital/f/15/proposals/167" TargetMode="External"/><Relationship Id="rId1406" Type="http://schemas.openxmlformats.org/officeDocument/2006/relationships/hyperlink" Target="https://futureu.europa.eu/processes/Digital/f/15/proposals/197936" TargetMode="External"/><Relationship Id="rId1407" Type="http://schemas.openxmlformats.org/officeDocument/2006/relationships/hyperlink" Target="https://futureu.europa.eu/processes/Digital/f/15/proposals/160051" TargetMode="External"/><Relationship Id="rId1408" Type="http://schemas.openxmlformats.org/officeDocument/2006/relationships/hyperlink" Target="https://futureu.europa.eu/processes/Digital/f/15/proposals/160051" TargetMode="External"/><Relationship Id="rId1409" Type="http://schemas.openxmlformats.org/officeDocument/2006/relationships/hyperlink" Target="https://futureu.europa.eu/processes/Digital/f/15/proposals/168697" TargetMode="External"/><Relationship Id="rId1410" Type="http://schemas.openxmlformats.org/officeDocument/2006/relationships/hyperlink" Target="https://futureu.europa.eu/processes/Digital/f/15/proposals/249481" TargetMode="External"/><Relationship Id="rId1411" Type="http://schemas.openxmlformats.org/officeDocument/2006/relationships/hyperlink" Target="https://futureu.europa.eu/processes/Digital/f/15/proposals/249481" TargetMode="External"/><Relationship Id="rId1412" Type="http://schemas.openxmlformats.org/officeDocument/2006/relationships/hyperlink" Target="https://futureu.europa.eu/processes/Digital/f/15/proposals/576" TargetMode="External"/><Relationship Id="rId1413" Type="http://schemas.openxmlformats.org/officeDocument/2006/relationships/hyperlink" Target="https://futureu.europa.eu/processes/Digital/f/15/proposals/576" TargetMode="External"/><Relationship Id="rId1414" Type="http://schemas.openxmlformats.org/officeDocument/2006/relationships/hyperlink" Target="https://futureu.europa.eu/processes/Digital/f/15/proposals/193184" TargetMode="External"/><Relationship Id="rId1415" Type="http://schemas.openxmlformats.org/officeDocument/2006/relationships/hyperlink" Target="https://futureu.europa.eu/processes/Digital/f/15/proposals/13838" TargetMode="External"/><Relationship Id="rId1416" Type="http://schemas.openxmlformats.org/officeDocument/2006/relationships/hyperlink" Target="https://futureu.europa.eu/processes/Digital/f/14/meetings/340" TargetMode="External"/><Relationship Id="rId1417" Type="http://schemas.openxmlformats.org/officeDocument/2006/relationships/hyperlink" Target="https://futureu.europa.eu/processes/Digital/f/14/meetings/340" TargetMode="External"/><Relationship Id="rId1418" Type="http://schemas.openxmlformats.org/officeDocument/2006/relationships/hyperlink" Target="https://futureu.europa.eu/processes/Digital/f/15/proposals/197972" TargetMode="External"/><Relationship Id="rId1419" Type="http://schemas.openxmlformats.org/officeDocument/2006/relationships/hyperlink" Target="https://futureu.europa.eu/processes/Digital/f/15/proposals/155596" TargetMode="External"/><Relationship Id="rId1420" Type="http://schemas.openxmlformats.org/officeDocument/2006/relationships/hyperlink" Target="https://futureu.europa.eu/processes/Digital/f/14/meetings/7459" TargetMode="External"/><Relationship Id="rId1421" Type="http://schemas.openxmlformats.org/officeDocument/2006/relationships/hyperlink" Target="https://futureu.europa.eu/processes/Digital/f/14/meetings/95702" TargetMode="External"/><Relationship Id="rId1422" Type="http://schemas.openxmlformats.org/officeDocument/2006/relationships/hyperlink" Target="https://futureu.europa.eu/processes/Digital/f/14/meetings/94447" TargetMode="External"/><Relationship Id="rId1423" Type="http://schemas.openxmlformats.org/officeDocument/2006/relationships/hyperlink" Target="https://futureu.europa.eu/processes/Digital/f/14/meetings/94447" TargetMode="External"/><Relationship Id="rId1424" Type="http://schemas.openxmlformats.org/officeDocument/2006/relationships/hyperlink" Target="http://futureu.europa.eu/processes/Digital/f/15/proposals/89795" TargetMode="External"/><Relationship Id="rId1425" Type="http://schemas.openxmlformats.org/officeDocument/2006/relationships/hyperlink" Target="https://futureu.europa.eu/processes/Digital/f/15/proposals/482" TargetMode="External"/><Relationship Id="rId1426" Type="http://schemas.openxmlformats.org/officeDocument/2006/relationships/hyperlink" Target="https://futureu.europa.eu/processes/Digital/f/15/proposals/205757" TargetMode="External"/><Relationship Id="rId1427" Type="http://schemas.openxmlformats.org/officeDocument/2006/relationships/hyperlink" Target="https://futureu.europa.eu/processes/Digital/f/15/proposals/3733" TargetMode="External"/><Relationship Id="rId1428" Type="http://schemas.openxmlformats.org/officeDocument/2006/relationships/hyperlink" Target="https://futureu.europa.eu/processes/Digital/f/15/proposals/3733" TargetMode="External"/><Relationship Id="rId1429" Type="http://schemas.openxmlformats.org/officeDocument/2006/relationships/hyperlink" Target="https://futureu.europa.eu/processes/Digital/f/15/proposals/14224" TargetMode="External"/><Relationship Id="rId1430" Type="http://schemas.openxmlformats.org/officeDocument/2006/relationships/hyperlink" Target="https://futureu.europa.eu/processes/Digital/f/14/meetings/74253" TargetMode="External"/><Relationship Id="rId1431" Type="http://schemas.openxmlformats.org/officeDocument/2006/relationships/hyperlink" Target="https://futureu.europa.eu/processes/Digital/f/14/meetings/65671" TargetMode="External"/><Relationship Id="rId1432" Type="http://schemas.openxmlformats.org/officeDocument/2006/relationships/hyperlink" Target="https://futureu.europa.eu/processes/Digital/f/14/meetings/65671" TargetMode="External"/><Relationship Id="rId1433" Type="http://schemas.openxmlformats.org/officeDocument/2006/relationships/hyperlink" Target="https://futureu.europa.eu/processes/Digital/f/14/meetings/65671" TargetMode="External"/><Relationship Id="rId1434" Type="http://schemas.openxmlformats.org/officeDocument/2006/relationships/hyperlink" Target="https://futureu.europa.eu/processes/Digital/f/15/proposals/245554" TargetMode="External"/><Relationship Id="rId1435" Type="http://schemas.openxmlformats.org/officeDocument/2006/relationships/hyperlink" Target="https://futureu.europa.eu/processes/Digital/f/15/proposals/245554" TargetMode="External"/><Relationship Id="rId1436" Type="http://schemas.openxmlformats.org/officeDocument/2006/relationships/hyperlink" Target="https://futureu.europa.eu/processes/Digital/f/15/proposals/170021" TargetMode="External"/><Relationship Id="rId1437" Type="http://schemas.openxmlformats.org/officeDocument/2006/relationships/hyperlink" Target="https://futureu.europa.eu/processes/Digital/f/15/proposals/255" TargetMode="External"/><Relationship Id="rId1438" Type="http://schemas.openxmlformats.org/officeDocument/2006/relationships/hyperlink" Target="https://futureu.europa.eu/processes/Digital/f/15/proposals/255" TargetMode="External"/><Relationship Id="rId1439" Type="http://schemas.openxmlformats.org/officeDocument/2006/relationships/hyperlink" Target="https://futureu.europa.eu/processes/Digital/f/15/proposals/2014" TargetMode="External"/><Relationship Id="rId1440" Type="http://schemas.openxmlformats.org/officeDocument/2006/relationships/hyperlink" Target="https://futureu.europa.eu/processes/Digital/f/15/proposals/2014" TargetMode="External"/><Relationship Id="rId1441" Type="http://schemas.openxmlformats.org/officeDocument/2006/relationships/hyperlink" Target="https://futureu.europa.eu/processes/Digital/f/15/proposals/30130" TargetMode="External"/><Relationship Id="rId1442" Type="http://schemas.openxmlformats.org/officeDocument/2006/relationships/hyperlink" Target="https://futureu.europa.eu/processes/Digital/f/15/proposals/241238" TargetMode="External"/><Relationship Id="rId1443" Type="http://schemas.openxmlformats.org/officeDocument/2006/relationships/hyperlink" Target="https://futureu.europa.eu/processes/Digital/f/15/proposals/3900" TargetMode="External"/><Relationship Id="rId1444" Type="http://schemas.openxmlformats.org/officeDocument/2006/relationships/hyperlink" Target="https://futureu.europa.eu/processes/Digital/f/15/proposals/3900" TargetMode="External"/><Relationship Id="rId1445" Type="http://schemas.openxmlformats.org/officeDocument/2006/relationships/hyperlink" Target="https://futureu.europa.eu/processes/Digital/f/15/proposals/184471" TargetMode="External"/><Relationship Id="rId1446" Type="http://schemas.openxmlformats.org/officeDocument/2006/relationships/hyperlink" Target="https://futureu.europa.eu/processes/Digital/f/15/proposals/252022" TargetMode="External"/><Relationship Id="rId1447" Type="http://schemas.openxmlformats.org/officeDocument/2006/relationships/hyperlink" Target="https://futureu.europa.eu/processes/Digital/f/14/meetings/82699" TargetMode="External"/><Relationship Id="rId1448" Type="http://schemas.openxmlformats.org/officeDocument/2006/relationships/hyperlink" Target="https://futureu.europa.eu/processes/Digital/f/15/proposals/2557" TargetMode="External"/><Relationship Id="rId1449" Type="http://schemas.openxmlformats.org/officeDocument/2006/relationships/hyperlink" Target="https://futureu.europa.eu/processes/Digital/f/15/proposals/55276" TargetMode="External"/><Relationship Id="rId1450" Type="http://schemas.openxmlformats.org/officeDocument/2006/relationships/hyperlink" Target="https://futureu.europa.eu/processes/Digital/f/15/proposals/5020" TargetMode="External"/><Relationship Id="rId1451" Type="http://schemas.openxmlformats.org/officeDocument/2006/relationships/hyperlink" Target="https://futureu.europa.eu/processes/Digital/f/15/proposals/5020" TargetMode="External"/><Relationship Id="rId1452" Type="http://schemas.openxmlformats.org/officeDocument/2006/relationships/hyperlink" Target="https://futureu.europa.eu/processes/Digital/f/15/proposals/2476" TargetMode="External"/><Relationship Id="rId1453" Type="http://schemas.openxmlformats.org/officeDocument/2006/relationships/hyperlink" Target="https://futureu.europa.eu/processes/Digital/f/15/proposals/247272" TargetMode="External"/><Relationship Id="rId1454" Type="http://schemas.openxmlformats.org/officeDocument/2006/relationships/hyperlink" Target="https://futureu.europa.eu/processes/Digital/f/15/proposals/117153" TargetMode="External"/><Relationship Id="rId1455" Type="http://schemas.openxmlformats.org/officeDocument/2006/relationships/hyperlink" Target="https://futureu.europa.eu/processes/Digital/f/15/proposals/97656" TargetMode="External"/><Relationship Id="rId1456" Type="http://schemas.openxmlformats.org/officeDocument/2006/relationships/hyperlink" Target="https://futureu.europa.eu/processes/Digital/f/15/proposals/97656" TargetMode="External"/><Relationship Id="rId1457" Type="http://schemas.openxmlformats.org/officeDocument/2006/relationships/hyperlink" Target="https://futureu.europa.eu/processes/Digital/f/15/proposals/80257" TargetMode="External"/><Relationship Id="rId1458" Type="http://schemas.openxmlformats.org/officeDocument/2006/relationships/hyperlink" Target="http://futureu.europa.eu/processes/Digital/f/15/proposals/123785" TargetMode="External"/><Relationship Id="rId1459" Type="http://schemas.openxmlformats.org/officeDocument/2006/relationships/hyperlink" Target="http://futureu.europa.eu/processes/Digital/f/15/proposals/115635" TargetMode="External"/><Relationship Id="rId1460" Type="http://schemas.openxmlformats.org/officeDocument/2006/relationships/hyperlink" Target="https://futureu.europa.eu/processes/Digital/f/14/meetings/44155" TargetMode="External"/><Relationship Id="rId1461" Type="http://schemas.openxmlformats.org/officeDocument/2006/relationships/hyperlink" Target="https://futureu.europa.eu/processes/Digital/f/14/meetings/44155" TargetMode="External"/><Relationship Id="rId1462" Type="http://schemas.openxmlformats.org/officeDocument/2006/relationships/hyperlink" Target="https://futureu.europa.eu/processes/Digital/f/14/meetings/19999" TargetMode="External"/><Relationship Id="rId1463" Type="http://schemas.openxmlformats.org/officeDocument/2006/relationships/hyperlink" Target="https://futureu.europa.eu/processes/Digital/f/15/proposals/200245" TargetMode="External"/><Relationship Id="rId1464" Type="http://schemas.openxmlformats.org/officeDocument/2006/relationships/hyperlink" Target="https://futureu.europa.eu/processes/Digital/f/15/proposals/200245" TargetMode="External"/><Relationship Id="rId1465" Type="http://schemas.openxmlformats.org/officeDocument/2006/relationships/hyperlink" Target="https://futureu.europa.eu/processes/Digital/f/15/proposals/487" TargetMode="External"/><Relationship Id="rId1466" Type="http://schemas.openxmlformats.org/officeDocument/2006/relationships/hyperlink" Target="https://futureu.europa.eu/processes/Digital/f/15/proposals/251395" TargetMode="External"/><Relationship Id="rId1467" Type="http://schemas.openxmlformats.org/officeDocument/2006/relationships/hyperlink" Target="https://futureu.europa.eu/processes/Digital/f/15/proposals/115" TargetMode="External"/><Relationship Id="rId1468" Type="http://schemas.openxmlformats.org/officeDocument/2006/relationships/hyperlink" Target="https://futureu.europa.eu/processes/Digital/f/15/proposals/160381" TargetMode="External"/><Relationship Id="rId1469" Type="http://schemas.openxmlformats.org/officeDocument/2006/relationships/hyperlink" Target="https://futureu.europa.eu/processes/Digital/f/15/proposals/160381" TargetMode="External"/><Relationship Id="rId1470" Type="http://schemas.openxmlformats.org/officeDocument/2006/relationships/hyperlink" Target="http://futureu.europa.eu/processes/Digital/f/15/proposals/114742" TargetMode="External"/><Relationship Id="rId1471" Type="http://schemas.openxmlformats.org/officeDocument/2006/relationships/hyperlink" Target="https://futureu.europa.eu/processes/Digital/f/15/proposals/81049" TargetMode="External"/><Relationship Id="rId1472" Type="http://schemas.openxmlformats.org/officeDocument/2006/relationships/hyperlink" Target="https://futureu.europa.eu/processes/Digital/f/15/proposals/81049" TargetMode="External"/><Relationship Id="rId1473" Type="http://schemas.openxmlformats.org/officeDocument/2006/relationships/hyperlink" Target="https://futureu.europa.eu/processes/Digital/f/15/proposals/193712" TargetMode="External"/><Relationship Id="rId1474" Type="http://schemas.openxmlformats.org/officeDocument/2006/relationships/hyperlink" Target="https://futureu.europa.eu/processes/Digital/f/15/proposals/193712" TargetMode="External"/><Relationship Id="rId1475" Type="http://schemas.openxmlformats.org/officeDocument/2006/relationships/hyperlink" Target="https://futureu.europa.eu/processes/Digital/f/15/proposals/253543" TargetMode="External"/><Relationship Id="rId1476" Type="http://schemas.openxmlformats.org/officeDocument/2006/relationships/hyperlink" Target="https://futureu.europa.eu/processes/Digital/f/15/proposals/253543" TargetMode="External"/><Relationship Id="rId1477" Type="http://schemas.openxmlformats.org/officeDocument/2006/relationships/hyperlink" Target="https://futureu.europa.eu/processes/Digital/f/15/proposals/32044" TargetMode="External"/><Relationship Id="rId1478" Type="http://schemas.openxmlformats.org/officeDocument/2006/relationships/hyperlink" Target="http://futureu.europa.eu/processes/Digital/f/15/proposals/112498" TargetMode="External"/><Relationship Id="rId1479" Type="http://schemas.openxmlformats.org/officeDocument/2006/relationships/hyperlink" Target="https://futureu.europa.eu/processes/Digital/f/15/proposals/148369" TargetMode="External"/><Relationship Id="rId1480" Type="http://schemas.openxmlformats.org/officeDocument/2006/relationships/hyperlink" Target="https://futureu.europa.eu/processes/Digital/f/15/proposals/123786" TargetMode="External"/><Relationship Id="rId1481" Type="http://schemas.openxmlformats.org/officeDocument/2006/relationships/hyperlink" Target="https://futureu.europa.eu/processes/Digital/f/15/proposals/123786" TargetMode="External"/><Relationship Id="rId1482" Type="http://schemas.openxmlformats.org/officeDocument/2006/relationships/hyperlink" Target="https://futureu.europa.eu/processes/Digital/f/15/proposals/146653" TargetMode="External"/><Relationship Id="rId1483" Type="http://schemas.openxmlformats.org/officeDocument/2006/relationships/hyperlink" Target="https://futureu.europa.eu/processes/Digital/f/15/proposals/1377" TargetMode="External"/><Relationship Id="rId1484" Type="http://schemas.openxmlformats.org/officeDocument/2006/relationships/hyperlink" Target="https://futureu.europa.eu/processes/Digital/f/15/proposals/210574" TargetMode="External"/><Relationship Id="rId1485" Type="http://schemas.openxmlformats.org/officeDocument/2006/relationships/hyperlink" Target="http://futureu.europa.eu/processes/Digital/f/15/proposals/145433" TargetMode="External"/><Relationship Id="rId1486" Type="http://schemas.openxmlformats.org/officeDocument/2006/relationships/hyperlink" Target="http://futureu.europa.eu/processes/Digital/f/15/proposals/145433" TargetMode="External"/><Relationship Id="rId1487" Type="http://schemas.openxmlformats.org/officeDocument/2006/relationships/hyperlink" Target="http://futureu.europa.eu/processes/Digital/f/15/proposals/129196" TargetMode="External"/><Relationship Id="rId1488" Type="http://schemas.openxmlformats.org/officeDocument/2006/relationships/hyperlink" Target="https://futureu.europa.eu/processes/Digital/f/15/proposals/171702" TargetMode="External"/><Relationship Id="rId1489" Type="http://schemas.openxmlformats.org/officeDocument/2006/relationships/hyperlink" Target="https://futureu.europa.eu/processes/Digital/f/15/proposals/214534" TargetMode="External"/><Relationship Id="rId1490" Type="http://schemas.openxmlformats.org/officeDocument/2006/relationships/hyperlink" Target="https://futureu.europa.eu/processes/Digital/f/15/proposals/253615" TargetMode="External"/><Relationship Id="rId1491" Type="http://schemas.openxmlformats.org/officeDocument/2006/relationships/hyperlink" Target="https://futureu.europa.eu/processes/Digital/f/15/proposals/253615" TargetMode="External"/><Relationship Id="rId1492" Type="http://schemas.openxmlformats.org/officeDocument/2006/relationships/hyperlink" Target="https://futureu.europa.eu/processes/Digital/f/15/proposals/18647" TargetMode="External"/><Relationship Id="rId1493" Type="http://schemas.openxmlformats.org/officeDocument/2006/relationships/hyperlink" Target="https://futureu.europa.eu/processes/Digital/f/14/meetings/16798" TargetMode="External"/><Relationship Id="rId1494" Type="http://schemas.openxmlformats.org/officeDocument/2006/relationships/hyperlink" Target="https://futureu.europa.eu/processes/Digital/f/14/meetings/16798" TargetMode="External"/><Relationship Id="rId1495" Type="http://schemas.openxmlformats.org/officeDocument/2006/relationships/hyperlink" Target="http://futureu.europa.eu/processes/Digital/f/15/proposals/59104" TargetMode="External"/><Relationship Id="rId1496" Type="http://schemas.openxmlformats.org/officeDocument/2006/relationships/hyperlink" Target="http://futureu.europa.eu/processes/Digital/f/15/proposals/59104" TargetMode="External"/><Relationship Id="rId1497" Type="http://schemas.openxmlformats.org/officeDocument/2006/relationships/hyperlink" Target="https://futureu.europa.eu/processes/Digital/f/15/proposals/248063" TargetMode="External"/><Relationship Id="rId1498" Type="http://schemas.openxmlformats.org/officeDocument/2006/relationships/hyperlink" Target="https://futureu.europa.eu/processes/Digital/f/15/proposals/248063" TargetMode="External"/><Relationship Id="rId1499" Type="http://schemas.openxmlformats.org/officeDocument/2006/relationships/hyperlink" Target="https://futureu.europa.eu/processes/Digital/f/15/proposals/193645" TargetMode="External"/><Relationship Id="rId1500" Type="http://schemas.openxmlformats.org/officeDocument/2006/relationships/hyperlink" Target="https://futureu.europa.eu/processes/Digital/f/15/proposals/254167" TargetMode="External"/><Relationship Id="rId1501" Type="http://schemas.openxmlformats.org/officeDocument/2006/relationships/hyperlink" Target="https://futureu.europa.eu/processes/Digital/f/15/proposals/115469" TargetMode="External"/><Relationship Id="rId1502" Type="http://schemas.openxmlformats.org/officeDocument/2006/relationships/hyperlink" Target="https://futureu.europa.eu/processes/Digital/f/14/meetings/123256" TargetMode="External"/><Relationship Id="rId1503" Type="http://schemas.openxmlformats.org/officeDocument/2006/relationships/hyperlink" Target="https://futureu.europa.eu/processes/Digital/f/14/meetings/123256" TargetMode="External"/><Relationship Id="rId1504" Type="http://schemas.openxmlformats.org/officeDocument/2006/relationships/hyperlink" Target="https://futureu.europa.eu/processes/Digital/f/15/proposals/114049" TargetMode="External"/><Relationship Id="rId1505" Type="http://schemas.openxmlformats.org/officeDocument/2006/relationships/hyperlink" Target="https://futureu.europa.eu/processes/Digital/f/14/meetings/26533" TargetMode="External"/><Relationship Id="rId1506" Type="http://schemas.openxmlformats.org/officeDocument/2006/relationships/hyperlink" Target="https://futureu.europa.eu/processes/Digital/f/15/proposals/166190" TargetMode="External"/><Relationship Id="rId1507" Type="http://schemas.openxmlformats.org/officeDocument/2006/relationships/hyperlink" Target="https://futureu.europa.eu/processes/Digital/f/15/proposals/188629" TargetMode="External"/><Relationship Id="rId1508" Type="http://schemas.openxmlformats.org/officeDocument/2006/relationships/hyperlink" Target="https://futureu.europa.eu/processes/Digital/f/15/proposals/188629" TargetMode="External"/><Relationship Id="rId1509" Type="http://schemas.openxmlformats.org/officeDocument/2006/relationships/hyperlink" Target="https://futureu.europa.eu/processes/Digital/f/15/proposals/176721" TargetMode="External"/><Relationship Id="rId1510" Type="http://schemas.openxmlformats.org/officeDocument/2006/relationships/hyperlink" Target="https://futureu.europa.eu/processes/Digital/f/14/meetings/8548" TargetMode="External"/><Relationship Id="rId1511" Type="http://schemas.openxmlformats.org/officeDocument/2006/relationships/hyperlink" Target="https://futureu.europa.eu/processes/Digital/f/14/meetings/8548" TargetMode="External"/><Relationship Id="rId1512" Type="http://schemas.openxmlformats.org/officeDocument/2006/relationships/hyperlink" Target="https://futureu.europa.eu/processes/Digital/f/14/meetings/93824" TargetMode="External"/><Relationship Id="rId1513" Type="http://schemas.openxmlformats.org/officeDocument/2006/relationships/hyperlink" Target="https://futureu.europa.eu/processes/Digital/f/14/meetings/93824" TargetMode="External"/><Relationship Id="rId1514" Type="http://schemas.openxmlformats.org/officeDocument/2006/relationships/hyperlink" Target="https://futureu.europa.eu/processes/Digital/f/15/proposals/2048" TargetMode="External"/><Relationship Id="rId1515" Type="http://schemas.openxmlformats.org/officeDocument/2006/relationships/hyperlink" Target="https://futureu.europa.eu/processes/Digital/f/15/proposals/2048" TargetMode="External"/><Relationship Id="rId1516" Type="http://schemas.openxmlformats.org/officeDocument/2006/relationships/hyperlink" Target="https://futureu.europa.eu/processes/Digital/f/15/proposals/186653" TargetMode="External"/><Relationship Id="rId1517" Type="http://schemas.openxmlformats.org/officeDocument/2006/relationships/hyperlink" Target="https://futureu.europa.eu/processes/Digital/f/14/meetings/126292" TargetMode="External"/><Relationship Id="rId1518" Type="http://schemas.openxmlformats.org/officeDocument/2006/relationships/hyperlink" Target="https://futureu.europa.eu/processes/Digital/f/15/proposals/241165" TargetMode="External"/><Relationship Id="rId1519" Type="http://schemas.openxmlformats.org/officeDocument/2006/relationships/hyperlink" Target="https://futureu.europa.eu/processes/Digital/f/15/proposals/5407" TargetMode="External"/><Relationship Id="rId1520" Type="http://schemas.openxmlformats.org/officeDocument/2006/relationships/hyperlink" Target="https://futureu.europa.eu/processes/Digital/f/15/proposals/241232" TargetMode="External"/><Relationship Id="rId1521" Type="http://schemas.openxmlformats.org/officeDocument/2006/relationships/hyperlink" Target="https://futureu.europa.eu/processes/Digital/f/15/proposals/191803" TargetMode="External"/><Relationship Id="rId1522" Type="http://schemas.openxmlformats.org/officeDocument/2006/relationships/hyperlink" Target="https://futureu.europa.eu/processes/Digital/f/15/proposals/15249" TargetMode="External"/><Relationship Id="rId1523" Type="http://schemas.openxmlformats.org/officeDocument/2006/relationships/hyperlink" Target="https://futureu.europa.eu/processes/Digital/f/15/proposals/15249" TargetMode="External"/><Relationship Id="rId1524" Type="http://schemas.openxmlformats.org/officeDocument/2006/relationships/hyperlink" Target="http://futureu.europa.eu/processes/Digital/f/15/proposals/109661" TargetMode="External"/><Relationship Id="rId1525" Type="http://schemas.openxmlformats.org/officeDocument/2006/relationships/hyperlink" Target="https://futureu.europa.eu/processes/Digital/f/15/proposals/100321" TargetMode="External"/><Relationship Id="rId1526" Type="http://schemas.openxmlformats.org/officeDocument/2006/relationships/hyperlink" Target="https://futureu.europa.eu/processes/Digital/f/15/proposals/100321" TargetMode="External"/><Relationship Id="rId1527" Type="http://schemas.openxmlformats.org/officeDocument/2006/relationships/hyperlink" Target="https://futureu.europa.eu/processes/Digital/f/15/proposals/214338" TargetMode="External"/><Relationship Id="rId1528" Type="http://schemas.openxmlformats.org/officeDocument/2006/relationships/hyperlink" Target="https://futureu.europa.eu/processes/Digital/f/15/proposals/24091" TargetMode="External"/><Relationship Id="rId1529" Type="http://schemas.openxmlformats.org/officeDocument/2006/relationships/hyperlink" Target="https://futureu.europa.eu/processes/Digital/f/15/proposals/244896" TargetMode="External"/><Relationship Id="rId1530" Type="http://schemas.openxmlformats.org/officeDocument/2006/relationships/hyperlink" Target="https://futureu.europa.eu/processes/Digital/f/15/proposals/238294" TargetMode="External"/><Relationship Id="rId1531" Type="http://schemas.openxmlformats.org/officeDocument/2006/relationships/hyperlink" Target="https://futureu.europa.eu/processes/Digital/f/15/proposals/7134" TargetMode="External"/><Relationship Id="rId1532" Type="http://schemas.openxmlformats.org/officeDocument/2006/relationships/hyperlink" Target="https://futureu.europa.eu/processes/Digital/f/15/proposals/168466" TargetMode="External"/><Relationship Id="rId1533" Type="http://schemas.openxmlformats.org/officeDocument/2006/relationships/hyperlink" Target="https://futureu.europa.eu/processes/Digital/f/15/proposals/6768" TargetMode="External"/><Relationship Id="rId1534" Type="http://schemas.openxmlformats.org/officeDocument/2006/relationships/hyperlink" Target="https://futureu.europa.eu/processes/Digital/f/15/proposals/6768" TargetMode="External"/><Relationship Id="rId1535" Type="http://schemas.openxmlformats.org/officeDocument/2006/relationships/hyperlink" Target="https://futureu.europa.eu/processes/Digital/f/15/proposals/607" TargetMode="External"/><Relationship Id="rId1536" Type="http://schemas.openxmlformats.org/officeDocument/2006/relationships/hyperlink" Target="https://futureu.europa.eu/processes/Digital/f/15/proposals/607" TargetMode="External"/><Relationship Id="rId1537" Type="http://schemas.openxmlformats.org/officeDocument/2006/relationships/hyperlink" Target="http://futureu.europa.eu/processes/Digital/f/15/proposals/119696" TargetMode="External"/><Relationship Id="rId1538" Type="http://schemas.openxmlformats.org/officeDocument/2006/relationships/hyperlink" Target="http://futureu.europa.eu/processes/Digital/f/15/proposals/119696" TargetMode="External"/><Relationship Id="rId1539" Type="http://schemas.openxmlformats.org/officeDocument/2006/relationships/hyperlink" Target="http://futureu.europa.eu/processes/Digital/f/15/proposals/115930" TargetMode="External"/><Relationship Id="rId1540" Type="http://schemas.openxmlformats.org/officeDocument/2006/relationships/hyperlink" Target="https://futureu.europa.eu/processes/Digital/f/15/proposals/149425" TargetMode="External"/><Relationship Id="rId1541" Type="http://schemas.openxmlformats.org/officeDocument/2006/relationships/hyperlink" Target="https://futureu.europa.eu/processes/Digital/f/15/proposals/149425" TargetMode="External"/><Relationship Id="rId1542" Type="http://schemas.openxmlformats.org/officeDocument/2006/relationships/hyperlink" Target="https://futureu.europa.eu/processes/Digital/f/15/proposals/16140" TargetMode="External"/><Relationship Id="rId1543" Type="http://schemas.openxmlformats.org/officeDocument/2006/relationships/hyperlink" Target="https://futureu.europa.eu/processes/Digital/f/15/proposals/2513" TargetMode="External"/><Relationship Id="rId1544" Type="http://schemas.openxmlformats.org/officeDocument/2006/relationships/hyperlink" Target="https://futureu.europa.eu/processes/Digital/f/15/proposals/205591" TargetMode="External"/><Relationship Id="rId1545" Type="http://schemas.openxmlformats.org/officeDocument/2006/relationships/hyperlink" Target="https://futureu.europa.eu/processes/Digital/f/15/proposals/196582" TargetMode="External"/><Relationship Id="rId1546" Type="http://schemas.openxmlformats.org/officeDocument/2006/relationships/hyperlink" Target="https://futureu.europa.eu/processes/Digital/f/15/proposals/196582" TargetMode="External"/><Relationship Id="rId1547" Type="http://schemas.openxmlformats.org/officeDocument/2006/relationships/hyperlink" Target="https://futureu.europa.eu/processes/Digital/f/15/proposals/1000" TargetMode="External"/><Relationship Id="rId1548" Type="http://schemas.openxmlformats.org/officeDocument/2006/relationships/hyperlink" Target="https://futureu.europa.eu/processes/Digital/f/15/proposals/153685" TargetMode="External"/><Relationship Id="rId1549" Type="http://schemas.openxmlformats.org/officeDocument/2006/relationships/hyperlink" Target="https://futureu.europa.eu/processes/Digital/f/15/proposals/4665?component_id=15&amp;amp;locale=lv&amp;amp;page=2&amp;amp;participatory_process_slug=Digital&amp;amp;per_page=100" TargetMode="External"/><Relationship Id="rId1550" Type="http://schemas.openxmlformats.org/officeDocument/2006/relationships/hyperlink" Target="https://futureu.europa.eu/processes/Digital/f/15/proposals/84019" TargetMode="External"/><Relationship Id="rId1551" Type="http://schemas.openxmlformats.org/officeDocument/2006/relationships/hyperlink" Target="https://futureu.europa.eu/processes/Digital/f/15/proposals/149029?locale=en" TargetMode="External"/><Relationship Id="rId1552" Type="http://schemas.openxmlformats.org/officeDocument/2006/relationships/hyperlink" Target="https://futureu.europa.eu/processes/Digital/f/15/proposals/149029?locale=en" TargetMode="External"/><Relationship Id="rId1553" Type="http://schemas.openxmlformats.org/officeDocument/2006/relationships/hyperlink" Target="https://futureu.europa.eu/processes/Digital/f/15/proposals/313006" TargetMode="External"/><Relationship Id="rId1554" Type="http://schemas.openxmlformats.org/officeDocument/2006/relationships/hyperlink" Target="https://futureu.europa.eu/processes/Digital/f/15/proposals/284099" TargetMode="External"/><Relationship Id="rId1555" Type="http://schemas.openxmlformats.org/officeDocument/2006/relationships/hyperlink" Target="https://futureu.europa.eu/processes/Digital/f/15/proposals/284099" TargetMode="External"/><Relationship Id="rId1556" Type="http://schemas.openxmlformats.org/officeDocument/2006/relationships/hyperlink" Target="https://futureu.europa.eu/processes/Digital/f/15/proposals/307726" TargetMode="External"/><Relationship Id="rId1557" Type="http://schemas.openxmlformats.org/officeDocument/2006/relationships/hyperlink" Target="https://futureu.europa.eu/processes/Digital/f/15/proposals/307731" TargetMode="External"/><Relationship Id="rId1558" Type="http://schemas.openxmlformats.org/officeDocument/2006/relationships/hyperlink" Target="https://futureu.europa.eu/processes/Digital/f/15/proposals/297401" TargetMode="External"/><Relationship Id="rId1559" Type="http://schemas.openxmlformats.org/officeDocument/2006/relationships/hyperlink" Target="https://futureu.europa.eu/processes/Digital/f/15/proposals/297401" TargetMode="External"/><Relationship Id="rId1560" Type="http://schemas.openxmlformats.org/officeDocument/2006/relationships/hyperlink" Target="https://futureu.europa.eu/processes/Digital/f/15/proposals/307794" TargetMode="External"/><Relationship Id="rId1561" Type="http://schemas.openxmlformats.org/officeDocument/2006/relationships/hyperlink" Target="https://futureu.europa.eu/processes/Digital/f/15/proposals/307794" TargetMode="External"/><Relationship Id="rId1562" Type="http://schemas.openxmlformats.org/officeDocument/2006/relationships/hyperlink" Target="https://futureu.europa.eu/processes/Digital/f/15/proposals/314361" TargetMode="External"/><Relationship Id="rId1563" Type="http://schemas.openxmlformats.org/officeDocument/2006/relationships/header" Target="header13.xml"/><Relationship Id="rId1564" Type="http://schemas.openxmlformats.org/officeDocument/2006/relationships/footer" Target="footer12.xml"/><Relationship Id="rId1565" Type="http://schemas.openxmlformats.org/officeDocument/2006/relationships/image" Target="media/image43.png"/><Relationship Id="rId1566" Type="http://schemas.openxmlformats.org/officeDocument/2006/relationships/image" Target="media/image43.png"/><Relationship Id="rId1567" Type="http://schemas.openxmlformats.org/officeDocument/2006/relationships/header" Target="header14.xml"/><Relationship Id="rId1568" Type="http://schemas.openxmlformats.org/officeDocument/2006/relationships/footer" Target="footer13.xml"/><Relationship Id="rId1569" Type="http://schemas.openxmlformats.org/officeDocument/2006/relationships/image" Target="media/image44.png"/><Relationship Id="rId1570" Type="http://schemas.openxmlformats.org/officeDocument/2006/relationships/hyperlink" Target="https://futureu.europa.eu/processes/Democracy/f/5/meetings/141637" TargetMode="External"/><Relationship Id="rId1571" Type="http://schemas.openxmlformats.org/officeDocument/2006/relationships/hyperlink" Target="https://futureu.europa.eu/processes/Democracy/f/5/meetings/141637" TargetMode="External"/><Relationship Id="rId1572" Type="http://schemas.openxmlformats.org/officeDocument/2006/relationships/hyperlink" Target="https://futureu.europa.eu/processes/Democracy/f/5/meetings/140714" TargetMode="External"/><Relationship Id="rId1573" Type="http://schemas.openxmlformats.org/officeDocument/2006/relationships/hyperlink" Target="https://futureu.europa.eu/processes/Democracy/f/5/meetings/146785" TargetMode="External"/><Relationship Id="rId1574" Type="http://schemas.openxmlformats.org/officeDocument/2006/relationships/hyperlink" Target="https://futureu.europa.eu/processes/Democracy/f/5/meetings/155134" TargetMode="External"/><Relationship Id="rId1575" Type="http://schemas.openxmlformats.org/officeDocument/2006/relationships/hyperlink" Target="https://futureu.europa.eu/processes/Democracy/f/5/meetings/161107" TargetMode="External"/><Relationship Id="rId1576" Type="http://schemas.openxmlformats.org/officeDocument/2006/relationships/hyperlink" Target="https://futureu.europa.eu/processes/Democracy/f/5/meetings/161107" TargetMode="External"/><Relationship Id="rId1577" Type="http://schemas.openxmlformats.org/officeDocument/2006/relationships/hyperlink" Target="https://futureu.europa.eu/processes/Democracy/f/6/proposals/55" TargetMode="External"/><Relationship Id="rId1578" Type="http://schemas.openxmlformats.org/officeDocument/2006/relationships/hyperlink" Target="https://futureu.europa.eu/processes/Democracy/f/6/proposals/65045" TargetMode="External"/><Relationship Id="rId1579" Type="http://schemas.openxmlformats.org/officeDocument/2006/relationships/hyperlink" Target="https://futureu.europa.eu/processes/Democracy/f/6/proposals/1825" TargetMode="External"/><Relationship Id="rId1580" Type="http://schemas.openxmlformats.org/officeDocument/2006/relationships/hyperlink" Target="https://futureu.europa.eu/processes/Democracy/f/6/proposals/204997" TargetMode="External"/><Relationship Id="rId1581" Type="http://schemas.openxmlformats.org/officeDocument/2006/relationships/hyperlink" Target="https://futureu.europa.eu/processes/ValuesRights/f/12/proposals/89663" TargetMode="External"/><Relationship Id="rId1582" Type="http://schemas.openxmlformats.org/officeDocument/2006/relationships/hyperlink" Target="http://futureu.europa.eu/processes/Democracy/f/6/proposals/10877" TargetMode="External"/><Relationship Id="rId1583" Type="http://schemas.openxmlformats.org/officeDocument/2006/relationships/hyperlink" Target="https://futureu.europa.eu/processes/Democracy/f/6/proposals/179258" TargetMode="External"/><Relationship Id="rId1584" Type="http://schemas.openxmlformats.org/officeDocument/2006/relationships/hyperlink" Target="http://futureu.europa.eu/processes/Democracy/f/6/proposals/10877" TargetMode="External"/><Relationship Id="rId1585" Type="http://schemas.openxmlformats.org/officeDocument/2006/relationships/hyperlink" Target="https://futureu.europa.eu/processes/Democracy/f/6/proposals/170513" TargetMode="External"/><Relationship Id="rId1586" Type="http://schemas.openxmlformats.org/officeDocument/2006/relationships/hyperlink" Target="http://futureu.europa.eu/processes/Democracy/f/6/proposals/2561" TargetMode="External"/><Relationship Id="rId1587" Type="http://schemas.openxmlformats.org/officeDocument/2006/relationships/hyperlink" Target="http://futureu.europa.eu/processes/Democracy/f/6/proposals/2561" TargetMode="External"/><Relationship Id="rId1588" Type="http://schemas.openxmlformats.org/officeDocument/2006/relationships/hyperlink" Target="http://futureu.europa.eu/processes/Democracy/f/6/proposals/2259" TargetMode="External"/><Relationship Id="rId1589" Type="http://schemas.openxmlformats.org/officeDocument/2006/relationships/hyperlink" Target="https://futureu.europa.eu/processes/Democracy/f/6/proposals/61982" TargetMode="External"/><Relationship Id="rId1590" Type="http://schemas.openxmlformats.org/officeDocument/2006/relationships/hyperlink" Target="https://futureu.europa.eu/processes/Democracy/f/5/meetings/48610" TargetMode="External"/><Relationship Id="rId1591" Type="http://schemas.openxmlformats.org/officeDocument/2006/relationships/hyperlink" Target="https://futureu.europa.eu/processes/Democracy/f/5/meetings/14522" TargetMode="External"/><Relationship Id="rId1592" Type="http://schemas.openxmlformats.org/officeDocument/2006/relationships/hyperlink" Target="http://futureu.europa.eu/processes/Democracy/f/6/proposals/31715" TargetMode="External"/><Relationship Id="rId1593" Type="http://schemas.openxmlformats.org/officeDocument/2006/relationships/hyperlink" Target="http://futureu.europa.eu/processes/Democracy/f/6/proposals/31715" TargetMode="External"/><Relationship Id="rId1594" Type="http://schemas.openxmlformats.org/officeDocument/2006/relationships/hyperlink" Target="https://futureu.europa.eu/processes/Democracy/f/6/proposals/151537" TargetMode="External"/><Relationship Id="rId1595" Type="http://schemas.openxmlformats.org/officeDocument/2006/relationships/hyperlink" Target="http://futureu.europa.eu/processes/Democracy/f/6/proposals/44453" TargetMode="External"/><Relationship Id="rId1596" Type="http://schemas.openxmlformats.org/officeDocument/2006/relationships/hyperlink" Target="http://futureu.europa.eu/processes/Democracy/f/6/proposals/44453" TargetMode="External"/><Relationship Id="rId1597" Type="http://schemas.openxmlformats.org/officeDocument/2006/relationships/hyperlink" Target="https://futureu.europa.eu/processes/Democracy/f/6/proposals/164077" TargetMode="External"/><Relationship Id="rId1598" Type="http://schemas.openxmlformats.org/officeDocument/2006/relationships/hyperlink" Target="https://futureu.europa.eu/processes/Democracy/f/6/proposals/164077" TargetMode="External"/><Relationship Id="rId1599" Type="http://schemas.openxmlformats.org/officeDocument/2006/relationships/hyperlink" Target="https://futureu.europa.eu/processes/Democracy/f/6/proposals/40330" TargetMode="External"/><Relationship Id="rId1600" Type="http://schemas.openxmlformats.org/officeDocument/2006/relationships/hyperlink" Target="https://futureu.europa.eu/processes/Democracy/f/6/proposals/40330" TargetMode="External"/><Relationship Id="rId1601" Type="http://schemas.openxmlformats.org/officeDocument/2006/relationships/hyperlink" Target="https://futureu.europa.eu/processes/Democracy/f/6/proposals/220144" TargetMode="External"/><Relationship Id="rId1602" Type="http://schemas.openxmlformats.org/officeDocument/2006/relationships/hyperlink" Target="https://futureu.europa.eu/processes/Democracy/f/6/proposals/224404" TargetMode="External"/><Relationship Id="rId1603" Type="http://schemas.openxmlformats.org/officeDocument/2006/relationships/hyperlink" Target="https://futureu.europa.eu/processes/Democracy/f/6/proposals/224404" TargetMode="External"/><Relationship Id="rId1604" Type="http://schemas.openxmlformats.org/officeDocument/2006/relationships/hyperlink" Target="https://futureu.europa.eu/processes/Democracy/f/5/meetings/19838" TargetMode="External"/><Relationship Id="rId1605" Type="http://schemas.openxmlformats.org/officeDocument/2006/relationships/hyperlink" Target="https://futureu.europa.eu/processes/Democracy/f/5/meetings/19838" TargetMode="External"/><Relationship Id="rId1606" Type="http://schemas.openxmlformats.org/officeDocument/2006/relationships/hyperlink" Target="https://futureu.europa.eu/processes/Democracy/f/6/proposals/56299" TargetMode="External"/><Relationship Id="rId1607" Type="http://schemas.openxmlformats.org/officeDocument/2006/relationships/hyperlink" Target="https://futureu.europa.eu/processes/OtherIdeas/f/8/proposals/315" TargetMode="External"/><Relationship Id="rId1608" Type="http://schemas.openxmlformats.org/officeDocument/2006/relationships/hyperlink" Target="http://futureu.europa.eu/processes/Democracy/f/6/proposals/560" TargetMode="External"/><Relationship Id="rId1609" Type="http://schemas.openxmlformats.org/officeDocument/2006/relationships/hyperlink" Target="https://futureu.europa.eu/processes/Democracy/f/5/meetings/40690" TargetMode="External"/><Relationship Id="rId1610" Type="http://schemas.openxmlformats.org/officeDocument/2006/relationships/hyperlink" Target="http://futureu.europa.eu/processes/OtherIdeas/f/8/proposals/315" TargetMode="External"/><Relationship Id="rId1611" Type="http://schemas.openxmlformats.org/officeDocument/2006/relationships/hyperlink" Target="https://futureu.europa.eu/processes/Democracy/f/6/proposals/178" TargetMode="External"/><Relationship Id="rId1612" Type="http://schemas.openxmlformats.org/officeDocument/2006/relationships/hyperlink" Target="https://futureu.europa.eu/processes/Democracy/f/6/proposals/8515" TargetMode="External"/><Relationship Id="rId1613" Type="http://schemas.openxmlformats.org/officeDocument/2006/relationships/hyperlink" Target="https://futureu.europa.eu/processes/Democracy/f/6/proposals/123256" TargetMode="External"/><Relationship Id="rId1614" Type="http://schemas.openxmlformats.org/officeDocument/2006/relationships/hyperlink" Target="https://futureu.europa.eu/processes/Democracy/f/6/proposals/63031" TargetMode="External"/><Relationship Id="rId1615" Type="http://schemas.openxmlformats.org/officeDocument/2006/relationships/hyperlink" Target="https://futureu.europa.eu/processes/Democracy/f/6/proposals/63031" TargetMode="External"/><Relationship Id="rId1616" Type="http://schemas.openxmlformats.org/officeDocument/2006/relationships/hyperlink" Target="https://futureu.europa.eu/processes/Democracy/f/6/proposals/40657?per_page=100" TargetMode="External"/><Relationship Id="rId1617" Type="http://schemas.openxmlformats.org/officeDocument/2006/relationships/hyperlink" Target="https://futureu.europa.eu/processes/Democracy/f/6/proposals/242386" TargetMode="External"/><Relationship Id="rId1618" Type="http://schemas.openxmlformats.org/officeDocument/2006/relationships/hyperlink" Target="https://futureu.europa.eu/processes/Democracy/f/6/proposals/242386" TargetMode="External"/><Relationship Id="rId1619" Type="http://schemas.openxmlformats.org/officeDocument/2006/relationships/hyperlink" Target="https://futureu.europa.eu/processes/Democracy/f/6/proposals/115798" TargetMode="External"/><Relationship Id="rId1620" Type="http://schemas.openxmlformats.org/officeDocument/2006/relationships/hyperlink" Target="https://futureu.europa.eu/processes/Democracy/f/6/proposals/145366" TargetMode="External"/><Relationship Id="rId1621" Type="http://schemas.openxmlformats.org/officeDocument/2006/relationships/hyperlink" Target="https://futureu.europa.eu/processes/Democracy/f/6/proposals/145366" TargetMode="External"/><Relationship Id="rId1622" Type="http://schemas.openxmlformats.org/officeDocument/2006/relationships/hyperlink" Target="https://futureu.europa.eu/processes/Democracy/f/6/proposals/32676" TargetMode="External"/><Relationship Id="rId1623" Type="http://schemas.openxmlformats.org/officeDocument/2006/relationships/hyperlink" Target="https://futureu.europa.eu/processes/Democracy/f/6/proposals/148965" TargetMode="External"/><Relationship Id="rId1624" Type="http://schemas.openxmlformats.org/officeDocument/2006/relationships/hyperlink" Target="http://futureu.europa.eu/processes/Democracy/f/6/proposals/641" TargetMode="External"/><Relationship Id="rId1625" Type="http://schemas.openxmlformats.org/officeDocument/2006/relationships/hyperlink" Target="https://futureu.europa.eu/processes/Democracy/f/6/proposals/11141" TargetMode="External"/><Relationship Id="rId1626" Type="http://schemas.openxmlformats.org/officeDocument/2006/relationships/hyperlink" Target="https://futureu.europa.eu/processes/Democracy/f/6/proposals/101641" TargetMode="External"/><Relationship Id="rId1627" Type="http://schemas.openxmlformats.org/officeDocument/2006/relationships/hyperlink" Target="https://futureu.europa.eu/processes/Democracy/f/6/proposals/101641" TargetMode="External"/><Relationship Id="rId1628" Type="http://schemas.openxmlformats.org/officeDocument/2006/relationships/hyperlink" Target="https://futureu.europa.eu/processes/Democracy/f/6/proposals/18614" TargetMode="External"/><Relationship Id="rId1629" Type="http://schemas.openxmlformats.org/officeDocument/2006/relationships/hyperlink" Target="https://futureu.europa.eu/processes/Democracy/f/6/proposals/139696" TargetMode="External"/><Relationship Id="rId1630" Type="http://schemas.openxmlformats.org/officeDocument/2006/relationships/hyperlink" Target="https://futureu.europa.eu/processes/Democracy/f/6/proposals/84052" TargetMode="External"/><Relationship Id="rId1631" Type="http://schemas.openxmlformats.org/officeDocument/2006/relationships/hyperlink" Target="https://futureu.europa.eu/processes/Democracy/f/6/proposals/84052" TargetMode="External"/><Relationship Id="rId1632" Type="http://schemas.openxmlformats.org/officeDocument/2006/relationships/hyperlink" Target="https://futureu.europa.eu/processes/Democracy/f/6/proposals/62635?order=most_endorsed&amp;amp;page=3&amp;amp;per_page=50" TargetMode="External"/><Relationship Id="rId1633" Type="http://schemas.openxmlformats.org/officeDocument/2006/relationships/hyperlink" Target="https://futureu.europa.eu/processes/ValuesRights/f/12/proposals/197210" TargetMode="External"/><Relationship Id="rId1634" Type="http://schemas.openxmlformats.org/officeDocument/2006/relationships/hyperlink" Target="https://futureu.europa.eu/processes/ValuesRights/f/12/proposals/197210" TargetMode="External"/><Relationship Id="rId1635" Type="http://schemas.openxmlformats.org/officeDocument/2006/relationships/hyperlink" Target="https://futureu.europa.eu/processes/Democracy/f/6/proposals/412" TargetMode="External"/><Relationship Id="rId1636" Type="http://schemas.openxmlformats.org/officeDocument/2006/relationships/hyperlink" Target="https://futureu.europa.eu/processes/Democracy/f/6/proposals/27525" TargetMode="External"/><Relationship Id="rId1637" Type="http://schemas.openxmlformats.org/officeDocument/2006/relationships/hyperlink" Target="https://futureu.europa.eu/processes/Democracy/f/6/proposals/412" TargetMode="External"/><Relationship Id="rId1638" Type="http://schemas.openxmlformats.org/officeDocument/2006/relationships/hyperlink" Target="https://futureu.europa.eu/processes/Democracy/f/6/proposals/412" TargetMode="External"/><Relationship Id="rId1639" Type="http://schemas.openxmlformats.org/officeDocument/2006/relationships/hyperlink" Target="https://futureu.europa.eu/processes/Democracy/f/6/proposals/245620" TargetMode="External"/><Relationship Id="rId1640" Type="http://schemas.openxmlformats.org/officeDocument/2006/relationships/hyperlink" Target="https://futureu.europa.eu/processes/Democracy/f/5/meetings/25906" TargetMode="External"/><Relationship Id="rId1641" Type="http://schemas.openxmlformats.org/officeDocument/2006/relationships/hyperlink" Target="https://futureu.europa.eu/processes/Democracy/f/6/proposals/204766" TargetMode="External"/><Relationship Id="rId1642" Type="http://schemas.openxmlformats.org/officeDocument/2006/relationships/hyperlink" Target="https://futureu.europa.eu/processes/Democracy/f/6/proposals/198204" TargetMode="External"/><Relationship Id="rId1643" Type="http://schemas.openxmlformats.org/officeDocument/2006/relationships/hyperlink" Target="http://futureu.europa.eu/processes/Democracy/f/6/proposals/969" TargetMode="External"/><Relationship Id="rId1644" Type="http://schemas.openxmlformats.org/officeDocument/2006/relationships/hyperlink" Target="https://futureu.europa.eu/processes/Democracy/f/6/proposals/143455" TargetMode="External"/><Relationship Id="rId1645" Type="http://schemas.openxmlformats.org/officeDocument/2006/relationships/hyperlink" Target="https://futureu.europa.eu/processes/Democracy/f/6/proposals/19075" TargetMode="External"/><Relationship Id="rId1646" Type="http://schemas.openxmlformats.org/officeDocument/2006/relationships/hyperlink" Target="http://futureu.europa.eu/processes/Democracy/f/6/proposals/23827" TargetMode="External"/><Relationship Id="rId1647" Type="http://schemas.openxmlformats.org/officeDocument/2006/relationships/hyperlink" Target="http://futureu.europa.eu/processes/Democracy/f/6/proposals/23827" TargetMode="External"/><Relationship Id="rId1648" Type="http://schemas.openxmlformats.org/officeDocument/2006/relationships/hyperlink" Target="http://futureu.europa.eu/processes/OtherIdeas/f/8/proposals/5235" TargetMode="External"/><Relationship Id="rId1649" Type="http://schemas.openxmlformats.org/officeDocument/2006/relationships/hyperlink" Target="https://futureu.europa.eu/processes/EUInTheWorld/f/16/proposals/214732" TargetMode="External"/><Relationship Id="rId1650" Type="http://schemas.openxmlformats.org/officeDocument/2006/relationships/hyperlink" Target="https://futureu.europa.eu/processes/EUInTheWorld/f/16/proposals/214732" TargetMode="External"/><Relationship Id="rId1651" Type="http://schemas.openxmlformats.org/officeDocument/2006/relationships/hyperlink" Target="https://futureu.europa.eu/processes/Democracy/f/6/proposals/63559" TargetMode="External"/><Relationship Id="rId1652" Type="http://schemas.openxmlformats.org/officeDocument/2006/relationships/hyperlink" Target="https://futureu.europa.eu/processes/Democracy/f/6/proposals/218165" TargetMode="External"/><Relationship Id="rId1653" Type="http://schemas.openxmlformats.org/officeDocument/2006/relationships/hyperlink" Target="https://futureu.europa.eu/processes/Democracy/f/6/proposals/13236" TargetMode="External"/><Relationship Id="rId1654" Type="http://schemas.openxmlformats.org/officeDocument/2006/relationships/hyperlink" Target="https://futureu.europa.eu/processes/Democracy/f/6/proposals/19075" TargetMode="External"/><Relationship Id="rId1655" Type="http://schemas.openxmlformats.org/officeDocument/2006/relationships/hyperlink" Target="https://futureu.europa.eu/processes/Democracy/f/6/proposals/19075" TargetMode="External"/><Relationship Id="rId1656" Type="http://schemas.openxmlformats.org/officeDocument/2006/relationships/hyperlink" Target="http://futureu.europa.eu/processes/Democracy/f/6/proposals/12508" TargetMode="External"/><Relationship Id="rId1657" Type="http://schemas.openxmlformats.org/officeDocument/2006/relationships/hyperlink" Target="https://futureu.europa.eu/processes/Democracy/f/6/proposals/53" TargetMode="External"/><Relationship Id="rId1658" Type="http://schemas.openxmlformats.org/officeDocument/2006/relationships/hyperlink" Target="https://futureu.europa.eu/processes/Democracy/f/6/proposals/53" TargetMode="External"/><Relationship Id="rId1659" Type="http://schemas.openxmlformats.org/officeDocument/2006/relationships/hyperlink" Target="http://futureu.europa.eu/processes/Democracy/f/6/proposals/26571" TargetMode="External"/><Relationship Id="rId1660" Type="http://schemas.openxmlformats.org/officeDocument/2006/relationships/hyperlink" Target="http://futureu.europa.eu/processes/Democracy/f/6/proposals/10865" TargetMode="External"/><Relationship Id="rId1661" Type="http://schemas.openxmlformats.org/officeDocument/2006/relationships/hyperlink" Target="http://futureu.europa.eu/processes/Democracy/f/6/proposals/60689" TargetMode="External"/><Relationship Id="rId1662" Type="http://schemas.openxmlformats.org/officeDocument/2006/relationships/hyperlink" Target="https://futureu.europa.eu/processes/Democracy/f/6/proposals/256876" TargetMode="External"/><Relationship Id="rId1663" Type="http://schemas.openxmlformats.org/officeDocument/2006/relationships/hyperlink" Target="https://futureu.europa.eu/processes/Democracy/f/6/proposals/35" TargetMode="External"/><Relationship Id="rId1664" Type="http://schemas.openxmlformats.org/officeDocument/2006/relationships/hyperlink" Target="https://futureu.europa.eu/processes/Democracy/f/6/proposals/3962" TargetMode="External"/><Relationship Id="rId1665" Type="http://schemas.openxmlformats.org/officeDocument/2006/relationships/hyperlink" Target="https://futureu.europa.eu/processes/Democracy/f/6/proposals/3962" TargetMode="External"/><Relationship Id="rId1666" Type="http://schemas.openxmlformats.org/officeDocument/2006/relationships/hyperlink" Target="https://futureu.europa.eu/processes/Democracy/f/6/proposals/188299" TargetMode="External"/><Relationship Id="rId1667" Type="http://schemas.openxmlformats.org/officeDocument/2006/relationships/hyperlink" Target="https://futureu.europa.eu/processes/Democracy/f/6/proposals/188299" TargetMode="External"/><Relationship Id="rId1668" Type="http://schemas.openxmlformats.org/officeDocument/2006/relationships/hyperlink" Target="https://futureu.europa.eu/processes/Democracy/f/6/proposals/248887" TargetMode="External"/><Relationship Id="rId1669" Type="http://schemas.openxmlformats.org/officeDocument/2006/relationships/hyperlink" Target="https://futureu.europa.eu/processes/Democracy/f/6/proposals/248887" TargetMode="External"/><Relationship Id="rId1670" Type="http://schemas.openxmlformats.org/officeDocument/2006/relationships/hyperlink" Target="https://futureu.europa.eu/processes/Democracy/f/6/proposals/29272" TargetMode="External"/><Relationship Id="rId1671" Type="http://schemas.openxmlformats.org/officeDocument/2006/relationships/hyperlink" Target="https://futureu.europa.eu/processes/Democracy/f/6/proposals/29272" TargetMode="External"/><Relationship Id="rId1672" Type="http://schemas.openxmlformats.org/officeDocument/2006/relationships/hyperlink" Target="https://futureu.europa.eu/processes/Democracy/f/6/proposals/13367" TargetMode="External"/><Relationship Id="rId1673" Type="http://schemas.openxmlformats.org/officeDocument/2006/relationships/hyperlink" Target="https://futureu.europa.eu/processes/Democracy/f/6/proposals/143590" TargetMode="External"/><Relationship Id="rId1674" Type="http://schemas.openxmlformats.org/officeDocument/2006/relationships/hyperlink" Target="https://futureu.europa.eu/processes/Democracy/f/6/proposals/143590" TargetMode="External"/><Relationship Id="rId1675" Type="http://schemas.openxmlformats.org/officeDocument/2006/relationships/hyperlink" Target="https://futureu.europa.eu/processes/Democracy/f/6/proposals/199618?toggle_translations=true" TargetMode="External"/><Relationship Id="rId1676" Type="http://schemas.openxmlformats.org/officeDocument/2006/relationships/hyperlink" Target="https://futureu.europa.eu/processes/Democracy/f/6/proposals/221662" TargetMode="External"/><Relationship Id="rId1677" Type="http://schemas.openxmlformats.org/officeDocument/2006/relationships/hyperlink" Target="https://futureu.europa.eu/processes/Democracy/f/6/proposals/247006" TargetMode="External"/><Relationship Id="rId1678" Type="http://schemas.openxmlformats.org/officeDocument/2006/relationships/hyperlink" Target="https://futureu.europa.eu/processes/Democracy/f/6/proposals/247006" TargetMode="External"/><Relationship Id="rId1679" Type="http://schemas.openxmlformats.org/officeDocument/2006/relationships/hyperlink" Target="https://futureu.europa.eu/processes/Democracy/f/6/proposals/233443" TargetMode="External"/><Relationship Id="rId1680" Type="http://schemas.openxmlformats.org/officeDocument/2006/relationships/hyperlink" Target="http://futureu.europa.eu/processes/Democracy/f/6/proposals/143" TargetMode="External"/><Relationship Id="rId1681" Type="http://schemas.openxmlformats.org/officeDocument/2006/relationships/hyperlink" Target="http://futureu.europa.eu/processes/Democracy/f/6/proposals/143" TargetMode="External"/><Relationship Id="rId1682" Type="http://schemas.openxmlformats.org/officeDocument/2006/relationships/hyperlink" Target="https://futureu.europa.eu/processes/OtherIdeas/f/7/meetings/230" TargetMode="External"/><Relationship Id="rId1683" Type="http://schemas.openxmlformats.org/officeDocument/2006/relationships/hyperlink" Target="https://futureu.europa.eu/processes/OtherIdeas/f/7/meetings/230" TargetMode="External"/><Relationship Id="rId1684" Type="http://schemas.openxmlformats.org/officeDocument/2006/relationships/hyperlink" Target="https://futureu.europa.eu/processes/Democracy/f/6/proposals/43" TargetMode="External"/><Relationship Id="rId1685" Type="http://schemas.openxmlformats.org/officeDocument/2006/relationships/hyperlink" Target="http://futureu.europa.eu/processes/Democracy/f/6/proposals/1304" TargetMode="External"/><Relationship Id="rId1686" Type="http://schemas.openxmlformats.org/officeDocument/2006/relationships/hyperlink" Target="https://futureu.europa.eu/processes/Democracy/f/6/proposals/43" TargetMode="External"/><Relationship Id="rId1687" Type="http://schemas.openxmlformats.org/officeDocument/2006/relationships/hyperlink" Target="http://futureu.europa.eu/processes/Democracy/f/6/proposals/15976" TargetMode="External"/><Relationship Id="rId1688" Type="http://schemas.openxmlformats.org/officeDocument/2006/relationships/hyperlink" Target="https://futureu.europa.eu/processes/Democracy/f/6/proposals/215922" TargetMode="External"/><Relationship Id="rId1689" Type="http://schemas.openxmlformats.org/officeDocument/2006/relationships/hyperlink" Target="https://futureu.europa.eu/processes/Democracy/f/6/proposals/215922" TargetMode="External"/><Relationship Id="rId1690" Type="http://schemas.openxmlformats.org/officeDocument/2006/relationships/hyperlink" Target="http://futureu.europa.eu/processes/OtherIdeas/f/8/proposals/1048" TargetMode="External"/><Relationship Id="rId1691" Type="http://schemas.openxmlformats.org/officeDocument/2006/relationships/hyperlink" Target="http://futureu.europa.eu/processes/OtherIdeas/f/8/proposals/1048" TargetMode="External"/><Relationship Id="rId1692" Type="http://schemas.openxmlformats.org/officeDocument/2006/relationships/hyperlink" Target="http://futureu.europa.eu/processes/OtherIdeas/f/8/proposals/8783" TargetMode="External"/><Relationship Id="rId1693" Type="http://schemas.openxmlformats.org/officeDocument/2006/relationships/hyperlink" Target="http://futureu.europa.eu/processes/OtherIdeas/f/8/proposals/4789" TargetMode="External"/><Relationship Id="rId1694" Type="http://schemas.openxmlformats.org/officeDocument/2006/relationships/hyperlink" Target="https://futureu.europa.eu/processes/Democracy/f/6/proposals/121080" TargetMode="External"/><Relationship Id="rId1695" Type="http://schemas.openxmlformats.org/officeDocument/2006/relationships/hyperlink" Target="https://futureu.europa.eu/processes/Democracy/f/6/proposals/42968" TargetMode="External"/><Relationship Id="rId1696" Type="http://schemas.openxmlformats.org/officeDocument/2006/relationships/hyperlink" Target="https://futureu.europa.eu/processes/Democracy/f/6/proposals/226353" TargetMode="External"/><Relationship Id="rId1697" Type="http://schemas.openxmlformats.org/officeDocument/2006/relationships/hyperlink" Target="https://futureu.europa.eu/processes/Democracy/f/6/proposals/226353" TargetMode="External"/><Relationship Id="rId1698" Type="http://schemas.openxmlformats.org/officeDocument/2006/relationships/hyperlink" Target="https://futureu.europa.eu/processes/Democracy/f/6/proposals/280" TargetMode="External"/><Relationship Id="rId1699" Type="http://schemas.openxmlformats.org/officeDocument/2006/relationships/hyperlink" Target="http://futureu.europa.eu/processes/OtherIdeas/f/8/proposals/12410" TargetMode="External"/><Relationship Id="rId1700" Type="http://schemas.openxmlformats.org/officeDocument/2006/relationships/hyperlink" Target="http://futureu.europa.eu/processes/Democracy/f/6/proposals/17327" TargetMode="External"/><Relationship Id="rId1701" Type="http://schemas.openxmlformats.org/officeDocument/2006/relationships/hyperlink" Target="http://futureu.europa.eu/processes/Democracy/f/6/proposals/17327" TargetMode="External"/><Relationship Id="rId1702" Type="http://schemas.openxmlformats.org/officeDocument/2006/relationships/hyperlink" Target="http://futureu.europa.eu/processes/OtherIdeas/f/8/proposals/12410" TargetMode="External"/><Relationship Id="rId1703" Type="http://schemas.openxmlformats.org/officeDocument/2006/relationships/hyperlink" Target="https://futureu.europa.eu/processes/Democracy/f/6/proposals/109" TargetMode="External"/><Relationship Id="rId1704" Type="http://schemas.openxmlformats.org/officeDocument/2006/relationships/hyperlink" Target="https://futureu.europa.eu/processes/Democracy/f/6/proposals/109" TargetMode="External"/><Relationship Id="rId1705" Type="http://schemas.openxmlformats.org/officeDocument/2006/relationships/hyperlink" Target="https://futureu.europa.eu/processes/Democracy/f/6/proposals/683" TargetMode="External"/><Relationship Id="rId1706" Type="http://schemas.openxmlformats.org/officeDocument/2006/relationships/hyperlink" Target="http://futureu.europa.eu/processes/Democracy/f/6/proposals/15319" TargetMode="External"/><Relationship Id="rId1707" Type="http://schemas.openxmlformats.org/officeDocument/2006/relationships/hyperlink" Target="https://futureu.europa.eu/processes/Democracy/f/6/proposals/2179?per_page=100" TargetMode="External"/><Relationship Id="rId1708" Type="http://schemas.openxmlformats.org/officeDocument/2006/relationships/hyperlink" Target="https://futureu.europa.eu/processes/Democracy/f/6/proposals/145268" TargetMode="External"/><Relationship Id="rId1709" Type="http://schemas.openxmlformats.org/officeDocument/2006/relationships/hyperlink" Target="http://futureu.europa.eu/processes/Democracy/f/6/proposals/1761" TargetMode="External"/><Relationship Id="rId1710" Type="http://schemas.openxmlformats.org/officeDocument/2006/relationships/hyperlink" Target="http://futureu.europa.eu/processes/Democracy/f/6/proposals/1761" TargetMode="External"/><Relationship Id="rId1711" Type="http://schemas.openxmlformats.org/officeDocument/2006/relationships/hyperlink" Target="https://futureu.europa.eu/processes/Democracy/f/6/proposals/199554" TargetMode="External"/><Relationship Id="rId1712" Type="http://schemas.openxmlformats.org/officeDocument/2006/relationships/hyperlink" Target="https://futureu.europa.eu/processes/Democracy/f/6/proposals/199554" TargetMode="External"/><Relationship Id="rId1713" Type="http://schemas.openxmlformats.org/officeDocument/2006/relationships/hyperlink" Target="https://futureu.europa.eu/processes/Democracy/f/6/proposals/189949?toggle_translations=true" TargetMode="External"/><Relationship Id="rId1714" Type="http://schemas.openxmlformats.org/officeDocument/2006/relationships/hyperlink" Target="http://futureu.europa.eu/processes/OtherIdeas/f/8/proposals/73327" TargetMode="External"/><Relationship Id="rId1715" Type="http://schemas.openxmlformats.org/officeDocument/2006/relationships/hyperlink" Target="https://futureu.europa.eu/processes/Democracy/f/6/proposals/80191" TargetMode="External"/><Relationship Id="rId1716" Type="http://schemas.openxmlformats.org/officeDocument/2006/relationships/hyperlink" Target="https://futureu.europa.eu/processes/Democracy/f/6/proposals/80191" TargetMode="External"/><Relationship Id="rId1717" Type="http://schemas.openxmlformats.org/officeDocument/2006/relationships/hyperlink" Target="https://futureu.europa.eu/processes/Democracy/f/6/proposals/241297" TargetMode="External"/><Relationship Id="rId1718" Type="http://schemas.openxmlformats.org/officeDocument/2006/relationships/hyperlink" Target="https://futureu.europa.eu/processes/Democracy/f/6/proposals/241297" TargetMode="External"/><Relationship Id="rId1719" Type="http://schemas.openxmlformats.org/officeDocument/2006/relationships/hyperlink" Target="https://futureu.europa.eu/processes/Democracy/f/5/meetings/66232" TargetMode="External"/><Relationship Id="rId1720" Type="http://schemas.openxmlformats.org/officeDocument/2006/relationships/hyperlink" Target="https://futureu.europa.eu/processes/Democracy/f/6/proposals/314096" TargetMode="External"/><Relationship Id="rId1721" Type="http://schemas.openxmlformats.org/officeDocument/2006/relationships/hyperlink" Target="https://futureu.europa.eu/processes/Democracy/f/6/proposals/311191" TargetMode="External"/><Relationship Id="rId1722" Type="http://schemas.openxmlformats.org/officeDocument/2006/relationships/hyperlink" Target="https://futureu.europa.eu/processes/Democracy/f/6/proposals/272516" TargetMode="External"/><Relationship Id="rId1723" Type="http://schemas.openxmlformats.org/officeDocument/2006/relationships/hyperlink" Target="https://futureu.europa.eu/processes/Democracy/f/6/proposals/268958" TargetMode="External"/><Relationship Id="rId1724" Type="http://schemas.openxmlformats.org/officeDocument/2006/relationships/hyperlink" Target="https://futureu.europa.eu/processes/Democracy/f/6/proposals/269084" TargetMode="External"/><Relationship Id="rId1725" Type="http://schemas.openxmlformats.org/officeDocument/2006/relationships/hyperlink" Target="https://futureu.europa.eu/processes/Democracy/f/6/proposals/274264" TargetMode="External"/><Relationship Id="rId1726" Type="http://schemas.openxmlformats.org/officeDocument/2006/relationships/hyperlink" Target="https://futureu.europa.eu/processes/Democracy/f/6/proposals/292480" TargetMode="External"/><Relationship Id="rId1727" Type="http://schemas.openxmlformats.org/officeDocument/2006/relationships/hyperlink" Target="https://futureu.europa.eu/processes/Democracy/f/6/proposals/292480" TargetMode="External"/><Relationship Id="rId1728" Type="http://schemas.openxmlformats.org/officeDocument/2006/relationships/header" Target="header15.xml"/><Relationship Id="rId1729" Type="http://schemas.openxmlformats.org/officeDocument/2006/relationships/footer" Target="footer14.xml"/><Relationship Id="rId1730" Type="http://schemas.openxmlformats.org/officeDocument/2006/relationships/image" Target="media/image45.png"/><Relationship Id="rId1731" Type="http://schemas.openxmlformats.org/officeDocument/2006/relationships/image" Target="media/image45.png"/><Relationship Id="rId1732" Type="http://schemas.openxmlformats.org/officeDocument/2006/relationships/header" Target="header16.xml"/><Relationship Id="rId1733" Type="http://schemas.openxmlformats.org/officeDocument/2006/relationships/footer" Target="footer15.xml"/><Relationship Id="rId1734" Type="http://schemas.openxmlformats.org/officeDocument/2006/relationships/image" Target="media/image46.png"/><Relationship Id="rId1735" Type="http://schemas.openxmlformats.org/officeDocument/2006/relationships/hyperlink" Target="https://futureu.europa.eu/processes/Migration/f/35/meetings/151834" TargetMode="External"/><Relationship Id="rId1736" Type="http://schemas.openxmlformats.org/officeDocument/2006/relationships/hyperlink" Target="https://futureu.europa.eu/processes/Migration/f/35/meetings/146455" TargetMode="External"/><Relationship Id="rId1737" Type="http://schemas.openxmlformats.org/officeDocument/2006/relationships/hyperlink" Target="https://futureu.europa.eu/processes/Migration/f/35/meetings/146455" TargetMode="External"/><Relationship Id="rId1738" Type="http://schemas.openxmlformats.org/officeDocument/2006/relationships/hyperlink" Target="https://futureu.europa.eu/processes/Migration/f/35/meetings/144541" TargetMode="External"/><Relationship Id="rId1739" Type="http://schemas.openxmlformats.org/officeDocument/2006/relationships/hyperlink" Target="https://futureu.europa.eu/processes/Migration/f/35/meetings/148996" TargetMode="External"/><Relationship Id="rId1740" Type="http://schemas.openxmlformats.org/officeDocument/2006/relationships/hyperlink" Target="https://futureu.europa.eu/processes/Migration/f/35/meetings/141506" TargetMode="External"/><Relationship Id="rId1741" Type="http://schemas.openxmlformats.org/officeDocument/2006/relationships/hyperlink" Target="https://futureu.europa.eu/processes/Migration/f/35/meetings/141506" TargetMode="External"/><Relationship Id="rId1742" Type="http://schemas.openxmlformats.org/officeDocument/2006/relationships/hyperlink" Target="https://futureu.europa.eu/processes/Migration/f/35/meetings/140020" TargetMode="External"/><Relationship Id="rId1743" Type="http://schemas.openxmlformats.org/officeDocument/2006/relationships/hyperlink" Target="https://futureu.europa.eu/processes/Migration/f/35/meetings/140020" TargetMode="External"/><Relationship Id="rId1744" Type="http://schemas.openxmlformats.org/officeDocument/2006/relationships/hyperlink" Target="https://futureu.europa.eu/processes/Migration/f/35/meetings/149163" TargetMode="External"/><Relationship Id="rId1745" Type="http://schemas.openxmlformats.org/officeDocument/2006/relationships/hyperlink" Target="https://futureu.europa.eu/processes/Migration/f/35/meetings/149163" TargetMode="External"/><Relationship Id="rId1746" Type="http://schemas.openxmlformats.org/officeDocument/2006/relationships/hyperlink" Target="https://futureu.europa.eu/processes/Migration/f/35/meetings/158467" TargetMode="External"/><Relationship Id="rId1747" Type="http://schemas.openxmlformats.org/officeDocument/2006/relationships/hyperlink" Target="https://futureu.europa.eu/processes/Migration/f/35/meetings/158467" TargetMode="External"/><Relationship Id="rId1748" Type="http://schemas.openxmlformats.org/officeDocument/2006/relationships/hyperlink" Target="https://futureu.europa.eu/processes/Migration/f/34/proposals/27886" TargetMode="External"/><Relationship Id="rId1749" Type="http://schemas.openxmlformats.org/officeDocument/2006/relationships/hyperlink" Target="http://futureu.europa.eu/processes/Migration/f/34/proposals/4324" TargetMode="External"/><Relationship Id="rId1750" Type="http://schemas.openxmlformats.org/officeDocument/2006/relationships/hyperlink" Target="https://futureu.europa.eu/processes/Migration/f/35/meetings/55078" TargetMode="External"/><Relationship Id="rId1751" Type="http://schemas.openxmlformats.org/officeDocument/2006/relationships/hyperlink" Target="https://futureu.europa.eu/processes/Migration/f/35/meetings/55078" TargetMode="External"/><Relationship Id="rId1752" Type="http://schemas.openxmlformats.org/officeDocument/2006/relationships/hyperlink" Target="http://futureu.europa.eu/processes/Migration/f/34/proposals/17824" TargetMode="External"/><Relationship Id="rId1753" Type="http://schemas.openxmlformats.org/officeDocument/2006/relationships/hyperlink" Target="http://futureu.europa.eu/processes/Migration/f/34/proposals/27836" TargetMode="External"/><Relationship Id="rId1754" Type="http://schemas.openxmlformats.org/officeDocument/2006/relationships/hyperlink" Target="https://futureu.europa.eu/processes/Migration/f/34/proposals/186814" TargetMode="External"/><Relationship Id="rId1755" Type="http://schemas.openxmlformats.org/officeDocument/2006/relationships/hyperlink" Target="https://futureu.europa.eu/processes/Migration/f/34/proposals/13841" TargetMode="External"/><Relationship Id="rId1756" Type="http://schemas.openxmlformats.org/officeDocument/2006/relationships/hyperlink" Target="https://futureu.europa.eu/processes/Migration/f/34/proposals/253180" TargetMode="External"/><Relationship Id="rId1757" Type="http://schemas.openxmlformats.org/officeDocument/2006/relationships/hyperlink" Target="https://futureu.europa.eu/processes/Migration/f/34/proposals/253180" TargetMode="External"/><Relationship Id="rId1758" Type="http://schemas.openxmlformats.org/officeDocument/2006/relationships/hyperlink" Target="http://futureu.europa.eu/processes/Migration/f/34/proposals/13311" TargetMode="External"/><Relationship Id="rId1759" Type="http://schemas.openxmlformats.org/officeDocument/2006/relationships/hyperlink" Target="http://futureu.europa.eu/processes/Migration/f/34/proposals/13311" TargetMode="External"/><Relationship Id="rId1760" Type="http://schemas.openxmlformats.org/officeDocument/2006/relationships/hyperlink" Target="https://futureu.europa.eu/processes/Migration/f/34/proposals/2580" TargetMode="External"/><Relationship Id="rId1761" Type="http://schemas.openxmlformats.org/officeDocument/2006/relationships/hyperlink" Target="https://futureu.europa.eu/processes/Migration/f/34/proposals/14565" TargetMode="External"/><Relationship Id="rId1762" Type="http://schemas.openxmlformats.org/officeDocument/2006/relationships/hyperlink" Target="https://futureu.europa.eu/processes/Migration/f/34/proposals/14565" TargetMode="External"/><Relationship Id="rId1763" Type="http://schemas.openxmlformats.org/officeDocument/2006/relationships/hyperlink" Target="https://futureu.europa.eu/processes/Migration/f/35/meetings/27853" TargetMode="External"/><Relationship Id="rId1764" Type="http://schemas.openxmlformats.org/officeDocument/2006/relationships/hyperlink" Target="https://futureu.europa.eu/processes/Migration/f/34/proposals/1799" TargetMode="External"/><Relationship Id="rId1765" Type="http://schemas.openxmlformats.org/officeDocument/2006/relationships/hyperlink" Target="https://futureu.europa.eu/processes/Migration/f/34/proposals/32407" TargetMode="External"/><Relationship Id="rId1766" Type="http://schemas.openxmlformats.org/officeDocument/2006/relationships/hyperlink" Target="https://futureu.europa.eu/processes/Migration/f/34/proposals/32407" TargetMode="External"/><Relationship Id="rId1767" Type="http://schemas.openxmlformats.org/officeDocument/2006/relationships/hyperlink" Target="http://futureu.europa.eu/processes/Migration/f/34/proposals/19837" TargetMode="External"/><Relationship Id="rId1768" Type="http://schemas.openxmlformats.org/officeDocument/2006/relationships/hyperlink" Target="http://futureu.europa.eu/processes/Migration/f/34/proposals/19837" TargetMode="External"/><Relationship Id="rId1769" Type="http://schemas.openxmlformats.org/officeDocument/2006/relationships/hyperlink" Target="https://futureu.europa.eu/processes/Migration/f/34/proposals/15219" TargetMode="External"/><Relationship Id="rId1770" Type="http://schemas.openxmlformats.org/officeDocument/2006/relationships/hyperlink" Target="https://futureu.europa.eu/processes/Migration/f/34/proposals/208563" TargetMode="External"/><Relationship Id="rId1771" Type="http://schemas.openxmlformats.org/officeDocument/2006/relationships/hyperlink" Target="https://futureu.europa.eu/processes/Migration/f/34/proposals/208563" TargetMode="External"/><Relationship Id="rId1772" Type="http://schemas.openxmlformats.org/officeDocument/2006/relationships/hyperlink" Target="https://futureu.europa.eu/processes/Migration/f/34/proposals/14852" TargetMode="External"/><Relationship Id="rId1773" Type="http://schemas.openxmlformats.org/officeDocument/2006/relationships/hyperlink" Target="https://futureu.europa.eu/processes/Migration/f/34/proposals/57751" TargetMode="External"/><Relationship Id="rId1774" Type="http://schemas.openxmlformats.org/officeDocument/2006/relationships/hyperlink" Target="https://futureu.europa.eu/processes/Migration/f/34/proposals/57751" TargetMode="External"/><Relationship Id="rId1775" Type="http://schemas.openxmlformats.org/officeDocument/2006/relationships/hyperlink" Target="https://futureu.europa.eu/processes/Migration/f/34/proposals/110" TargetMode="External"/><Relationship Id="rId1776" Type="http://schemas.openxmlformats.org/officeDocument/2006/relationships/hyperlink" Target="https://futureu.europa.eu/processes/Migration/f/34/proposals/110" TargetMode="External"/><Relationship Id="rId1777" Type="http://schemas.openxmlformats.org/officeDocument/2006/relationships/hyperlink" Target="https://futureu.europa.eu/processes/Migration/f/34/proposals/30625" TargetMode="External"/><Relationship Id="rId1778" Type="http://schemas.openxmlformats.org/officeDocument/2006/relationships/hyperlink" Target="https://futureu.europa.eu/processes/Migration/f/34/proposals/162099" TargetMode="External"/><Relationship Id="rId1779" Type="http://schemas.openxmlformats.org/officeDocument/2006/relationships/hyperlink" Target="https://futureu.europa.eu/processes/Migration/f/34/proposals/245521" TargetMode="External"/><Relationship Id="rId1780" Type="http://schemas.openxmlformats.org/officeDocument/2006/relationships/hyperlink" Target="https://futureu.europa.eu/processes/Migration/f/34/proposals/21946" TargetMode="External"/><Relationship Id="rId1781" Type="http://schemas.openxmlformats.org/officeDocument/2006/relationships/hyperlink" Target="https://futureu.europa.eu/processes/Migration/f/34/proposals/21946" TargetMode="External"/><Relationship Id="rId1782" Type="http://schemas.openxmlformats.org/officeDocument/2006/relationships/hyperlink" Target="https://futureu.europa.eu/processes/Migration/f/34/proposals/129230" TargetMode="External"/><Relationship Id="rId1783" Type="http://schemas.openxmlformats.org/officeDocument/2006/relationships/hyperlink" Target="https://futureu.europa.eu/processes/Migration/f/34/proposals/162102" TargetMode="External"/><Relationship Id="rId1784" Type="http://schemas.openxmlformats.org/officeDocument/2006/relationships/hyperlink" Target="https://futureu.europa.eu/processes/Migration/f/34/proposals/162102" TargetMode="External"/><Relationship Id="rId1785" Type="http://schemas.openxmlformats.org/officeDocument/2006/relationships/hyperlink" Target="https://futureu.europa.eu/processes/Migration/f/35/meetings/37753" TargetMode="External"/><Relationship Id="rId1786" Type="http://schemas.openxmlformats.org/officeDocument/2006/relationships/hyperlink" Target="https://futureu.europa.eu/processes/Migration/f/34/proposals/162394" TargetMode="External"/><Relationship Id="rId1787" Type="http://schemas.openxmlformats.org/officeDocument/2006/relationships/hyperlink" Target="https://futureu.europa.eu/processes/Migration/f/34/proposals/162394" TargetMode="External"/><Relationship Id="rId1788" Type="http://schemas.openxmlformats.org/officeDocument/2006/relationships/hyperlink" Target="https://futureu.europa.eu/processes/Migration/f/34/proposals/162105" TargetMode="External"/><Relationship Id="rId1789" Type="http://schemas.openxmlformats.org/officeDocument/2006/relationships/hyperlink" Target="https://futureu.europa.eu/processes/Migration/f/34/proposals/162105" TargetMode="External"/><Relationship Id="rId1790" Type="http://schemas.openxmlformats.org/officeDocument/2006/relationships/hyperlink" Target="http://futureu.europa.eu/processes/Migration/f/34/proposals/17988" TargetMode="External"/><Relationship Id="rId1791" Type="http://schemas.openxmlformats.org/officeDocument/2006/relationships/hyperlink" Target="http://futureu.europa.eu/processes/Migration/f/34/proposals/82864" TargetMode="External"/><Relationship Id="rId1792" Type="http://schemas.openxmlformats.org/officeDocument/2006/relationships/hyperlink" Target="http://futureu.europa.eu/processes/Migration/f/34/proposals/82864" TargetMode="External"/><Relationship Id="rId1793" Type="http://schemas.openxmlformats.org/officeDocument/2006/relationships/hyperlink" Target="https://futureu.europa.eu/processes/Migration/f/34/proposals/35179" TargetMode="External"/><Relationship Id="rId1794" Type="http://schemas.openxmlformats.org/officeDocument/2006/relationships/hyperlink" Target="https://futureu.europa.eu/processes/Migration/f/34/proposals/35179" TargetMode="External"/><Relationship Id="rId1795" Type="http://schemas.openxmlformats.org/officeDocument/2006/relationships/hyperlink" Target="https://futureu.europa.eu/processes/Migration/f/34/proposals/210" TargetMode="External"/><Relationship Id="rId1796" Type="http://schemas.openxmlformats.org/officeDocument/2006/relationships/hyperlink" Target="https://futureu.europa.eu/processes/Migration/f/34/proposals/210" TargetMode="External"/><Relationship Id="rId1797" Type="http://schemas.openxmlformats.org/officeDocument/2006/relationships/hyperlink" Target="https://futureu.europa.eu/processes/Migration/f/34/proposals/119" TargetMode="External"/><Relationship Id="rId1798" Type="http://schemas.openxmlformats.org/officeDocument/2006/relationships/hyperlink" Target="https://futureu.europa.eu/processes/Migration/f/34/proposals/119" TargetMode="External"/><Relationship Id="rId1799" Type="http://schemas.openxmlformats.org/officeDocument/2006/relationships/hyperlink" Target="https://futureu.europa.eu/processes/Migration/f/35/meetings/87187" TargetMode="External"/><Relationship Id="rId1800" Type="http://schemas.openxmlformats.org/officeDocument/2006/relationships/hyperlink" Target="https://futureu.europa.eu/processes/Migration/f/35/meetings/87187" TargetMode="External"/><Relationship Id="rId1801" Type="http://schemas.openxmlformats.org/officeDocument/2006/relationships/hyperlink" Target="https://futureu.europa.eu/processes/Migration/f/34/proposals/5245" TargetMode="External"/><Relationship Id="rId1802" Type="http://schemas.openxmlformats.org/officeDocument/2006/relationships/hyperlink" Target="http://futureu.europa.eu/processes/Migration/f/34/proposals/11491" TargetMode="External"/><Relationship Id="rId1803" Type="http://schemas.openxmlformats.org/officeDocument/2006/relationships/hyperlink" Target="http://futureu.europa.eu/processes/Migration/f/34/proposals/11491" TargetMode="External"/><Relationship Id="rId1804" Type="http://schemas.openxmlformats.org/officeDocument/2006/relationships/hyperlink" Target="https://futureu.europa.eu/processes/Migration/f/34/proposals/143620" TargetMode="External"/><Relationship Id="rId1805" Type="http://schemas.openxmlformats.org/officeDocument/2006/relationships/hyperlink" Target="http://futureu.europa.eu/processes/Migration/f/34/proposals/13071" TargetMode="External"/><Relationship Id="rId1806" Type="http://schemas.openxmlformats.org/officeDocument/2006/relationships/hyperlink" Target="http://futureu.europa.eu/processes/Migration/f/34/proposals/62703" TargetMode="External"/><Relationship Id="rId1807" Type="http://schemas.openxmlformats.org/officeDocument/2006/relationships/hyperlink" Target="https://futureu.europa.eu/processes/Migration/f/34/proposals/16006" TargetMode="External"/><Relationship Id="rId1808" Type="http://schemas.openxmlformats.org/officeDocument/2006/relationships/hyperlink" Target="https://futureu.europa.eu/processes/Migration/f/34/proposals/222852" TargetMode="External"/><Relationship Id="rId1809" Type="http://schemas.openxmlformats.org/officeDocument/2006/relationships/hyperlink" Target="https://futureu.europa.eu/processes/Migration/f/34/proposals/74" TargetMode="External"/><Relationship Id="rId1810" Type="http://schemas.openxmlformats.org/officeDocument/2006/relationships/hyperlink" Target="https://futureu.europa.eu/processes/Migration/f/34/proposals/224" TargetMode="External"/><Relationship Id="rId1811" Type="http://schemas.openxmlformats.org/officeDocument/2006/relationships/hyperlink" Target="https://futureu.europa.eu/processes/Migration/f/34/proposals/237008" TargetMode="External"/><Relationship Id="rId1812" Type="http://schemas.openxmlformats.org/officeDocument/2006/relationships/hyperlink" Target="https://futureu.europa.eu/processes/Migration/f/34/proposals/237008" TargetMode="External"/><Relationship Id="rId1813" Type="http://schemas.openxmlformats.org/officeDocument/2006/relationships/hyperlink" Target="http://futureu.europa.eu/processes/Migration/f/34/proposals/1526" TargetMode="External"/><Relationship Id="rId1814" Type="http://schemas.openxmlformats.org/officeDocument/2006/relationships/hyperlink" Target="http://futureu.europa.eu/processes/Migration/f/34/proposals/1526" TargetMode="External"/><Relationship Id="rId1815" Type="http://schemas.openxmlformats.org/officeDocument/2006/relationships/hyperlink" Target="https://futureu.europa.eu/processes/Migration/f/34/proposals/123982" TargetMode="External"/><Relationship Id="rId1816" Type="http://schemas.openxmlformats.org/officeDocument/2006/relationships/hyperlink" Target="https://futureu.europa.eu/processes/Migration/f/34/proposals/123982" TargetMode="External"/><Relationship Id="rId1817" Type="http://schemas.openxmlformats.org/officeDocument/2006/relationships/hyperlink" Target="https://futureu.europa.eu/processes/Migration/f/34/proposals/114577" TargetMode="External"/><Relationship Id="rId1818" Type="http://schemas.openxmlformats.org/officeDocument/2006/relationships/hyperlink" Target="https://futureu.europa.eu/processes/Migration/f/34/proposals/114577" TargetMode="External"/><Relationship Id="rId1819" Type="http://schemas.openxmlformats.org/officeDocument/2006/relationships/hyperlink" Target="https://futureu.europa.eu/processes/Migration/f/35/meetings/18349" TargetMode="External"/><Relationship Id="rId1820" Type="http://schemas.openxmlformats.org/officeDocument/2006/relationships/hyperlink" Target="https://futureu.europa.eu/processes/Migration/f/35/meetings/18349" TargetMode="External"/><Relationship Id="rId1821" Type="http://schemas.openxmlformats.org/officeDocument/2006/relationships/hyperlink" Target="https://futureu.europa.eu/processes/Migration/f/34/proposals/246082" TargetMode="External"/><Relationship Id="rId1822" Type="http://schemas.openxmlformats.org/officeDocument/2006/relationships/hyperlink" Target="https://futureu.europa.eu/processes/Migration/f/35/meetings/80819" TargetMode="External"/><Relationship Id="rId1823" Type="http://schemas.openxmlformats.org/officeDocument/2006/relationships/hyperlink" Target="https://futureu.europa.eu/processes/Migration/f/35/meetings/80819" TargetMode="External"/><Relationship Id="rId1824" Type="http://schemas.openxmlformats.org/officeDocument/2006/relationships/hyperlink" Target="https://futureu.europa.eu/processes/Migration/f/34/proposals/192953" TargetMode="External"/><Relationship Id="rId1825" Type="http://schemas.openxmlformats.org/officeDocument/2006/relationships/hyperlink" Target="https://futureu.europa.eu/processes/Migration/f/34/proposals/192953" TargetMode="External"/><Relationship Id="rId1826" Type="http://schemas.openxmlformats.org/officeDocument/2006/relationships/hyperlink" Target="https://futureu.europa.eu/processes/Migration/f/34/proposals/192953" TargetMode="External"/><Relationship Id="rId1827" Type="http://schemas.openxmlformats.org/officeDocument/2006/relationships/hyperlink" Target="http://futureu.europa.eu/processes/Migration/f/34/proposals/22541" TargetMode="External"/><Relationship Id="rId1828" Type="http://schemas.openxmlformats.org/officeDocument/2006/relationships/hyperlink" Target="https://futureu.europa.eu/processes/Migration/f/34/proposals/82930" TargetMode="External"/><Relationship Id="rId1829" Type="http://schemas.openxmlformats.org/officeDocument/2006/relationships/hyperlink" Target="http://futureu.europa.eu/processes/Migration/f/34/proposals/71512" TargetMode="External"/><Relationship Id="rId1830" Type="http://schemas.openxmlformats.org/officeDocument/2006/relationships/hyperlink" Target="https://futureu.europa.eu/processes/GreenDeal/f/2/meetings/2806" TargetMode="External"/><Relationship Id="rId1831" Type="http://schemas.openxmlformats.org/officeDocument/2006/relationships/hyperlink" Target="https://futureu.europa.eu/processes/Migration/f/34/proposals/220474" TargetMode="External"/><Relationship Id="rId1832" Type="http://schemas.openxmlformats.org/officeDocument/2006/relationships/hyperlink" Target="https://futureu.europa.eu/processes/Migration/f/34/proposals/303076" TargetMode="External"/><Relationship Id="rId1833" Type="http://schemas.openxmlformats.org/officeDocument/2006/relationships/hyperlink" Target="https://futureu.europa.eu/processes/Migration/f/34/proposals/303076" TargetMode="External"/><Relationship Id="rId1834" Type="http://schemas.openxmlformats.org/officeDocument/2006/relationships/hyperlink" Target="https://futureu.europa.eu/processes/Migration/f/34/proposals/299614" TargetMode="External"/><Relationship Id="rId1835" Type="http://schemas.openxmlformats.org/officeDocument/2006/relationships/hyperlink" Target="https://futureu.europa.eu/processes/Migration/f/34/proposals/299614" TargetMode="External"/><Relationship Id="rId1836" Type="http://schemas.openxmlformats.org/officeDocument/2006/relationships/hyperlink" Target="https://futureu.europa.eu/processes/Migration/f/34/proposals/292546" TargetMode="External"/><Relationship Id="rId1837" Type="http://schemas.openxmlformats.org/officeDocument/2006/relationships/hyperlink" Target="https://futureu.europa.eu/processes/Migration/f/34/proposals/301259" TargetMode="External"/><Relationship Id="rId1838" Type="http://schemas.openxmlformats.org/officeDocument/2006/relationships/hyperlink" Target="https://futureu.europa.eu/processes/Migration/f/34/proposals/296506" TargetMode="External"/><Relationship Id="rId1839" Type="http://schemas.openxmlformats.org/officeDocument/2006/relationships/hyperlink" Target="https://futureu.europa.eu/processes/Migration/f/34/proposals/273439" TargetMode="External"/><Relationship Id="rId1840" Type="http://schemas.openxmlformats.org/officeDocument/2006/relationships/hyperlink" Target="https://futureu.europa.eu/processes/Migration/f/34/proposals/273439" TargetMode="External"/><Relationship Id="rId1841" Type="http://schemas.openxmlformats.org/officeDocument/2006/relationships/hyperlink" Target="https://futureu.europa.eu/processes/Migration/f/34/proposals/301326" TargetMode="External"/><Relationship Id="rId1842" Type="http://schemas.openxmlformats.org/officeDocument/2006/relationships/hyperlink" Target="https://futureu.europa.eu/processes/Migration/f/34/proposals/301326" TargetMode="External"/><Relationship Id="rId1843" Type="http://schemas.openxmlformats.org/officeDocument/2006/relationships/hyperlink" Target="https://futureu.europa.eu/processes/Migration/f/34/proposals/313271" TargetMode="External"/><Relationship Id="rId1844" Type="http://schemas.openxmlformats.org/officeDocument/2006/relationships/hyperlink" Target="https://futureu.europa.eu/processes/Migration/f/34/proposals/264597" TargetMode="External"/><Relationship Id="rId1845" Type="http://schemas.openxmlformats.org/officeDocument/2006/relationships/hyperlink" Target="https://futureu.europa.eu/processes/Migration/f/34/proposals/303279" TargetMode="External"/><Relationship Id="rId1846" Type="http://schemas.openxmlformats.org/officeDocument/2006/relationships/hyperlink" Target="https://futureu.europa.eu/processes/Migration/f/34/proposals/303279" TargetMode="External"/><Relationship Id="rId1847" Type="http://schemas.openxmlformats.org/officeDocument/2006/relationships/header" Target="header17.xml"/><Relationship Id="rId1848" Type="http://schemas.openxmlformats.org/officeDocument/2006/relationships/footer" Target="footer16.xml"/><Relationship Id="rId1849" Type="http://schemas.openxmlformats.org/officeDocument/2006/relationships/image" Target="media/image47.png"/><Relationship Id="rId1850" Type="http://schemas.openxmlformats.org/officeDocument/2006/relationships/image" Target="media/image47.png"/><Relationship Id="rId1851" Type="http://schemas.openxmlformats.org/officeDocument/2006/relationships/header" Target="header18.xml"/><Relationship Id="rId1852" Type="http://schemas.openxmlformats.org/officeDocument/2006/relationships/footer" Target="footer17.xml"/><Relationship Id="rId1853" Type="http://schemas.openxmlformats.org/officeDocument/2006/relationships/image" Target="media/image48.png"/><Relationship Id="rId1854" Type="http://schemas.openxmlformats.org/officeDocument/2006/relationships/hyperlink" Target="https://futureu.europa.eu/processes/Education/f/37/meetings/153649" TargetMode="External"/><Relationship Id="rId1855" Type="http://schemas.openxmlformats.org/officeDocument/2006/relationships/hyperlink" Target="https://futureu.europa.eu/processes/Education/f/37/meetings/146026" TargetMode="External"/><Relationship Id="rId1856" Type="http://schemas.openxmlformats.org/officeDocument/2006/relationships/hyperlink" Target="https://futureu.europa.eu/processes/Education/f/37/meetings/146026" TargetMode="External"/><Relationship Id="rId1857" Type="http://schemas.openxmlformats.org/officeDocument/2006/relationships/hyperlink" Target="https://futureu.europa.eu/processes/Education/f/37/meetings/149260" TargetMode="External"/><Relationship Id="rId1858" Type="http://schemas.openxmlformats.org/officeDocument/2006/relationships/hyperlink" Target="https://futureu.europa.eu/processes/Education/f/37/meetings/149260" TargetMode="External"/><Relationship Id="rId1859" Type="http://schemas.openxmlformats.org/officeDocument/2006/relationships/hyperlink" Target="https://futureu.europa.eu/processes/Education/f/36/proposals/17194" TargetMode="External"/><Relationship Id="rId1860" Type="http://schemas.openxmlformats.org/officeDocument/2006/relationships/hyperlink" Target="https://futureu.europa.eu/processes/Education/f/37/meetings/35608" TargetMode="External"/><Relationship Id="rId1861" Type="http://schemas.openxmlformats.org/officeDocument/2006/relationships/hyperlink" Target="https://futureu.europa.eu/processes/Education/f/36/proposals/159260" TargetMode="External"/><Relationship Id="rId1862" Type="http://schemas.openxmlformats.org/officeDocument/2006/relationships/hyperlink" Target="http://futureu.europa.eu/processes/Education/f/36/proposals/150910" TargetMode="External"/><Relationship Id="rId1863" Type="http://schemas.openxmlformats.org/officeDocument/2006/relationships/hyperlink" Target="http://futureu.europa.eu/processes/Education/f/36/proposals/150910" TargetMode="External"/><Relationship Id="rId1864" Type="http://schemas.openxmlformats.org/officeDocument/2006/relationships/hyperlink" Target="http://futureu.europa.eu/processes/Education/f/36/proposals/9279" TargetMode="External"/><Relationship Id="rId1865" Type="http://schemas.openxmlformats.org/officeDocument/2006/relationships/hyperlink" Target="https://futureu.europa.eu/processes/OtherIdeas/f/8/proposals/5399" TargetMode="External"/><Relationship Id="rId1866" Type="http://schemas.openxmlformats.org/officeDocument/2006/relationships/hyperlink" Target="https://futureu.europa.eu/processes/OtherIdeas/f/8/proposals/5399" TargetMode="External"/><Relationship Id="rId1867" Type="http://schemas.openxmlformats.org/officeDocument/2006/relationships/hyperlink" Target="https://futureu.europa.eu/processes/Education/f/36/proposals/39238" TargetMode="External"/><Relationship Id="rId1868" Type="http://schemas.openxmlformats.org/officeDocument/2006/relationships/hyperlink" Target="https://futureu.europa.eu/processes/OtherIdeas/f/8/proposals/17955" TargetMode="External"/><Relationship Id="rId1869" Type="http://schemas.openxmlformats.org/officeDocument/2006/relationships/hyperlink" Target="https://futureu.europa.eu/processes/OtherIdeas/f/8/proposals/17955" TargetMode="External"/><Relationship Id="rId1870" Type="http://schemas.openxmlformats.org/officeDocument/2006/relationships/hyperlink" Target="https://futureu.europa.eu/processes/Education/f/36/proposals/484" TargetMode="External"/><Relationship Id="rId1871" Type="http://schemas.openxmlformats.org/officeDocument/2006/relationships/hyperlink" Target="http://futureu.europa.eu/processes/Education/f/36/proposals/998" TargetMode="External"/><Relationship Id="rId1872" Type="http://schemas.openxmlformats.org/officeDocument/2006/relationships/hyperlink" Target="http://futureu.europa.eu/processes/Education/f/36/proposals/998" TargetMode="External"/><Relationship Id="rId1873" Type="http://schemas.openxmlformats.org/officeDocument/2006/relationships/hyperlink" Target="https://futureu.europa.eu/processes/Education/f/37/meetings/20659" TargetMode="External"/><Relationship Id="rId1874" Type="http://schemas.openxmlformats.org/officeDocument/2006/relationships/hyperlink" Target="https://futureu.europa.eu/processes/Education/f/37/meetings/20659" TargetMode="External"/><Relationship Id="rId1875" Type="http://schemas.openxmlformats.org/officeDocument/2006/relationships/hyperlink" Target="https://futureu.europa.eu/processes/Education/f/36/proposals/163" TargetMode="External"/><Relationship Id="rId1876" Type="http://schemas.openxmlformats.org/officeDocument/2006/relationships/hyperlink" Target="https://futureu.europa.eu/processes/Education/f/36/proposals/23761" TargetMode="External"/><Relationship Id="rId1877" Type="http://schemas.openxmlformats.org/officeDocument/2006/relationships/hyperlink" Target="https://futureu.europa.eu/processes/Education/f/36/proposals/733" TargetMode="External"/><Relationship Id="rId1878" Type="http://schemas.openxmlformats.org/officeDocument/2006/relationships/hyperlink" Target="http://futureu.europa.eu/processes/Education/f/36/proposals/2421" TargetMode="External"/><Relationship Id="rId1879" Type="http://schemas.openxmlformats.org/officeDocument/2006/relationships/hyperlink" Target="https://futureu.europa.eu/processes/Education/f/36/proposals/29107" TargetMode="External"/><Relationship Id="rId1880" Type="http://schemas.openxmlformats.org/officeDocument/2006/relationships/hyperlink" Target="https://futureu.europa.eu/processes/Education/f/36/proposals/243376" TargetMode="External"/><Relationship Id="rId1881" Type="http://schemas.openxmlformats.org/officeDocument/2006/relationships/hyperlink" Target="https://futureu.europa.eu/processes/Education/f/36/proposals/253188" TargetMode="External"/><Relationship Id="rId1882" Type="http://schemas.openxmlformats.org/officeDocument/2006/relationships/hyperlink" Target="https://futureu.europa.eu/processes/Education/f/36/proposals/253188" TargetMode="External"/><Relationship Id="rId1883" Type="http://schemas.openxmlformats.org/officeDocument/2006/relationships/hyperlink" Target="https://futureu.europa.eu/processes/Education/f/36/proposals/149427" TargetMode="External"/><Relationship Id="rId1884" Type="http://schemas.openxmlformats.org/officeDocument/2006/relationships/hyperlink" Target="https://futureu.europa.eu/processes/Education/f/36/proposals/171578" TargetMode="External"/><Relationship Id="rId1885" Type="http://schemas.openxmlformats.org/officeDocument/2006/relationships/hyperlink" Target="http://futureu.europa.eu/processes/OtherIdeas/f/8/proposals/43200" TargetMode="External"/><Relationship Id="rId1886" Type="http://schemas.openxmlformats.org/officeDocument/2006/relationships/hyperlink" Target="https://futureu.europa.eu/processes/Education/f/36/proposals/217207" TargetMode="External"/><Relationship Id="rId1887" Type="http://schemas.openxmlformats.org/officeDocument/2006/relationships/hyperlink" Target="https://futureu.europa.eu/processes/Education/f/36/proposals/217207" TargetMode="External"/><Relationship Id="rId1888" Type="http://schemas.openxmlformats.org/officeDocument/2006/relationships/hyperlink" Target="https://futureu.europa.eu/processes/Education/f/36/proposals/91714" TargetMode="External"/><Relationship Id="rId1889" Type="http://schemas.openxmlformats.org/officeDocument/2006/relationships/hyperlink" Target="https://futureu.europa.eu/processes/Education/f/36/proposals/10135" TargetMode="External"/><Relationship Id="rId1890" Type="http://schemas.openxmlformats.org/officeDocument/2006/relationships/hyperlink" Target="https://futureu.europa.eu/processes/Education/f/36/proposals/10135" TargetMode="External"/><Relationship Id="rId1891" Type="http://schemas.openxmlformats.org/officeDocument/2006/relationships/hyperlink" Target="https://futureu.europa.eu/processes/Education/f/36/proposals/114412" TargetMode="External"/><Relationship Id="rId1892" Type="http://schemas.openxmlformats.org/officeDocument/2006/relationships/hyperlink" Target="https://futureu.europa.eu/processes/Education/f/36/proposals/114412" TargetMode="External"/><Relationship Id="rId1893" Type="http://schemas.openxmlformats.org/officeDocument/2006/relationships/hyperlink" Target="https://futureu.europa.eu/processes/Education/f/36/proposals/10466" TargetMode="External"/><Relationship Id="rId1894" Type="http://schemas.openxmlformats.org/officeDocument/2006/relationships/hyperlink" Target="https://futureu.europa.eu/processes/Education/f/36/proposals/230374" TargetMode="External"/><Relationship Id="rId1895" Type="http://schemas.openxmlformats.org/officeDocument/2006/relationships/hyperlink" Target="https://futureu.europa.eu/processes/Education/f/36/proposals/230374" TargetMode="External"/><Relationship Id="rId1896" Type="http://schemas.openxmlformats.org/officeDocument/2006/relationships/hyperlink" Target="https://futureu.europa.eu/processes/Education/f/36/proposals/187078" TargetMode="External"/><Relationship Id="rId1897" Type="http://schemas.openxmlformats.org/officeDocument/2006/relationships/hyperlink" Target="https://futureu.europa.eu/processes/Education/f/36/proposals/187112" TargetMode="External"/><Relationship Id="rId1898" Type="http://schemas.openxmlformats.org/officeDocument/2006/relationships/hyperlink" Target="https://futureu.europa.eu/processes/Education/f/36/proposals/187112" TargetMode="External"/><Relationship Id="rId1899" Type="http://schemas.openxmlformats.org/officeDocument/2006/relationships/hyperlink" Target="https://futureu.europa.eu/processes/Education/f/36/proposals/703" TargetMode="External"/><Relationship Id="rId1900" Type="http://schemas.openxmlformats.org/officeDocument/2006/relationships/hyperlink" Target="https://futureu.europa.eu/processes/Education/f/36/proposals/703" TargetMode="External"/><Relationship Id="rId1901" Type="http://schemas.openxmlformats.org/officeDocument/2006/relationships/hyperlink" Target="https://futureu.europa.eu/processes/Education/f/36/proposals/703" TargetMode="External"/><Relationship Id="rId1902" Type="http://schemas.openxmlformats.org/officeDocument/2006/relationships/hyperlink" Target="https://futureu.europa.eu/processes/Education/f/36/proposals/1179?filter%5Bcategory_id%5D%5B%5D=38&amp;amp;order=most_followed" TargetMode="External"/><Relationship Id="rId1903" Type="http://schemas.openxmlformats.org/officeDocument/2006/relationships/hyperlink" Target="https://futureu.europa.eu/processes/Education/f/36/proposals/1179?filter%5Bcategory_id%5D%5B%5D=38&amp;amp;order=most_followed" TargetMode="External"/><Relationship Id="rId1904" Type="http://schemas.openxmlformats.org/officeDocument/2006/relationships/hyperlink" Target="https://futureu.europa.eu/processes/Education/f/36/proposals/1179?filter%5Bcategory_id%5D%5B%5D=38&amp;amp;order=most_followed" TargetMode="External"/><Relationship Id="rId1905" Type="http://schemas.openxmlformats.org/officeDocument/2006/relationships/hyperlink" Target="https://futureu.europa.eu/processes/Education/f/36/proposals/68938" TargetMode="External"/><Relationship Id="rId1906" Type="http://schemas.openxmlformats.org/officeDocument/2006/relationships/hyperlink" Target="https://futureu.europa.eu/processes/Education/f/36/proposals/86098" TargetMode="External"/><Relationship Id="rId1907" Type="http://schemas.openxmlformats.org/officeDocument/2006/relationships/hyperlink" Target="https://futureu.europa.eu/processes/Education/f/36/proposals/86098" TargetMode="External"/><Relationship Id="rId1908" Type="http://schemas.openxmlformats.org/officeDocument/2006/relationships/hyperlink" Target="https://futureu.europa.eu/processes/Education/f/37/meetings/28843" TargetMode="External"/><Relationship Id="rId1909" Type="http://schemas.openxmlformats.org/officeDocument/2006/relationships/hyperlink" Target="https://futureu.europa.eu/processes/Education/f/37/meetings/28843" TargetMode="External"/><Relationship Id="rId1910" Type="http://schemas.openxmlformats.org/officeDocument/2006/relationships/hyperlink" Target="https://futureu.europa.eu/processes/Education/f/37/meetings/28843" TargetMode="External"/><Relationship Id="rId1911" Type="http://schemas.openxmlformats.org/officeDocument/2006/relationships/hyperlink" Target="https://futureu.europa.eu/processes/Education/f/36/proposals/147479" TargetMode="External"/><Relationship Id="rId1912" Type="http://schemas.openxmlformats.org/officeDocument/2006/relationships/hyperlink" Target="https://futureu.europa.eu/processes/Education/f/36/proposals/114445" TargetMode="External"/><Relationship Id="rId1913" Type="http://schemas.openxmlformats.org/officeDocument/2006/relationships/hyperlink" Target="https://futureu.europa.eu/processes/Education/f/36/proposals/114445" TargetMode="External"/><Relationship Id="rId1914" Type="http://schemas.openxmlformats.org/officeDocument/2006/relationships/hyperlink" Target="https://futureu.europa.eu/processes/Education/f/36/proposals/114445" TargetMode="External"/><Relationship Id="rId1915" Type="http://schemas.openxmlformats.org/officeDocument/2006/relationships/hyperlink" Target="https://futureu.europa.eu/processes/Education/f/36/proposals/431" TargetMode="External"/><Relationship Id="rId1916" Type="http://schemas.openxmlformats.org/officeDocument/2006/relationships/hyperlink" Target="https://futureu.europa.eu/processes/Education/f/36/proposals/431" TargetMode="External"/><Relationship Id="rId1917" Type="http://schemas.openxmlformats.org/officeDocument/2006/relationships/hyperlink" Target="https://futureu.europa.eu/processes/Education/f/36/proposals/6239?locale=en&amp;amp;order=most_endorsed" TargetMode="External"/><Relationship Id="rId1918" Type="http://schemas.openxmlformats.org/officeDocument/2006/relationships/hyperlink" Target="https://futureu.europa.eu/processes/Education/f/36/proposals/6239?locale=en&amp;amp;order=most_endorsed" TargetMode="External"/><Relationship Id="rId1919" Type="http://schemas.openxmlformats.org/officeDocument/2006/relationships/hyperlink" Target="https://futureu.europa.eu/processes/Education/f/36/proposals/129163" TargetMode="External"/><Relationship Id="rId1920" Type="http://schemas.openxmlformats.org/officeDocument/2006/relationships/hyperlink" Target="https://futureu.europa.eu/processes/Education/f/36/proposals/129163" TargetMode="External"/><Relationship Id="rId1921" Type="http://schemas.openxmlformats.org/officeDocument/2006/relationships/hyperlink" Target="http://futureu.europa.eu/processes/Education/f/36/proposals/61711" TargetMode="External"/><Relationship Id="rId1922" Type="http://schemas.openxmlformats.org/officeDocument/2006/relationships/hyperlink" Target="http://futureu.europa.eu/processes/Education/f/36/proposals/61711" TargetMode="External"/><Relationship Id="rId1923" Type="http://schemas.openxmlformats.org/officeDocument/2006/relationships/hyperlink" Target="https://futureu.europa.eu/processes/Education/f/36/proposals/129168" TargetMode="External"/><Relationship Id="rId1924" Type="http://schemas.openxmlformats.org/officeDocument/2006/relationships/hyperlink" Target="https://futureu.europa.eu/processes/Education/f/36/proposals/6403" TargetMode="External"/><Relationship Id="rId1925" Type="http://schemas.openxmlformats.org/officeDocument/2006/relationships/hyperlink" Target="https://futureu.europa.eu/processes/Education/f/36/proposals/71248" TargetMode="External"/><Relationship Id="rId1926" Type="http://schemas.openxmlformats.org/officeDocument/2006/relationships/hyperlink" Target="https://futureu.europa.eu/processes/Education/f/36/proposals/13842" TargetMode="External"/><Relationship Id="rId1927" Type="http://schemas.openxmlformats.org/officeDocument/2006/relationships/hyperlink" Target="https://futureu.europa.eu/processes/Education/f/36/proposals/13842" TargetMode="External"/><Relationship Id="rId1928" Type="http://schemas.openxmlformats.org/officeDocument/2006/relationships/hyperlink" Target="http://futureu.europa.eu/processes/Education/f/36/proposals/30262" TargetMode="External"/><Relationship Id="rId1929" Type="http://schemas.openxmlformats.org/officeDocument/2006/relationships/hyperlink" Target="http://futureu.europa.eu/processes/Education/f/36/proposals/30262" TargetMode="External"/><Relationship Id="rId1930" Type="http://schemas.openxmlformats.org/officeDocument/2006/relationships/hyperlink" Target="https://futureu.europa.eu/processes/Education/f/36/proposals/64426" TargetMode="External"/><Relationship Id="rId1931" Type="http://schemas.openxmlformats.org/officeDocument/2006/relationships/hyperlink" Target="https://futureu.europa.eu/processes/Education/f/36/proposals/64426" TargetMode="External"/><Relationship Id="rId1932" Type="http://schemas.openxmlformats.org/officeDocument/2006/relationships/hyperlink" Target="https://futureu.europa.eu/processes/Education/f/36/proposals/205459" TargetMode="External"/><Relationship Id="rId1933" Type="http://schemas.openxmlformats.org/officeDocument/2006/relationships/hyperlink" Target="https://futureu.europa.eu/processes/Education/f/36/proposals/161900" TargetMode="External"/><Relationship Id="rId1934" Type="http://schemas.openxmlformats.org/officeDocument/2006/relationships/hyperlink" Target="https://futureu.europa.eu/processes/Education/f/36/proposals/161900" TargetMode="External"/><Relationship Id="rId1935" Type="http://schemas.openxmlformats.org/officeDocument/2006/relationships/hyperlink" Target="http://futureu.europa.eu/processes/Education/f/36/proposals/55112" TargetMode="External"/><Relationship Id="rId1936" Type="http://schemas.openxmlformats.org/officeDocument/2006/relationships/hyperlink" Target="http://futureu.europa.eu/processes/Education/f/36/proposals/6095" TargetMode="External"/><Relationship Id="rId1937" Type="http://schemas.openxmlformats.org/officeDocument/2006/relationships/hyperlink" Target="https://futureu.europa.eu/processes/Education/f/37/meetings/35608" TargetMode="External"/><Relationship Id="rId1938" Type="http://schemas.openxmlformats.org/officeDocument/2006/relationships/hyperlink" Target="https://futureu.europa.eu/processes/Education/f/37/meetings/35608" TargetMode="External"/><Relationship Id="rId1939" Type="http://schemas.openxmlformats.org/officeDocument/2006/relationships/hyperlink" Target="https://futureu.europa.eu/processes/Education/f/36/proposals/226943" TargetMode="External"/><Relationship Id="rId1940" Type="http://schemas.openxmlformats.org/officeDocument/2006/relationships/hyperlink" Target="https://futureu.europa.eu/processes/Education/f/36/proposals/226943" TargetMode="External"/><Relationship Id="rId1941" Type="http://schemas.openxmlformats.org/officeDocument/2006/relationships/hyperlink" Target="http://futureu.europa.eu/processes/Education/f/36/proposals/2411" TargetMode="External"/><Relationship Id="rId1942" Type="http://schemas.openxmlformats.org/officeDocument/2006/relationships/hyperlink" Target="https://futureu.europa.eu/processes/Education/f/36/proposals/218594" TargetMode="External"/><Relationship Id="rId1943" Type="http://schemas.openxmlformats.org/officeDocument/2006/relationships/hyperlink" Target="http://futureu.europa.eu/processes/Education/f/36/proposals/2741" TargetMode="External"/><Relationship Id="rId1944" Type="http://schemas.openxmlformats.org/officeDocument/2006/relationships/hyperlink" Target="https://futureu.europa.eu/processes/Education/f/36/proposals/115470" TargetMode="External"/><Relationship Id="rId1945" Type="http://schemas.openxmlformats.org/officeDocument/2006/relationships/hyperlink" Target="https://futureu.europa.eu/processes/Education/f/36/proposals/168469" TargetMode="External"/><Relationship Id="rId1946" Type="http://schemas.openxmlformats.org/officeDocument/2006/relationships/hyperlink" Target="https://futureu.europa.eu/processes/Education/f/36/proposals/176321" TargetMode="External"/><Relationship Id="rId1947" Type="http://schemas.openxmlformats.org/officeDocument/2006/relationships/hyperlink" Target="https://futureu.europa.eu/processes/Education/f/36/proposals/166454" TargetMode="External"/><Relationship Id="rId1948" Type="http://schemas.openxmlformats.org/officeDocument/2006/relationships/hyperlink" Target="https://futureu.europa.eu/processes/Education/f/36/proposals/166454" TargetMode="External"/><Relationship Id="rId1949" Type="http://schemas.openxmlformats.org/officeDocument/2006/relationships/hyperlink" Target="https://futureu.europa.eu/processes/Education/f/36/proposals/140680" TargetMode="External"/><Relationship Id="rId1950" Type="http://schemas.openxmlformats.org/officeDocument/2006/relationships/hyperlink" Target="https://futureu.europa.eu/processes/Education/f/36/proposals/230904" TargetMode="External"/><Relationship Id="rId1951" Type="http://schemas.openxmlformats.org/officeDocument/2006/relationships/hyperlink" Target="https://futureu.europa.eu/processes/Education/f/36/proposals/190314" TargetMode="External"/><Relationship Id="rId1952" Type="http://schemas.openxmlformats.org/officeDocument/2006/relationships/hyperlink" Target="https://futureu.europa.eu/processes/Education/f/36/proposals/190314" TargetMode="External"/><Relationship Id="rId1953" Type="http://schemas.openxmlformats.org/officeDocument/2006/relationships/hyperlink" Target="https://futureu.europa.eu/processes/Education/f/36/proposals/13284" TargetMode="External"/><Relationship Id="rId1954" Type="http://schemas.openxmlformats.org/officeDocument/2006/relationships/hyperlink" Target="https://futureu.europa.eu/processes/Education/f/36/proposals/42341" TargetMode="External"/><Relationship Id="rId1955" Type="http://schemas.openxmlformats.org/officeDocument/2006/relationships/hyperlink" Target="https://futureu.europa.eu/processes/Education/f/36/proposals/160184" TargetMode="External"/><Relationship Id="rId1956" Type="http://schemas.openxmlformats.org/officeDocument/2006/relationships/hyperlink" Target="https://futureu.europa.eu/processes/Education/f/36/proposals/111047" TargetMode="External"/><Relationship Id="rId1957" Type="http://schemas.openxmlformats.org/officeDocument/2006/relationships/hyperlink" Target="https://futureu.europa.eu/processes/Education/f/36/proposals/111047" TargetMode="External"/><Relationship Id="rId1958" Type="http://schemas.openxmlformats.org/officeDocument/2006/relationships/hyperlink" Target="https://futureu.europa.eu/processes/Education/f/36/proposals/88870?toggle_translations=true" TargetMode="External"/><Relationship Id="rId1959" Type="http://schemas.openxmlformats.org/officeDocument/2006/relationships/hyperlink" Target="https://futureu.europa.eu/processes/Education/f/36/proposals/228130" TargetMode="External"/><Relationship Id="rId1960" Type="http://schemas.openxmlformats.org/officeDocument/2006/relationships/hyperlink" Target="https://futureu.europa.eu/processes/Education/f/36/proposals/223081" TargetMode="External"/><Relationship Id="rId1961" Type="http://schemas.openxmlformats.org/officeDocument/2006/relationships/hyperlink" Target="https://futureu.europa.eu/processes/Education/f/36/proposals/223081" TargetMode="External"/><Relationship Id="rId1962" Type="http://schemas.openxmlformats.org/officeDocument/2006/relationships/hyperlink" Target="https://futureu.europa.eu/processes/Education/f/36/proposals/175760" TargetMode="External"/><Relationship Id="rId1963" Type="http://schemas.openxmlformats.org/officeDocument/2006/relationships/hyperlink" Target="https://futureu.europa.eu/processes/Education/f/36/proposals/175760" TargetMode="External"/><Relationship Id="rId1964" Type="http://schemas.openxmlformats.org/officeDocument/2006/relationships/hyperlink" Target="https://futureu.europa.eu/processes/Education/f/36/proposals/13843" TargetMode="External"/><Relationship Id="rId1965" Type="http://schemas.openxmlformats.org/officeDocument/2006/relationships/hyperlink" Target="https://futureu.europa.eu/processes/Education/f/36/proposals/115402" TargetMode="External"/><Relationship Id="rId1966" Type="http://schemas.openxmlformats.org/officeDocument/2006/relationships/hyperlink" Target="https://futureu.europa.eu/processes/Education/f/36/proposals/36962" TargetMode="External"/><Relationship Id="rId1967" Type="http://schemas.openxmlformats.org/officeDocument/2006/relationships/hyperlink" Target="https://futureu.europa.eu/processes/Education/f/36/proposals/254348" TargetMode="External"/><Relationship Id="rId1968" Type="http://schemas.openxmlformats.org/officeDocument/2006/relationships/hyperlink" Target="https://futureu.europa.eu/processes/Education/f/36/proposals/51118" TargetMode="External"/><Relationship Id="rId1969" Type="http://schemas.openxmlformats.org/officeDocument/2006/relationships/hyperlink" Target="https://futureu.europa.eu/processes/Education/f/36/proposals/13843?order=most_endorsed" TargetMode="External"/><Relationship Id="rId1970" Type="http://schemas.openxmlformats.org/officeDocument/2006/relationships/hyperlink" Target="https://futureu.europa.eu/processes/Education/f/36/proposals/13843?order=most_endorsed" TargetMode="External"/><Relationship Id="rId1971" Type="http://schemas.openxmlformats.org/officeDocument/2006/relationships/hyperlink" Target="https://futureu.europa.eu/processes/EUInTheWorld/f/17/meetings/292" TargetMode="External"/><Relationship Id="rId1972" Type="http://schemas.openxmlformats.org/officeDocument/2006/relationships/hyperlink" Target="https://futureu.europa.eu/processes/EUInTheWorld/f/17/meetings/292" TargetMode="External"/><Relationship Id="rId1973" Type="http://schemas.openxmlformats.org/officeDocument/2006/relationships/hyperlink" Target="https://futureu.europa.eu/processes/Education/f/37/meetings/48941" TargetMode="External"/><Relationship Id="rId1974" Type="http://schemas.openxmlformats.org/officeDocument/2006/relationships/hyperlink" Target="https://futureu.europa.eu/processes/Education/f/37/meetings/48941" TargetMode="External"/><Relationship Id="rId1975" Type="http://schemas.openxmlformats.org/officeDocument/2006/relationships/hyperlink" Target="https://futureu.europa.eu/processes/Education/f/36/proposals/296" TargetMode="External"/><Relationship Id="rId1976" Type="http://schemas.openxmlformats.org/officeDocument/2006/relationships/hyperlink" Target="https://futureu.europa.eu/processes/Education/f/37/meetings/50260" TargetMode="External"/><Relationship Id="rId1977" Type="http://schemas.openxmlformats.org/officeDocument/2006/relationships/hyperlink" Target="https://futureu.europa.eu/processes/Education/f/37/meetings/50260" TargetMode="External"/><Relationship Id="rId1978" Type="http://schemas.openxmlformats.org/officeDocument/2006/relationships/hyperlink" Target="https://futureu.europa.eu/processes/Education/f/36/proposals/245950" TargetMode="External"/><Relationship Id="rId1979" Type="http://schemas.openxmlformats.org/officeDocument/2006/relationships/hyperlink" Target="https://futureu.europa.eu/processes/Education/f/36/proposals/245950" TargetMode="External"/><Relationship Id="rId1980" Type="http://schemas.openxmlformats.org/officeDocument/2006/relationships/hyperlink" Target="https://futureu.europa.eu/processes/Education/f/36/proposals/104479" TargetMode="External"/><Relationship Id="rId1981" Type="http://schemas.openxmlformats.org/officeDocument/2006/relationships/hyperlink" Target="https://futureu.europa.eu/processes/Education/f/36/proposals/104479" TargetMode="External"/><Relationship Id="rId1982" Type="http://schemas.openxmlformats.org/officeDocument/2006/relationships/hyperlink" Target="https://futureu.europa.eu/processes/Education/f/36/proposals/105" TargetMode="External"/><Relationship Id="rId1983" Type="http://schemas.openxmlformats.org/officeDocument/2006/relationships/hyperlink" Target="https://futureu.europa.eu/processes/Education/f/36/proposals/105" TargetMode="External"/><Relationship Id="rId1984" Type="http://schemas.openxmlformats.org/officeDocument/2006/relationships/hyperlink" Target="https://futureu.europa.eu/processes/Education/f/36/proposals/161734" TargetMode="External"/><Relationship Id="rId1985" Type="http://schemas.openxmlformats.org/officeDocument/2006/relationships/hyperlink" Target="https://futureu.europa.eu/processes/Education/f/36/proposals/8566" TargetMode="External"/><Relationship Id="rId1986" Type="http://schemas.openxmlformats.org/officeDocument/2006/relationships/hyperlink" Target="https://futureu.europa.eu/processes/Education/f/36/proposals/161767" TargetMode="External"/><Relationship Id="rId1987" Type="http://schemas.openxmlformats.org/officeDocument/2006/relationships/hyperlink" Target="https://futureu.europa.eu/processes/Education/f/36/proposals/186781" TargetMode="External"/><Relationship Id="rId1988" Type="http://schemas.openxmlformats.org/officeDocument/2006/relationships/hyperlink" Target="https://futureu.europa.eu/processes/Education/f/36/proposals/172794" TargetMode="External"/><Relationship Id="rId1989" Type="http://schemas.openxmlformats.org/officeDocument/2006/relationships/hyperlink" Target="https://futureu.europa.eu/processes/Education/f/36/proposals/172794" TargetMode="External"/><Relationship Id="rId1990" Type="http://schemas.openxmlformats.org/officeDocument/2006/relationships/hyperlink" Target="https://futureu.europa.eu/processes/Education/f/36/proposals/213115" TargetMode="External"/><Relationship Id="rId1991" Type="http://schemas.openxmlformats.org/officeDocument/2006/relationships/hyperlink" Target="https://futureu.europa.eu/processes/Education/f/37/meetings/104875" TargetMode="External"/><Relationship Id="rId1992" Type="http://schemas.openxmlformats.org/officeDocument/2006/relationships/hyperlink" Target="https://futureu.europa.eu/processes/Education/f/36/proposals/225194" TargetMode="External"/><Relationship Id="rId1993" Type="http://schemas.openxmlformats.org/officeDocument/2006/relationships/hyperlink" Target="https://futureu.europa.eu/processes/Education/f/36/proposals/225194" TargetMode="External"/><Relationship Id="rId1994" Type="http://schemas.openxmlformats.org/officeDocument/2006/relationships/hyperlink" Target="https://futureu.europa.eu/processes/Education/f/36/proposals/231430" TargetMode="External"/><Relationship Id="rId1995" Type="http://schemas.openxmlformats.org/officeDocument/2006/relationships/hyperlink" Target="https://futureu.europa.eu/processes/Education/f/36/proposals/139492" TargetMode="External"/><Relationship Id="rId1996" Type="http://schemas.openxmlformats.org/officeDocument/2006/relationships/hyperlink" Target="https://futureu.europa.eu/processes/Education/f/36/proposals/139492" TargetMode="External"/><Relationship Id="rId1997" Type="http://schemas.openxmlformats.org/officeDocument/2006/relationships/hyperlink" Target="https://futureu.europa.eu/processes/Education/f/36/proposals/227008" TargetMode="External"/><Relationship Id="rId1998" Type="http://schemas.openxmlformats.org/officeDocument/2006/relationships/hyperlink" Target="https://futureu.europa.eu/processes/Education/f/36/proposals/227008" TargetMode="External"/><Relationship Id="rId1999" Type="http://schemas.openxmlformats.org/officeDocument/2006/relationships/hyperlink" Target="https://futureu.europa.eu/processes/Education/f/36/proposals/221002" TargetMode="External"/><Relationship Id="rId2000" Type="http://schemas.openxmlformats.org/officeDocument/2006/relationships/hyperlink" Target="https://futureu.europa.eu/processes/Education/f/36/proposals/115407" TargetMode="External"/><Relationship Id="rId2001" Type="http://schemas.openxmlformats.org/officeDocument/2006/relationships/hyperlink" Target="https://futureu.europa.eu/processes/Education/f/36/proposals/251859" TargetMode="External"/><Relationship Id="rId2002" Type="http://schemas.openxmlformats.org/officeDocument/2006/relationships/hyperlink" Target="https://futureu.europa.eu/processes/Education/f/36/proposals/253872" TargetMode="External"/><Relationship Id="rId2003" Type="http://schemas.openxmlformats.org/officeDocument/2006/relationships/hyperlink" Target="https://futureu.europa.eu/processes/Education/f/36/proposals/254567" TargetMode="External"/><Relationship Id="rId2004" Type="http://schemas.openxmlformats.org/officeDocument/2006/relationships/hyperlink" Target="https://futureu.europa.eu/processes/Education/f/36/proposals/254567" TargetMode="External"/><Relationship Id="rId2005" Type="http://schemas.openxmlformats.org/officeDocument/2006/relationships/hyperlink" Target="https://futureu.europa.eu/processes/Education/f/37/meetings/48049" TargetMode="External"/><Relationship Id="rId2006" Type="http://schemas.openxmlformats.org/officeDocument/2006/relationships/hyperlink" Target="https://futureu.europa.eu/processes/Education/f/36/proposals/198270" TargetMode="External"/><Relationship Id="rId2007" Type="http://schemas.openxmlformats.org/officeDocument/2006/relationships/hyperlink" Target="https://futureu.europa.eu/processes/Education/f/36/proposals/198270" TargetMode="External"/><Relationship Id="rId2008" Type="http://schemas.openxmlformats.org/officeDocument/2006/relationships/hyperlink" Target="https://futureu.europa.eu/processes/Education/f/36/proposals/114313" TargetMode="External"/><Relationship Id="rId2009" Type="http://schemas.openxmlformats.org/officeDocument/2006/relationships/hyperlink" Target="https://futureu.europa.eu/processes/Education/f/36/proposals/114313" TargetMode="External"/><Relationship Id="rId2010" Type="http://schemas.openxmlformats.org/officeDocument/2006/relationships/hyperlink" Target="https://futureu.europa.eu/processes/Education/f/36/proposals/213347" TargetMode="External"/><Relationship Id="rId2011" Type="http://schemas.openxmlformats.org/officeDocument/2006/relationships/hyperlink" Target="https://futureu.europa.eu/processes/Education/f/36/proposals/213347" TargetMode="External"/><Relationship Id="rId2012" Type="http://schemas.openxmlformats.org/officeDocument/2006/relationships/hyperlink" Target="https://futureu.europa.eu/processes/Education/f/36/proposals/200510" TargetMode="External"/><Relationship Id="rId2013" Type="http://schemas.openxmlformats.org/officeDocument/2006/relationships/hyperlink" Target="https://futureu.europa.eu/processes/Education/f/36/proposals/245164" TargetMode="External"/><Relationship Id="rId2014" Type="http://schemas.openxmlformats.org/officeDocument/2006/relationships/hyperlink" Target="https://futureu.europa.eu/processes/Education/f/36/proposals/278423" TargetMode="External"/><Relationship Id="rId2015" Type="http://schemas.openxmlformats.org/officeDocument/2006/relationships/hyperlink" Target="https://futureu.europa.eu/processes/Education/f/36/proposals/278423" TargetMode="External"/><Relationship Id="rId2016" Type="http://schemas.openxmlformats.org/officeDocument/2006/relationships/hyperlink" Target="https://futureu.europa.eu/processes/Education/f/36/proposals/210805" TargetMode="External"/><Relationship Id="rId2017" Type="http://schemas.openxmlformats.org/officeDocument/2006/relationships/hyperlink" Target="https://futureu.europa.eu/processes/Education/f/36/proposals/212224" TargetMode="External"/><Relationship Id="rId2018" Type="http://schemas.openxmlformats.org/officeDocument/2006/relationships/hyperlink" Target="https://futureu.europa.eu/processes/Education/f/36/proposals/212224" TargetMode="External"/><Relationship Id="rId2019" Type="http://schemas.openxmlformats.org/officeDocument/2006/relationships/hyperlink" Target="https://futureu.europa.eu/processes/Education/f/37/meetings/355" TargetMode="External"/><Relationship Id="rId2020" Type="http://schemas.openxmlformats.org/officeDocument/2006/relationships/hyperlink" Target="https://futureu.europa.eu/processes/Education/f/37/meetings/355" TargetMode="External"/><Relationship Id="rId2021" Type="http://schemas.openxmlformats.org/officeDocument/2006/relationships/hyperlink" Target="https://futureu.europa.eu/processes/Education/f/36/proposals/294230" TargetMode="External"/><Relationship Id="rId2022" Type="http://schemas.openxmlformats.org/officeDocument/2006/relationships/hyperlink" Target="https://futureu.europa.eu/processes/Education/f/36/proposals/292315" TargetMode="External"/><Relationship Id="rId2023" Type="http://schemas.openxmlformats.org/officeDocument/2006/relationships/hyperlink" Target="https://futureu.europa.eu/processes/Education/f/36/proposals/278521" TargetMode="External"/><Relationship Id="rId2024" Type="http://schemas.openxmlformats.org/officeDocument/2006/relationships/hyperlink" Target="https://futureu.europa.eu/processes/Education/f/37/meetings/145135" TargetMode="External"/><Relationship Id="rId2025" Type="http://schemas.openxmlformats.org/officeDocument/2006/relationships/hyperlink" Target="https://futureu.europa.eu/processes/Education/f/36/proposals/314769" TargetMode="External"/><Relationship Id="rId2026" Type="http://schemas.openxmlformats.org/officeDocument/2006/relationships/hyperlink" Target="https://futureu.europa.eu/processes/Education/f/36/proposals/314769" TargetMode="External"/><Relationship Id="rId2027" Type="http://schemas.openxmlformats.org/officeDocument/2006/relationships/hyperlink" Target="https://futureu.europa.eu/processes/Education/f/36/proposals/284298" TargetMode="External"/><Relationship Id="rId2028" Type="http://schemas.openxmlformats.org/officeDocument/2006/relationships/hyperlink" Target="https://futureu.europa.eu/processes/Education/f/36/proposals/312084" TargetMode="External"/><Relationship Id="rId2029" Type="http://schemas.openxmlformats.org/officeDocument/2006/relationships/hyperlink" Target="https://futureu.europa.eu/processes/Education/f/36/proposals/312084" TargetMode="External"/><Relationship Id="rId2030" Type="http://schemas.openxmlformats.org/officeDocument/2006/relationships/hyperlink" Target="https://futureu.europa.eu/processes/Education/f/36/proposals/294559" TargetMode="External"/><Relationship Id="rId2031" Type="http://schemas.openxmlformats.org/officeDocument/2006/relationships/hyperlink" Target="https://futureu.europa.eu/processes/Education/f/36/proposals/278455" TargetMode="External"/><Relationship Id="rId2032" Type="http://schemas.openxmlformats.org/officeDocument/2006/relationships/header" Target="header19.xml"/><Relationship Id="rId2033" Type="http://schemas.openxmlformats.org/officeDocument/2006/relationships/footer" Target="footer18.xml"/><Relationship Id="rId2034" Type="http://schemas.openxmlformats.org/officeDocument/2006/relationships/image" Target="media/image49.png"/><Relationship Id="rId2035" Type="http://schemas.openxmlformats.org/officeDocument/2006/relationships/image" Target="media/image49.png"/><Relationship Id="rId2036" Type="http://schemas.openxmlformats.org/officeDocument/2006/relationships/header" Target="header20.xml"/><Relationship Id="rId2037" Type="http://schemas.openxmlformats.org/officeDocument/2006/relationships/footer" Target="footer19.xml"/><Relationship Id="rId2038" Type="http://schemas.openxmlformats.org/officeDocument/2006/relationships/image" Target="media/image50.png"/><Relationship Id="rId2039" Type="http://schemas.openxmlformats.org/officeDocument/2006/relationships/hyperlink" Target="https://futureu.europa.eu/processes/GreenDeal/f/1/proposals/13832" TargetMode="External"/><Relationship Id="rId2040" Type="http://schemas.openxmlformats.org/officeDocument/2006/relationships/hyperlink" Target="https://futureu.europa.eu/processes/GreenDeal/f/1/proposals/64" TargetMode="External"/><Relationship Id="rId2041" Type="http://schemas.openxmlformats.org/officeDocument/2006/relationships/hyperlink" Target="https://futureu.europa.eu/processes/GreenDeal/f/1/proposals/85" TargetMode="External"/><Relationship Id="rId2042" Type="http://schemas.openxmlformats.org/officeDocument/2006/relationships/hyperlink" Target="https://futureu.europa.eu/processes/GreenDeal/f/1/proposals/671" TargetMode="External"/><Relationship Id="rId2043" Type="http://schemas.openxmlformats.org/officeDocument/2006/relationships/hyperlink" Target="https://futureu.europa.eu/processes/GreenDeal/f/1/proposals/120" TargetMode="External"/><Relationship Id="rId2044" Type="http://schemas.openxmlformats.org/officeDocument/2006/relationships/hyperlink" Target="https://futureu.europa.eu/processes/GreenDeal/f/1/proposals/985" TargetMode="External"/><Relationship Id="rId2045" Type="http://schemas.openxmlformats.org/officeDocument/2006/relationships/hyperlink" Target="https://futureu.europa.eu/processes/GreenDeal/f/1/proposals/100" TargetMode="External"/><Relationship Id="rId2046" Type="http://schemas.openxmlformats.org/officeDocument/2006/relationships/hyperlink" Target="https://futureu.europa.eu/processes/GreenDeal/f/1/proposals/100" TargetMode="External"/><Relationship Id="rId2047" Type="http://schemas.openxmlformats.org/officeDocument/2006/relationships/hyperlink" Target="https://futureu.europa.eu/processes/GreenDeal/f/1/proposals/638" TargetMode="External"/><Relationship Id="rId2048" Type="http://schemas.openxmlformats.org/officeDocument/2006/relationships/hyperlink" Target="https://futureu.europa.eu/processes/GreenDeal/f/1/proposals/232256" TargetMode="External"/><Relationship Id="rId2049" Type="http://schemas.openxmlformats.org/officeDocument/2006/relationships/hyperlink" Target="https://futureu.europa.eu/processes/GreenDeal/f/1/proposals/100" TargetMode="External"/><Relationship Id="rId2050" Type="http://schemas.openxmlformats.org/officeDocument/2006/relationships/hyperlink" Target="https://futureu.europa.eu/processes/Health/f/3/proposals/826" TargetMode="External"/><Relationship Id="rId2051" Type="http://schemas.openxmlformats.org/officeDocument/2006/relationships/hyperlink" Target="https://futureu.europa.eu/processes/Health/f/3/proposals/1715" TargetMode="External"/><Relationship Id="rId2052" Type="http://schemas.openxmlformats.org/officeDocument/2006/relationships/hyperlink" Target="https://futureu.europa.eu/processes/Health/f/3/proposals/13834" TargetMode="External"/><Relationship Id="rId2053" Type="http://schemas.openxmlformats.org/officeDocument/2006/relationships/hyperlink" Target="https://futureu.europa.eu/processes/Health/f/3/proposals/826" TargetMode="External"/><Relationship Id="rId2054" Type="http://schemas.openxmlformats.org/officeDocument/2006/relationships/hyperlink" Target="https://futureu.europa.eu/processes/Health/f/3/proposals/1352" TargetMode="External"/><Relationship Id="rId2055" Type="http://schemas.openxmlformats.org/officeDocument/2006/relationships/hyperlink" Target="https://futureu.europa.eu/processes/Health/f/3/proposals/86791" TargetMode="External"/><Relationship Id="rId2056" Type="http://schemas.openxmlformats.org/officeDocument/2006/relationships/hyperlink" Target="https://futureu.europa.eu/processes/Health/f/3/proposals/94" TargetMode="External"/><Relationship Id="rId2057" Type="http://schemas.openxmlformats.org/officeDocument/2006/relationships/hyperlink" Target="https://futureu.europa.eu/processes/Health/f/3/proposals/137750" TargetMode="External"/><Relationship Id="rId2058" Type="http://schemas.openxmlformats.org/officeDocument/2006/relationships/hyperlink" Target="https://futureu.europa.eu/processes/Health/f/3/proposals/94" TargetMode="External"/><Relationship Id="rId2059" Type="http://schemas.openxmlformats.org/officeDocument/2006/relationships/hyperlink" Target="https://futureu.europa.eu/processes/Health/f/3/proposals/94" TargetMode="External"/><Relationship Id="rId2060" Type="http://schemas.openxmlformats.org/officeDocument/2006/relationships/hyperlink" Target="https://futureu.europa.eu/processes/Economy/f/10/proposals/188" TargetMode="External"/><Relationship Id="rId2061" Type="http://schemas.openxmlformats.org/officeDocument/2006/relationships/hyperlink" Target="https://futureu.europa.eu/processes/Economy/f/10/proposals/1556" TargetMode="External"/><Relationship Id="rId2062" Type="http://schemas.openxmlformats.org/officeDocument/2006/relationships/hyperlink" Target="https://futureu.europa.eu/processes/Economy/f/10/proposals/13836" TargetMode="External"/><Relationship Id="rId2063" Type="http://schemas.openxmlformats.org/officeDocument/2006/relationships/hyperlink" Target="https://futureu.europa.eu/processes/Economy/f/10/proposals/1556" TargetMode="External"/><Relationship Id="rId2064" Type="http://schemas.openxmlformats.org/officeDocument/2006/relationships/hyperlink" Target="https://futureu.europa.eu/processes/Economy/f/10/proposals/13837" TargetMode="External"/><Relationship Id="rId2065" Type="http://schemas.openxmlformats.org/officeDocument/2006/relationships/hyperlink" Target="https://futureu.europa.eu/processes/Economy/f/10/proposals/13837" TargetMode="External"/><Relationship Id="rId2066" Type="http://schemas.openxmlformats.org/officeDocument/2006/relationships/hyperlink" Target="https://futureu.europa.eu/processes/Economy/f/10/proposals/112" TargetMode="External"/><Relationship Id="rId2067" Type="http://schemas.openxmlformats.org/officeDocument/2006/relationships/hyperlink" Target="https://futureu.europa.eu/processes/Economy/f/10/proposals/13835" TargetMode="External"/><Relationship Id="rId2068" Type="http://schemas.openxmlformats.org/officeDocument/2006/relationships/hyperlink" Target="https://futureu.europa.eu/processes/Economy/f/10/proposals/87682" TargetMode="External"/><Relationship Id="rId2069" Type="http://schemas.openxmlformats.org/officeDocument/2006/relationships/hyperlink" Target="https://futureu.europa.eu/processes/Economy/f/10/proposals/87682" TargetMode="External"/><Relationship Id="rId2070" Type="http://schemas.openxmlformats.org/officeDocument/2006/relationships/hyperlink" Target="https://futureu.europa.eu/processes/Economy/f/10/proposals/91" TargetMode="External"/><Relationship Id="rId2071" Type="http://schemas.openxmlformats.org/officeDocument/2006/relationships/hyperlink" Target="https://futureu.europa.eu/processes/EUInTheWorld/f/16/proposals/13844" TargetMode="External"/><Relationship Id="rId2072" Type="http://schemas.openxmlformats.org/officeDocument/2006/relationships/hyperlink" Target="https://futureu.europa.eu/processes/EUInTheWorld/f/16/proposals/142" TargetMode="External"/><Relationship Id="rId2073" Type="http://schemas.openxmlformats.org/officeDocument/2006/relationships/hyperlink" Target="https://futureu.europa.eu/processes/EUInTheWorld/f/16/proposals/142" TargetMode="External"/><Relationship Id="rId2074" Type="http://schemas.openxmlformats.org/officeDocument/2006/relationships/hyperlink" Target="https://futureu.europa.eu/processes/EUInTheWorld/f/16/proposals/137133" TargetMode="External"/><Relationship Id="rId2075" Type="http://schemas.openxmlformats.org/officeDocument/2006/relationships/hyperlink" Target="https://futureu.europa.eu/processes/EUInTheWorld/f/16/proposals/192" TargetMode="External"/><Relationship Id="rId2076" Type="http://schemas.openxmlformats.org/officeDocument/2006/relationships/hyperlink" Target="https://futureu.europa.eu/processes/EUInTheWorld/f/16/proposals/93" TargetMode="External"/><Relationship Id="rId2077" Type="http://schemas.openxmlformats.org/officeDocument/2006/relationships/hyperlink" Target="https://futureu.europa.eu/processes/EUInTheWorld/f/16/proposals/159" TargetMode="External"/><Relationship Id="rId2078" Type="http://schemas.openxmlformats.org/officeDocument/2006/relationships/hyperlink" Target="https://futureu.europa.eu/processes/EUInTheWorld/f/16/proposals/159" TargetMode="External"/><Relationship Id="rId2079" Type="http://schemas.openxmlformats.org/officeDocument/2006/relationships/hyperlink" Target="https://futureu.europa.eu/processes/EUInTheWorld/f/16/proposals/93" TargetMode="External"/><Relationship Id="rId2080" Type="http://schemas.openxmlformats.org/officeDocument/2006/relationships/hyperlink" Target="https://futureu.europa.eu/processes/EUInTheWorld/f/16/proposals/1175" TargetMode="External"/><Relationship Id="rId2081" Type="http://schemas.openxmlformats.org/officeDocument/2006/relationships/hyperlink" Target="https://futureu.europa.eu/processes/ValuesRights/f/12/proposals/254369" TargetMode="External"/><Relationship Id="rId2082" Type="http://schemas.openxmlformats.org/officeDocument/2006/relationships/hyperlink" Target="https://futureu.europa.eu/processes/ValuesRights/f/12/proposals/152329" TargetMode="External"/><Relationship Id="rId2083" Type="http://schemas.openxmlformats.org/officeDocument/2006/relationships/hyperlink" Target="https://futureu.europa.eu/processes/ValuesRights/f/12/proposals/250174" TargetMode="External"/><Relationship Id="rId2084" Type="http://schemas.openxmlformats.org/officeDocument/2006/relationships/hyperlink" Target="https://futureu.europa.eu/processes/ValuesRights/f/12/proposals/299" TargetMode="External"/><Relationship Id="rId2085" Type="http://schemas.openxmlformats.org/officeDocument/2006/relationships/hyperlink" Target="https://futureu.europa.eu/processes/ValuesRights/f/12/proposals/299" TargetMode="External"/><Relationship Id="rId2086" Type="http://schemas.openxmlformats.org/officeDocument/2006/relationships/hyperlink" Target="https://futureu.europa.eu/processes/ValuesRights/f/12/proposals/13839" TargetMode="External"/><Relationship Id="rId2087" Type="http://schemas.openxmlformats.org/officeDocument/2006/relationships/hyperlink" Target="https://futureu.europa.eu/processes/ValuesRights/f/12/proposals/134773" TargetMode="External"/><Relationship Id="rId2088" Type="http://schemas.openxmlformats.org/officeDocument/2006/relationships/hyperlink" Target="https://futureu.europa.eu/processes/ValuesRights/f/12/proposals/13840" TargetMode="External"/><Relationship Id="rId2089" Type="http://schemas.openxmlformats.org/officeDocument/2006/relationships/hyperlink" Target="https://futureu.europa.eu/processes/ValuesRights/f/12/proposals/13840" TargetMode="External"/><Relationship Id="rId2090" Type="http://schemas.openxmlformats.org/officeDocument/2006/relationships/hyperlink" Target="https://futureu.europa.eu/processes/ValuesRights/f/12/proposals/160" TargetMode="External"/><Relationship Id="rId2091" Type="http://schemas.openxmlformats.org/officeDocument/2006/relationships/hyperlink" Target="https://futureu.europa.eu/processes/ValuesRights/f/12/proposals/160" TargetMode="External"/><Relationship Id="rId2092" Type="http://schemas.openxmlformats.org/officeDocument/2006/relationships/hyperlink" Target="https://futureu.europa.eu/processes/ValuesRights/f/12/proposals/145037" TargetMode="External"/><Relationship Id="rId2093" Type="http://schemas.openxmlformats.org/officeDocument/2006/relationships/hyperlink" Target="https://futureu.europa.eu/processes/Digital/f/15/proposals/13838" TargetMode="External"/><Relationship Id="rId2094" Type="http://schemas.openxmlformats.org/officeDocument/2006/relationships/hyperlink" Target="https://futureu.europa.eu/processes/Digital/f/15/proposals/5553" TargetMode="External"/><Relationship Id="rId2095" Type="http://schemas.openxmlformats.org/officeDocument/2006/relationships/hyperlink" Target="https://futureu.europa.eu/processes/Digital/f/15/proposals/61" TargetMode="External"/><Relationship Id="rId2096" Type="http://schemas.openxmlformats.org/officeDocument/2006/relationships/hyperlink" Target="https://futureu.europa.eu/processes/Digital/f/15/proposals/821" TargetMode="External"/><Relationship Id="rId2097" Type="http://schemas.openxmlformats.org/officeDocument/2006/relationships/hyperlink" Target="https://futureu.europa.eu/processes/Digital/f/15/proposals/821" TargetMode="External"/><Relationship Id="rId2098" Type="http://schemas.openxmlformats.org/officeDocument/2006/relationships/hyperlink" Target="https://futureu.europa.eu/processes/Digital/f/15/proposals/245554" TargetMode="External"/><Relationship Id="rId2099" Type="http://schemas.openxmlformats.org/officeDocument/2006/relationships/hyperlink" Target="https://futureu.europa.eu/processes/Digital/f/15/proposals/150021" TargetMode="External"/><Relationship Id="rId2100" Type="http://schemas.openxmlformats.org/officeDocument/2006/relationships/hyperlink" Target="https://futureu.europa.eu/processes/Digital/f/15/proposals/167" TargetMode="External"/><Relationship Id="rId2101" Type="http://schemas.openxmlformats.org/officeDocument/2006/relationships/hyperlink" Target="http://futureu.europa.eu/processes/Digital/f/15/proposals/1364" TargetMode="External"/><Relationship Id="rId2102" Type="http://schemas.openxmlformats.org/officeDocument/2006/relationships/hyperlink" Target="https://futureu.europa.eu/processes/Digital/f/15/proposals/13838" TargetMode="External"/><Relationship Id="rId2103" Type="http://schemas.openxmlformats.org/officeDocument/2006/relationships/hyperlink" Target="https://futureu.europa.eu/processes/Democracy/f/6/proposals/248887" TargetMode="External"/><Relationship Id="rId2104" Type="http://schemas.openxmlformats.org/officeDocument/2006/relationships/hyperlink" Target="https://futureu.europa.eu/processes/Democracy/f/6/proposals/248887" TargetMode="External"/><Relationship Id="rId2105" Type="http://schemas.openxmlformats.org/officeDocument/2006/relationships/hyperlink" Target="https://futureu.europa.eu/processes/Democracy/f/6/proposals/178" TargetMode="External"/><Relationship Id="rId2106" Type="http://schemas.openxmlformats.org/officeDocument/2006/relationships/hyperlink" Target="https://futureu.europa.eu/processes/Democracy/f/6/proposals/178" TargetMode="External"/><Relationship Id="rId2107" Type="http://schemas.openxmlformats.org/officeDocument/2006/relationships/hyperlink" Target="https://futureu.europa.eu/processes/Democracy/f/6/proposals/43" TargetMode="External"/><Relationship Id="rId2108" Type="http://schemas.openxmlformats.org/officeDocument/2006/relationships/hyperlink" Target="https://futureu.europa.eu/processes/Democracy/f/6/proposals/218165" TargetMode="External"/><Relationship Id="rId2109" Type="http://schemas.openxmlformats.org/officeDocument/2006/relationships/hyperlink" Target="https://futureu.europa.eu/processes/Democracy/f/6/proposals/218165" TargetMode="External"/><Relationship Id="rId2110" Type="http://schemas.openxmlformats.org/officeDocument/2006/relationships/hyperlink" Target="https://futureu.europa.eu/processes/Democracy/f/6/proposals/178" TargetMode="External"/><Relationship Id="rId2111" Type="http://schemas.openxmlformats.org/officeDocument/2006/relationships/hyperlink" Target="https://futureu.europa.eu/processes/Democracy/f/6/proposals/56299" TargetMode="External"/><Relationship Id="rId2112" Type="http://schemas.openxmlformats.org/officeDocument/2006/relationships/hyperlink" Target="https://futureu.europa.eu/processes/Democracy/f/6/proposals/53" TargetMode="External"/><Relationship Id="rId2113" Type="http://schemas.openxmlformats.org/officeDocument/2006/relationships/hyperlink" Target="https://futureu.europa.eu/processes/Democracy/f/6/proposals/8515" TargetMode="External"/><Relationship Id="rId2114" Type="http://schemas.openxmlformats.org/officeDocument/2006/relationships/hyperlink" Target="https://futureu.europa.eu/processes/Democracy/f/6/proposals/44420" TargetMode="External"/><Relationship Id="rId2115" Type="http://schemas.openxmlformats.org/officeDocument/2006/relationships/hyperlink" Target="https://futureu.europa.eu/processes/Migration/f/34/proposals/13841" TargetMode="External"/><Relationship Id="rId2116" Type="http://schemas.openxmlformats.org/officeDocument/2006/relationships/hyperlink" Target="https://futureu.europa.eu/processes/Migration/f/34/proposals/119" TargetMode="External"/><Relationship Id="rId2117" Type="http://schemas.openxmlformats.org/officeDocument/2006/relationships/hyperlink" Target="https://futureu.europa.eu/processes/Migration/f/34/proposals/119" TargetMode="External"/><Relationship Id="rId2118" Type="http://schemas.openxmlformats.org/officeDocument/2006/relationships/hyperlink" Target="https://futureu.europa.eu/processes/Migration/f/34/proposals/224" TargetMode="External"/><Relationship Id="rId2119" Type="http://schemas.openxmlformats.org/officeDocument/2006/relationships/hyperlink" Target="https://futureu.europa.eu/processes/Migration/f/34/proposals/224" TargetMode="External"/><Relationship Id="rId2120" Type="http://schemas.openxmlformats.org/officeDocument/2006/relationships/hyperlink" Target="https://futureu.europa.eu/processes/Migration/f/34/proposals/19837" TargetMode="External"/><Relationship Id="rId2121" Type="http://schemas.openxmlformats.org/officeDocument/2006/relationships/hyperlink" Target="https://futureu.europa.eu/processes/Migration/f/34/proposals/110" TargetMode="External"/><Relationship Id="rId2122" Type="http://schemas.openxmlformats.org/officeDocument/2006/relationships/hyperlink" Target="https://futureu.europa.eu/processes/Migration/f/34/proposals/74" TargetMode="External"/><Relationship Id="rId2123" Type="http://schemas.openxmlformats.org/officeDocument/2006/relationships/hyperlink" Target="https://futureu.europa.eu/processes/Migration/f/34/proposals/238064" TargetMode="External"/><Relationship Id="rId2124" Type="http://schemas.openxmlformats.org/officeDocument/2006/relationships/hyperlink" Target="https://futureu.europa.eu/processes/Migration/f/34/proposals/110" TargetMode="External"/><Relationship Id="rId2125" Type="http://schemas.openxmlformats.org/officeDocument/2006/relationships/hyperlink" Target="https://futureu.europa.eu/processes/Migration/f/34/proposals/13841" TargetMode="External"/><Relationship Id="rId2126" Type="http://schemas.openxmlformats.org/officeDocument/2006/relationships/hyperlink" Target="https://futureu.europa.eu/processes/Education/f/36/proposals/23893" TargetMode="External"/><Relationship Id="rId2127" Type="http://schemas.openxmlformats.org/officeDocument/2006/relationships/hyperlink" Target="https://futureu.europa.eu/processes/Education/f/36/proposals/23893" TargetMode="External"/><Relationship Id="rId2128" Type="http://schemas.openxmlformats.org/officeDocument/2006/relationships/hyperlink" Target="https://futureu.europa.eu/processes/Education/f/36/proposals/23893" TargetMode="External"/><Relationship Id="rId2129" Type="http://schemas.openxmlformats.org/officeDocument/2006/relationships/hyperlink" Target="https://futureu.europa.eu/processes/Education/f/36/proposals/13843" TargetMode="External"/><Relationship Id="rId2130" Type="http://schemas.openxmlformats.org/officeDocument/2006/relationships/hyperlink" Target="https://futureu.europa.eu/processes/Education/f/36/proposals/13843" TargetMode="External"/><Relationship Id="rId2131" Type="http://schemas.openxmlformats.org/officeDocument/2006/relationships/hyperlink" Target="https://futureu.europa.eu/processes/Education/f/36/proposals/63064" TargetMode="External"/><Relationship Id="rId2132" Type="http://schemas.openxmlformats.org/officeDocument/2006/relationships/hyperlink" Target="https://futureu.europa.eu/processes/Education/f/36/proposals/13842" TargetMode="External"/><Relationship Id="rId2133" Type="http://schemas.openxmlformats.org/officeDocument/2006/relationships/hyperlink" Target="https://futureu.europa.eu/processes/Education/f/36/proposals/260" TargetMode="External"/><Relationship Id="rId2134" Type="http://schemas.openxmlformats.org/officeDocument/2006/relationships/hyperlink" Target="https://futureu.europa.eu/processes/Education/f/36/proposals/39238" TargetMode="External"/><Relationship Id="rId2135" Type="http://schemas.openxmlformats.org/officeDocument/2006/relationships/hyperlink" Target="https://futureu.europa.eu/processes/Education/f/36/proposals/39238" TargetMode="External"/><Relationship Id="rId2136" Type="http://schemas.openxmlformats.org/officeDocument/2006/relationships/hyperlink" Target="https://futureu.europa.eu/processes/Education/f/36/proposals/163" TargetMode="External"/><Relationship Id="rId2137" Type="http://schemas.openxmlformats.org/officeDocument/2006/relationships/hyperlink" Target="https://futureu.europa.eu/processes/Education/f/36/proposals/1536" TargetMode="External"/><Relationship Id="rId2138" Type="http://schemas.openxmlformats.org/officeDocument/2006/relationships/hyperlink" Target="https://futureu.europa.eu/processes/Education/f/36/proposals/1536" TargetMode="External"/><Relationship Id="rId2139" Type="http://schemas.openxmlformats.org/officeDocument/2006/relationships/hyperlink" Target="https://futureu.europa.eu/processes/OtherIdeas/f/8/proposals/8459" TargetMode="External"/><Relationship Id="rId2140" Type="http://schemas.openxmlformats.org/officeDocument/2006/relationships/hyperlink" Target="https://futureu.europa.eu/processes/OtherIdeas/f/8/proposals/8459" TargetMode="External"/><Relationship Id="rId2141" Type="http://schemas.openxmlformats.org/officeDocument/2006/relationships/hyperlink" Target="https://futureu.europa.eu/processes/OtherIdeas/f/8/proposals/5399" TargetMode="External"/><Relationship Id="rId2142" Type="http://schemas.openxmlformats.org/officeDocument/2006/relationships/hyperlink" Target="https://futureu.europa.eu/processes/OtherIdeas/f/8/proposals/17955" TargetMode="External"/><Relationship Id="rId2143" Type="http://schemas.openxmlformats.org/officeDocument/2006/relationships/hyperlink" Target="https://futureu.europa.eu/processes/OtherIdeas/f/8/proposals/17955" TargetMode="External"/><Relationship Id="rId2144" Type="http://schemas.openxmlformats.org/officeDocument/2006/relationships/hyperlink" Target="https://futureu.europa.eu/processes/OtherIdeas/f/8/proposals/5399" TargetMode="External"/><Relationship Id="rId2145" Type="http://schemas.openxmlformats.org/officeDocument/2006/relationships/hyperlink" Target="https://futureu.europa.eu/processes/OtherIdeas/f/8/proposals/5399" TargetMode="External"/><Relationship Id="rId2146" Type="http://schemas.openxmlformats.org/officeDocument/2006/relationships/hyperlink" Target="https://futureu.europa.eu/processes/OtherIdeas/f/8/proposals/48412" TargetMode="External"/><Relationship Id="rId2147" Type="http://schemas.openxmlformats.org/officeDocument/2006/relationships/hyperlink" Target="https://futureu.europa.eu/processes/OtherIdeas/f/8/proposals/48412" TargetMode="External"/><Relationship Id="rId2148" Type="http://schemas.openxmlformats.org/officeDocument/2006/relationships/hyperlink" Target="https://futureu.europa.eu/processes/OtherIdeas/f/8/proposals/219914" TargetMode="External"/><Relationship Id="rId2149" Type="http://schemas.openxmlformats.org/officeDocument/2006/relationships/hyperlink" Target="https://futureu.europa.eu/processes/OtherIdeas/f/8/proposals/41" TargetMode="External"/><Relationship Id="rId2150" Type="http://schemas.openxmlformats.org/officeDocument/2006/relationships/hyperlink" Target="https://futureu.europa.eu/processes/OtherIdeas/f/8/proposals/219880" TargetMode="External"/><Relationship Id="rId2151" Type="http://schemas.openxmlformats.org/officeDocument/2006/relationships/hyperlink" Target="https://futureu.europa.eu/processes/OtherIdeas/f/8/proposals/730" TargetMode="External"/><Relationship Id="rId2152" Type="http://schemas.openxmlformats.org/officeDocument/2006/relationships/header" Target="header21.xml"/><Relationship Id="rId2153" Type="http://schemas.openxmlformats.org/officeDocument/2006/relationships/footer" Target="footer20.xml"/><Relationship Id="rId2154" Type="http://schemas.openxmlformats.org/officeDocument/2006/relationships/image" Target="media/image51.png"/><Relationship Id="rId2155" Type="http://schemas.openxmlformats.org/officeDocument/2006/relationships/header" Target="header22.xml"/><Relationship Id="rId2156" Type="http://schemas.openxmlformats.org/officeDocument/2006/relationships/footer" Target="footer21.xml"/><Relationship Id="rId2157" Type="http://schemas.openxmlformats.org/officeDocument/2006/relationships/numbering" Target="numbering.xml"/><Relationship Id="rId2158" Type="http://schemas.openxmlformats.org/officeDocument/2006/relationships/fontTable" Target="fontTable.xml"/><Relationship Id="rId2159"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
  <TotalTime>262</TotalTime>
  <Application>LibreOffice/7.3.2.2$Windows_x86 LibreOffice_project/49f2b1bff42cfccbd8f788c8dc32c1c309559be0</Application>
  <AppVersion>15.0000</AppVersion>
  <Pages>123</Pages>
  <Words>41254</Words>
  <Characters>286109</Characters>
  <CharactersWithSpaces>327103</CharactersWithSpaces>
  <Paragraphs>1239</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2022-06-21T15:35:40Z</dcterms:created>
  <dc:creator>Pierre Dieumegard</dc:creator>
  <dc:description/>
  <dc:language>fr-FR</dc:language>
  <cp:lastModifiedBy>Pierre Dieumegard</cp:lastModifiedBy>
  <dcterms:modified xsi:type="dcterms:W3CDTF">2022-06-22T10:14:57Z</dcterms:modified>
  <cp:revision>34</cp:revision>
  <dc:subject/>
  <dc:title/>
</cp:coreProperties>
</file>

<file path=docProps/custom.xml><?xml version="1.0" encoding="utf-8"?>
<Properties xmlns="http://schemas.openxmlformats.org/officeDocument/2006/custom-properties" xmlns:vt="http://schemas.openxmlformats.org/officeDocument/2006/docPropsVTypes"/>
</file>