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pPr>
      <w:r>
        <w:rPr>
          <w:position w:val="6"/>
        </w:rPr>
        <w:t xml:space="preserve">Konferens om </w:t>
      </w:r>
      <w:r>
        <w:rPr/>
        <w:br/>
        <w:t>Europas framtid</w:t>
      </w:r>
    </w:p>
    <w:p>
      <w:pPr>
        <w:pStyle w:val="P68B1DB1Normal2"/>
        <w:widowControl w:val="false"/>
        <w:spacing w:lineRule="exact" w:line="557"/>
        <w:ind w:left="56" w:right="1390" w:firstLine="8"/>
        <w:jc w:val="left"/>
        <w:rPr/>
      </w:pPr>
      <w:r>
        <w:rPr/>
        <w:t xml:space="preserve">RAPPORT OM SLUTRESULTAT </w:t>
      </w:r>
    </w:p>
    <w:p>
      <w:pPr>
        <w:pStyle w:val="P68B1DB1Normal3"/>
        <w:widowControl w:val="false"/>
        <w:spacing w:lineRule="exact" w:line="557"/>
        <w:ind w:left="56" w:right="1390" w:hanging="0"/>
        <w:jc w:val="left"/>
        <w:rPr/>
      </w:pPr>
      <w:r>
        <w:rPr/>
        <w:t>maj 2022</w:t>
      </w:r>
      <w:r>
        <w:rPr>
          <w:rFonts w:ascii="Roboto" w:hAnsi="Roboto"/>
        </w:rPr>
        <w:t xml:space="preserve"> </w:t>
      </w:r>
    </w:p>
    <w:p>
      <w:pPr>
        <w:pStyle w:val="Normal"/>
        <w:rPr/>
      </w:pPr>
      <w:r>
        <w:rPr/>
        <w:drawing>
          <wp:anchor behindDoc="0" distT="0" distB="0" distL="0" distR="0" simplePos="0" locked="0" layoutInCell="1" allowOverlap="1" relativeHeight="5">
            <wp:simplePos x="0" y="0"/>
            <wp:positionH relativeFrom="column">
              <wp:posOffset>88265</wp:posOffset>
            </wp:positionH>
            <wp:positionV relativeFrom="paragraph">
              <wp:posOffset>52070</wp:posOffset>
            </wp:positionV>
            <wp:extent cx="5660390" cy="4556125"/>
            <wp:effectExtent l="0" t="0" r="0" b="0"/>
            <wp:wrapTopAndBottom/>
            <wp:docPr id="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pPr>
      <w:r>
        <mc:AlternateContent>
          <mc:Choice Requires="wps">
            <w:drawing>
              <wp:anchor behindDoc="0" distT="72390" distB="72390" distL="72390" distR="72390" simplePos="0" locked="0" layoutInCell="1" allowOverlap="1" relativeHeight="7">
                <wp:simplePos x="0" y="0"/>
                <wp:positionH relativeFrom="column">
                  <wp:posOffset>3199765</wp:posOffset>
                </wp:positionH>
                <wp:positionV relativeFrom="paragraph">
                  <wp:posOffset>219710</wp:posOffset>
                </wp:positionV>
                <wp:extent cx="2675890" cy="1109980"/>
                <wp:effectExtent l="0" t="0" r="0" b="0"/>
                <wp:wrapSquare wrapText="bothSides"/>
                <wp:docPr id="2" name="Ram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Konferens om</w:t>
                            </w:r>
                            <w:r>
                              <w:rPr>
                                <w:b/>
                              </w:rPr>
                              <w:t>Europas framtid</w:t>
                            </w:r>
                            <w:r>
                              <w:rPr/>
                              <w:t xml:space="preserve"> </w:t>
                            </w:r>
                          </w:p>
                        </w:txbxContent>
                      </wps:txbx>
                      <wps:bodyPr lIns="54000" rIns="54000" tIns="54000" bIns="54000">
                        <a:noAutofit/>
                      </wps:bodyPr>
                    </wps:wsp>
                  </a:graphicData>
                </a:graphic>
              </wp:anchor>
            </w:drawing>
          </mc:Choice>
          <mc:Fallback>
            <w:pict>
              <v:rect id="shape_0" ID="Ram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Konferens om</w:t>
                      </w:r>
                      <w:r>
                        <w:rPr>
                          <w:b/>
                        </w:rPr>
                        <w:t>Europas framtid</w:t>
                      </w:r>
                      <w:r>
                        <w:rPr/>
                        <w:t xml:space="preserve"> </w:t>
                      </w:r>
                    </w:p>
                  </w:txbxContent>
                </v:textbox>
              </v:rect>
            </w:pict>
          </mc:Fallback>
        </mc:AlternateContent>
      </w:r>
      <w:r>
        <w:rPr>
          <w:b/>
          <w:color w:val="0000BE"/>
          <w:sz w:val="48"/>
        </w:rPr>
        <w:t>Framtiden</w:t>
      </w:r>
      <w:r>
        <w:rPr>
          <w:color w:val="0000BE"/>
          <w:sz w:val="48"/>
        </w:rPr>
        <w:t xml:space="preserve"> är</w:t>
      </w:r>
      <w:r>
        <w:rPr/>
        <w:t xml:space="preserve"> </w:t>
      </w:r>
    </w:p>
    <w:p>
      <w:pPr>
        <w:pStyle w:val="P68B1DB1Normal5"/>
        <w:widowControl w:val="false"/>
        <w:spacing w:lineRule="exact" w:line="576"/>
        <w:ind w:left="51" w:right="0" w:hanging="0"/>
        <w:jc w:val="left"/>
        <w:rPr/>
      </w:pPr>
      <w:r>
        <w:rPr/>
        <w:t>i dina händer</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14">
                <wp:simplePos x="0" y="0"/>
                <wp:positionH relativeFrom="column">
                  <wp:posOffset>4445</wp:posOffset>
                </wp:positionH>
                <wp:positionV relativeFrom="paragraph">
                  <wp:posOffset>85725</wp:posOffset>
                </wp:positionV>
                <wp:extent cx="6020435" cy="8688070"/>
                <wp:effectExtent l="0" t="0" r="0" b="0"/>
                <wp:wrapSquare wrapText="bothSides"/>
                <wp:docPr id="6" name="Ram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color w:val="auto"/>
                              </w:rPr>
                            </w:pPr>
                            <w:r>
                              <w:rPr>
                                <w:color w:val="auto"/>
                              </w:rPr>
                              <w:t>Dokument utarbetat av Pierre Dieumegard</w:t>
                            </w:r>
                            <w:r>
                              <w:rPr>
                                <w:color w:val="auto"/>
                              </w:rPr>
                              <w:drawing>
                                <wp:inline distT="0" distB="0" distL="0" distR="0">
                                  <wp:extent cx="2494280" cy="765175"/>
                                  <wp:effectExtent l="0" t="0" r="0" b="0"/>
                                  <wp:docPr id="8"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för Europa-Demokratin-Esperanto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Syftet med detta provisoriska dokument är att göra det möjligt för fler människor i Europeiska unionen att förstå de dokument som tagits fram för Europeiska unionen (och finansieras genom deras bidrag). </w:t>
                            </w:r>
                            <w:hyperlink r:id="rId5">
                              <w:r>
                                <w:rPr>
                                  <w:rStyle w:val="LienInternet"/>
                                  <w:rFonts w:ascii="Times New Roman" w:hAnsi="Times New Roman"/>
                                  <w:color w:val="auto"/>
                                  <w:sz w:val="24"/>
                                </w:rPr>
                                <w:t xml:space="preserve">Originaldokumentet påfranska i pdf-format </w:t>
                              </w:r>
                            </w:hyperlink>
                            <w:r>
                              <w:rPr>
                                <w:rFonts w:ascii="Times New Roman" w:hAnsi="Times New Roman"/>
                                <w:color w:val="auto"/>
                                <w:sz w:val="24"/>
                              </w:rPr>
                              <w:t xml:space="preserve">har formaterats med hjälp av Libre Office-programvaran. Översättning till alla Europeiska unionens officiella språk görs via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Vi har gjort detta arbete på grund av behovet av bättre flerspråkighet i Europeiska unionen: utan översättningar är en stor del av befolkningen utesluten från debatten. </w:t>
                            </w:r>
                            <w:r>
                              <w:rPr>
                                <w:b/>
                                <w:color w:val="auto"/>
                              </w:rPr>
                              <w:t>Det är önskvärt att Europeiska unionens administration tar över översättningen av viktiga dokument, så att alla européer kan förstå vad det handlar om och diskutera deras gemensamma framtid tillsammans.</w:t>
                            </w:r>
                          </w:p>
                          <w:p>
                            <w:pPr>
                              <w:pStyle w:val="P68B1DB1Normal7"/>
                              <w:rPr>
                                <w:color w:val="auto"/>
                              </w:rPr>
                            </w:pPr>
                            <w:r>
                              <w:rPr>
                                <w:color w:val="auto"/>
                              </w:rPr>
                              <w:t xml:space="preserve"> </w:t>
                            </w:r>
                          </w:p>
                          <w:p>
                            <w:pPr>
                              <w:pStyle w:val="P68B1DB1Normal7"/>
                              <w:rPr>
                                <w:color w:val="auto"/>
                              </w:rPr>
                            </w:pPr>
                            <w:r>
                              <w:rPr>
                                <w:color w:val="auto"/>
                              </w:rPr>
                              <w:t xml:space="preserve">För en god direkt kommunikation mellan EU-medborgarna, för tillförlitliga översättningar, skulle det internationella esperantospråket vara mycket användbart på grund av dess enkelhet, regelbundenhet och precision.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På Internet: </w:t>
                            </w:r>
                          </w:p>
                          <w:p>
                            <w:pPr>
                              <w:pStyle w:val="Normal"/>
                              <w:rPr/>
                            </w:pPr>
                            <w:r>
                              <w:rPr>
                                <w:rFonts w:ascii="Times New Roman" w:hAnsi="Times New Roman"/>
                                <w:color w:val="auto"/>
                                <w:sz w:val="24"/>
                              </w:rPr>
                              <w:t xml:space="preserve"> </w:t>
                            </w:r>
                            <w:r>
                              <w:rPr>
                                <w:rFonts w:ascii="Times New Roman" w:hAnsi="Times New Roman"/>
                                <w:color w:val="auto"/>
                                <w:sz w:val="24"/>
                              </w:rPr>
                              <w:t>Federationen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(eller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Föreningen Europa-Demokratin-Esperanto (Frankrike):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EU-dokument på alla officiella språk: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Jämfört med det ursprungliga dokumentet finns det några ändringar (förbättringar?): </w:t>
                            </w:r>
                          </w:p>
                          <w:p>
                            <w:pPr>
                              <w:pStyle w:val="P68B1DB1Normal7"/>
                              <w:rPr>
                                <w:color w:val="auto"/>
                              </w:rPr>
                            </w:pPr>
                            <w:r>
                              <w:rPr>
                                <w:color w:val="auto"/>
                              </w:rPr>
                              <w:t xml:space="preserve">— </w:t>
                            </w:r>
                            <w:r>
                              <w:rPr>
                                <w:color w:val="auto"/>
                              </w:rPr>
                              <w:t>vissa stavfel har korrigerats. Kanske har det förekommit andra misstag?</w:t>
                            </w:r>
                          </w:p>
                          <w:p>
                            <w:pPr>
                              <w:pStyle w:val="P68B1DB1Normal7"/>
                              <w:rPr>
                                <w:color w:val="auto"/>
                              </w:rPr>
                            </w:pPr>
                            <w:r>
                              <w:rPr>
                                <w:color w:val="auto"/>
                              </w:rPr>
                              <w:t xml:space="preserve">— </w:t>
                            </w:r>
                            <w:r>
                              <w:rPr>
                                <w:color w:val="auto"/>
                              </w:rPr>
                              <w:t>layouten har harmoniserats och alla sidor numreras på lämpligt sätt (det ursprungliga dokumentet var en kombination av separata pdf-filer med oberoende numreringar).</w:t>
                            </w:r>
                          </w:p>
                          <w:p>
                            <w:pPr>
                              <w:pStyle w:val="P68B1DB1Normal7"/>
                              <w:rPr>
                                <w:color w:val="auto"/>
                              </w:rPr>
                            </w:pPr>
                            <w:r>
                              <w:rPr>
                                <w:color w:val="auto"/>
                              </w:rPr>
                              <w:t xml:space="preserve">— </w:t>
                            </w:r>
                            <w:r>
                              <w:rPr>
                                <w:color w:val="auto"/>
                              </w:rPr>
                              <w:t>slutnoterna har omvandlats till anteckningar i slutet av avsnittet (längst ned på sidorna).</w:t>
                            </w:r>
                          </w:p>
                          <w:p>
                            <w:pPr>
                              <w:pStyle w:val="P68B1DB1Normal7"/>
                              <w:spacing w:before="57" w:after="57"/>
                              <w:rPr/>
                            </w:pPr>
                            <w:r>
                              <w:rPr>
                                <w:color w:val="auto"/>
                              </w:rPr>
                              <w:t xml:space="preserve">— </w:t>
                            </w:r>
                            <w:r>
                              <w:rPr>
                                <w:color w:val="auto"/>
                              </w:rPr>
                              <w:t>dokument i form av bilder har omvandlats till tabeller för att lätt kunna översättas.</w:t>
                            </w:r>
                          </w:p>
                        </w:txbxContent>
                      </wps:txbx>
                      <wps:bodyPr lIns="54000" rIns="54000" tIns="54000" bIns="54000">
                        <a:noAutofit/>
                      </wps:bodyPr>
                    </wps:wsp>
                  </a:graphicData>
                </a:graphic>
              </wp:anchor>
            </w:drawing>
          </mc:Choice>
          <mc:Fallback>
            <w:pict>
              <v:rect id="shape_0" ID="Ram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color w:val="auto"/>
                        </w:rPr>
                      </w:pPr>
                      <w:r>
                        <w:rPr>
                          <w:color w:val="auto"/>
                        </w:rPr>
                        <w:t>Dokument utarbetat av Pierre Dieumegard</w:t>
                      </w:r>
                      <w:r>
                        <w:rPr>
                          <w:color w:val="auto"/>
                        </w:rPr>
                        <w:drawing>
                          <wp:inline distT="0" distB="0" distL="0" distR="0">
                            <wp:extent cx="2494280" cy="765175"/>
                            <wp:effectExtent l="0" t="0" r="0" b="0"/>
                            <wp:docPr id="9"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för Europa-Demokratin-Esperanto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Syftet med detta provisoriska dokument är att göra det möjligt för fler människor i Europeiska unionen att förstå de dokument som tagits fram för Europeiska unionen (och finansieras genom deras bidrag). </w:t>
                      </w:r>
                      <w:hyperlink r:id="rId11">
                        <w:r>
                          <w:rPr>
                            <w:rStyle w:val="LienInternet"/>
                            <w:rFonts w:ascii="Times New Roman" w:hAnsi="Times New Roman"/>
                            <w:color w:val="auto"/>
                            <w:sz w:val="24"/>
                          </w:rPr>
                          <w:t xml:space="preserve">Originaldokumentet påfranska i pdf-format </w:t>
                        </w:r>
                      </w:hyperlink>
                      <w:r>
                        <w:rPr>
                          <w:rFonts w:ascii="Times New Roman" w:hAnsi="Times New Roman"/>
                          <w:color w:val="auto"/>
                          <w:sz w:val="24"/>
                        </w:rPr>
                        <w:t xml:space="preserve">har formaterats med hjälp av Libre Office-programvaran. Översättning till alla Europeiska unionens officiella språk görs via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Vi har gjort detta arbete på grund av behovet av bättre flerspråkighet i Europeiska unionen: utan översättningar är en stor del av befolkningen utesluten från debatten. </w:t>
                      </w:r>
                      <w:r>
                        <w:rPr>
                          <w:b/>
                          <w:color w:val="auto"/>
                        </w:rPr>
                        <w:t>Det är önskvärt att Europeiska unionens administration tar över översättningen av viktiga dokument, så att alla européer kan förstå vad det handlar om och diskutera deras gemensamma framtid tillsammans.</w:t>
                      </w:r>
                    </w:p>
                    <w:p>
                      <w:pPr>
                        <w:pStyle w:val="P68B1DB1Normal7"/>
                        <w:rPr>
                          <w:color w:val="auto"/>
                        </w:rPr>
                      </w:pPr>
                      <w:r>
                        <w:rPr>
                          <w:color w:val="auto"/>
                        </w:rPr>
                        <w:t xml:space="preserve"> </w:t>
                      </w:r>
                    </w:p>
                    <w:p>
                      <w:pPr>
                        <w:pStyle w:val="P68B1DB1Normal7"/>
                        <w:rPr>
                          <w:color w:val="auto"/>
                        </w:rPr>
                      </w:pPr>
                      <w:r>
                        <w:rPr>
                          <w:color w:val="auto"/>
                        </w:rPr>
                        <w:t xml:space="preserve">För en god direkt kommunikation mellan EU-medborgarna, för tillförlitliga översättningar, skulle det internationella esperantospråket vara mycket användbart på grund av dess enkelhet, regelbundenhet och precision.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På Internet: </w:t>
                      </w:r>
                    </w:p>
                    <w:p>
                      <w:pPr>
                        <w:pStyle w:val="Normal"/>
                        <w:rPr/>
                      </w:pPr>
                      <w:r>
                        <w:rPr>
                          <w:rFonts w:ascii="Times New Roman" w:hAnsi="Times New Roman"/>
                          <w:color w:val="auto"/>
                          <w:sz w:val="24"/>
                        </w:rPr>
                        <w:t xml:space="preserve"> </w:t>
                      </w:r>
                      <w:r>
                        <w:rPr>
                          <w:rFonts w:ascii="Times New Roman" w:hAnsi="Times New Roman"/>
                          <w:color w:val="auto"/>
                          <w:sz w:val="24"/>
                        </w:rPr>
                        <w:t>Federationen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(eller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Föreningen Europa-Demokratin-Esperanto (Frankrike):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EU-dokument på alla officiella språk: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Jämfört med det ursprungliga dokumentet finns det några ändringar (förbättringar?): </w:t>
                      </w:r>
                    </w:p>
                    <w:p>
                      <w:pPr>
                        <w:pStyle w:val="P68B1DB1Normal7"/>
                        <w:rPr>
                          <w:color w:val="auto"/>
                        </w:rPr>
                      </w:pPr>
                      <w:r>
                        <w:rPr>
                          <w:color w:val="auto"/>
                        </w:rPr>
                        <w:t xml:space="preserve">— </w:t>
                      </w:r>
                      <w:r>
                        <w:rPr>
                          <w:color w:val="auto"/>
                        </w:rPr>
                        <w:t>vissa stavfel har korrigerats. Kanske har det förekommit andra misstag?</w:t>
                      </w:r>
                    </w:p>
                    <w:p>
                      <w:pPr>
                        <w:pStyle w:val="P68B1DB1Normal7"/>
                        <w:rPr>
                          <w:color w:val="auto"/>
                        </w:rPr>
                      </w:pPr>
                      <w:r>
                        <w:rPr>
                          <w:color w:val="auto"/>
                        </w:rPr>
                        <w:t xml:space="preserve">— </w:t>
                      </w:r>
                      <w:r>
                        <w:rPr>
                          <w:color w:val="auto"/>
                        </w:rPr>
                        <w:t>layouten har harmoniserats och alla sidor numreras på lämpligt sätt (det ursprungliga dokumentet var en kombination av separata pdf-filer med oberoende numreringar).</w:t>
                      </w:r>
                    </w:p>
                    <w:p>
                      <w:pPr>
                        <w:pStyle w:val="P68B1DB1Normal7"/>
                        <w:rPr>
                          <w:color w:val="auto"/>
                        </w:rPr>
                      </w:pPr>
                      <w:r>
                        <w:rPr>
                          <w:color w:val="auto"/>
                        </w:rPr>
                        <w:t xml:space="preserve">— </w:t>
                      </w:r>
                      <w:r>
                        <w:rPr>
                          <w:color w:val="auto"/>
                        </w:rPr>
                        <w:t>slutnoterna har omvandlats till anteckningar i slutet av avsnittet (längst ned på sidorna).</w:t>
                      </w:r>
                    </w:p>
                    <w:p>
                      <w:pPr>
                        <w:pStyle w:val="P68B1DB1Normal7"/>
                        <w:spacing w:before="57" w:after="57"/>
                        <w:rPr/>
                      </w:pPr>
                      <w:r>
                        <w:rPr>
                          <w:color w:val="auto"/>
                        </w:rPr>
                        <w:t xml:space="preserve">— </w:t>
                      </w:r>
                      <w:r>
                        <w:rPr>
                          <w:color w:val="auto"/>
                        </w:rPr>
                        <w:t>dokument i form av bilder har omvandlats till tabeller för att lätt kunna översättas.</w:t>
                      </w:r>
                    </w:p>
                  </w:txbxContent>
                </v:textbox>
              </v:rect>
            </w:pict>
          </mc:Fallback>
        </mc:AlternateContent>
      </w:r>
    </w:p>
    <w:p>
      <w:pPr>
        <w:pStyle w:val="Normal"/>
        <w:rPr/>
      </w:pPr>
      <w:r>
        <w:rPr/>
      </w:r>
      <w:r>
        <w:br w:type="page"/>
      </w:r>
    </w:p>
    <w:p>
      <w:pPr>
        <w:pStyle w:val="TOAHeading"/>
        <w:rPr/>
      </w:pPr>
      <w:r>
        <w:rPr/>
        <w:t>Innehållsförteckning</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Konferensens arkitektur</w:t>
          <w:tab/>
          <w:t>@~</w:t>
        </w:r>
      </w:hyperlink>
    </w:p>
    <w:p>
      <w:pPr>
        <w:pStyle w:val="Tabledesmatiresniveau2"/>
        <w:tabs>
          <w:tab w:val="right" w:pos="9638" w:leader="dot"/>
        </w:tabs>
        <w:rPr/>
      </w:pPr>
      <w:hyperlink w:anchor="__RefHeading___Toc298048_1346298689">
        <w:r>
          <w:rPr>
            <w:rStyle w:val="Sautdindex"/>
          </w:rPr>
          <w:t>1. Gemensam förklaring</w:t>
          <w:tab/>
          <w:t>@~</w:t>
        </w:r>
      </w:hyperlink>
    </w:p>
    <w:p>
      <w:pPr>
        <w:pStyle w:val="Tabledesmatiresniveau2"/>
        <w:tabs>
          <w:tab w:val="right" w:pos="9638" w:leader="dot"/>
        </w:tabs>
        <w:rPr/>
      </w:pPr>
      <w:hyperlink w:anchor="__RefHeading___Toc298050_1346298689">
        <w:r>
          <w:rPr>
            <w:rStyle w:val="Sautdindex"/>
          </w:rPr>
          <w:t>2. Arbetsordning</w:t>
          <w:tab/>
          <w:t>@~</w:t>
        </w:r>
      </w:hyperlink>
    </w:p>
    <w:p>
      <w:pPr>
        <w:pStyle w:val="Tabledesmatiresniveau2"/>
        <w:tabs>
          <w:tab w:val="right" w:pos="9638" w:leader="dot"/>
        </w:tabs>
        <w:rPr/>
      </w:pPr>
      <w:hyperlink w:anchor="__RefHeading___Toc298052_1346298689">
        <w:r>
          <w:rPr>
            <w:rStyle w:val="Sautdindex"/>
          </w:rPr>
          <w:t>3. Evenemang med anknytning till konferensen</w:t>
          <w:tab/>
          <w:t>@~</w:t>
        </w:r>
      </w:hyperlink>
    </w:p>
    <w:p>
      <w:pPr>
        <w:pStyle w:val="Tabledesmatiresniveau2"/>
        <w:tabs>
          <w:tab w:val="right" w:pos="9638" w:leader="dot"/>
        </w:tabs>
        <w:rPr/>
      </w:pPr>
      <w:hyperlink w:anchor="__RefHeading___Toc298054_1346298689">
        <w:r>
          <w:rPr>
            <w:rStyle w:val="Sautdindex"/>
          </w:rPr>
          <w:t>4. Genomförande av den flerspråkiga digitala plattformen</w:t>
          <w:tab/>
          <w:t>@~</w:t>
        </w:r>
      </w:hyperlink>
    </w:p>
    <w:p>
      <w:pPr>
        <w:pStyle w:val="Tabledesmatiresniveau2"/>
        <w:tabs>
          <w:tab w:val="right" w:pos="9638" w:leader="dot"/>
        </w:tabs>
        <w:rPr/>
      </w:pPr>
      <w:hyperlink w:anchor="__RefHeading___Toc298056_1346298689">
        <w:r>
          <w:rPr>
            <w:rStyle w:val="Sautdindex"/>
          </w:rPr>
          <w:t>5. De europeiska medborgarpanelerna</w:t>
          <w:tab/>
          <w:t>@~</w:t>
        </w:r>
      </w:hyperlink>
    </w:p>
    <w:p>
      <w:pPr>
        <w:pStyle w:val="Tabledesmatiresniveau2"/>
        <w:tabs>
          <w:tab w:val="right" w:pos="9638" w:leader="dot"/>
        </w:tabs>
        <w:rPr/>
      </w:pPr>
      <w:hyperlink w:anchor="__RefHeading___Toc298058_1346298689">
        <w:r>
          <w:rPr>
            <w:rStyle w:val="Sautdindex"/>
          </w:rPr>
          <w:t>6. Nationella medborgarpaneler</w:t>
          <w:tab/>
          <w:t>@~</w:t>
        </w:r>
      </w:hyperlink>
    </w:p>
    <w:p>
      <w:pPr>
        <w:pStyle w:val="Tabledesmatiresniveau1"/>
        <w:tabs>
          <w:tab w:val="right" w:pos="9638" w:leader="dot"/>
        </w:tabs>
        <w:rPr/>
      </w:pPr>
      <w:hyperlink w:anchor="__RefHeading___Toc298188_1346298689">
        <w:r>
          <w:rPr>
            <w:rStyle w:val="Sautdindex"/>
          </w:rPr>
          <w:t>NEJ, NEJ, NEJ, NEJ. Medborgarnas bidrag till konferensen</w:t>
          <w:tab/>
          <w:t>@~</w:t>
        </w:r>
      </w:hyperlink>
    </w:p>
    <w:p>
      <w:pPr>
        <w:pStyle w:val="Tabledesmatiresniveau2"/>
        <w:tabs>
          <w:tab w:val="right" w:pos="9638" w:leader="dot"/>
        </w:tabs>
        <w:rPr/>
      </w:pPr>
      <w:hyperlink w:anchor="__RefHeading___Toc298190_1346298689">
        <w:r>
          <w:rPr>
            <w:rStyle w:val="Sautdindex"/>
          </w:rPr>
          <w:t>A. Flerspråkig digital plattform</w:t>
          <w:tab/>
          <w:t>@~</w:t>
        </w:r>
      </w:hyperlink>
    </w:p>
    <w:p>
      <w:pPr>
        <w:pStyle w:val="Tabledesmatiresniveau2"/>
        <w:tabs>
          <w:tab w:val="right" w:pos="9638" w:leader="dot"/>
        </w:tabs>
        <w:rPr/>
      </w:pPr>
      <w:hyperlink w:anchor="__RefHeading___Toc298192_1346298689">
        <w:r>
          <w:rPr>
            <w:rStyle w:val="Sautdindex"/>
          </w:rPr>
          <w:t>B. Medborgarpaneler</w:t>
          <w:tab/>
          <w:t>@~</w:t>
        </w:r>
      </w:hyperlink>
    </w:p>
    <w:p>
      <w:pPr>
        <w:pStyle w:val="Tabledesmatiresniveau2"/>
        <w:tabs>
          <w:tab w:val="right" w:pos="9638" w:leader="dot"/>
        </w:tabs>
        <w:rPr/>
      </w:pPr>
      <w:hyperlink w:anchor="__RefHeading___Toc298228_1346298689">
        <w:r>
          <w:rPr>
            <w:rStyle w:val="Sautdindex"/>
          </w:rPr>
          <w:t>C. Evenemang som anordnas inom ramen för konferensen</w:t>
          <w:tab/>
          <w:t>@~</w:t>
        </w:r>
      </w:hyperlink>
    </w:p>
    <w:p>
      <w:pPr>
        <w:pStyle w:val="Tabledesmatiresniveau1"/>
        <w:tabs>
          <w:tab w:val="right" w:pos="9638" w:leader="dot"/>
        </w:tabs>
        <w:rPr/>
      </w:pPr>
      <w:hyperlink w:anchor="__RefHeading___Toc298238_1346298689">
        <w:r>
          <w:rPr>
            <w:rStyle w:val="Sautdindex"/>
          </w:rPr>
          <w:t>III. Konferensens plenarförsamling</w:t>
          <w:tab/>
          <w:t>@~</w:t>
        </w:r>
      </w:hyperlink>
    </w:p>
    <w:p>
      <w:pPr>
        <w:pStyle w:val="Tabledesmatiresniveau2"/>
        <w:tabs>
          <w:tab w:val="right" w:pos="9638" w:leader="dot"/>
        </w:tabs>
        <w:rPr/>
      </w:pPr>
      <w:hyperlink w:anchor="__RefHeading___Toc298240_1346298689">
        <w:r>
          <w:rPr>
            <w:rStyle w:val="Sautdindex"/>
          </w:rPr>
          <w:t>A. Plenarförsamlingens roll och funktion</w:t>
          <w:tab/>
          <w:t>@~</w:t>
        </w:r>
      </w:hyperlink>
    </w:p>
    <w:p>
      <w:pPr>
        <w:pStyle w:val="Tabledesmatiresniveau2"/>
        <w:tabs>
          <w:tab w:val="right" w:pos="9638" w:leader="dot"/>
        </w:tabs>
        <w:rPr/>
      </w:pPr>
      <w:hyperlink w:anchor="__RefHeading___Toc298242_1346298689">
        <w:r>
          <w:rPr>
            <w:rStyle w:val="Sautdindex"/>
          </w:rPr>
          <w:t>B. Arbetsgrupper</w:t>
          <w:tab/>
          <w:t>@~</w:t>
        </w:r>
      </w:hyperlink>
    </w:p>
    <w:p>
      <w:pPr>
        <w:pStyle w:val="Tabledesmatiresniveau2"/>
        <w:tabs>
          <w:tab w:val="right" w:pos="9638" w:leader="dot"/>
        </w:tabs>
        <w:rPr/>
      </w:pPr>
      <w:hyperlink w:anchor="__RefHeading___Toc298244_1346298689">
        <w:r>
          <w:rPr>
            <w:rStyle w:val="Sautdindex"/>
          </w:rPr>
          <w:t>C. Kronologisk sammanfattning</w:t>
          <w:tab/>
          <w:t>@~</w:t>
        </w:r>
      </w:hyperlink>
    </w:p>
    <w:p>
      <w:pPr>
        <w:pStyle w:val="Tabledesmatiresniveau1"/>
        <w:tabs>
          <w:tab w:val="right" w:pos="9638" w:leader="dot"/>
        </w:tabs>
        <w:rPr/>
      </w:pPr>
      <w:hyperlink w:anchor="__RefHeading___Toc298246_1346298689">
        <w:r>
          <w:rPr>
            <w:rStyle w:val="Sautdindex"/>
          </w:rPr>
          <w:t>IV. Plenarförsamlingens förslag</w:t>
          <w:tab/>
          <w:t>@~</w:t>
        </w:r>
      </w:hyperlink>
    </w:p>
    <w:p>
      <w:pPr>
        <w:pStyle w:val="Tabledesmatiresniveau2"/>
        <w:tabs>
          <w:tab w:val="right" w:pos="9638" w:leader="dot"/>
        </w:tabs>
        <w:rPr/>
      </w:pPr>
      <w:hyperlink w:anchor="__RefHeading___Toc298248_1346298689">
        <w:r>
          <w:rPr>
            <w:rStyle w:val="Sautdindex"/>
          </w:rPr>
          <w:t>Klimatförändringar och miljö</w:t>
          <w:tab/>
          <w:t>@~</w:t>
        </w:r>
      </w:hyperlink>
    </w:p>
    <w:p>
      <w:pPr>
        <w:pStyle w:val="Tabledesmatiresniveau2"/>
        <w:tabs>
          <w:tab w:val="right" w:pos="9638" w:leader="dot"/>
        </w:tabs>
        <w:rPr/>
      </w:pPr>
      <w:hyperlink w:anchor="__RefHeading___Toc298272_1346298689">
        <w:r>
          <w:rPr>
            <w:rStyle w:val="Sautdindex"/>
          </w:rPr>
          <w:t>”</w:t>
        </w:r>
        <w:r>
          <w:rPr>
            <w:rStyle w:val="Sautdindex"/>
          </w:rPr>
          <w:t>Hälsa”</w:t>
          <w:tab/>
          <w:t>@~</w:t>
        </w:r>
      </w:hyperlink>
    </w:p>
    <w:p>
      <w:pPr>
        <w:pStyle w:val="Tabledesmatiresniveau2"/>
        <w:tabs>
          <w:tab w:val="right" w:pos="9638" w:leader="dot"/>
        </w:tabs>
        <w:rPr/>
      </w:pPr>
      <w:hyperlink w:anchor="__RefHeading___Toc298288_1346298689">
        <w:r>
          <w:rPr>
            <w:rStyle w:val="Sautdindex"/>
          </w:rPr>
          <w:t>En starkare ekonomi, social rättvisa och sysselsättning</w:t>
          <w:tab/>
          <w:t>@~</w:t>
        </w:r>
      </w:hyperlink>
    </w:p>
    <w:p>
      <w:pPr>
        <w:pStyle w:val="Tabledesmatiresniveau2"/>
        <w:tabs>
          <w:tab w:val="right" w:pos="9638" w:leader="dot"/>
        </w:tabs>
        <w:rPr/>
      </w:pPr>
      <w:hyperlink w:anchor="__RefHeading___Toc298302_1346298689">
        <w:r>
          <w:rPr>
            <w:rStyle w:val="Sautdindex"/>
          </w:rPr>
          <w:t>”</w:t>
        </w:r>
        <w:r>
          <w:rPr>
            <w:rStyle w:val="Sautdindex"/>
          </w:rPr>
          <w:t>EU i världen”</w:t>
          <w:tab/>
          <w:t>@~</w:t>
        </w:r>
      </w:hyperlink>
    </w:p>
    <w:p>
      <w:pPr>
        <w:pStyle w:val="Tabledesmatiresniveau2"/>
        <w:tabs>
          <w:tab w:val="right" w:pos="9638" w:leader="dot"/>
        </w:tabs>
        <w:rPr/>
      </w:pPr>
      <w:hyperlink w:anchor="__RefHeading___Toc298320_1346298689">
        <w:r>
          <w:rPr>
            <w:rStyle w:val="Sautdindex"/>
          </w:rPr>
          <w:t>Värderingar och rättigheter, rättsstatsprincipen, säkerhet</w:t>
          <w:tab/>
          <w:t>@~</w:t>
        </w:r>
      </w:hyperlink>
    </w:p>
    <w:p>
      <w:pPr>
        <w:pStyle w:val="Tabledesmatiresniveau2"/>
        <w:tabs>
          <w:tab w:val="right" w:pos="9638" w:leader="dot"/>
        </w:tabs>
        <w:rPr/>
      </w:pPr>
      <w:hyperlink w:anchor="__RefHeading___Toc298334_1346298689">
        <w:r>
          <w:rPr>
            <w:rStyle w:val="Sautdindex"/>
          </w:rPr>
          <w:t>”</w:t>
        </w:r>
        <w:r>
          <w:rPr>
            <w:rStyle w:val="Sautdindex"/>
          </w:rPr>
          <w:t>Digital transformation”</w:t>
          <w:tab/>
          <w:t>@~</w:t>
        </w:r>
      </w:hyperlink>
    </w:p>
    <w:p>
      <w:pPr>
        <w:pStyle w:val="Tabledesmatiresniveau2"/>
        <w:tabs>
          <w:tab w:val="right" w:pos="9638" w:leader="dot"/>
        </w:tabs>
        <w:rPr/>
      </w:pPr>
      <w:hyperlink w:anchor="__RefHeading___Toc298346_1346298689">
        <w:r>
          <w:rPr>
            <w:rStyle w:val="Sautdindex"/>
          </w:rPr>
          <w:t>”</w:t>
        </w:r>
        <w:r>
          <w:rPr>
            <w:rStyle w:val="Sautdindex"/>
          </w:rPr>
          <w:t>Europeisk demokrati”</w:t>
          <w:tab/>
          <w:t>@~</w:t>
        </w:r>
      </w:hyperlink>
    </w:p>
    <w:p>
      <w:pPr>
        <w:pStyle w:val="Tabledesmatiresniveau2"/>
        <w:tabs>
          <w:tab w:val="right" w:pos="9638" w:leader="dot"/>
        </w:tabs>
        <w:rPr/>
      </w:pPr>
      <w:hyperlink w:anchor="__RefHeading___Toc298358_1346298689">
        <w:r>
          <w:rPr>
            <w:rStyle w:val="Sautdindex"/>
          </w:rPr>
          <w:t>”</w:t>
        </w:r>
        <w:r>
          <w:rPr>
            <w:rStyle w:val="Sautdindex"/>
          </w:rPr>
          <w:t>Migration”</w:t>
          <w:tab/>
          <w:t>@~</w:t>
        </w:r>
      </w:hyperlink>
    </w:p>
    <w:p>
      <w:pPr>
        <w:pStyle w:val="Tabledesmatiresniveau2"/>
        <w:tabs>
          <w:tab w:val="right" w:pos="9638" w:leader="dot"/>
        </w:tabs>
        <w:rPr/>
      </w:pPr>
      <w:hyperlink w:anchor="__RefHeading___Toc298370_1346298689">
        <w:r>
          <w:rPr>
            <w:rStyle w:val="Sautdindex"/>
          </w:rPr>
          <w:t>Utbildning, kultur, ungdom och idrott</w:t>
          <w:tab/>
          <w:t>@~</w:t>
        </w:r>
      </w:hyperlink>
    </w:p>
    <w:p>
      <w:pPr>
        <w:pStyle w:val="Tabledesmatiresniveau1"/>
        <w:tabs>
          <w:tab w:val="right" w:pos="9638" w:leader="dot"/>
        </w:tabs>
        <w:rPr/>
      </w:pPr>
      <w:hyperlink w:anchor="__RefHeading___Toc298380_1346298689">
        <w:r>
          <w:rPr>
            <w:rStyle w:val="Sautdindex"/>
          </w:rPr>
          <w:t>Styrelsens slutliga överväganden</w:t>
          <w:tab/>
          <w:t>@~</w:t>
        </w:r>
      </w:hyperlink>
    </w:p>
    <w:p>
      <w:pPr>
        <w:pStyle w:val="Tabledesmatiresniveau1"/>
        <w:tabs>
          <w:tab w:val="right" w:pos="9638" w:leader="dot"/>
        </w:tabs>
        <w:rPr/>
      </w:pPr>
      <w:hyperlink w:anchor="__RefHeading___Toc297141_1346298689">
        <w:r>
          <w:rPr>
            <w:rStyle w:val="Sautdindex"/>
          </w:rPr>
          <w:t>Bilaga I – Rekommendationer från de fyra europeiska medborgarpanelerna</w:t>
          <w:tab/>
          <w:t>@~</w:t>
        </w:r>
      </w:hyperlink>
    </w:p>
    <w:p>
      <w:pPr>
        <w:pStyle w:val="Tabledesmatiresniveau2"/>
        <w:tabs>
          <w:tab w:val="right" w:pos="9638" w:leader="dot"/>
        </w:tabs>
        <w:rPr/>
      </w:pPr>
      <w:hyperlink w:anchor="__RefHeading___Toc297143_1346298689">
        <w:r>
          <w:rPr>
            <w:rStyle w:val="Sautdindex"/>
          </w:rPr>
          <w:t>Europeiska medborgarpanelen 1: En starkare ekonomi, social rättvisa och sysselsättning/utbildning, kultur, ungdom och idrott/digital omvandling</w:t>
          <w:tab/>
          <w:t>@~</w:t>
        </w:r>
      </w:hyperlink>
    </w:p>
    <w:p>
      <w:pPr>
        <w:pStyle w:val="Tabledesmatiresniveau2"/>
        <w:tabs>
          <w:tab w:val="right" w:pos="9638" w:leader="dot"/>
        </w:tabs>
        <w:rPr/>
      </w:pPr>
      <w:hyperlink w:anchor="__RefHeading___Toc297195_1346298689">
        <w:r>
          <w:rPr>
            <w:rStyle w:val="Sautdindex"/>
          </w:rPr>
          <w:t>Europeiska medborgarpanelen 2: ”Europeisk demokrati, värderingar och rättigheter, rättsstatsprincipen, säkerhet</w:t>
          <w:tab/>
          <w:t>@~</w:t>
        </w:r>
      </w:hyperlink>
    </w:p>
    <w:p>
      <w:pPr>
        <w:pStyle w:val="Tabledesmatiresniveau2"/>
        <w:tabs>
          <w:tab w:val="right" w:pos="9638" w:leader="dot"/>
        </w:tabs>
        <w:rPr/>
      </w:pPr>
      <w:hyperlink w:anchor="__RefHeading___Toc297245_1346298689">
        <w:r>
          <w:rPr>
            <w:rStyle w:val="Sautdindex"/>
          </w:rPr>
          <w:t>Europeiska medborgarpanelen 3: Klimatförändringar och miljö/hälsa</w:t>
          <w:tab/>
          <w:t>@~</w:t>
        </w:r>
      </w:hyperlink>
    </w:p>
    <w:p>
      <w:pPr>
        <w:pStyle w:val="Tabledesmatiresniveau2"/>
        <w:tabs>
          <w:tab w:val="right" w:pos="9638" w:leader="dot"/>
        </w:tabs>
        <w:rPr/>
      </w:pPr>
      <w:hyperlink w:anchor="__RefHeading___Toc297297_1346298689">
        <w:r>
          <w:rPr>
            <w:rStyle w:val="Sautdindex"/>
          </w:rPr>
          <w:t>Europeiska medborgarpanelen 4: ”EU i världen/Migration”</w:t>
          <w:tab/>
          <w:t>@~</w:t>
        </w:r>
      </w:hyperlink>
    </w:p>
    <w:p>
      <w:pPr>
        <w:pStyle w:val="Tabledesmatiresniveau1"/>
        <w:tabs>
          <w:tab w:val="right" w:pos="9638" w:leader="dot"/>
        </w:tabs>
        <w:rPr/>
      </w:pPr>
      <w:hyperlink w:anchor="__RefHeading___Toc297345_1346298689">
        <w:r>
          <w:rPr>
            <w:rStyle w:val="Sautdindex"/>
          </w:rPr>
          <w:t>II A – Nationella paneler: Belgien</w:t>
          <w:tab/>
          <w:t>@~</w:t>
        </w:r>
      </w:hyperlink>
    </w:p>
    <w:p>
      <w:pPr>
        <w:pStyle w:val="Tabledesmatiresniveau1"/>
        <w:tabs>
          <w:tab w:val="right" w:pos="9638" w:leader="dot"/>
        </w:tabs>
        <w:rPr/>
      </w:pPr>
      <w:hyperlink w:anchor="__RefHeading___Toc297349_1346298689">
        <w:r>
          <w:rPr>
            <w:rStyle w:val="Sautdindex"/>
          </w:rPr>
          <w:t>II B Nationella paneler: Frankrike</w:t>
          <w:tab/>
          <w:t>@~</w:t>
        </w:r>
      </w:hyperlink>
    </w:p>
    <w:p>
      <w:pPr>
        <w:pStyle w:val="Tabledesmatiresniveau2"/>
        <w:tabs>
          <w:tab w:val="right" w:pos="9638" w:leader="dot"/>
        </w:tabs>
        <w:rPr/>
      </w:pPr>
      <w:hyperlink w:anchor="__RefHeading___Toc300448_1346298689">
        <w:r>
          <w:rPr>
            <w:rStyle w:val="Sautdindex"/>
          </w:rPr>
          <w:t>Inledning</w:t>
          <w:tab/>
          <w:t>@~</w:t>
        </w:r>
      </w:hyperlink>
    </w:p>
    <w:p>
      <w:pPr>
        <w:pStyle w:val="Tabledesmatiresniveau2"/>
        <w:tabs>
          <w:tab w:val="right" w:pos="9638" w:leader="dot"/>
        </w:tabs>
        <w:rPr/>
      </w:pPr>
      <w:hyperlink w:anchor="__RefHeading___Toc300450_1346298689">
        <w:r>
          <w:rPr>
            <w:rStyle w:val="Sautdindex"/>
          </w:rPr>
          <w:t>Presentation av de viktigaste resultaten</w:t>
          <w:tab/>
          <w:t>@~</w:t>
        </w:r>
      </w:hyperlink>
    </w:p>
    <w:p>
      <w:pPr>
        <w:pStyle w:val="Tabledesmatiresniveau2"/>
        <w:tabs>
          <w:tab w:val="right" w:pos="9638" w:leader="dot"/>
        </w:tabs>
        <w:rPr/>
      </w:pPr>
      <w:hyperlink w:anchor="__RefHeading___Toc300452_1346298689">
        <w:r>
          <w:rPr>
            <w:rStyle w:val="Sautdindex"/>
          </w:rPr>
          <w:t>Presentation av panelerna för regionala konferenser</w:t>
          <w:tab/>
          <w:t>@~</w:t>
        </w:r>
      </w:hyperlink>
    </w:p>
    <w:p>
      <w:pPr>
        <w:pStyle w:val="Tabledesmatiresniveau2"/>
        <w:tabs>
          <w:tab w:val="right" w:pos="9638" w:leader="dot"/>
        </w:tabs>
        <w:rPr/>
      </w:pPr>
      <w:hyperlink w:anchor="__RefHeading___Toc300454_1346298689">
        <w:r>
          <w:rPr>
            <w:rStyle w:val="Sautdindex"/>
          </w:rPr>
          <w:t>Metodiska åtaganden och partiskhet</w:t>
          <w:tab/>
          <w:t>@~</w:t>
        </w:r>
      </w:hyperlink>
    </w:p>
    <w:p>
      <w:pPr>
        <w:pStyle w:val="Tabledesmatiresniveau2"/>
        <w:tabs>
          <w:tab w:val="right" w:pos="9638" w:leader="dot"/>
        </w:tabs>
        <w:rPr/>
      </w:pPr>
      <w:hyperlink w:anchor="__RefHeading___Toc297351_1346298689">
        <w:r>
          <w:rPr>
            <w:rStyle w:val="Sautdindex"/>
          </w:rPr>
          <w:t>Andra delen: presentation av resultaten av samrådet ”Words to Youth”</w:t>
          <w:tab/>
          <w:t>@~</w:t>
        </w:r>
      </w:hyperlink>
    </w:p>
    <w:p>
      <w:pPr>
        <w:pStyle w:val="Tabledesmatiresniveau2"/>
        <w:tabs>
          <w:tab w:val="right" w:pos="9638" w:leader="dot"/>
        </w:tabs>
        <w:rPr/>
      </w:pPr>
      <w:hyperlink w:anchor="__RefHeading___Toc300458_1346298689">
        <w:r>
          <w:rPr>
            <w:rStyle w:val="Sautdindex"/>
          </w:rPr>
          <w:t>Slutsats</w:t>
          <w:tab/>
          <w:t>@~</w:t>
        </w:r>
      </w:hyperlink>
    </w:p>
    <w:p>
      <w:pPr>
        <w:pStyle w:val="Tabledesmatiresniveau1"/>
        <w:tabs>
          <w:tab w:val="right" w:pos="9638" w:leader="dot"/>
        </w:tabs>
        <w:rPr/>
      </w:pPr>
      <w:hyperlink w:anchor="__RefHeading___Toc297353_1346298689">
        <w:r>
          <w:rPr>
            <w:rStyle w:val="Sautdindex"/>
          </w:rPr>
          <w:t>II C Nationella paneler: Tyskland</w:t>
          <w:tab/>
          <w:t>@~</w:t>
        </w:r>
      </w:hyperlink>
    </w:p>
    <w:p>
      <w:pPr>
        <w:pStyle w:val="Tabledesmatiresniveau1"/>
        <w:tabs>
          <w:tab w:val="right" w:pos="9638" w:leader="dot"/>
        </w:tabs>
        <w:rPr/>
      </w:pPr>
      <w:hyperlink w:anchor="__RefHeading___Toc297355_1346298689">
        <w:r>
          <w:rPr>
            <w:rStyle w:val="Sautdindex"/>
          </w:rPr>
          <w:t>II D Nationella paneler: Italien</w:t>
          <w:tab/>
          <w:t>@~</w:t>
        </w:r>
      </w:hyperlink>
    </w:p>
    <w:p>
      <w:pPr>
        <w:pStyle w:val="Tabledesmatiresniveau2"/>
        <w:tabs>
          <w:tab w:val="right" w:pos="9638" w:leader="dot"/>
        </w:tabs>
        <w:rPr/>
      </w:pPr>
      <w:hyperlink w:anchor="__RefHeading___Toc300314_1346298689">
        <w:r>
          <w:rPr>
            <w:rStyle w:val="Sautdindex"/>
          </w:rPr>
          <w:t>4. Arbetsprogram</w:t>
          <w:tab/>
          <w:t>@~</w:t>
        </w:r>
      </w:hyperlink>
    </w:p>
    <w:p>
      <w:pPr>
        <w:pStyle w:val="Tabledesmatiresniveau2"/>
        <w:tabs>
          <w:tab w:val="right" w:pos="9638" w:leader="dot"/>
        </w:tabs>
        <w:rPr/>
      </w:pPr>
      <w:hyperlink w:anchor="__RefHeading___Toc300322_1346298689">
        <w:r>
          <w:rPr>
            <w:rStyle w:val="Sautdindex"/>
          </w:rPr>
          <w:t>6. Slutlig utvärdering av deltagarna</w:t>
          <w:tab/>
          <w:t>@~</w:t>
        </w:r>
      </w:hyperlink>
    </w:p>
    <w:p>
      <w:pPr>
        <w:pStyle w:val="Tabledesmatiresniveau1"/>
        <w:tabs>
          <w:tab w:val="right" w:pos="9638" w:leader="dot"/>
        </w:tabs>
        <w:rPr/>
      </w:pPr>
      <w:hyperlink w:anchor="__RefHeading___Toc298382_1346298689">
        <w:r>
          <w:rPr>
            <w:rStyle w:val="Sautdindex"/>
          </w:rPr>
          <w:t>II E Nationella paneler: Litauen</w:t>
          <w:tab/>
          <w:t>@~</w:t>
        </w:r>
      </w:hyperlink>
    </w:p>
    <w:p>
      <w:pPr>
        <w:pStyle w:val="Tabledesmatiresniveau1"/>
        <w:tabs>
          <w:tab w:val="right" w:pos="9638" w:leader="dot"/>
        </w:tabs>
        <w:rPr/>
      </w:pPr>
      <w:hyperlink w:anchor="__RefHeading___Toc297357_1346298689">
        <w:r>
          <w:rPr>
            <w:rStyle w:val="Sautdindex"/>
          </w:rPr>
          <w:t>II F Nationella paneler: Nederländerna</w:t>
          <w:tab/>
          <w:t>@~</w:t>
        </w:r>
      </w:hyperlink>
    </w:p>
    <w:p>
      <w:pPr>
        <w:pStyle w:val="Tabledesmatiresniveau1"/>
        <w:tabs>
          <w:tab w:val="right" w:pos="9638" w:leader="dot"/>
        </w:tabs>
        <w:rPr/>
      </w:pPr>
      <w:hyperlink w:anchor="__RefHeading___Toc297359_1346298689">
        <w:r>
          <w:rPr>
            <w:rStyle w:val="Sautdindex"/>
          </w:rPr>
          <w:t>III – Hänvisningar till resultaten av nationella evenemang</w:t>
          <w:tab/>
          <w:t>@~</w:t>
        </w:r>
      </w:hyperlink>
    </w:p>
    <w:p>
      <w:pPr>
        <w:pStyle w:val="Tabledesmatiresniveau1"/>
        <w:tabs>
          <w:tab w:val="right" w:pos="9638" w:leader="dot"/>
        </w:tabs>
        <w:rPr/>
      </w:pPr>
      <w:hyperlink w:anchor="__RefHeading___Toc344888_2081073262">
        <w:r>
          <w:rPr>
            <w:rStyle w:val="Sautdindex"/>
          </w:rPr>
          <w:t>IV – Hänvisning till rapporten från den flerspråkiga digitala plattformen</w:t>
          <w:tab/>
          <w:t>@~</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6120130" cy="8663305"/>
            <wp:effectExtent l="0" t="0" r="0" b="0"/>
            <wp:wrapSquare wrapText="largest"/>
            <wp:docPr id="10"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Inledning</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Den 10 mars 2021 undertecknade Europaparlamentets talman David Sassoli, Portugals premiärminister António Costa, på Europeiska unionens råds vägnar, och Europeiska kommissionens ordförande Ursula von der Leyen den gemensamma förklaringen om konferensen om Europas framtid. Det åtagande de gjorde var enkelt: det var en medborgarinriktad övning som byggde på en bottom-up-strategi för att se till att alla européer har en åsikt om vad de förväntar sig av Europeiska unionen och spelar en ökad roll i utformningen av unionens framtid. Deras uppgift, å andra sidan, var extremt svår: syftet var att för första gången organisera ett transnationellt, flerspråkigt och interinstitutionellt utövande av överläggningsdemokrati med deltagande av tusentals europeiska medborgare samt politiska aktörer, arbetsmarknadens parter, företrädare för det civila samhället och viktiga intressenter i den mening som avses i artikel 16 i konferensens arbetsordning.</w:t>
      </w:r>
    </w:p>
    <w:p>
      <w:pPr>
        <w:pStyle w:val="Normal"/>
        <w:rPr/>
      </w:pPr>
      <w:r>
        <w:rPr/>
        <w:t>Den 9 maj 2022, efter månader av intensiva överläggningar, avslutade konferensen sitt arbete och lade fram en rapport för de tre EU-institutionerna om sina slutliga resultat med 49 förslag. Dessa förslag motsvarar EU-medborgarnas förväntningar på nio teman: En starkare ekonomi, social rättvisa och sysselsättning. Utbildning, kultur, ungdom och idrott. Den digitala omvandlingen. Den europeiska demokratin, Värden och rättigheter, rättsstatsprincipen, säkerhet, Klimatförändringar och miljö, Hälsa; EU i världen, och migration. Alla dessa teman anges i denna slutrapport, som också syftar till att ge en översikt över de olika aktiviteter som vidtagits inom ramen för denna unika process, konferensen om Europas framtid.</w:t>
      </w:r>
    </w:p>
    <w:p>
      <w:pPr>
        <w:pStyle w:val="Corpsdetexte"/>
        <w:rPr/>
      </w:pPr>
      <w:r>
        <w:rPr/>
        <w:t>Leds av tre medordförande (Guy Verhofstadt för Europaparlamentet; Ana Paula Zacarias, Gašper Dovžan och Clément Beaune, successivt för Europeiska unionens råd. och Dubravka Šuica för Europeiska kommissionen) och leds av en direktion (som likaledes består av företrädare för de tre institutionerna och observatörer från de viktigaste intressenterna), var konferensen en aldrig tidigare skådad erfarenhet av transnationell deliberativ demokrati. Den har också visat sin historiska relevans och betydelse i samband med covid-19-pandemin och Rysslands aggression mot Ukraina. Konferensen om Europas framtid resulterade i inrättandet av en flerspråkig digital plattform för EU-medborgarnas bidrag på alla 24 EU-språken och till att fyra europeiska medborgarpaneler, sex nationella medborgarpaneler, tusentals nationella och lokala evenemang och sju plenarförsamlingar anordnades. Det är resultatet av en aldrig tidigare skådad vilja hos EU-institutionerna, medlemsstaterna, men också och framför allt EU-medborgarna, att diskutera EU:s prioriteringar och de utmaningar den står inför och att anta en ny strategi för det europeiska projektet.</w:t>
      </w:r>
    </w:p>
    <w:p>
      <w:pPr>
        <w:pStyle w:val="Corpsdetexte"/>
        <w:rPr/>
      </w:pPr>
      <w:r>
        <w:rPr/>
        <w:t>Detta är dock bara början. I enlighet med grundtexten till konferensen kommer de tre institutionerna nu snabbt att överväga hur man effektivt ska genomföra denna rapport, var och en inom sitt ansvarsområde och i enlighet med fördragen. Fastställandet av de tre institutionerna i detta avseende är av största vikt.</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Konferensens arkitektur</w:t>
      </w:r>
    </w:p>
    <w:p>
      <w:pPr>
        <w:pStyle w:val="Corpsdetexte"/>
        <w:rPr/>
      </w:pPr>
      <w:r>
        <w:rPr>
          <w:sz w:val="40"/>
        </w:rPr>
        <w:t>Konferensen om Europas framtid</w:t>
      </w:r>
      <w:r>
        <w:rPr>
          <w:rStyle w:val="Ancredenotedebasdepage"/>
          <w:rStyle w:val="Ancredenotedebasdepage"/>
          <w:sz w:val="40"/>
        </w:rPr>
        <w:footnoteReference w:id="2"/>
      </w:r>
      <w:r>
        <w:rPr>
          <w:sz w:val="40"/>
        </w:rPr>
        <w:t xml:space="preserve"> var en ny och innovativ process som öppnade ett nytt utrymme för debatt med medborgarna i syfte att undersöka EU:s prioriteringar och utmaningar i syfte att fastställa det europeiska projektets demokratiska legitimitet och främja medborgarnas anslutning till våra gemensamma värderingar och mål. Konferensen var en medborgarinriktad övning baserad på en nedifrån och upp-strategi, som syftade till att se till att européerna har en åsikt om vad de förväntar sig av Europeiska unionen. Det var ett gemensamt initiativ från Europaparlamentet, rådet och Europeiska kommissionen som agerade på samma villkor som EU:s medlemsstater.</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Gemensam förklaring</w:t>
      </w:r>
    </w:p>
    <w:p>
      <w:pPr>
        <w:pStyle w:val="Normal"/>
        <w:rPr/>
      </w:pPr>
      <w:r>
        <w:rPr/>
      </w:r>
    </w:p>
    <w:p>
      <w:pPr>
        <w:pStyle w:val="Normal"/>
        <w:rPr/>
      </w:pPr>
      <w:r>
        <w:rPr/>
        <w:t>Den 10 mars 2021 undertecknades den gemensamma förklaringen om konferensen om Europas framtid (nedan kallad den gemensamma förklaringen) av Europaparlamentets avlidne talman David Sassoli, Portugals premiärminister António Costa, på Europeiska unionens råds vägnar, och Europeiska kommissionens ordförande Ursula von der Leyen, som banade väg för denna oöverträffade, öppna och inkluderande europeiska demokratiska övning, som ger medborgarna en central plats.</w:t>
      </w:r>
    </w:p>
    <w:p>
      <w:pPr>
        <w:pStyle w:val="Normal"/>
        <w:rPr/>
      </w:pPr>
      <w:r>
        <w:rPr/>
        <w:t>Konferensen ställdes under ledning av ordförandena för de tre institutionerna, i egenskap av gemensamt ordförandeskap. Det gemensamma ordförandeskapet biträddes av en styrelse med en ledamot från var och en av EU:s tre institutioner som ordförande.</w:t>
      </w:r>
    </w:p>
    <w:p>
      <w:pPr>
        <w:pStyle w:val="Normal"/>
        <w:rPr/>
      </w:pPr>
      <w:r>
        <w:rPr/>
        <w:t xml:space="preserve">I enlighet med den gemensamma förklaringen har följande strukturer inrättats: </w:t>
      </w:r>
    </w:p>
    <w:p>
      <w:pPr>
        <w:pStyle w:val="Alineanegatifpuce"/>
        <w:numPr>
          <w:ilvl w:val="0"/>
          <w:numId w:val="3"/>
        </w:numPr>
        <w:rPr/>
      </w:pPr>
      <w:r>
        <w:rPr/>
        <w:t>en styrelse, som övervakade organisationen av konferensen. Den bestod av företrädare för de tre EU-institutionerna (tre ledamöter respektive fyra observatörer) samt observatörer från ordförandetrojkan för konferensen för gemenskapsorgan (Cosac) i de nationella parlamenten i Europeiska unionen. Regionkommittén, Europeiska ekonomiska och sociala kommittén och företrädare för arbetsmarknadens parter inbjöds som observatörer.</w:t>
      </w:r>
    </w:p>
    <w:p>
      <w:pPr>
        <w:pStyle w:val="Alineanegatifpuce"/>
        <w:numPr>
          <w:ilvl w:val="0"/>
          <w:numId w:val="3"/>
        </w:numPr>
        <w:rPr/>
      </w:pPr>
      <w:r>
        <w:rPr/>
        <w:t>ett gemensamt sekretariat som säkerställer lika representation för de tre institutionerna, som stödde direktionens arbete. Gruppen, som leddes av tre medordförande för de tre institutionerna, övervakade särskilt organisationen och förberedelserna inför styrelsemötena, konferensens plenarförsamlingar och de europeiska medborgarpanelerna. I samarbete med tjänsteleverantörer ansvarade hon för att hantera den flerspråkiga digitala plattformen och rapportera om viktiga milstolpar under hela processen.</w:t>
        <w:br/>
        <w:t xml:space="preserve">Den unika sammansättningen av detta team möjliggjorde arbetets ständiga kollegialitet och säkerställde synergier och effektivitetsvinster på alla områden. </w:t>
      </w:r>
    </w:p>
    <w:p>
      <w:pPr>
        <w:pStyle w:val="Alineanegatifpuce"/>
        <w:numPr>
          <w:ilvl w:val="0"/>
          <w:numId w:val="3"/>
        </w:numPr>
        <w:rPr/>
      </w:pPr>
      <w:r>
        <w:rPr/>
        <w:t>en plenarförsamling vid konferensen (se kapitel III för mer information), som gjorde det möjligt att diskutera rekommendationerna från de nationella och europeiska medborgarpanelerna, grupperade efter teman, med full respekt för EU:s värden och konferensstadgan</w:t>
      </w:r>
      <w:r>
        <w:rPr>
          <w:rStyle w:val="Ancredenotedebasdepage"/>
          <w:rStyle w:val="Ancredenotedebasdepage"/>
        </w:rPr>
        <w:footnoteReference w:id="3"/>
      </w:r>
      <w:r>
        <w:rPr/>
        <w:t>, och utan att resultatet av debatterna bestäms i förväg eller deras omfattning begränsas till på förhand fastställda politikområden. Bidrag som samlats in på den flerspråkiga digitala plattformen diskuterades också, där så är lämpligt. Nio tematiska arbetsgrupper har inrättats för att bidra till att förbereda plenarförsamlingens debatter och förslag.</w:t>
      </w:r>
    </w:p>
    <w:p>
      <w:pPr>
        <w:pStyle w:val="Alineanegatifpuce"/>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3">
            <wp:simplePos x="0" y="0"/>
            <wp:positionH relativeFrom="column">
              <wp:posOffset>0</wp:posOffset>
            </wp:positionH>
            <wp:positionV relativeFrom="paragraph">
              <wp:posOffset>99695</wp:posOffset>
            </wp:positionV>
            <wp:extent cx="2970530" cy="8561705"/>
            <wp:effectExtent l="0" t="0" r="0" b="0"/>
            <wp:wrapSquare wrapText="largest"/>
            <wp:docPr id="11"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Arbetsordning</w:t>
      </w:r>
    </w:p>
    <w:p>
      <w:pPr>
        <w:pStyle w:val="Normal"/>
        <w:rPr/>
      </w:pPr>
      <w:r>
        <w:rPr/>
        <w:t>Den 9 maj 2021 godkände styrelsen konferensens arbetsordning, som fastställts i enlighet med den gemensamma förklaringen om konferensen om Europas framtid, som fastställer konferensens grunder och principer.</w:t>
      </w:r>
    </w:p>
    <w:p>
      <w:pPr>
        <w:pStyle w:val="Normal"/>
        <w:rPr/>
      </w:pPr>
      <w:r>
        <w:rPr/>
        <w:t>I arbetsordningen fastställs ramen för arbetet i de olika konferensstrukturerna och deras interaktioner.</w:t>
      </w:r>
    </w:p>
    <w:p>
      <w:pPr>
        <w:pStyle w:val="Titre2"/>
        <w:numPr>
          <w:ilvl w:val="1"/>
          <w:numId w:val="2"/>
        </w:numPr>
        <w:rPr/>
      </w:pPr>
      <w:bookmarkStart w:id="3" w:name="__RefHeading___Toc298052_1346298689"/>
      <w:bookmarkEnd w:id="3"/>
      <w:r>
        <w:rPr/>
        <w:t>3. Evenemang med anknytning till konferensen</w:t>
      </w:r>
    </w:p>
    <w:p>
      <w:pPr>
        <w:pStyle w:val="Corpsdetexte"/>
        <w:rPr/>
      </w:pPr>
      <w:r>
        <w:rPr/>
        <w:t>Enligt den gemensamma förklaringen kan varje EU-medlemsstat eller EU-institution anordna evenemang under konferensens överinseende, beroende på dess nationella eller institutionella särdrag, och lämna ytterligare bidrag till konferensen (se kapitel II.C för mer information).</w:t>
      </w:r>
    </w:p>
    <w:p>
      <w:pPr>
        <w:pStyle w:val="Corpsdetexte"/>
        <w:rPr/>
      </w:pPr>
      <w:r>
        <w:rPr/>
        <w:t>EU:s institutioner och organ, medlemsstaterna, regionala och lokala myndigheter, det organiserade civila samhället, arbetsmarknadens parter och medborgarna uppmanades därför att anordna evenemang i partnerskap med det civila samhället och berörda parter på europeisk, nationell, regional och lokal nivå, i många olika format i hela Europa, och att offentliggöra resultaten av dessa evenemang på den digitala plattformen. Flera tusen sådana evenemang ägde rum, där cirka 650 000 deltagare deltog.</w:t>
      </w:r>
    </w:p>
    <w:p>
      <w:pPr>
        <w:pStyle w:val="Titre2"/>
        <w:numPr>
          <w:ilvl w:val="1"/>
          <w:numId w:val="2"/>
        </w:numPr>
        <w:rPr/>
      </w:pPr>
      <w:bookmarkStart w:id="4" w:name="__RefHeading___Toc298054_1346298689"/>
      <w:bookmarkEnd w:id="4"/>
      <w:r>
        <w:rPr/>
        <w:t>4.</w:t>
        <w:tab/>
        <w:t>Genomförande av den flerspråkiga digitala plattformen</w:t>
      </w:r>
    </w:p>
    <w:p>
      <w:pPr>
        <w:pStyle w:val="Normal"/>
        <w:rPr/>
      </w:pPr>
      <w:r>
        <w:rPr/>
        <w:t>Den flerspråkiga digitala plattformen (se kapitel II.A för mer information) har inrättats för att göra det möjligt för medborgarna att dela med sig av sina idéer och skicka bidrag online, i enlighet med den gemensamma förklaringen. Det var det viktigaste navet för bidrag och information till medborgarna om de olika delarna av konferensen och ett interaktivt verktyg för att dela och diskutera idéer och bidrag från de många evenemang som anordnades inom ramen för konferensen. Plattformen lanserades officiellt den 19 april 2021. Mer än 17 000 idéer har publicerats på plattformen.</w:t>
      </w:r>
    </w:p>
    <w:p>
      <w:pPr>
        <w:pStyle w:val="Corpsdetexte"/>
        <w:rPr/>
      </w:pPr>
      <w:r>
        <w:rPr/>
        <w:t>Under hela konferensen utarbetades rapporter om de bidrag som presenterades på plattformen.</w:t>
      </w:r>
    </w:p>
    <w:p>
      <w:pPr>
        <w:pStyle w:val="Normal"/>
        <w:rPr/>
      </w:pPr>
      <w:r>
        <w:rPr/>
        <w:t>De bidrag som samlats in via plattformen beaktades av de europeiska medborgarpanelerna och diskuterades och diskuterades i konferensens plenarförsamling.</w:t>
      </w:r>
    </w:p>
    <w:p>
      <w:pPr>
        <w:pStyle w:val="Titre2"/>
        <w:numPr>
          <w:ilvl w:val="1"/>
          <w:numId w:val="2"/>
        </w:numPr>
        <w:rPr/>
      </w:pPr>
      <w:bookmarkStart w:id="5" w:name="__RefHeading___Toc298056_1346298689"/>
      <w:bookmarkEnd w:id="5"/>
      <w:r>
        <w:rPr/>
        <w:t>5.</w:t>
        <w:tab/>
        <w:t>De europeiska medborgarpanelerna</w:t>
      </w:r>
    </w:p>
    <w:p>
      <w:pPr>
        <w:pStyle w:val="Normal"/>
        <w:rPr/>
      </w:pPr>
      <w:r>
        <w:rPr/>
        <w:t>I linje med den gemensamma förklaringen var de europeiska medborgarpanelerna, som anordnades kring konferensens huvudteman, en central och särskilt innovativ del av konferensen (se kapitel II.B för mer information).</w:t>
      </w:r>
    </w:p>
    <w:p>
      <w:pPr>
        <w:pStyle w:val="Normal"/>
        <w:rPr/>
      </w:pPr>
      <w:r>
        <w:rPr/>
        <w:t>Totalt 800 slumpmässigt utvalda medborgare som representerar EU:s sociologiska och geografiska mångfald och grupperade i fyra paneler med 200 medborgare träffades för tre överläggningar per panel. De europeiska medborgarpanelerna lämnade rekommendationer som låg till grund för konferensens allmänna överläggningar, särskilt vid konferensens plenarförsamlingar.</w:t>
      </w:r>
    </w:p>
    <w:p>
      <w:pPr>
        <w:pStyle w:val="Normal"/>
        <w:rPr/>
      </w:pPr>
      <w:r>
        <w:rPr/>
        <w:t>Medordförandena i direktionen fastställde gemensamt de praktiska arrangemangen för organisationen av de europeiska medborgarpanelerna, i enlighet med den gemensamma förklaringen och arbetsordningen, och informerade styrelsen i förväg.</w:t>
      </w:r>
    </w:p>
    <w:p>
      <w:pPr>
        <w:pStyle w:val="Normal"/>
        <w:rPr/>
      </w:pPr>
      <w:r>
        <w:rPr/>
        <w:t>Styrelsen har regelbundet informerats om framstegen med att inrätta och organisera europeiska medborgarpaneler.</w:t>
      </w:r>
    </w:p>
    <w:p>
      <w:pPr>
        <w:pStyle w:val="Normal"/>
        <w:rPr/>
      </w:pPr>
      <w:r>
        <w:rPr/>
      </w:r>
    </w:p>
    <w:p>
      <w:pPr>
        <w:pStyle w:val="Titre2"/>
        <w:numPr>
          <w:ilvl w:val="1"/>
          <w:numId w:val="2"/>
        </w:numPr>
        <w:rPr/>
      </w:pPr>
      <w:bookmarkStart w:id="6" w:name="__RefHeading___Toc298058_1346298689"/>
      <w:bookmarkEnd w:id="6"/>
      <w:r>
        <w:rPr/>
        <w:t>6.</w:t>
        <w:tab/>
        <w:t>Nationella medborgarpaneler</w:t>
      </w:r>
    </w:p>
    <w:p>
      <w:pPr>
        <w:pStyle w:val="Normal"/>
        <w:rPr/>
      </w:pPr>
      <w:r>
        <w:rPr/>
        <w:t>Enligt den gemensamma förklaringen skulle medlemsstaterna kunna organisera nationella paneler. För att hjälpa de medlemsstater som planerar att organisera nationella medborgarpaneler godkändes riktlinjerna av medordförandena och överlämnades till styrelsen den 26 maj 2021 för att säkerställa att de nationella panelerna organiseras enligt samma principer som de europeiska medborgarpanelerna. Dessa riktlinjer innehöll principer för god överläggning på grundval av OECD:s riktlinjer</w:t>
      </w:r>
      <w:r>
        <w:rPr>
          <w:rStyle w:val="Ancredenotedebasdepage"/>
          <w:rStyle w:val="Ancredenotedebasdepage"/>
        </w:rPr>
        <w:footnoteReference w:id="4"/>
      </w:r>
      <w:r>
        <w:rPr/>
        <w:t>. Varje medlemsstat kan besluta om en panel av nationella medborgare ska anordnas eller inte. Sammanlagt sex medlemsstater organiserade en (Belgien, Frankrike, Tyskland, Italien, Litauen och Nederländerna).</w:t>
      </w:r>
    </w:p>
    <w:p>
      <w:pPr>
        <w:pStyle w:val="Normal"/>
        <w:rPr/>
      </w:pPr>
      <w:r>
        <w:rPr/>
        <w:t>I linje med den gemensamma förklaringen presenterades och diskuterades rekommendationerna från de nationella medborgarpanelerna vid konferensens plenarförsamlingar, parallellt med rekommendationerna från de europeiska medborgarpanelerna.</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NEJ, NEJ, NEJ, NEJ. Medborgarnas bidrag till konferensen</w:t>
      </w:r>
    </w:p>
    <w:p>
      <w:pPr>
        <w:pStyle w:val="Normal"/>
        <w:rPr/>
      </w:pPr>
      <w:r>
        <w:rPr/>
      </w:r>
      <w:r>
        <w:br w:type="page"/>
      </w:r>
    </w:p>
    <w:p>
      <w:pPr>
        <w:pStyle w:val="Titre2"/>
        <w:numPr>
          <w:ilvl w:val="1"/>
          <w:numId w:val="2"/>
        </w:numPr>
        <w:rPr/>
      </w:pPr>
      <w:bookmarkStart w:id="8" w:name="__RefHeading___Toc298190_1346298689"/>
      <w:bookmarkEnd w:id="8"/>
      <w:r>
        <w:rPr/>
        <w:t>A. Flerspråkig digital plattform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Den flerspråkiga digitala plattformen lanserades den 19 april 2021 och var konferensens centrala kontaktpunkt. Genom det kunde alla delta i konferensen: alla medborgare i och utanför EU, det civila samhället, arbetsmarknadens parter och olika andra intressenter.</w:t>
      </w:r>
    </w:p>
    <w:p>
      <w:pPr>
        <w:pStyle w:val="Normal"/>
        <w:rPr/>
      </w:pPr>
      <w:r>
        <w:rPr/>
        <w:t>Plattformen utvecklades specifikt för konferensen, med hjälp av Decidim, en europeisk fri programvara avsedd för medborgarnas deltagande. På en sådan omfattning och nivå av interaktivitet och flerspråkighet var denna prestation en första, inte bara europeisk utan också global. Alla bidrag fanns tillgängliga på alla 24 officiella EU-språk genom maskinöversättning. Debatten var uppbyggd kring tio teman: ”Klimatförändringar och miljö”, ”hälsa”, ”En starkare ekonomi, social rättvisa och sysselsättning”, ”EU i världen”, ”Värdigheter och rättigheter, rättsstatsprincipen, säkerhet”, ”digital omvandling”, ”europeisk demokrati”, ”Migration”, ”utbildning, kultur, ungdom och idrott” och ”Andra idéer”.</w:t>
      </w:r>
    </w:p>
    <w:p>
      <w:pPr>
        <w:pStyle w:val="Normal"/>
        <w:rPr/>
      </w:pPr>
      <w:r>
        <w:rPr/>
        <w:t>Det var möjligt att delta på plattformen på flera olika sätt.</w:t>
      </w:r>
    </w:p>
    <w:p>
      <w:pPr>
        <w:pStyle w:val="Normal"/>
        <w:rPr/>
      </w:pPr>
      <w:r>
        <w:rPr/>
        <w:t>Vem som helst som ville det kunde dela med sig av sina idéer om ett av de tio temana. Det var också möjligt att kommentera andras idéer. Plattformen har på så sätt möjliggjort en verklig alleuropeisk debatt mellan medborgarna.</w:t>
      </w:r>
    </w:p>
    <w:p>
      <w:pPr>
        <w:pStyle w:val="Normal"/>
        <w:rPr/>
      </w:pPr>
      <w:r>
        <w:rPr/>
        <w:t>Deltagarna kunde också stödja idéer, vilket tyder på att de stödde input från en annan användare.</w:t>
      </w:r>
    </w:p>
    <w:p>
      <w:pPr>
        <w:pStyle w:val="Normal"/>
        <w:rPr/>
      </w:pPr>
      <w:r>
        <w:rPr/>
        <w:t xml:space="preserve">Ett annat viktigt sätt att bidra till konferensen var att organisera evenemang (virtuella, ansikte mot ansikte eller hybrider), tillkännage dem på plattformen, rapportera om sina resultat och koppla dem till idéer. </w:t>
      </w:r>
      <w:hyperlink r:id="rId23">
        <w:r>
          <w:rPr>
            <w:rStyle w:val="LienInternet"/>
          </w:rPr>
          <w:t>Vägledningar</w:t>
        </w:r>
      </w:hyperlink>
      <w:r>
        <w:rPr/>
        <w:t xml:space="preserve"> och </w:t>
      </w:r>
      <w:hyperlink r:id="rId24">
        <w:r>
          <w:rPr>
            <w:rStyle w:val="LienInternet"/>
          </w:rPr>
          <w:t>informationsmaterial hade</w:t>
        </w:r>
      </w:hyperlink>
      <w:r>
        <w:rPr/>
        <w:t xml:space="preserve"> gjorts tillgängliga för organisatörerna på plattformen för att främja evenemangens deltagande och inkluderande karaktär.</w:t>
      </w:r>
    </w:p>
    <w:p>
      <w:pPr>
        <w:pStyle w:val="Normal"/>
        <w:rPr/>
      </w:pPr>
      <w:r>
        <w:rPr/>
        <w:t xml:space="preserve">Plattformen har spelat en grundläggande roll för öppenheten i hela processen och när det gäller allas tillgång till information om konferensen. Det var här alla kunde hitta information om själva konferensens arbetsmetoder och organisation, till exempel om själva konferensprocessen (konferensens plenarförsamling och dess arbetsgrupper, </w:t>
      </w:r>
      <w:hyperlink r:id="rId25">
        <w:r>
          <w:rPr>
            <w:rStyle w:val="LienInternet"/>
          </w:rPr>
          <w:t>europeiska medborgarpaneler</w:t>
        </w:r>
      </w:hyperlink>
      <w:r>
        <w:rPr/>
        <w:t xml:space="preserve">, </w:t>
      </w:r>
      <w:hyperlink r:id="rId26">
        <w:r>
          <w:rPr>
            <w:rStyle w:val="LienInternet"/>
          </w:rPr>
          <w:t>nationella paneler och evenemang</w:t>
        </w:r>
      </w:hyperlink>
      <w:r>
        <w:rPr/>
        <w:t xml:space="preserve"> samt </w:t>
      </w:r>
      <w:hyperlink r:id="rId27">
        <w:r>
          <w:rPr>
            <w:rStyle w:val="LienInternet"/>
          </w:rPr>
          <w:t>direktionen</w:t>
        </w:r>
      </w:hyperlink>
      <w:r>
        <w:rPr/>
        <w:t>). Debatterna i kammaren och dess arbetsgrupper sändes direkt på internet, liksom mötena i de europeiska medborgarpanelerna. All denna information kommer att finnas tillgänglig på plattformen.</w:t>
      </w:r>
    </w:p>
    <w:p>
      <w:pPr>
        <w:pStyle w:val="Normal"/>
        <w:rPr/>
      </w:pPr>
      <w:r>
        <w:rPr/>
        <w:t>Under hela arbetet gjordes förbättringar av plattformen när det var möjligt, till exempel genom att lägga till funktioner eller visuella medier. Med tiden har plattformen också blivit mer tillgänglig för personer med funktionsnedsättning.</w:t>
      </w:r>
    </w:p>
    <w:p>
      <w:pPr>
        <w:pStyle w:val="Normal"/>
        <w:rPr/>
      </w:pPr>
      <w:r>
        <w:rPr/>
        <w:t>Alla bidrag på plattformen var offentliga: alla kunde få tillgång till dem, samt öppna datafiler som är kopplade till den digitala plattformen, vilket säkerställde full insyn. För att underlätta insamling och analys av bidrag hade kommissionens gemensamma forskningscentrum utvecklat ett automatiserat textanalysverktyg och en analysplattform som möjliggjorde flerspråkig tolkning och djupgående analys av plattformens innehåll. Analysplattformen är ett verktyg som har visat sig vara nödvändigt för att tillhandahålla regelbundna rapporter av enhetlig kvalitetsnivå på alla språk. Dessutom uppmuntrade ett ”datathon” som anordnades i mars 2022 av Europeiska kommissionen nya tillvägagångssätt i analysen av de öppna dataserierna och bidrog till insynen i dataanalysprocessen.</w:t>
      </w:r>
    </w:p>
    <w:p>
      <w:pPr>
        <w:pStyle w:val="Normal"/>
        <w:rPr/>
      </w:pPr>
      <w:r>
        <w:rPr/>
        <w:t>För att ge en översikt över bidragen på plattformen har en extern tjänsteleverantör utarbetat rapporter som har publicerats på själva plattformen.</w:t>
      </w:r>
    </w:p>
    <w:p>
      <w:pPr>
        <w:pStyle w:val="Normal"/>
        <w:rPr/>
      </w:pPr>
      <w:r>
        <w:rPr/>
        <w:t xml:space="preserve">En </w:t>
      </w:r>
      <w:hyperlink r:id="rId28">
        <w:r>
          <w:rPr>
            <w:rStyle w:val="LienInternet"/>
          </w:rPr>
          <w:t>första delårsrapport</w:t>
        </w:r>
      </w:hyperlink>
      <w:r>
        <w:rPr/>
        <w:t xml:space="preserve"> publicerades i september: den fokuserade på bidrag</w:t>
      </w:r>
    </w:p>
    <w:p>
      <w:pPr>
        <w:pStyle w:val="Normal"/>
        <w:rPr/>
      </w:pPr>
      <w:r>
        <w:rPr/>
        <w:t xml:space="preserve">levererat till och med den 2 augusti 2021. Den </w:t>
      </w:r>
      <w:hyperlink r:id="rId29">
        <w:r>
          <w:rPr>
            <w:rStyle w:val="LienInternet"/>
          </w:rPr>
          <w:t>andra delrapporten</w:t>
        </w:r>
      </w:hyperlink>
      <w:r>
        <w:rPr/>
        <w:t xml:space="preserve">offentliggjordes i mitten av oktober 2021 och omfattar bidrag som lämnats in till och med den 7 september 2021. Den </w:t>
      </w:r>
      <w:hyperlink r:id="rId30">
        <w:r>
          <w:rPr>
            <w:rStyle w:val="LienInternet"/>
          </w:rPr>
          <w:t>tredje delrapporten</w:t>
        </w:r>
      </w:hyperlink>
      <w:r>
        <w:rPr/>
        <w:t xml:space="preserve"> offentliggjordes i december 2021 och omfattade bidrag till och med den 3 november 2021. När arbetet med konferensen gick in i sin slutfas offentliggjordes den senaste rapporten för att inspirera arbetet i konferensens plenarförsamlingar i mitten av mars 2022, med beaktande av bidrag som lagts fram på den digitala plattformen fram till den 20 februari 2022. Denna kalender tillkännagavs tydligt på plattformen och på andra håll, vilket resulterade i en ökning av bidragen i januari och februari 2022. Bidrag som mottagits fram till den 9 maj kommer att behandlas i den kompletterande rapporten. Ytterligare rapporter om de bidrag som lagts fram på plattformen, per medlemsstat, gjordes också tillgängliga samtidigt som rapporterna från september och december 2021 och mars 2022.</w:t>
      </w:r>
    </w:p>
    <w:p>
      <w:pPr>
        <w:pStyle w:val="Normal"/>
        <w:rPr/>
      </w:pPr>
      <w:r>
        <w:rPr/>
        <w:t xml:space="preserve">Huvudfokus för dessa rapporter var en kvalitativ analys av de bidrag som publiceras på plattformen, för att ge en allmän översikt över omfattningen och mångfalden </w:t>
      </w:r>
      <w:r>
        <w:drawing>
          <wp:anchor behindDoc="0" distT="0" distB="0" distL="0" distR="0" simplePos="0" locked="0" layoutInCell="1" allowOverlap="1" relativeHeight="24">
            <wp:simplePos x="0" y="0"/>
            <wp:positionH relativeFrom="column">
              <wp:posOffset>60325</wp:posOffset>
            </wp:positionH>
            <wp:positionV relativeFrom="paragraph">
              <wp:posOffset>1607820</wp:posOffset>
            </wp:positionV>
            <wp:extent cx="5779135" cy="3321685"/>
            <wp:effectExtent l="0" t="0" r="0" b="0"/>
            <wp:wrapTopAndBottom/>
            <wp:docPr id="12"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t>a</w:t>
      </w:r>
      <w:r>
        <w:rPr/>
        <w:t>v idéer som föreslås på plattformen och diskuteras vid evenemangen. För detta ändamål utfördes en manuell textanalys och en sammanslagning av bidragen av en forskargrupp med hjälp av analysverktyg som tillhandahålls av kommissionens gemensamma forskningscentrum. Detta gjorde det möjligt att identifiera gemensamma ämnen och underkategorier av ämne, som beskrevs i detalj under varje tema och syntetiserades i konceptuella scheman som gör att de kan visualiseras snabbt. För att komplettera detta kvalitativa tillvägagångssätt med kvantitativa inslag nämndes teman, underteman eller idéer som ofta kom tillbaka eller som var mycket kommenterade eller stödda i var och en av rapporterna. Syftet var att återspegla läget i diskussionerna i olika skeden av konferensen, bland annat det stora intresse eller den debatt som vissa idéer ger upphov till. Rapporterna gav också en översikt över deltagarnas sociodemografiska data. Bidragsgivarna ombads lämna information om sitt bosättningsland, utbildningsnivå, ålder, kön och yrkesstatus. den frivilliga karaktären hos denna information begränsar dock den tydlighet som kan dras när det gäller deltagarnas profil. Till exempel kom 26,9 % av alla bidrag från deltagare som inte angav sitt bosättningsland.</w:t>
      </w:r>
    </w:p>
    <w:p>
      <w:pPr>
        <w:pStyle w:val="Normal"/>
        <w:rPr/>
      </w:pPr>
      <w:r>
        <w:rPr/>
      </w:r>
      <w:r>
        <w:br w:type="page"/>
      </w:r>
    </w:p>
    <w:p>
      <w:pPr>
        <w:pStyle w:val="Normal"/>
        <w:rPr/>
      </w:pPr>
      <w:r>
        <w:rPr/>
        <w:t>Sedan plattformen lanserades har temat ”Europeisk demokrati” varit det för vilket det största antalet bidrag (idéer, kommentarer och evenemang) har registrerats. För det andra kom temat ”Klimatförändring och miljö”. De bidrag som presenterades under ”Andra idéer” kom på tredje plats, före ”Värden och rättigheter, rättsstatsprincipen, säkerhet” och ”En starkare ekonomi, social rättvisa och sysselsättning”.</w:t>
      </w:r>
    </w:p>
    <w:p>
      <w:pPr>
        <w:pStyle w:val="Normal"/>
        <w:rPr/>
      </w:pPr>
      <w:r>
        <w:rPr/>
        <w:t>Rapporterna om de bidrag som samlats in på plattformen, inklusive konceptuella system, har på ett värdefullt sätt bidragit till arbetet i de europeiska medborgarpanelerna. I början av var och en av de tre panelsessionerna presenterades de viktigaste resultaten i rapporten och de konceptuella schemana för panelerna, som fick länkar till de fullständiga rapporterna. Detta är hur många idéer som dök upp på plattformen återspeglas i rekommendationerna från de europeiska medborgarpanelerna.</w:t>
      </w:r>
    </w:p>
    <w:p>
      <w:pPr>
        <w:pStyle w:val="Normal"/>
        <w:spacing w:before="2802" w:after="57"/>
        <w:rPr/>
      </w:pPr>
      <w:r>
        <mc:AlternateContent>
          <mc:Choice Requires="wps">
            <w:drawing>
              <wp:anchor behindDoc="0" distT="72390" distB="72390" distL="72390" distR="72390" simplePos="0" locked="0" layoutInCell="1" allowOverlap="1" relativeHeight="28">
                <wp:simplePos x="0" y="0"/>
                <wp:positionH relativeFrom="column">
                  <wp:posOffset>22860</wp:posOffset>
                </wp:positionH>
                <wp:positionV relativeFrom="paragraph">
                  <wp:posOffset>2617470</wp:posOffset>
                </wp:positionV>
                <wp:extent cx="6036310" cy="1779905"/>
                <wp:effectExtent l="0" t="0" r="0" b="0"/>
                <wp:wrapSquare wrapText="bothSides"/>
                <wp:docPr id="13" name="Ram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Vad händer vid konferensen om Europas framtid?</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konferensdeltagare</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deltagare i evenemanget</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idéer</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kommentarer</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evenemang</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godkännanden</w:t>
                                  </w:r>
                                </w:p>
                              </w:tc>
                            </w:tr>
                          </w:tbl>
                          <w:p>
                            <w:pPr>
                              <w:pStyle w:val="Contenudecadre"/>
                              <w:spacing w:before="57" w:after="57"/>
                              <w:rPr/>
                            </w:pPr>
                            <w:r>
                              <w:rPr>
                                <w:color w:val="auto"/>
                              </w:rPr>
                              <w:t xml:space="preserve">Tillstånd för deltagande per den 20 april 2022 (källa: </w:t>
                            </w:r>
                            <w:hyperlink r:id="rId32">
                              <w:r>
                                <w:rPr>
                                  <w:rStyle w:val="LienInternet"/>
                                  <w:color w:val="auto"/>
                                </w:rPr>
                                <w:t>Konferens om Europas framtid (europa.eu</w:t>
                              </w:r>
                            </w:hyperlink>
                            <w:r>
                              <w:rPr>
                                <w:color w:val="auto"/>
                              </w:rPr>
                              <w:t>)</w:t>
                            </w:r>
                          </w:p>
                        </w:txbxContent>
                      </wps:txbx>
                      <wps:bodyPr lIns="54000" rIns="54000" tIns="54000" bIns="54000">
                        <a:noAutofit/>
                      </wps:bodyPr>
                    </wps:wsp>
                  </a:graphicData>
                </a:graphic>
              </wp:anchor>
            </w:drawing>
          </mc:Choice>
          <mc:Fallback>
            <w:pict>
              <v:rect id="shape_0" ID="Ram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Vad händer vid konferensen om Europas framtid?</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konferensdeltagare</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deltagare i evenemanget</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idéer</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kommentarer</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evenemang</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godkännanden</w:t>
                            </w:r>
                          </w:p>
                        </w:tc>
                      </w:tr>
                    </w:tbl>
                    <w:p>
                      <w:pPr>
                        <w:pStyle w:val="Contenudecadre"/>
                        <w:spacing w:before="57" w:after="57"/>
                        <w:rPr/>
                      </w:pPr>
                      <w:r>
                        <w:rPr>
                          <w:color w:val="auto"/>
                        </w:rPr>
                        <w:t xml:space="preserve">Tillstånd för deltagande per den 20 april 2022 (källa: </w:t>
                      </w:r>
                      <w:hyperlink r:id="rId33">
                        <w:r>
                          <w:rPr>
                            <w:rStyle w:val="LienInternet"/>
                            <w:color w:val="auto"/>
                          </w:rPr>
                          <w:t>Konferens om Europas framtid (europa.eu</w:t>
                        </w:r>
                      </w:hyperlink>
                      <w:r>
                        <w:rPr>
                          <w:color w:val="auto"/>
                        </w:rPr>
                        <w:t>)</w:t>
                      </w:r>
                    </w:p>
                  </w:txbxContent>
                </v:textbox>
              </v:rect>
            </w:pict>
          </mc:Fallback>
        </mc:AlternateContent>
      </w:r>
      <w:r>
        <w:rPr/>
        <w:t>Rapporterna diskuterades också vid konferensens plenarsammanträden, med början vid plenarsessionen den 23 oktober 2021, samt vid tidigare möten i arbetsgrupperna. Plattformens bidrag fortsatte därför att berika de förslag som lades fram vid konferensens plenarförsamling.</w:t>
      </w:r>
    </w:p>
    <w:p>
      <w:pPr>
        <w:pStyle w:val="Normal"/>
        <w:rPr/>
      </w:pPr>
      <w:r>
        <w:rPr/>
        <w:t>Den 20 april 2022 hade nästan fem miljoner unika besökare besökt den flerspråkiga digitala plattformen, där mer än 50 000 deltagare var aktiva, 17 000 idéer diskuterades och mer än 6 000 registrerade evenemang. Bakom dessa siffror står tusentals engagerade medborgare som delar och debatterar många idéer och organiserar en mängd originella och innovativa evenemang i de olika medlemsstaterna.</w:t>
      </w:r>
    </w:p>
    <w:p>
      <w:pPr>
        <w:pStyle w:val="Normal"/>
        <w:rPr/>
      </w:pPr>
      <w:r>
        <w:rPr/>
        <w:t xml:space="preserve">För att säkerställa att plattformen är en plats där medborgare från alla samhällsskikt och från alla hörn av Europa känner sig bekväma och uppmuntrade att bidra till debatten har alla som använder plattformen varit tvungna att ansluta sig </w:t>
      </w:r>
      <w:hyperlink r:id="rId34">
        <w:r>
          <w:rPr>
            <w:rStyle w:val="LienInternet"/>
          </w:rPr>
          <w:t>till konferensstadgan</w:t>
        </w:r>
      </w:hyperlink>
      <w:r>
        <w:rPr/>
        <w:t xml:space="preserve"> och </w:t>
      </w:r>
      <w:hyperlink r:id="rId35">
        <w:r>
          <w:rPr>
            <w:rStyle w:val="LienInternet"/>
          </w:rPr>
          <w:t>reglerna för deltagande</w:t>
        </w:r>
      </w:hyperlink>
      <w:r>
        <w:rPr/>
        <w:t>. En modereringsgrupp har inrättats och arbetar under hela konferensen under överinseende av det gemensamma sekretariatet på styrelsens vägnar för att se till att stadgan och reglerna för deltagande följs. Ingen tidigare moderering av innehållet har ägt rum. När ett bidrag var dolt fick användaren ett meddelande från modereringsteamet som förklarade orsaken. Detaljer om principerna och modereringsprocessen gjordes tillgängliga i avsnittet</w:t>
      </w:r>
      <w:hyperlink r:id="rId36">
        <w:r>
          <w:rPr>
            <w:rStyle w:val="LienInternet"/>
          </w:rPr>
          <w:t>Vanliga frågor</w:t>
        </w:r>
      </w:hyperlink>
      <w:r>
        <w:rPr/>
        <w:t xml:space="preserve"> (FAQ) på plattformen.</w:t>
      </w:r>
    </w:p>
    <w:p>
      <w:pPr>
        <w:pStyle w:val="Normal"/>
        <w:rPr/>
      </w:pPr>
      <w:r>
        <w:rPr/>
        <w:t>Mellan den 19 april 2021 och den 20 april 2022 maskerades 430 idéer (2,4 %), 312 kommentarer (1,4 %) och 396 händelser (6,0 %). Omkring 71 % av idéerna var maskerade eftersom de inte innehöll förslag, oavsett om de var skräppost, användarförfrågningar eller för att de innehöll personlig information eller en olämplig tillhörande bild; cirka 17 % av dolda idéer var dubbletter. Endast 11 % av de dolda idéerna berodde på deras offensiva innehåll. De allra flesta evenemang, 76 %, var maskerade på grund av att de var dubbletter eller för att informationen om evenemanget var ofullständig, på begäran av arrangörerna eller för att de inte var relaterade till konferensen.</w:t>
      </w:r>
    </w:p>
    <w:p>
      <w:pPr>
        <w:pStyle w:val="Normal"/>
        <w:rPr/>
      </w:pPr>
      <w:r>
        <w:rPr/>
        <w:t>Möjligheten att lämna bidrag på plattformen var öppen till och med den 9 maj 2022. En ytterligare rapport planeras efter detta datum för att komplettera sammanfattningen av alla bidrag som mottagits under konferensen.</w:t>
      </w:r>
    </w:p>
    <w:p>
      <w:pPr>
        <w:pStyle w:val="Normal"/>
        <w:rPr/>
      </w:pPr>
      <w:r>
        <w:rPr/>
        <w:t>Deltagandet på plattformen fortsatte att öka under hela konferensen, men var fortfarande ojämnt mellan medlemsstaterna och deltagarnas sociodemografiska profiler. I allmänhet har plattformen gett ett innovativt utrymme för överläggning, som har gjort det möjligt för flera tusen medborgare och olika intressenter från och med hela Europa att delta i en flerspråkig debatt på nätet om EU-frågor i alla medlemsstater. Det visade sig vara ett värdefullt verktyg för överläggningsdemokrati på EU-nivå.</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42">
            <wp:simplePos x="0" y="0"/>
            <wp:positionH relativeFrom="column">
              <wp:align>center</wp:align>
            </wp:positionH>
            <wp:positionV relativeFrom="paragraph">
              <wp:posOffset>635</wp:posOffset>
            </wp:positionV>
            <wp:extent cx="5691505" cy="4577080"/>
            <wp:effectExtent l="0" t="0" r="0" b="0"/>
            <wp:wrapSquare wrapText="largest"/>
            <wp:docPr id="15"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Medborgarpaneler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De europeiska medborgarpanelerna</w:t>
      </w:r>
    </w:p>
    <w:p>
      <w:pPr>
        <w:pStyle w:val="Corpsdetexte"/>
        <w:rPr/>
      </w:pPr>
      <w:r>
        <w:rPr/>
        <w:t>De europeiska medborgarpanelerna var en av konferensens huvudpelare, med de nationella panelerna, den flerspråkiga digitala plattformen och konferensens plenarförsamling. De står i centrum för konferensen om Europas framtid och samlar omkring 800 medborgare från alla bakgrunder och regioner i Europeiska unionen. Begreppet medborgarpaneler eller församlingar har använts i årtionden på kommunal nivå och blir alltmer synligt på nationell eller regional nivå, men den alleuropeiska dimensionen är fortfarande i stort sett outforskad på detta område. De europeiska medborgarpanelerna var den första transnationella och flerspråkiga erfarenheten av denna omfattning och ambitionsnivå. Det anmärkningsvärda tolkningssystem som följde med processen ledde till en inkluderande, respektfull och effektiv dialog mellan berörda parter, vilket garanterade respekten för flerspråkighet.</w:t>
      </w:r>
    </w:p>
    <w:p>
      <w:pPr>
        <w:pStyle w:val="Corpsdetexte"/>
        <w:rPr/>
      </w:pPr>
      <w:r>
        <w:rPr/>
        <w:t>De europeiska medborgarpanelerna organiserades av de tre institutionerna på grundval av den gemensamma förklaringen, arbetsordningen och de arrangemang som fastställts av medordförandena, under direktionens överinseende. De stöddes av ett konsortium av externa tjänsteleverantörer bestående av olika experter på området deliberativ demokrati och ett logistikstödsteam. Styrelsen informerades om panelernas arbete, uppdaterade praktiska arrangemang tillhandahölls och anpassade den preliminära tidsplanen för de europeiska medborgarpanelernas sessioner under processen vid behov.</w:t>
      </w:r>
    </w:p>
    <w:p>
      <w:pPr>
        <w:pStyle w:val="Corpsdetexte"/>
        <w:rPr/>
      </w:pPr>
      <w:r>
        <w:rPr/>
        <w:t>Deltagarna i de europeiska medborgarpanelerna valdes ut sommaren 2021. EU-medborgarna valdes ut slumpmässigt (främst kontaktades av de 27 nationella undersökningsinstitut som samordnas av en extern tjänsteleverantör) i syfte att bilda ”paneler” som är representativa för EU:s mångfald, på grundval av fem kriterier: kön, ålder, geografiskt ursprung (nationalitet samt stads-/landsbygdsmiljö), socioekonomisk bakgrund och utbildningsnivå. Antalet medborgare per medlemsstat beräknades i enlighet med principen om degressiv proportionalitet som tillämpades på Europaparlamentets sammansättning, med beaktande av att varje panel bör omfatta minst en medborgare och en medborgare per medlemsstat. Med tanke på att konferensen ägnade särskild uppmärksamhet åt ungdomar var en tredjedel av medborgarna i varje panel mellan 16 och 24 år gamla. För varje grupp på 200 personer valdes ytterligare 50 medborgare ut för att inrätta en reserv.</w:t>
      </w:r>
    </w:p>
    <w:p>
      <w:pPr>
        <w:pStyle w:val="Corpsdetexte"/>
        <w:rPr/>
      </w:pPr>
      <w:r>
        <w:rPr/>
        <w:t>Fyra europeiska medborgarpaneler anordnades. För var och en av dem motsvarade diskussionsämnena de ämnen som identifierats på den flerspråkiga digitala plattformen och grupperades enligt följande:</w:t>
      </w:r>
    </w:p>
    <w:p>
      <w:pPr>
        <w:pStyle w:val="Puce3"/>
        <w:rPr/>
      </w:pPr>
      <w:r>
        <w:rPr/>
        <w:t>1. En starkare ekonomi, social rättvisa och sysselsättning. utbildning, kultur, ungdom och idrott. den digitala omvandlingen.</w:t>
      </w:r>
    </w:p>
    <w:p>
      <w:pPr>
        <w:pStyle w:val="Puce3"/>
        <w:rPr/>
      </w:pPr>
      <w:r>
        <w:rPr/>
        <w:t>2. Den europeiska demokratin, värden och rättigheter, rättsstatsprincipen, säkerhet,</w:t>
      </w:r>
    </w:p>
    <w:p>
      <w:pPr>
        <w:pStyle w:val="Puce3"/>
        <w:rPr/>
      </w:pPr>
      <w:r>
        <w:rPr/>
        <w:t>3.Klimatförändringar och miljö; hälsa;</w:t>
      </w:r>
    </w:p>
    <w:p>
      <w:pPr>
        <w:pStyle w:val="Puce3"/>
        <w:tabs>
          <w:tab w:val="clear" w:pos="720"/>
        </w:tabs>
        <w:rPr/>
      </w:pPr>
      <w:r>
        <w:rPr/>
        <w:t>4.EU i världen, migrering.</w:t>
      </w:r>
    </w:p>
    <w:p>
      <w:pPr>
        <w:pStyle w:val="Corpsdetexte"/>
        <w:rPr/>
      </w:pPr>
      <w:r>
        <w:rPr/>
        <w:t>Varje panel träffades under tre helger. Den första sessionen ägde rum i Strasbourg, den andra online och den tredje i fyra städer (Dublin, Florens, Warszawa/Natolin och Maastricht), vid offentliga högskolor och med stöd av lokala myndigheter.</w:t>
      </w:r>
    </w:p>
    <w:p>
      <w:pPr>
        <w:pStyle w:val="Titre4"/>
        <w:numPr>
          <w:ilvl w:val="3"/>
          <w:numId w:val="2"/>
        </w:numPr>
        <w:rPr/>
      </w:pPr>
      <w:bookmarkStart w:id="11" w:name="__RefHeading___Toc298196_1346298689"/>
      <w:bookmarkEnd w:id="11"/>
      <w:r>
        <w:rPr/>
        <w:t>FÖRSTA OMGÅNGEN AV PANELSESSIONER</w:t>
      </w:r>
    </w:p>
    <w:p>
      <w:pPr>
        <w:pStyle w:val="Corpsdetexte"/>
        <w:rPr/>
      </w:pPr>
      <w:r>
        <w:rPr/>
        <w:t>Under den första sessionen i varje panel sammanträdde deltagarna fysiskt i Strasbourg. Syftet med sessionen var att fastställa dagordningen för överläggningarna. De medborgare som deltog i panelerna började med att reflektera och utveckla sin vision om Europa, med utgångspunkt i en blank sida och identifiera de frågor som skulle diskuteras inom ramen för panelens huvudteman. De prioriterade sedan de frågor som de ville fokusera mer ingående på i syfte att lämna specifika rekommendationer till EU-institutionerna för uppföljning. Diskussionerna och det kollektiva arbetet ägde rum i följande två format:</w:t>
      </w:r>
    </w:p>
    <w:p>
      <w:pPr>
        <w:pStyle w:val="Alineanegatifpuce"/>
        <w:numPr>
          <w:ilvl w:val="0"/>
          <w:numId w:val="3"/>
        </w:numPr>
        <w:rPr/>
      </w:pPr>
      <w:r>
        <w:rPr/>
        <w:t xml:space="preserve"> </w:t>
      </w:r>
      <w:r>
        <w:rPr/>
        <w:t>i undergrupper bestående av 12–14 medborgare. Fyra till fem språk talades i varje undergrupp, där medborgarna kunde uttrycka sig på sitt eget språk. Undergruppernas arbete leddes av professionella kontaktpersoner som valts ut av konsortiet av externa tjänsteleverantörer.</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43">
                <wp:simplePos x="0" y="0"/>
                <wp:positionH relativeFrom="column">
                  <wp:posOffset>105410</wp:posOffset>
                </wp:positionH>
                <wp:positionV relativeFrom="paragraph">
                  <wp:posOffset>2555875</wp:posOffset>
                </wp:positionV>
                <wp:extent cx="6053455" cy="2495550"/>
                <wp:effectExtent l="0" t="0" r="0" b="0"/>
                <wp:wrapSquare wrapText="bothSides"/>
                <wp:docPr id="16" name="Ram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1 </w:t>
                                  </w:r>
                                </w:p>
                                <w:p>
                                  <w:pPr>
                                    <w:pStyle w:val="P68B1DB1Contenudetableau9"/>
                                    <w:spacing w:before="57" w:after="57"/>
                                    <w:jc w:val="center"/>
                                    <w:rPr/>
                                  </w:pPr>
                                  <w:r>
                                    <w:rPr/>
                                    <w:t>Nytt möte för panelen och förberedelser inför helgen</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2 </w:t>
                                  </w:r>
                                </w:p>
                                <w:p>
                                  <w:pPr>
                                    <w:pStyle w:val="P68B1DB1Contenudetableau9"/>
                                    <w:spacing w:before="57" w:after="57"/>
                                    <w:jc w:val="center"/>
                                    <w:rPr/>
                                  </w:pPr>
                                  <w:r>
                                    <w:rPr/>
                                    <w:t>Expertinsats, Problemidentifiering, Vägledningsproduktion</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3 </w:t>
                                  </w:r>
                                </w:p>
                                <w:p>
                                  <w:pPr>
                                    <w:pStyle w:val="P68B1DB1Contenudetableau9"/>
                                    <w:spacing w:before="57" w:after="57"/>
                                    <w:jc w:val="center"/>
                                    <w:rPr/>
                                  </w:pPr>
                                  <w:r>
                                    <w:rPr/>
                                    <w:t>Slutförande av riktlinjer, slutkommentarer</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Synpunkter från experter på underteman</w:t>
                                  </w:r>
                                </w:p>
                              </w:tc>
                              <w:tc>
                                <w:tcPr>
                                  <w:tcW w:w="3121" w:type="dxa"/>
                                  <w:gridSpan w:val="2"/>
                                  <w:tcBorders/>
                                  <w:shd w:fill="0000FF" w:val="clear"/>
                                </w:tcPr>
                                <w:p>
                                  <w:pPr>
                                    <w:pStyle w:val="P68B1DB1Contenudetableau9"/>
                                    <w:spacing w:before="57" w:after="57"/>
                                    <w:jc w:val="center"/>
                                    <w:rPr/>
                                  </w:pPr>
                                  <w:r>
                                    <w:rPr/>
                                    <w:t>Ytterligare bidrag från experter</w:t>
                                  </w:r>
                                </w:p>
                              </w:tc>
                            </w:tr>
                            <w:tr>
                              <w:trPr/>
                              <w:tc>
                                <w:tcPr>
                                  <w:tcW w:w="3119" w:type="dxa"/>
                                  <w:gridSpan w:val="2"/>
                                  <w:vMerge w:val="restart"/>
                                  <w:tcBorders/>
                                  <w:shd w:fill="800000" w:val="clear"/>
                                </w:tcPr>
                                <w:p>
                                  <w:pPr>
                                    <w:pStyle w:val="P68B1DB1Contenudetableau9"/>
                                    <w:spacing w:before="57" w:after="57"/>
                                    <w:jc w:val="center"/>
                                    <w:rPr/>
                                  </w:pPr>
                                  <w:r>
                                    <w:rPr/>
                                    <w:t xml:space="preserve">Välkommen, </w:t>
                                  </w:r>
                                </w:p>
                                <w:p>
                                  <w:pPr>
                                    <w:pStyle w:val="P68B1DB1Contenudetableau9"/>
                                    <w:spacing w:before="57" w:after="57"/>
                                    <w:jc w:val="center"/>
                                    <w:rPr/>
                                  </w:pPr>
                                  <w:r>
                                    <w:rPr/>
                                    <w:t xml:space="preserve">Ord till medborgarnas ambassadörer för deras feedback, </w:t>
                                    <w:br/>
                                    <w:t>Plattformsuppdatering, agenda</w:t>
                                  </w:r>
                                </w:p>
                              </w:tc>
                              <w:tc>
                                <w:tcPr>
                                  <w:tcW w:w="3120" w:type="dxa"/>
                                  <w:gridSpan w:val="2"/>
                                  <w:tcBorders/>
                                  <w:shd w:fill="00FF00" w:val="clear"/>
                                </w:tcPr>
                                <w:p>
                                  <w:pPr>
                                    <w:pStyle w:val="P68B1DB1Contenudetableau9"/>
                                    <w:spacing w:before="57" w:after="57"/>
                                    <w:jc w:val="center"/>
                                    <w:rPr/>
                                  </w:pPr>
                                  <w:r>
                                    <w:rPr/>
                                    <w:t>Utarbetande av riktlinjer</w:t>
                                  </w:r>
                                </w:p>
                              </w:tc>
                              <w:tc>
                                <w:tcPr>
                                  <w:tcW w:w="3121" w:type="dxa"/>
                                  <w:gridSpan w:val="2"/>
                                  <w:tcBorders/>
                                  <w:shd w:fill="00FF00" w:val="clear"/>
                                </w:tcPr>
                                <w:p>
                                  <w:pPr>
                                    <w:pStyle w:val="P68B1DB1Contenudetableau9"/>
                                    <w:spacing w:before="57" w:after="57"/>
                                    <w:jc w:val="center"/>
                                    <w:rPr/>
                                  </w:pPr>
                                  <w:r>
                                    <w:rPr/>
                                    <w:t xml:space="preserve"> </w:t>
                                  </w:r>
                                  <w:r>
                                    <w:rPr/>
                                    <w:t>Slutförande av riktlinjer</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Delande av vissa orienteringar, </w:t>
                                    <w:br/>
                                    <w:t>Slutkommentarer</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Plenarsammanträde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Temats plenarsammanträde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Undergruppssession</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wps:txbx>
                      <wps:bodyPr lIns="54000" rIns="54000" tIns="54000" bIns="54000">
                        <a:noAutofit/>
                      </wps:bodyPr>
                    </wps:wsp>
                  </a:graphicData>
                </a:graphic>
              </wp:anchor>
            </w:drawing>
          </mc:Choice>
          <mc:Fallback>
            <w:pict>
              <v:rect id="shape_0" ID="Ram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1 </w:t>
                            </w:r>
                          </w:p>
                          <w:p>
                            <w:pPr>
                              <w:pStyle w:val="P68B1DB1Contenudetableau9"/>
                              <w:spacing w:before="57" w:after="57"/>
                              <w:jc w:val="center"/>
                              <w:rPr/>
                            </w:pPr>
                            <w:r>
                              <w:rPr/>
                              <w:t>Nytt möte för panelen och förberedelser inför helgen</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2 </w:t>
                            </w:r>
                          </w:p>
                          <w:p>
                            <w:pPr>
                              <w:pStyle w:val="P68B1DB1Contenudetableau9"/>
                              <w:spacing w:before="57" w:after="57"/>
                              <w:jc w:val="center"/>
                              <w:rPr/>
                            </w:pPr>
                            <w:r>
                              <w:rPr/>
                              <w:t>Expertinsats, Problemidentifiering, Vägledningsproduktion</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DAG 3 </w:t>
                            </w:r>
                          </w:p>
                          <w:p>
                            <w:pPr>
                              <w:pStyle w:val="P68B1DB1Contenudetableau9"/>
                              <w:spacing w:before="57" w:after="57"/>
                              <w:jc w:val="center"/>
                              <w:rPr/>
                            </w:pPr>
                            <w:r>
                              <w:rPr/>
                              <w:t>Slutförande av riktlinjer, slutkommentarer</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Synpunkter från experter på underteman</w:t>
                            </w:r>
                          </w:p>
                        </w:tc>
                        <w:tc>
                          <w:tcPr>
                            <w:tcW w:w="3121" w:type="dxa"/>
                            <w:gridSpan w:val="2"/>
                            <w:tcBorders/>
                            <w:shd w:fill="0000FF" w:val="clear"/>
                          </w:tcPr>
                          <w:p>
                            <w:pPr>
                              <w:pStyle w:val="P68B1DB1Contenudetableau9"/>
                              <w:spacing w:before="57" w:after="57"/>
                              <w:jc w:val="center"/>
                              <w:rPr/>
                            </w:pPr>
                            <w:r>
                              <w:rPr/>
                              <w:t>Ytterligare bidrag från experter</w:t>
                            </w:r>
                          </w:p>
                        </w:tc>
                      </w:tr>
                      <w:tr>
                        <w:trPr/>
                        <w:tc>
                          <w:tcPr>
                            <w:tcW w:w="3119" w:type="dxa"/>
                            <w:gridSpan w:val="2"/>
                            <w:vMerge w:val="restart"/>
                            <w:tcBorders/>
                            <w:shd w:fill="800000" w:val="clear"/>
                          </w:tcPr>
                          <w:p>
                            <w:pPr>
                              <w:pStyle w:val="P68B1DB1Contenudetableau9"/>
                              <w:spacing w:before="57" w:after="57"/>
                              <w:jc w:val="center"/>
                              <w:rPr/>
                            </w:pPr>
                            <w:r>
                              <w:rPr/>
                              <w:t xml:space="preserve">Välkommen, </w:t>
                            </w:r>
                          </w:p>
                          <w:p>
                            <w:pPr>
                              <w:pStyle w:val="P68B1DB1Contenudetableau9"/>
                              <w:spacing w:before="57" w:after="57"/>
                              <w:jc w:val="center"/>
                              <w:rPr/>
                            </w:pPr>
                            <w:r>
                              <w:rPr/>
                              <w:t xml:space="preserve">Ord till medborgarnas ambassadörer för deras feedback, </w:t>
                              <w:br/>
                              <w:t>Plattformsuppdatering, agenda</w:t>
                            </w:r>
                          </w:p>
                        </w:tc>
                        <w:tc>
                          <w:tcPr>
                            <w:tcW w:w="3120" w:type="dxa"/>
                            <w:gridSpan w:val="2"/>
                            <w:tcBorders/>
                            <w:shd w:fill="00FF00" w:val="clear"/>
                          </w:tcPr>
                          <w:p>
                            <w:pPr>
                              <w:pStyle w:val="P68B1DB1Contenudetableau9"/>
                              <w:spacing w:before="57" w:after="57"/>
                              <w:jc w:val="center"/>
                              <w:rPr/>
                            </w:pPr>
                            <w:r>
                              <w:rPr/>
                              <w:t>Utarbetande av riktlinjer</w:t>
                            </w:r>
                          </w:p>
                        </w:tc>
                        <w:tc>
                          <w:tcPr>
                            <w:tcW w:w="3121" w:type="dxa"/>
                            <w:gridSpan w:val="2"/>
                            <w:tcBorders/>
                            <w:shd w:fill="00FF00" w:val="clear"/>
                          </w:tcPr>
                          <w:p>
                            <w:pPr>
                              <w:pStyle w:val="P68B1DB1Contenudetableau9"/>
                              <w:spacing w:before="57" w:after="57"/>
                              <w:jc w:val="center"/>
                              <w:rPr/>
                            </w:pPr>
                            <w:r>
                              <w:rPr/>
                              <w:t xml:space="preserve"> </w:t>
                            </w:r>
                            <w:r>
                              <w:rPr/>
                              <w:t>Slutförande av riktlinjer</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Delande av vissa orienteringar, </w:t>
                              <w:br/>
                              <w:t>Slutkommentarer</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Plenarsammanträde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Temats plenarsammanträde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Undergruppssession</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v:textbox>
              </v:rect>
            </w:pict>
          </mc:Fallback>
        </mc:AlternateContent>
      </w:r>
      <w:r>
        <w:rPr/>
        <w:t xml:space="preserve"> </w:t>
      </w:r>
      <w:r>
        <w:rPr/>
        <w:t>i plenum, med alla deltagare. Plenarsammanträdena leddes av två huvudmoderatorer. De prioriterade teman som följde av diskussionerna delades in i ”axel” (motsvarande de tematiska klustret) och ”delaxeln” och låg till grund för den andra sessionen. För detta ändamål fick deltagarna bakgrundsinformation om teman samt relevanta bidrag, inklusive analyser och konceptuella scheman, från den första delrapporten från den flerspråkiga digitala plattformen och presentationer av externa experter på hög nivå.</w:t>
      </w:r>
    </w:p>
    <w:p>
      <w:pPr>
        <w:pStyle w:val="Corpsdetexte"/>
        <w:rPr/>
      </w:pPr>
      <w:r>
        <w:rPr/>
        <w:t>Under de första sessionerna valdes de 20 personer som ombads företräda var och en av panelerna vid plenarsessionen bland de frivilliga medborgarna. i samband med detta uppmärksammades han på mångfalden av ålder och kön.</w:t>
      </w:r>
    </w:p>
    <w:p>
      <w:pPr>
        <w:pStyle w:val="Titre4"/>
        <w:numPr>
          <w:ilvl w:val="3"/>
          <w:numId w:val="2"/>
        </w:numPr>
        <w:rPr/>
      </w:pPr>
      <w:bookmarkStart w:id="12" w:name="__RefHeading___Toc298198_1346298689"/>
      <w:bookmarkEnd w:id="12"/>
      <w:r>
        <w:rPr/>
        <w:t>ANDRA OMGÅNGEN AV PANELSESSIONER</w:t>
      </w:r>
    </w:p>
    <w:p>
      <w:pPr>
        <w:pStyle w:val="Corpsdetexte"/>
        <w:rPr/>
      </w:pPr>
      <w:r>
        <w:rPr/>
        <w:t>De europeiska medborgarpanelerna fortsatte sitt arbete genom att sammanträda online under hela november. En särskild ordning hade införts för detta ändamål: en studio i Bryssel stod värd för de viktigaste moderations- och plenarsammanträdena, medan deltagande medborgare från hela EU kunde ingripa genom ett system för anslutning och tolkning.</w:t>
      </w:r>
    </w:p>
    <w:p>
      <w:pPr>
        <w:pStyle w:val="Corpsdetexte"/>
        <w:rPr/>
      </w:pPr>
      <w:r>
        <w:rPr/>
        <w:t>Under den andra sessionen, med stöd av experter och faktagranskare, identifierade och diskuterade medborgarna en rad specifika frågor och utarbetade riktlinjer för var och en av de tematiska områden som de hade identifierat under den första sessionen. Särskild uppmärksamhet har ägnats åt jämställdhet och geografisk balans inom expertgruppen, och att var och en av dessa experter genom sina bidrag informerar medborgarna på djupet genom att kommunicera fakta och/eller framsteg i debatten och avstå från att avge personliga åsikter. Medborgarna fick också del av interimsrapporterna från den flerspråkiga digitala plattformen.</w:t>
      </w:r>
    </w:p>
    <w:p>
      <w:pPr>
        <w:pStyle w:val="Corpsdetexte"/>
        <w:rPr/>
      </w:pPr>
      <w:r>
        <w:rPr/>
        <w:t>De kunde således identifiera och diskutera frågor som rör de teman som tilldelats dem, med utgångspunkt i experternas synpunkter på de ämnen som omfattas och deras egna kunskaper och erfarenheter, under överläggningarna under den andra sessionen. Problem har definierats som problem som kräver lösningar eller situationer som kräver förändring.</w:t>
      </w:r>
    </w:p>
    <w:p>
      <w:pPr>
        <w:pStyle w:val="Corpsdetexte"/>
        <w:rPr/>
      </w:pPr>
      <w:r>
        <w:rPr/>
        <w:t>Medborgarna tog sedan upp dessa frågor genom att utarbeta riktlinjer, det första steget mot att utarbeta rekommendationer, vilket var målet för den tredje sessionen. Medborgarna uppmanades också att motivera dessa riktlinjer.</w:t>
      </w:r>
    </w:p>
    <w:p>
      <w:pPr>
        <w:pStyle w:val="Corpsdetexte"/>
        <w:rPr/>
      </w:pPr>
      <w:r>
        <w:rPr/>
        <w:t>Diskussionerna och det kollektiva arbetet ägde rum i tre format:</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54">
                <wp:simplePos x="0" y="0"/>
                <wp:positionH relativeFrom="column">
                  <wp:posOffset>46990</wp:posOffset>
                </wp:positionH>
                <wp:positionV relativeFrom="paragraph">
                  <wp:posOffset>1572260</wp:posOffset>
                </wp:positionV>
                <wp:extent cx="6087745" cy="3075305"/>
                <wp:effectExtent l="0" t="0" r="0" b="0"/>
                <wp:wrapSquare wrapText="bothSides"/>
                <wp:docPr id="18" name="Ram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SESSION 3</w:t>
                                  </w:r>
                                </w:p>
                              </w:tc>
                            </w:tr>
                            <w:tr>
                              <w:trPr/>
                              <w:tc>
                                <w:tcPr>
                                  <w:tcW w:w="3138" w:type="dxa"/>
                                  <w:tcBorders/>
                                  <w:shd w:fill="0000FF" w:val="clear"/>
                                </w:tcPr>
                                <w:p>
                                  <w:pPr>
                                    <w:pStyle w:val="P68B1DB1Contenudetableau10"/>
                                    <w:spacing w:before="57" w:after="57"/>
                                    <w:jc w:val="center"/>
                                    <w:rPr/>
                                  </w:pPr>
                                  <w:r>
                                    <w:rPr/>
                                    <w:t xml:space="preserve">DAG 1 </w:t>
                                  </w:r>
                                </w:p>
                                <w:p>
                                  <w:pPr>
                                    <w:pStyle w:val="Contenudetableau"/>
                                    <w:spacing w:before="57" w:after="57"/>
                                    <w:jc w:val="center"/>
                                    <w:rPr/>
                                  </w:pPr>
                                  <w:r>
                                    <w:rPr/>
                                    <w:t>Återinkoppling, prioritering och inledande av arbete</w:t>
                                  </w:r>
                                </w:p>
                              </w:tc>
                              <w:tc>
                                <w:tcPr>
                                  <w:tcW w:w="3138" w:type="dxa"/>
                                  <w:tcBorders/>
                                  <w:shd w:fill="0000FF" w:val="clear"/>
                                </w:tcPr>
                                <w:p>
                                  <w:pPr>
                                    <w:pStyle w:val="P68B1DB1Contenudetableau10"/>
                                    <w:spacing w:before="57" w:after="57"/>
                                    <w:jc w:val="center"/>
                                    <w:rPr/>
                                  </w:pPr>
                                  <w:r>
                                    <w:rPr/>
                                    <w:t xml:space="preserve">DAG 2 </w:t>
                                  </w:r>
                                </w:p>
                                <w:p>
                                  <w:pPr>
                                    <w:pStyle w:val="Contenudetableau"/>
                                    <w:jc w:val="center"/>
                                    <w:rPr/>
                                  </w:pPr>
                                  <w:r>
                                    <w:rPr/>
                                    <w:t xml:space="preserve">Omvandling av riktlinjer </w:t>
                                  </w:r>
                                </w:p>
                                <w:p>
                                  <w:pPr>
                                    <w:pStyle w:val="Contenudetableau"/>
                                    <w:spacing w:before="57" w:after="57"/>
                                    <w:jc w:val="center"/>
                                    <w:rPr/>
                                  </w:pPr>
                                  <w:r>
                                    <w:rPr/>
                                    <w:t>slutliga rekommendationer</w:t>
                                  </w:r>
                                </w:p>
                              </w:tc>
                              <w:tc>
                                <w:tcPr>
                                  <w:tcW w:w="3138" w:type="dxa"/>
                                  <w:tcBorders/>
                                  <w:shd w:fill="0000FF" w:val="clear"/>
                                </w:tcPr>
                                <w:p>
                                  <w:pPr>
                                    <w:pStyle w:val="P68B1DB1Contenudetableau10"/>
                                    <w:spacing w:before="57" w:after="57"/>
                                    <w:jc w:val="center"/>
                                    <w:rPr/>
                                  </w:pPr>
                                  <w:r>
                                    <w:rPr/>
                                    <w:t xml:space="preserve">DAG 3 </w:t>
                                  </w:r>
                                </w:p>
                                <w:p>
                                  <w:pPr>
                                    <w:pStyle w:val="Contenudetableau"/>
                                    <w:spacing w:before="57" w:after="57"/>
                                    <w:jc w:val="center"/>
                                    <w:rPr/>
                                  </w:pPr>
                                  <w:r>
                                    <w:rPr/>
                                    <w:t>Omröstning om slutliga rekommendationer</w:t>
                                  </w:r>
                                </w:p>
                              </w:tc>
                            </w:tr>
                            <w:tr>
                              <w:trPr/>
                              <w:tc>
                                <w:tcPr>
                                  <w:tcW w:w="3138" w:type="dxa"/>
                                  <w:tcBorders/>
                                  <w:shd w:fill="800000" w:val="clear"/>
                                </w:tcPr>
                                <w:p>
                                  <w:pPr>
                                    <w:pStyle w:val="Contenudetableau"/>
                                    <w:spacing w:before="57" w:after="57"/>
                                    <w:jc w:val="center"/>
                                    <w:rPr/>
                                  </w:pPr>
                                  <w:r>
                                    <w:rPr/>
                                    <w:t>Välkommen och mål för helgen</w:t>
                                  </w:r>
                                </w:p>
                              </w:tc>
                              <w:tc>
                                <w:tcPr>
                                  <w:tcW w:w="3138" w:type="dxa"/>
                                  <w:tcBorders/>
                                  <w:shd w:fill="00FF00" w:val="clear"/>
                                </w:tcPr>
                                <w:p>
                                  <w:pPr>
                                    <w:pStyle w:val="Contenudetableau"/>
                                    <w:spacing w:before="57" w:after="57"/>
                                    <w:jc w:val="center"/>
                                    <w:rPr/>
                                  </w:pPr>
                                  <w:r>
                                    <w:rPr/>
                                    <w:t>Omvandla vägledning till rekommendationer</w:t>
                                  </w:r>
                                </w:p>
                              </w:tc>
                              <w:tc>
                                <w:tcPr>
                                  <w:tcW w:w="3138" w:type="dxa"/>
                                  <w:tcBorders/>
                                  <w:shd w:fill="800000" w:val="clear"/>
                                </w:tcPr>
                                <w:p>
                                  <w:pPr>
                                    <w:pStyle w:val="Contenudetableau"/>
                                    <w:spacing w:before="57" w:after="57"/>
                                    <w:jc w:val="center"/>
                                    <w:rPr/>
                                  </w:pPr>
                                  <w:r>
                                    <w:rPr/>
                                    <w:t>Omröstning om slutliga rekommendationer</w:t>
                                  </w:r>
                                </w:p>
                              </w:tc>
                            </w:tr>
                            <w:tr>
                              <w:trPr/>
                              <w:tc>
                                <w:tcPr>
                                  <w:tcW w:w="3138" w:type="dxa"/>
                                  <w:tcBorders/>
                                  <w:shd w:fill="0000FF" w:val="clear"/>
                                </w:tcPr>
                                <w:p>
                                  <w:pPr>
                                    <w:pStyle w:val="Contenudetableau"/>
                                    <w:spacing w:before="57" w:after="57"/>
                                    <w:jc w:val="center"/>
                                    <w:rPr/>
                                  </w:pPr>
                                  <w:r>
                                    <w:rPr/>
                                    <w:t xml:space="preserve">Öppet forum, </w:t>
                                  </w:r>
                                </w:p>
                                <w:p>
                                  <w:pPr>
                                    <w:pStyle w:val="Contenudetableau"/>
                                    <w:spacing w:before="57" w:after="57"/>
                                    <w:jc w:val="center"/>
                                    <w:rPr/>
                                  </w:pPr>
                                  <w:r>
                                    <w:rPr/>
                                    <w:t>Läsning och prioritering av riktlinjer</w:t>
                                  </w:r>
                                </w:p>
                              </w:tc>
                              <w:tc>
                                <w:tcPr>
                                  <w:tcW w:w="3138" w:type="dxa"/>
                                  <w:tcBorders/>
                                  <w:shd w:fill="00FF00" w:val="clear"/>
                                </w:tcPr>
                                <w:p>
                                  <w:pPr>
                                    <w:pStyle w:val="Contenudetableau"/>
                                    <w:spacing w:before="57" w:after="57"/>
                                    <w:jc w:val="center"/>
                                    <w:rPr/>
                                  </w:pPr>
                                  <w:r>
                                    <w:rPr/>
                                    <w:t>Återkoppling till andra grupper, Slutförande av rekommendationer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Omvandla vägledning till rekommendationer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Plenarsammanträde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Öppna forumet</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Undergruppsarbete</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wps:txbx>
                      <wps:bodyPr lIns="54000" rIns="54000" tIns="54000" bIns="54000">
                        <a:noAutofit/>
                      </wps:bodyPr>
                    </wps:wsp>
                  </a:graphicData>
                </a:graphic>
              </wp:anchor>
            </w:drawing>
          </mc:Choice>
          <mc:Fallback>
            <w:pict>
              <v:rect id="shape_0" ID="Ram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SESSION 3</w:t>
                            </w:r>
                          </w:p>
                        </w:tc>
                      </w:tr>
                      <w:tr>
                        <w:trPr/>
                        <w:tc>
                          <w:tcPr>
                            <w:tcW w:w="3138" w:type="dxa"/>
                            <w:tcBorders/>
                            <w:shd w:fill="0000FF" w:val="clear"/>
                          </w:tcPr>
                          <w:p>
                            <w:pPr>
                              <w:pStyle w:val="P68B1DB1Contenudetableau10"/>
                              <w:spacing w:before="57" w:after="57"/>
                              <w:jc w:val="center"/>
                              <w:rPr/>
                            </w:pPr>
                            <w:r>
                              <w:rPr/>
                              <w:t xml:space="preserve">DAG 1 </w:t>
                            </w:r>
                          </w:p>
                          <w:p>
                            <w:pPr>
                              <w:pStyle w:val="Contenudetableau"/>
                              <w:spacing w:before="57" w:after="57"/>
                              <w:jc w:val="center"/>
                              <w:rPr/>
                            </w:pPr>
                            <w:r>
                              <w:rPr/>
                              <w:t>Återinkoppling, prioritering och inledande av arbete</w:t>
                            </w:r>
                          </w:p>
                        </w:tc>
                        <w:tc>
                          <w:tcPr>
                            <w:tcW w:w="3138" w:type="dxa"/>
                            <w:tcBorders/>
                            <w:shd w:fill="0000FF" w:val="clear"/>
                          </w:tcPr>
                          <w:p>
                            <w:pPr>
                              <w:pStyle w:val="P68B1DB1Contenudetableau10"/>
                              <w:spacing w:before="57" w:after="57"/>
                              <w:jc w:val="center"/>
                              <w:rPr/>
                            </w:pPr>
                            <w:r>
                              <w:rPr/>
                              <w:t xml:space="preserve">DAG 2 </w:t>
                            </w:r>
                          </w:p>
                          <w:p>
                            <w:pPr>
                              <w:pStyle w:val="Contenudetableau"/>
                              <w:jc w:val="center"/>
                              <w:rPr/>
                            </w:pPr>
                            <w:r>
                              <w:rPr/>
                              <w:t xml:space="preserve">Omvandling av riktlinjer </w:t>
                            </w:r>
                          </w:p>
                          <w:p>
                            <w:pPr>
                              <w:pStyle w:val="Contenudetableau"/>
                              <w:spacing w:before="57" w:after="57"/>
                              <w:jc w:val="center"/>
                              <w:rPr/>
                            </w:pPr>
                            <w:r>
                              <w:rPr/>
                              <w:t>slutliga rekommendationer</w:t>
                            </w:r>
                          </w:p>
                        </w:tc>
                        <w:tc>
                          <w:tcPr>
                            <w:tcW w:w="3138" w:type="dxa"/>
                            <w:tcBorders/>
                            <w:shd w:fill="0000FF" w:val="clear"/>
                          </w:tcPr>
                          <w:p>
                            <w:pPr>
                              <w:pStyle w:val="P68B1DB1Contenudetableau10"/>
                              <w:spacing w:before="57" w:after="57"/>
                              <w:jc w:val="center"/>
                              <w:rPr/>
                            </w:pPr>
                            <w:r>
                              <w:rPr/>
                              <w:t xml:space="preserve">DAG 3 </w:t>
                            </w:r>
                          </w:p>
                          <w:p>
                            <w:pPr>
                              <w:pStyle w:val="Contenudetableau"/>
                              <w:spacing w:before="57" w:after="57"/>
                              <w:jc w:val="center"/>
                              <w:rPr/>
                            </w:pPr>
                            <w:r>
                              <w:rPr/>
                              <w:t>Omröstning om slutliga rekommendationer</w:t>
                            </w:r>
                          </w:p>
                        </w:tc>
                      </w:tr>
                      <w:tr>
                        <w:trPr/>
                        <w:tc>
                          <w:tcPr>
                            <w:tcW w:w="3138" w:type="dxa"/>
                            <w:tcBorders/>
                            <w:shd w:fill="800000" w:val="clear"/>
                          </w:tcPr>
                          <w:p>
                            <w:pPr>
                              <w:pStyle w:val="Contenudetableau"/>
                              <w:spacing w:before="57" w:after="57"/>
                              <w:jc w:val="center"/>
                              <w:rPr/>
                            </w:pPr>
                            <w:r>
                              <w:rPr/>
                              <w:t>Välkommen och mål för helgen</w:t>
                            </w:r>
                          </w:p>
                        </w:tc>
                        <w:tc>
                          <w:tcPr>
                            <w:tcW w:w="3138" w:type="dxa"/>
                            <w:tcBorders/>
                            <w:shd w:fill="00FF00" w:val="clear"/>
                          </w:tcPr>
                          <w:p>
                            <w:pPr>
                              <w:pStyle w:val="Contenudetableau"/>
                              <w:spacing w:before="57" w:after="57"/>
                              <w:jc w:val="center"/>
                              <w:rPr/>
                            </w:pPr>
                            <w:r>
                              <w:rPr/>
                              <w:t>Omvandla vägledning till rekommendationer</w:t>
                            </w:r>
                          </w:p>
                        </w:tc>
                        <w:tc>
                          <w:tcPr>
                            <w:tcW w:w="3138" w:type="dxa"/>
                            <w:tcBorders/>
                            <w:shd w:fill="800000" w:val="clear"/>
                          </w:tcPr>
                          <w:p>
                            <w:pPr>
                              <w:pStyle w:val="Contenudetableau"/>
                              <w:spacing w:before="57" w:after="57"/>
                              <w:jc w:val="center"/>
                              <w:rPr/>
                            </w:pPr>
                            <w:r>
                              <w:rPr/>
                              <w:t>Omröstning om slutliga rekommendationer</w:t>
                            </w:r>
                          </w:p>
                        </w:tc>
                      </w:tr>
                      <w:tr>
                        <w:trPr/>
                        <w:tc>
                          <w:tcPr>
                            <w:tcW w:w="3138" w:type="dxa"/>
                            <w:tcBorders/>
                            <w:shd w:fill="0000FF" w:val="clear"/>
                          </w:tcPr>
                          <w:p>
                            <w:pPr>
                              <w:pStyle w:val="Contenudetableau"/>
                              <w:spacing w:before="57" w:after="57"/>
                              <w:jc w:val="center"/>
                              <w:rPr/>
                            </w:pPr>
                            <w:r>
                              <w:rPr/>
                              <w:t xml:space="preserve">Öppet forum, </w:t>
                            </w:r>
                          </w:p>
                          <w:p>
                            <w:pPr>
                              <w:pStyle w:val="Contenudetableau"/>
                              <w:spacing w:before="57" w:after="57"/>
                              <w:jc w:val="center"/>
                              <w:rPr/>
                            </w:pPr>
                            <w:r>
                              <w:rPr/>
                              <w:t>Läsning och prioritering av riktlinjer</w:t>
                            </w:r>
                          </w:p>
                        </w:tc>
                        <w:tc>
                          <w:tcPr>
                            <w:tcW w:w="3138" w:type="dxa"/>
                            <w:tcBorders/>
                            <w:shd w:fill="00FF00" w:val="clear"/>
                          </w:tcPr>
                          <w:p>
                            <w:pPr>
                              <w:pStyle w:val="Contenudetableau"/>
                              <w:spacing w:before="57" w:after="57"/>
                              <w:jc w:val="center"/>
                              <w:rPr/>
                            </w:pPr>
                            <w:r>
                              <w:rPr/>
                              <w:t>Återkoppling till andra grupper, Slutförande av rekommendationer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Omvandla vägledning till rekommendationer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Plenarsammanträde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Öppna forumet</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Undergruppsarbete</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v:textbox>
              </v:rect>
            </w:pict>
          </mc:Fallback>
        </mc:AlternateContent>
      </w:r>
      <w:r>
        <w:rPr/>
        <w:t xml:space="preserve"> </w:t>
      </w:r>
      <w:r>
        <w:rPr/>
        <w:t>i undergrupper. Var och en av de femton undergrupperna bestod av tolv till fjorton medborgare. Fyra till fem språk användes i varje undergrupp för att göra det möjligt för medborgarna att uttrycka sig på sitt eget språk eller på ett språk som de kände sig bekväma på. Varje undergrupp hade en professionell kontaktperson från konsortiet av externa tjänsteleverantörer.</w:t>
      </w:r>
    </w:p>
    <w:p>
      <w:pPr>
        <w:pStyle w:val="Alineanegatifpuce"/>
        <w:numPr>
          <w:ilvl w:val="0"/>
          <w:numId w:val="3"/>
        </w:numPr>
        <w:rPr/>
      </w:pPr>
      <w:r>
        <w:rPr/>
        <w:t xml:space="preserve"> </w:t>
      </w:r>
      <w:r>
        <w:rPr/>
        <w:t>vid plenarsessionen som ägnas åt ett arbetsflöde. Varje plenarsession som ägnas åt en arbetsaxel sammanförde de undergrupper som arbetar inom samma tematiska axel. De plenarsammanträden som ägnades åt ett arbetsflöde underlättades av professionella kontaktpersoner, med tolkning som omfattade alla de språk som deltagarna krävde.</w:t>
      </w:r>
    </w:p>
    <w:p>
      <w:pPr>
        <w:pStyle w:val="Alineanegatifpuce"/>
        <w:numPr>
          <w:ilvl w:val="0"/>
          <w:numId w:val="3"/>
        </w:numPr>
        <w:rPr/>
      </w:pPr>
      <w:r>
        <w:rPr/>
        <w:t xml:space="preserve"> </w:t>
      </w:r>
      <w:r>
        <w:rPr/>
        <w:t>i plenum, med alla deltagande medborgare, att presentera och avsluta sessionen. Plenarsammanträdena leddes av två huvudsakliga moderatorer i konsortiet, med tolkning på de 24 officiella EU-språken.</w:t>
      </w:r>
    </w:p>
    <w:p>
      <w:pPr>
        <w:pStyle w:val="Alineanegatifpuce"/>
        <w:ind w:left="0" w:right="0" w:hanging="0"/>
        <w:rPr/>
      </w:pPr>
      <w:r>
        <w:rPr/>
      </w:r>
      <w:r>
        <w:br w:type="page"/>
      </w:r>
    </w:p>
    <w:p>
      <w:pPr>
        <w:pStyle w:val="Titre4"/>
        <w:numPr>
          <w:ilvl w:val="3"/>
          <w:numId w:val="2"/>
        </w:numPr>
        <w:rPr/>
      </w:pPr>
      <w:bookmarkStart w:id="13" w:name="__RefHeading___Toc298200_1346298689"/>
      <w:bookmarkEnd w:id="13"/>
      <w:r>
        <w:rPr/>
        <w:t>TREDJE OMGÅNGEN AV PANELSESSIONER</w:t>
      </w:r>
    </w:p>
    <w:p>
      <w:pPr>
        <w:pStyle w:val="Corpsdetexte"/>
        <w:rPr/>
      </w:pPr>
      <w:r>
        <w:rPr/>
        <w:t>Den tredje och sista omgången av panelmöten ägde rum personligen vid utbildningsinstitutioner i fyra medlemsstater. På grund av covid-19-pandemin och relaterade åtgärder i Irland och Nederländerna, den tredje sessionen i panelerna 1 (En starkare ekonomi, social rättvisa och sysselsättning), utbildning, kultur, ungdom och idrott. digital omvandling) och 4 (EU i världen, migrationen) måste skjutas upp till februari 2022, i samråd med nationella myndigheter och associerade partner.</w:t>
      </w:r>
    </w:p>
    <w:p>
      <w:pPr>
        <w:pStyle w:val="Corpsdetexte"/>
        <w:rPr/>
      </w:pPr>
      <w:r>
        <w:rPr/>
        <w:t xml:space="preserve">Diskussionerna och det kollektiva arbetet ägde rum i följande format: </w:t>
      </w:r>
    </w:p>
    <w:p>
      <w:pPr>
        <w:pStyle w:val="Alineanegatifpuce"/>
        <w:numPr>
          <w:ilvl w:val="0"/>
          <w:numId w:val="3"/>
        </w:numPr>
        <w:rPr/>
      </w:pPr>
      <w:r>
        <w:rPr/>
        <w:t xml:space="preserve"> </w:t>
      </w:r>
      <w:r>
        <w:rPr/>
        <w:t>i plenum med alla deltagare, i början av plenarsessionen för att presentera programmet och i slutet av plenarsessionen, såsom förklaras nedan. Plenarsessionerna leddes av två huvudsakliga moderatorer i överläggningsgruppen, med tolkning på EU:s 24 officiella språk.</w:t>
      </w:r>
    </w:p>
    <w:p>
      <w:pPr>
        <w:pStyle w:val="Alineanegatifpuce"/>
        <w:numPr>
          <w:ilvl w:val="0"/>
          <w:numId w:val="3"/>
        </w:numPr>
        <w:rPr/>
      </w:pPr>
      <w:r>
        <w:rPr/>
        <w:t xml:space="preserve"> </w:t>
      </w:r>
      <w:r>
        <w:rPr/>
        <w:t>Medborgarna började med att undersöka alla de riktlinjer som panelen utvecklade under session 2 som en del av ett ”öppet forum”. Varje medborgare har därefter prioriterat högst tio orienteringar per arbetsområde. När denna prioriteringsprocess hade slutförts på panelnivå anslöt sig medborgarna till den undergrupp där de redan hade arbetat under session 2 och tog tillsammans del av gruppens vägledning som hade prioriterats av resten av panelen – en möjlighet att jämföra detta val med sin egen bedömning. För utarbetandet av rekommendationerna fick varje undergrupp ett vägledande antal rekommendationer som skulle utarbetas: från ett till tre, med högst fem.</w:t>
      </w:r>
    </w:p>
    <w:p>
      <w:pPr>
        <w:pStyle w:val="Alineanegatifpuce"/>
        <w:numPr>
          <w:ilvl w:val="0"/>
          <w:numId w:val="3"/>
        </w:numPr>
        <w:rPr/>
      </w:pPr>
      <w:r>
        <w:rPr/>
        <w:t xml:space="preserve"> </w:t>
      </w:r>
      <w:r>
        <w:rPr/>
        <w:t xml:space="preserve">Var och en av de 15 undergrupperna arbetade med att ta fram riktlinjer för rekommendationer. Medborgarna diskuterade de riktlinjer som fått mest stöd (i prioritetsordningen) och inledde utarbetandet av rekommendationerna. </w:t>
      </w:r>
    </w:p>
    <w:p>
      <w:pPr>
        <w:pStyle w:val="Normal"/>
        <w:rPr/>
      </w:pPr>
      <w:r>
        <w:rPr/>
        <w:t>Under den tredje serien av sessioner fördes expertis och information inte i direkt interaktion med medborgarna, utan genom ett särskilt utformat system, en ”Resurs- och informationspunkt”. Detta system har använts för att centralisera alla begäranden om information och faktakontroll på plats och för att ge korta och faktiska svar från experter och faktagranskare till undergrupperna. Detta system har utformats för att säkerställa att experternas och faktagranskarnas bidrag utarbetas i enlighet med högsta kvalitetsstandarder och för att undvika otillbörlig påverkan i detta skede av processen. Medborgarna fick också del av interimsrapporterna från den flerspråkiga digitala plattformen.</w:t>
      </w:r>
    </w:p>
    <w:p>
      <w:pPr>
        <w:pStyle w:val="Corpsdetexte"/>
        <w:rPr/>
      </w:pPr>
      <w:r>
        <w:rPr/>
        <w:t>Under undergruppens arbete anordnades återkopplingssessioner för att hjälpa deltagarna att förstå de andra undergruppernas arbete och stärka deras rekommendationer.</w:t>
      </w:r>
    </w:p>
    <w:p>
      <w:pPr>
        <w:pStyle w:val="Corpsdetexte"/>
        <w:rPr/>
      </w:pPr>
      <w:r>
        <w:rPr/>
        <w:t>Varje undergrupps rekommendationer röstades sedan om av panelen på sessionens sista dag. Före omröstningen fick alla deltagare ett dokument som innehöll alla utkast till rekommendationer som utarbetats dagen innan så att de kunde läsa dem på sitt eget språk (automatisk översättning från engelska). Varje rekommendation lästes på engelska i plenum för att göra det möjligt för medborgarna att höra tolkningen samtidigt. Den ena efter den andra gick rekommendationerna till omröstning av deltagarna med hjälp av ett onlineformulär.</w:t>
      </w:r>
    </w:p>
    <w:p>
      <w:pPr>
        <w:pStyle w:val="Corpsdetexte"/>
        <w:rPr/>
      </w:pPr>
      <w:r>
        <w:rPr/>
        <w:t>På grundval av slutomröstningarna klassificerades rekommendationerna på följande sätt:</w:t>
      </w:r>
    </w:p>
    <w:p>
      <w:pPr>
        <w:pStyle w:val="Corpsdetexte"/>
        <w:rPr/>
      </w:pPr>
      <w:r>
        <w:rPr/>
        <w:t>De rekommendationer som fick 70 % eller mer av de avgivna rösterna antogs av panelen. rekommendationer som inte uppfyllde detta tröskelvärde ansågs inte ha godkänts av panelen. Totalt antog de europeiska medborgarpanelerna 178 rekommendationer.</w:t>
      </w:r>
    </w:p>
    <w:p>
      <w:pPr>
        <w:pStyle w:val="Corpsdetexte"/>
        <w:rPr/>
      </w:pPr>
      <w:r>
        <w:rPr/>
        <w:t>Omröstningsförfarandet övervakades av en omröstningskommitté bestående av två medborgare som hade föreslagit att denna roll skulle fullgöras.</w:t>
      </w:r>
    </w:p>
    <w:p>
      <w:pPr>
        <w:pStyle w:val="Titre4"/>
        <w:numPr>
          <w:ilvl w:val="3"/>
          <w:numId w:val="2"/>
        </w:numPr>
        <w:rPr/>
      </w:pPr>
      <w:bookmarkStart w:id="14" w:name="__RefHeading___Toc298202_1346298689"/>
      <w:bookmarkEnd w:id="14"/>
      <w:r>
        <w:rPr/>
        <w:t>FÖRETRÄDARE FÖR DE EUROPEISKA MEDBORGARPANELERNA I PLENUM</w:t>
      </w:r>
    </w:p>
    <w:p>
      <w:pPr>
        <w:pStyle w:val="Corpsdetexte"/>
        <w:rPr/>
      </w:pPr>
      <w:r>
        <w:rPr/>
        <w:t>De rekommendationer som antagits av de fyra europeiska medborgarpanelerna presenterades och diskuterades av de 80 företrädarna för de europeiska medborgarpanelerna vid konferensens plenarförsamling och i arbetsgrupperna den 21–22 januari 2022 (Panel 2 och 3) och den 11–12 mars 2022 (Panel 1 och 4). De 80 företrädarna för de europeiska medborgarpanelerna (i genomsnitt 70 på plats och 10 online) fortsatte sedan att främja och förklara rekommendationerna från de europeiska medborgarpanelerna vid tre på varandra följande sammanträden i plenarförsamlingen och arbetsgrupperna (den 25–26 mars, 8–9 april och 29–30 april).</w:t>
      </w:r>
    </w:p>
    <w:p>
      <w:pPr>
        <w:pStyle w:val="Corpsdetexte"/>
        <w:rPr/>
      </w:pPr>
      <w:r>
        <w:rPr/>
        <w:t>De förde också regelbundna diskussioner vid möten under medborgarkomponenten (i förberedande möten online och plenarsammanträden på plats), med varandra och med de 27 företrädarna för nationella evenemang och/eller nationella paneler. Den 23 april sammanträdde företrädare för de europeiska medborgarpanelerna online med alla sina motparter för att förklara hur rekommendationerna hade diskuterats och införlivats i plenarförsamlingens förslag och för att få feedback från andra paneldeltagare. En grupp medlemmar i det gemensamma sekretariatet och konsortiet stödde medborgardelen under plenarsessionen.</w:t>
      </w:r>
    </w:p>
    <w:p>
      <w:pPr>
        <w:pStyle w:val="Titre4"/>
        <w:numPr>
          <w:ilvl w:val="3"/>
          <w:numId w:val="2"/>
        </w:numPr>
        <w:rPr/>
      </w:pPr>
      <w:bookmarkStart w:id="15" w:name="__RefHeading___Toc298204_1346298689"/>
      <w:bookmarkEnd w:id="15"/>
      <w:r>
        <w:rPr/>
        <w:t>INSYN I PROCESSEN</w:t>
      </w:r>
    </w:p>
    <w:p>
      <w:pPr>
        <w:pStyle w:val="Corpsdetexte"/>
        <w:rPr/>
      </w:pPr>
      <w:r>
        <w:rPr/>
        <w:t xml:space="preserve"> </w:t>
      </w:r>
      <w:r>
        <w:rPr/>
        <w:t>Hela processen genomfördes på ett öppet sätt. Plenarsammanträdena i de europeiska medborgarpanelerna direktsändes, medan de dokument som följde av deras diskussioner och överläggningar gjordes tillgängliga för allmänheten på den flerspråkiga digitala plattformen. Slutrapporten från varje panelsession finns tillgänglig på plattformen tillsammans med rekommendationerna. Rapporterna innehåller också information om alla experter som stödde panelernas arbete.</w:t>
      </w:r>
    </w:p>
    <w:p>
      <w:pPr>
        <w:pStyle w:val="Corpsdetexte"/>
        <w:rPr/>
      </w:pPr>
      <w:r>
        <w:rPr/>
        <w:t>Som en verklig demokratisk innovation har europeiska medborgarpaneler fått stor uppmärksamhet från forskarvärlden. Forskarna kunde närvara vid mötena i de europeiska medborgarpanelerna och följa genomförandet, i enlighet med vissa regler, av det arbete som utförts och deltagarnas integritet.</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En starkare ekonomi, social rättvisa och sysselsättning. utbildning, kultur, ungdom och idrott. digital transformation</w:t>
      </w:r>
    </w:p>
    <w:p>
      <w:pPr>
        <w:pStyle w:val="Corpsdetexte"/>
        <w:rPr/>
      </w:pPr>
      <w:r>
        <w:rPr/>
        <w:t>Den första sessionen i panelen ”En starkare ekonomi, social rättvisa och sysselsättning; utbildning, kultur, ungdom och idrott. den digitala omvandlingen ägde rum den 17–19 september 2021 i Strasbourg. Denna panel behandlade framtiden för våra ekonomier och arbetstillfällen, särskilt efter pandemin, och ägnade vederbörlig uppmärksamhet åt relaterade frågor om social rättvisa. Han tog också upp möjligheterna och utmaningarna med den digitala omvandlingen, ett av de viktigaste diskussionsämnena bland dem som rör framtiden.</w:t>
      </w:r>
    </w:p>
    <w:p>
      <w:pPr>
        <w:pStyle w:val="Corpsdetexte"/>
        <w:spacing w:before="3316" w:after="57"/>
        <w:rPr/>
      </w:pPr>
      <w:r>
        <mc:AlternateContent>
          <mc:Choice Requires="wps">
            <w:drawing>
              <wp:anchor behindDoc="0" distT="0" distB="0" distL="0" distR="0" simplePos="0" locked="0" layoutInCell="1" allowOverlap="1" relativeHeight="61">
                <wp:simplePos x="0" y="0"/>
                <wp:positionH relativeFrom="column">
                  <wp:posOffset>476885</wp:posOffset>
                </wp:positionH>
                <wp:positionV relativeFrom="paragraph">
                  <wp:posOffset>23768685</wp:posOffset>
                </wp:positionV>
                <wp:extent cx="6120765" cy="2106295"/>
                <wp:effectExtent l="0" t="0" r="0" b="0"/>
                <wp:wrapSquare wrapText="largest"/>
                <wp:docPr id="20" name="Ram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pPr>
                            <w:r>
                              <w:rPr>
                                <w:color w:val="auto"/>
                              </w:rPr>
                              <w:drawing>
                                <wp:inline distT="0" distB="0" distL="0" distR="0">
                                  <wp:extent cx="6120130" cy="2105660"/>
                                  <wp:effectExtent l="0" t="0" r="0" b="0"/>
                                  <wp:docPr id="22"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 panel 1 med europeiska medborgare </w:t>
                              <w:tab/>
                              <w:t>Foto: panel 2 med europeiska medborgare</w:t>
                            </w:r>
                          </w:p>
                        </w:txbxContent>
                      </wps:txbx>
                      <wps:bodyPr lIns="0" rIns="0" tIns="0" bIns="0">
                        <a:noAutofit/>
                      </wps:bodyPr>
                    </wps:wsp>
                  </a:graphicData>
                </a:graphic>
              </wp:anchor>
            </w:drawing>
          </mc:Choice>
          <mc:Fallback>
            <w:pict>
              <v:rect id="shape_0" ID="Ram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pPr>
                      <w:r>
                        <w:rPr>
                          <w:color w:val="auto"/>
                        </w:rPr>
                        <w:drawing>
                          <wp:inline distT="0" distB="0" distL="0" distR="0">
                            <wp:extent cx="6120130" cy="2105660"/>
                            <wp:effectExtent l="0" t="0" r="0" b="0"/>
                            <wp:docPr id="23"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 panel 1 med europeiska medborgare </w:t>
                        <w:tab/>
                        <w:t>Foto: panel 2 med europeiska medborgare</w:t>
                      </w:r>
                    </w:p>
                  </w:txbxContent>
                </v:textbox>
              </v:rect>
            </w:pict>
          </mc:Fallback>
        </mc:AlternateContent>
      </w:r>
      <w:r>
        <w:rPr/>
        <w:t>Panelen diskuterade också Europas framtid på områdena ungdom, idrott, kultur och utbildning. De medborgare som deltog i panelen välkomnades av medordförande Guy Verhofstadt. Arbetet vid den första sessionen avslutades med godkännandet av de fem arbetsområdena: ”Att arbeta i Europa”, ”En ekonomi för framtiden”, ”ett rättvist samhälle”, ”Learning in Europe” och ”En etisk och säker digital omvandling”.</w:t>
      </w:r>
    </w:p>
    <w:p>
      <w:pPr>
        <w:pStyle w:val="Corpsdetexte"/>
        <w:rPr/>
      </w:pPr>
      <w:r>
        <w:rPr/>
        <w:t>Den 5–7 november 2021 sammanträdde panel 1 för andra gången, denna gång i virtuellt format, och fortsatte överläggningarna vid den första sessionen. Under den andra sessionen fastställde panelmedlemmarna ”riktlinjer” för att utarbeta konkreta rekommendationer (vid sin tredje session) för var och en av de fem axlar som identifierades vid den första sessionen. Totalt producerade de medborgare som deltog i panel 1 142 vägledningsgrupper.</w:t>
      </w:r>
    </w:p>
    <w:p>
      <w:pPr>
        <w:pStyle w:val="Corpsdetexte"/>
        <w:rPr/>
      </w:pPr>
      <w:r>
        <w:rPr/>
        <w:t>Den 25–27 februari 2022 sammanträdde de medborgare som deltog i panel 1 för tredje gången och fortsatte överläggningarna under sessionerna 1 och 2. För denna sista session hölls panel 1 deltagare på Dublin Castle av Institute of International and European Affairs (IIEA), med möjlighet att delta online.</w:t>
      </w:r>
    </w:p>
    <w:p>
      <w:pPr>
        <w:pStyle w:val="Corpsdetexte"/>
        <w:rPr/>
      </w:pPr>
      <w:r>
        <w:rPr/>
        <w:t>på grundval av den vägledning som de hade utarbetat vid session 2 som grund för sitt arbete utarbetade och godkände medborgarna 48 slutliga rekommendationer.</w:t>
      </w:r>
    </w:p>
    <w:p>
      <w:pPr>
        <w:pStyle w:val="Titre4"/>
        <w:numPr>
          <w:ilvl w:val="3"/>
          <w:numId w:val="2"/>
        </w:numPr>
        <w:rPr/>
      </w:pPr>
      <w:bookmarkStart w:id="17" w:name="__RefHeading___Toc298208_1346298689"/>
      <w:bookmarkEnd w:id="17"/>
      <w:r>
        <w:rPr/>
        <w:t xml:space="preserve">Panel 2 </w:t>
        <w:br/>
        <w:t>Den europeiska demokratin, värderingar och rättigheter, rättsstatsprincipen, säkerhet</w:t>
      </w:r>
    </w:p>
    <w:p>
      <w:pPr>
        <w:pStyle w:val="Corpsdetexte"/>
        <w:rPr/>
      </w:pPr>
      <w:r>
        <w:rPr/>
        <w:t>Session 1 i panelen ”Europeisk demokrati; värden och rättigheter, rättsstatsprincipen, säkerhet” ägde rum den 24–26 september i Strasbourg. Panelen fokuserade på frågor som rör demokrati, såsom val, deltagande utanför valperioder, uppfattat avstånd mellan medborgare och deras valda företrädare, mediefrihet och desinformation. Det tog också upp frågor som rör grundläggande rättigheter och värden, rättsstatsprincipen och kampen mot alla former av diskriminering. Samtidigt fokuserade han på EU:s inre säkerhet, som att skydda européerna från terroristhandlingar och andra brott. Talarna välkomnades av medordförande Gašper Dovžan.</w:t>
      </w:r>
    </w:p>
    <w:p>
      <w:pPr>
        <w:pStyle w:val="Corpsdetexte"/>
        <w:rPr/>
      </w:pPr>
      <w:r>
        <w:rPr/>
        <w:t>Arbetet vid denna första session avslutades med godkännandet av de fem arbetsområdena: ”Säkerställa respekt för rättigheter och icke-diskriminering”, ”Skydd av demokrati och rättsstatsprincipen”, ”Reformera EU”, ”Att bygga upp en europeisk identitet” och ”Stärka medborgarnas deltagande”.</w:t>
      </w:r>
    </w:p>
    <w:p>
      <w:pPr>
        <w:pStyle w:val="Corpsdetexte"/>
        <w:rPr/>
      </w:pPr>
      <w:r>
        <w:rPr/>
        <w:t>Den 12–14 november 2021 sammanträdde panel 2 för andra gången, i virtuellt format, och fortsatte överläggningarna vid den första sessionen. Under den andra sessionen fastställde panelmedlemmarna ”riktlinjer” för att utarbeta konkreta rekommendationer (vid sin tredje session) för var och en av de fem axlar som identifierades vid den första sessionen. Totalt producerade de medborgare som deltog i panel 2 124 vägledningsgrupper.</w:t>
      </w:r>
    </w:p>
    <w:p>
      <w:pPr>
        <w:pStyle w:val="Corpsdetexte"/>
        <w:rPr/>
      </w:pPr>
      <w:r>
        <w:rPr/>
        <w:t>Den 10–12 december 2021 träffades de medborgare som deltog i panel 2 för sin sista session som anordnades vid Europeiska universitetsinstitutet i Florens, med möjlighet att delta online. På grundval av den vägledning som de hade utarbetat vid session 2 som grund för sitt arbete utarbetade och godkände medborgarna 39 slutliga rekommendationer.</w:t>
      </w:r>
    </w:p>
    <w:p>
      <w:pPr>
        <w:pStyle w:val="Titre4"/>
        <w:numPr>
          <w:ilvl w:val="3"/>
          <w:numId w:val="2"/>
        </w:numPr>
        <w:rPr/>
      </w:pPr>
      <w:bookmarkStart w:id="18" w:name="__RefHeading___Toc298210_1346298689"/>
      <w:bookmarkEnd w:id="18"/>
      <w:r>
        <w:rPr/>
        <w:t>Panel 3 Klimatförändringar och miljö hälsa</w:t>
      </w:r>
    </w:p>
    <w:p>
      <w:pPr>
        <w:pStyle w:val="Corpsdetexte"/>
        <w:rPr/>
      </w:pPr>
      <w:r>
        <w:rPr/>
        <w:t>Panelen för klimatförändringar och miljön. hälsa” höll sitt första sammanträde den 1–</w:t>
      </w:r>
      <w:r>
        <w:rPr>
          <w:vertAlign w:val="superscript"/>
        </w:rPr>
        <w:t>3</w:t>
      </w:r>
      <w:r>
        <w:rPr/>
        <w:t xml:space="preserve"> oktober i Strasbourg. Panelen fokuserade på effekterna av klimatförändringar, miljöfrågor och nya hälsoutmaningar för EU. Det omfattade också EU:s mål och strategier, såsom jordbruk, transport och rörlighet, energi och övergången till samhällen efter koldioxidutsläpp, forskning, hälso- och sjukvårdssystem, insatser vid hälsokriser, förebyggande och hälsosam livsstil. Arbetet med den första sessionen avslutades med godkännandet av de fem arbetsområdena: ”Bättre livsstil”, ”Skydd av vår miljö och hälsa”, ”Omorientering av vår ekonomi och konsumtion”, ”Mot ett hållbart samhälle” och ”Hälsa för alla”. Slutrapporten från sessionen finns tillgänglig på den flerspråkiga digitala plattformen.</w:t>
      </w:r>
    </w:p>
    <w:p>
      <w:pPr>
        <w:pStyle w:val="Corpsdetexte"/>
        <w:rPr/>
      </w:pPr>
      <w:r>
        <w:rPr/>
        <w:t>Den 19–21 november 2021 sammanträdde panel 3 för andra gången, denna gång i virtuellt format, för att fortsätta överläggningarna vid den första sessionen. Under den andra sessionen fastställde panelmedlemmarna ”riktlinjer” för att utarbeta konkreta rekommendationer (vid sin tredje session) för var och en av de fem axlar som identifierades vid den första sessionen. Totalt producerade de medborgare som deltog i panel 3 130 vägledningsgrupper.</w:t>
      </w:r>
    </w:p>
    <w:p>
      <w:pPr>
        <w:pStyle w:val="Corpsdetexte"/>
        <w:rPr/>
      </w:pPr>
      <w:r>
        <w:rPr/>
        <w:t>Den 7–9 januari 2022 samlades medborgarna i panel 3 till den sista sessionen som de anordnade vid College of Europe i Natolin och Kultur- och vetenskapspalatset, med stöd av staden Warszawa. Det var möjligt att delta online. På grundval av den vägledning som de hade utarbetat vid session 2 som grund för sitt arbete utarbetade och godkände medborgarna 51 slutliga rekommendationer.</w:t>
      </w:r>
    </w:p>
    <w:p>
      <w:pPr>
        <w:pStyle w:val="Titre4"/>
        <w:numPr>
          <w:ilvl w:val="3"/>
          <w:numId w:val="2"/>
        </w:numPr>
        <w:rPr/>
      </w:pPr>
      <w:bookmarkStart w:id="19" w:name="__RefHeading___Toc298212_1346298689"/>
      <w:bookmarkEnd w:id="19"/>
      <w:r>
        <w:rPr/>
        <w:t>Panel 4 EU i världen, migrering</w:t>
      </w:r>
    </w:p>
    <w:p>
      <w:pPr>
        <w:pStyle w:val="Corpsdetexte"/>
        <w:rPr/>
      </w:pPr>
      <w:r>
        <w:rPr/>
        <mc:AlternateContent>
          <mc:Choice Requires="wps">
            <w:drawing>
              <wp:anchor behindDoc="0" distT="0" distB="0" distL="0" distR="0" simplePos="0" locked="0" layoutInCell="1" allowOverlap="1" relativeHeight="75">
                <wp:simplePos x="0" y="0"/>
                <wp:positionH relativeFrom="column">
                  <wp:align>center</wp:align>
                </wp:positionH>
                <wp:positionV relativeFrom="paragraph">
                  <wp:posOffset>635</wp:posOffset>
                </wp:positionV>
                <wp:extent cx="2971165" cy="2242185"/>
                <wp:effectExtent l="0" t="0" r="0" b="0"/>
                <wp:wrapSquare wrapText="largest"/>
                <wp:docPr id="24" name="Ram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3905"/>
                                  <wp:effectExtent l="0" t="0" r="0" b="0"/>
                                  <wp:docPr id="26"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 panel 3 för europeiska medborgare</w:t>
                            </w:r>
                          </w:p>
                        </w:txbxContent>
                      </wps:txbx>
                      <wps:bodyPr lIns="0" rIns="0" tIns="0" bIns="0">
                        <a:noAutofit/>
                      </wps:bodyPr>
                    </wps:wsp>
                  </a:graphicData>
                </a:graphic>
              </wp:anchor>
            </w:drawing>
          </mc:Choice>
          <mc:Fallback>
            <w:pict>
              <v:rect id="shape_0" ID="Ram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3905"/>
                            <wp:effectExtent l="0" t="0" r="0" b="0"/>
                            <wp:docPr id="27"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 panel 3 för europeiska medborgare</w:t>
                      </w:r>
                    </w:p>
                  </w:txbxContent>
                </v:textbox>
              </v:rect>
            </w:pict>
          </mc:Fallback>
        </mc:AlternateContent>
      </w:r>
    </w:p>
    <w:p>
      <w:pPr>
        <w:pStyle w:val="Corpsdetexte"/>
        <w:rPr/>
      </w:pPr>
      <w:r>
        <w:rPr/>
        <w:t>Den fjärde panelen med titeln ”EU i världen”. migration” sammanträdde för första gången den 15–17 oktober i Strasbourg, där deltagarna särskilt diskuterade EU:s roll på den internationella arenan.</w:t>
      </w:r>
    </w:p>
    <w:p>
      <w:pPr>
        <w:pStyle w:val="Corpsdetexte"/>
        <w:rPr/>
      </w:pPr>
      <w:r>
        <mc:AlternateContent>
          <mc:Choice Requires="wps">
            <w:drawing>
              <wp:anchor behindDoc="0" distT="0" distB="0" distL="0" distR="0" simplePos="0" locked="0" layoutInCell="1" allowOverlap="1" relativeHeight="78">
                <wp:simplePos x="0" y="0"/>
                <wp:positionH relativeFrom="column">
                  <wp:align>center</wp:align>
                </wp:positionH>
                <wp:positionV relativeFrom="paragraph">
                  <wp:posOffset>635</wp:posOffset>
                </wp:positionV>
                <wp:extent cx="2570480" cy="2101215"/>
                <wp:effectExtent l="0" t="0" r="0" b="0"/>
                <wp:wrapTopAndBottom/>
                <wp:docPr id="28" name="Ram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6445"/>
                                  <wp:effectExtent l="0" t="0" r="0" b="0"/>
                                  <wp:docPr id="30"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 panel 4 med europeiska medborgare</w:t>
                              <w:br/>
                            </w:r>
                          </w:p>
                        </w:txbxContent>
                      </wps:txbx>
                      <wps:bodyPr lIns="0" rIns="0" tIns="0" bIns="0">
                        <a:noAutofit/>
                      </wps:bodyPr>
                    </wps:wsp>
                  </a:graphicData>
                </a:graphic>
              </wp:anchor>
            </w:drawing>
          </mc:Choice>
          <mc:Fallback>
            <w:pict>
              <v:rect id="shape_0" ID="Ram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6445"/>
                            <wp:effectExtent l="0" t="0" r="0" b="0"/>
                            <wp:docPr id="31"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 panel 4 med europeiska medborgare</w:t>
                        <w:br/>
                      </w:r>
                    </w:p>
                  </w:txbxContent>
                </v:textbox>
              </v:rect>
            </w:pict>
          </mc:Fallback>
        </mc:AlternateContent>
      </w:r>
      <w:r>
        <w:rPr/>
        <w:t>Framför allt diskuterades EU:s mål och strategier för säkerhet, försvar, handelspolitik, humanitärt bistånd och utvecklingssamarbete, utrikespolitik, EU:s grannskapspolitik och utvidgning samt hur EU bör hantera migration. Medborgarna välkomnades av medordförande Dubravka Šuica. Arbetet vid denna första session avslutades med godkännandet av de fem arbetsområdena: ”självförsörjning och stabilitet”, ”EU som internationell partner”, ”Ett starkt EU i en fredsvärld”, ”Migration ur ett mänskligt perspektiv” och ”Ansvar och solidaritet i hela EU”. Slutrapporten från sessionen finns tillgänglig på den flerspråkiga digitala plattformen.</w:t>
      </w:r>
    </w:p>
    <w:p>
      <w:pPr>
        <w:pStyle w:val="Corpsdetexte"/>
        <w:rPr/>
      </w:pPr>
      <w:r>
        <w:rPr/>
        <w:t>Den 16–28 november 2021 höll panel 4 sin andra onlinesession på grundval av det arbete som utförts under den första sessionen. Under den andra sessionen fastställde panelmedlemmarna ”riktlinjer” för att utarbeta konkreta rekommendationer (vid sin tredje session) för var och en av de fem axlar som identifierades vid den första sessionen. Totalt producerade de medborgare som deltog i panel 4 95 vägledningsgrupper.</w:t>
      </w:r>
    </w:p>
    <w:p>
      <w:pPr>
        <w:pStyle w:val="Corpsdetexte"/>
        <w:rPr/>
      </w:pPr>
      <w:r>
        <w:rPr/>
        <w:t>Den 11–13 februari 2022 samlades panel 4 medborgare för sin sista session, som anordnades i Maastricht Exhibition and Conference Centre (MECC) av Studio Europa Maastricht, i samarbete med universitetet i Maastricht och Europeiska institutet för offentlig förvaltning (IEAP). Det var möjligt att delta online.</w:t>
      </w:r>
    </w:p>
    <w:p>
      <w:pPr>
        <w:pStyle w:val="Corpsdetexte"/>
        <w:rPr/>
      </w:pPr>
      <w:r>
        <w:rPr/>
        <w:t>på grundval av den vägledning som de hade utarbetat vid session 2 som grund för sitt arbete utarbetade och godkände medborgarna 40 slutliga rekommendationer.</w:t>
      </w:r>
    </w:p>
    <w:p>
      <w:pPr>
        <w:pStyle w:val="Normal"/>
        <w:rPr/>
      </w:pPr>
      <w:r>
        <w:rPr/>
      </w:r>
    </w:p>
    <w:p>
      <w:pPr>
        <w:pStyle w:val="Titre3"/>
        <w:numPr>
          <w:ilvl w:val="2"/>
          <w:numId w:val="2"/>
        </w:numPr>
        <w:rPr/>
      </w:pPr>
      <w:bookmarkStart w:id="20" w:name="__RefHeading___Toc298214_1346298689"/>
      <w:bookmarkEnd w:id="20"/>
      <w:r>
        <w:rPr/>
        <w:t>2.</w:t>
        <w:tab/>
        <w:t>Nationella medborgarpaneler</w:t>
      </w:r>
    </w:p>
    <w:p>
      <w:pPr>
        <w:pStyle w:val="Corpsdetexte"/>
        <w:rPr/>
      </w:pPr>
      <w:r>
        <w:rPr/>
        <w:t>I linje med den gemensamma förklaringen diskuterade konferensens plenarförsamling rekommendationer från nationella och europeiska medborgarpaneler, grupperade efter tema. För att hjälpa de medlemsstater som planerar att organisera nationella medborgarpaneler godkändes riktlinjerna av medordförandena och överlämnades till styrelsen den 26 maj 2021. De följde samma principer som de europeiska medborgarpanelerna och inkluderade principer för god överläggning på grundval av en OECD-rapport</w:t>
      </w:r>
      <w:r>
        <w:rPr>
          <w:rStyle w:val="Ancredenotedebasdepage"/>
          <w:rStyle w:val="Ancredenotedebasdepage"/>
        </w:rPr>
        <w:footnoteReference w:id="5"/>
      </w:r>
      <w:r>
        <w:rPr/>
        <w:t>.</w:t>
      </w:r>
    </w:p>
    <w:p>
      <w:pPr>
        <w:pStyle w:val="Corpsdetexte"/>
        <w:rPr/>
      </w:pPr>
      <w:r>
        <w:rPr/>
        <w:t>Sex medlemsstater – Belgien, Frankrike, Tyskland, Italien, Litauen och Nederländerna – organiserade paneler med nationella medborgare som respekterar principerna i dessa riktlinjer. Rekommendationerna från dessa nationella medborgarpaneler presenterades och diskuterades vid plenarsessionerna i januari och mars samt i arbetsgrupperna i plenarsessionerna, parallellt med rekommendationerna från de europeiska medborgarpanelerna i samma ämnen.</w:t>
      </w:r>
    </w:p>
    <w:p>
      <w:pPr>
        <w:pStyle w:val="Titre4"/>
        <w:numPr>
          <w:ilvl w:val="3"/>
          <w:numId w:val="2"/>
        </w:numPr>
        <w:rPr/>
      </w:pPr>
      <w:bookmarkStart w:id="21" w:name="__RefHeading___Toc298216_1346298689"/>
      <w:bookmarkEnd w:id="21"/>
      <w:r>
        <w:rPr/>
        <w:t>1)</w:t>
        <w:tab/>
        <w:t>BELGIEN</w:t>
      </w:r>
    </w:p>
    <w:p>
      <w:pPr>
        <w:pStyle w:val="Normal"/>
        <w:rPr/>
      </w:pPr>
      <w:r>
        <w:rPr/>
        <mc:AlternateContent>
          <mc:Choice Requires="wps">
            <w:drawing>
              <wp:anchor behindDoc="0" distT="0" distB="0" distL="0" distR="0" simplePos="0" locked="0" layoutInCell="1" allowOverlap="1" relativeHeight="82">
                <wp:simplePos x="0" y="0"/>
                <wp:positionH relativeFrom="column">
                  <wp:align>center</wp:align>
                </wp:positionH>
                <wp:positionV relativeFrom="paragraph">
                  <wp:posOffset>635</wp:posOffset>
                </wp:positionV>
                <wp:extent cx="2783205" cy="2115185"/>
                <wp:effectExtent l="0" t="0" r="0" b="0"/>
                <wp:wrapSquare wrapText="largest"/>
                <wp:docPr id="32" name="Ram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34"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Foto: Belgiska medborgarpanelen</w:t>
                            </w:r>
                          </w:p>
                        </w:txbxContent>
                      </wps:txbx>
                      <wps:bodyPr lIns="0" rIns="0" tIns="0" bIns="0">
                        <a:noAutofit/>
                      </wps:bodyPr>
                    </wps:wsp>
                  </a:graphicData>
                </a:graphic>
              </wp:anchor>
            </w:drawing>
          </mc:Choice>
          <mc:Fallback>
            <w:pict>
              <v:rect id="shape_0" ID="Ram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35"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Foto: Belgiska medborgarpanelen</w:t>
                      </w:r>
                    </w:p>
                  </w:txbxContent>
                </v:textbox>
              </v:rect>
            </w:pict>
          </mc:Fallback>
        </mc:AlternateContent>
      </w:r>
    </w:p>
    <w:p>
      <w:pPr>
        <w:pStyle w:val="Corpsdetexte"/>
        <w:rPr/>
      </w:pPr>
      <w:r>
        <w:rPr/>
        <w:t>I oktober 2021 samlade en medborgarpanel under tre veckoslut 50 slumpmässigt utvalda medborgare, representativa för befolkningen i allmänhet, för att diskutera frågan om europeisk demokrati och hur medborgarna skulle kunna vara mer delaktiga i EU-frågor.</w:t>
      </w:r>
    </w:p>
    <w:p>
      <w:pPr>
        <w:pStyle w:val="Corpsdetexte"/>
        <w:rPr/>
      </w:pPr>
      <w:r>
        <w:rPr/>
        <w:t>Panelen organiserades under överinseende av Sophie Wilmès, Belgiens vice premiärminister samt utrikesminister och Europaminister.</w:t>
      </w:r>
    </w:p>
    <w:p>
      <w:pPr>
        <w:pStyle w:val="Corpsdetexte"/>
        <w:rPr/>
      </w:pPr>
      <w:r>
        <w:rPr/>
        <w:t>Medborgarna gav rekommendationer om fem teman som de hade valt, nämligen:</w:t>
      </w:r>
    </w:p>
    <w:p>
      <w:pPr>
        <w:pStyle w:val="Alineanegatifpuce"/>
        <w:numPr>
          <w:ilvl w:val="0"/>
          <w:numId w:val="3"/>
        </w:numPr>
        <w:rPr/>
      </w:pPr>
      <w:r>
        <w:rPr/>
        <w:t xml:space="preserve"> </w:t>
      </w:r>
      <w:r>
        <w:rPr/>
        <w:t>förbättra kommunikationen om Europeiska unionen,</w:t>
      </w:r>
    </w:p>
    <w:p>
      <w:pPr>
        <w:pStyle w:val="Alineanegatifpuce"/>
        <w:numPr>
          <w:ilvl w:val="0"/>
          <w:numId w:val="3"/>
        </w:numPr>
        <w:rPr/>
      </w:pPr>
      <w:r>
        <w:rPr/>
        <w:t xml:space="preserve"> </w:t>
      </w:r>
      <w:r>
        <w:rPr/>
        <w:t>identifiera och bekämpa desinformation om EU,</w:t>
      </w:r>
    </w:p>
    <w:p>
      <w:pPr>
        <w:pStyle w:val="Alineanegatifpuce"/>
        <w:numPr>
          <w:ilvl w:val="0"/>
          <w:numId w:val="3"/>
        </w:numPr>
        <w:rPr/>
      </w:pPr>
      <w:r>
        <w:rPr/>
        <w:t xml:space="preserve"> </w:t>
      </w:r>
      <w:r>
        <w:rPr/>
        <w:t>medborgarpaneler som ett verktyg för deltagande,</w:t>
      </w:r>
    </w:p>
    <w:p>
      <w:pPr>
        <w:pStyle w:val="Alineanegatifpuce"/>
        <w:numPr>
          <w:ilvl w:val="0"/>
          <w:numId w:val="3"/>
        </w:numPr>
        <w:rPr/>
      </w:pPr>
      <w:r>
        <w:rPr/>
        <w:t xml:space="preserve"> </w:t>
      </w:r>
      <w:r>
        <w:rPr/>
        <w:t>folkomröstningen om EU-frågor,</w:t>
      </w:r>
    </w:p>
    <w:p>
      <w:pPr>
        <w:pStyle w:val="Alineanegatifpuce"/>
        <w:numPr>
          <w:ilvl w:val="0"/>
          <w:numId w:val="3"/>
        </w:numPr>
        <w:rPr/>
      </w:pPr>
      <w:r>
        <w:rPr/>
        <w:t xml:space="preserve"> </w:t>
      </w:r>
      <w:r>
        <w:rPr/>
        <w:t>förbättra befintliga instrument för deltagande i Europeiska unionen.</w:t>
      </w:r>
    </w:p>
    <w:p>
      <w:pPr>
        <w:pStyle w:val="Corpsdetexte"/>
        <w:rPr/>
      </w:pPr>
      <w:r>
        <w:rPr/>
        <w:t>Arbetet i den belgiska medborgarpanelen resulterade i 115 rekommendationer, som utarbetades, diskuterades och röstades om av de 50 slumpmässigt utvalda belgiska medborgarna.</w:t>
      </w:r>
    </w:p>
    <w:p>
      <w:pPr>
        <w:pStyle w:val="Corpsdetexte"/>
        <w:rPr/>
      </w:pPr>
      <w:r>
        <w:rPr/>
      </w:r>
    </w:p>
    <w:p>
      <w:pPr>
        <w:pStyle w:val="Titre4"/>
        <w:numPr>
          <w:ilvl w:val="3"/>
          <w:numId w:val="2"/>
        </w:numPr>
        <w:rPr/>
      </w:pPr>
      <w:bookmarkStart w:id="22" w:name="__RefHeading___Toc298218_1346298689"/>
      <w:bookmarkEnd w:id="22"/>
      <w:r>
        <w:rPr/>
        <w:t>2)</w:t>
        <w:tab/>
        <w:t>TYSKLAND</w:t>
      </w:r>
    </w:p>
    <w:p>
      <w:pPr>
        <w:pStyle w:val="Corpsdetexte"/>
        <w:rPr/>
      </w:pPr>
      <w:r>
        <w:rPr/>
        <w:t>I januari 2022 organiserade det tyska utrikesministeriet en panel av nationella medborgare. 100 slumpmässigt utvalda medborgare, representativa för befolkningen, deltog i denna onlinepanel.</w:t>
      </w:r>
    </w:p>
    <w:p>
      <w:pPr>
        <w:pStyle w:val="Corpsdetexte"/>
        <w:rPr/>
      </w:pPr>
      <w:r>
        <w:rPr/>
        <w:t>Den 5 och 8 januari 2022 anordnades fem inledande workshoppar online, var och en med 20 deltagare på följande teman:</w:t>
      </w:r>
    </w:p>
    <w:p>
      <w:pPr>
        <w:pStyle w:val="Corpsdetexte"/>
        <w:rPr/>
      </w:pPr>
      <w:r>
        <w:rPr/>
        <w:t xml:space="preserve">— </w:t>
      </w:r>
      <w:r>
        <w:rPr/>
        <w:t>Europas roll i världen, klimatet och miljön,</w:t>
      </w:r>
    </w:p>
    <w:p>
      <w:pPr>
        <w:pStyle w:val="Corpsdetexte"/>
        <w:rPr/>
      </w:pPr>
      <w:r>
        <w:rPr/>
        <w:t xml:space="preserve">— </w:t>
      </w:r>
      <w:r>
        <w:rPr/>
        <w:t>rättsstatsprincipen och värderingarna,</w:t>
      </w:r>
    </w:p>
    <w:p>
      <w:pPr>
        <w:pStyle w:val="Corpsdetexte"/>
        <w:rPr/>
      </w:pPr>
      <w:r>
        <w:rPr/>
        <w:t>en starkare ekonomi och social rättvisa.</w:t>
      </w:r>
    </w:p>
    <w:p>
      <w:pPr>
        <w:pStyle w:val="Corpsdetexte"/>
        <w:rPr/>
      </w:pPr>
      <w:r>
        <w:rPr/>
        <mc:AlternateContent>
          <mc:Choice Requires="wps">
            <w:drawing>
              <wp:anchor behindDoc="0" distT="0" distB="0" distL="0" distR="0" simplePos="0" locked="0" layoutInCell="1" allowOverlap="1" relativeHeight="86">
                <wp:simplePos x="0" y="0"/>
                <wp:positionH relativeFrom="column">
                  <wp:align>center</wp:align>
                </wp:positionH>
                <wp:positionV relativeFrom="paragraph">
                  <wp:posOffset>635</wp:posOffset>
                </wp:positionV>
                <wp:extent cx="2971165" cy="2132965"/>
                <wp:effectExtent l="0" t="0" r="0" b="0"/>
                <wp:wrapSquare wrapText="largest"/>
                <wp:docPr id="36" name="Ram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1900555"/>
                                  <wp:effectExtent l="0" t="0" r="0" b="0"/>
                                  <wp:docPr id="38"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 Tyska medborgarpanelen</w:t>
                            </w:r>
                          </w:p>
                        </w:txbxContent>
                      </wps:txbx>
                      <wps:bodyPr lIns="0" rIns="0" tIns="0" bIns="0">
                        <a:noAutofit/>
                      </wps:bodyPr>
                    </wps:wsp>
                  </a:graphicData>
                </a:graphic>
              </wp:anchor>
            </w:drawing>
          </mc:Choice>
          <mc:Fallback>
            <w:pict>
              <v:rect id="shape_0" ID="Ram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1900555"/>
                            <wp:effectExtent l="0" t="0" r="0" b="0"/>
                            <wp:docPr id="39"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 Tyska medborgarpanelen</w:t>
                      </w:r>
                    </w:p>
                  </w:txbxContent>
                </v:textbox>
              </v:rect>
            </w:pict>
          </mc:Fallback>
        </mc:AlternateContent>
      </w:r>
    </w:p>
    <w:p>
      <w:pPr>
        <w:pStyle w:val="Corpsdetexte"/>
        <w:rPr/>
      </w:pPr>
      <w:r>
        <w:rPr/>
        <w:t>De 100 slumpmässigt utvalda medborgarna träffades den 15 och 16 januari 2022 för att diskutera utmaningarna i samband med dessa frågor och möjliga lösningar, och antog sina rekommendationer. Deltagarna utarbetade två specifika förslag för vart och ett av ovanstående teman.</w:t>
      </w:r>
    </w:p>
    <w:p>
      <w:pPr>
        <w:pStyle w:val="Corpsdetexte"/>
        <w:rPr/>
      </w:pPr>
      <w:r>
        <w:rPr/>
        <w:t>Resultaten presenterades den 16 januari vid en slutlig onlinekonferens i närvaro av Tysklands utrikesminister Annalena Baerbock och Anna Lührmann, biträdande minister för Europa och klimatfrågor.</w:t>
      </w:r>
    </w:p>
    <w:p>
      <w:pPr>
        <w:pStyle w:val="Corpsdetexte"/>
        <w:rPr/>
      </w:pPr>
      <w:r>
        <w:rPr/>
      </w:r>
    </w:p>
    <w:p>
      <w:pPr>
        <w:pStyle w:val="Titre4"/>
        <w:numPr>
          <w:ilvl w:val="3"/>
          <w:numId w:val="2"/>
        </w:numPr>
        <w:rPr/>
      </w:pPr>
      <w:bookmarkStart w:id="23" w:name="__RefHeading___Toc298220_1346298689"/>
      <w:bookmarkEnd w:id="23"/>
      <w:r>
        <w:rPr/>
        <w:t>3)</w:t>
        <w:tab/>
        <w:t>FRANKRIKE</w:t>
      </w:r>
    </w:p>
    <w:p>
      <w:pPr>
        <w:pStyle w:val="Corpsdetexte"/>
        <w:rPr/>
      </w:pPr>
      <w:r>
        <w:rPr/>
        <w:t>Medborgarpaneler anordnades i Frankrike av det franska ministeriet för Europa och utrikesfrågor, med stöd av ministeriet för förbindelser med parlamentet och medborgardeltagande.</w:t>
      </w:r>
    </w:p>
    <w:p>
      <w:pPr>
        <w:pStyle w:val="Normal"/>
        <w:rPr/>
      </w:pPr>
      <w:r>
        <w:rPr/>
        <mc:AlternateContent>
          <mc:Choice Requires="wps">
            <w:drawing>
              <wp:anchor behindDoc="0" distT="0" distB="0" distL="0" distR="0" simplePos="0" locked="0" layoutInCell="1" allowOverlap="1" relativeHeight="88">
                <wp:simplePos x="0" y="0"/>
                <wp:positionH relativeFrom="column">
                  <wp:align>center</wp:align>
                </wp:positionH>
                <wp:positionV relativeFrom="paragraph">
                  <wp:posOffset>635</wp:posOffset>
                </wp:positionV>
                <wp:extent cx="2971165" cy="2244090"/>
                <wp:effectExtent l="0" t="0" r="0" b="0"/>
                <wp:wrapSquare wrapText="largest"/>
                <wp:docPr id="40" name="Ram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42"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 panel av franska medborgare</w:t>
                            </w:r>
                          </w:p>
                        </w:txbxContent>
                      </wps:txbx>
                      <wps:bodyPr lIns="0" rIns="0" tIns="0" bIns="0">
                        <a:noAutofit/>
                      </wps:bodyPr>
                    </wps:wsp>
                  </a:graphicData>
                </a:graphic>
              </wp:anchor>
            </w:drawing>
          </mc:Choice>
          <mc:Fallback>
            <w:pict>
              <v:rect id="shape_0" ID="Ram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43"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 panel av franska medborgare</w:t>
                      </w:r>
                    </w:p>
                  </w:txbxContent>
                </v:textbox>
              </v:rect>
            </w:pict>
          </mc:Fallback>
        </mc:AlternateContent>
      </w:r>
    </w:p>
    <w:p>
      <w:pPr>
        <w:pStyle w:val="Corpsdetexte"/>
        <w:rPr/>
      </w:pPr>
      <w:r>
        <w:rPr/>
        <w:t>Arton medborgarpaneler anordnades i september och början av oktober 2021 i alla regioner i Frankrike, storstadsområdet och utomlands. Varje panel samlade mellan 30 och 50 slumpmässigt utvalda medborgare, som är representativa för mångfalden i regionernas befolkning. Totalt deltog över 700 medborgare i panelerna. Arbetet i de regionala panelerna gav upphov till en förteckning över 101 ambitioner, med 515 ändringsförslag och 1 301 specifika förslag.</w:t>
      </w:r>
    </w:p>
    <w:p>
      <w:pPr>
        <w:pStyle w:val="Corpsdetexte"/>
        <w:rPr/>
      </w:pPr>
      <w:r>
        <mc:AlternateContent>
          <mc:Choice Requires="wps">
            <w:drawing>
              <wp:anchor behindDoc="0" distT="0" distB="0" distL="0" distR="0" simplePos="0" locked="0" layoutInCell="1" allowOverlap="1" relativeHeight="92">
                <wp:simplePos x="0" y="0"/>
                <wp:positionH relativeFrom="column">
                  <wp:posOffset>82550</wp:posOffset>
                </wp:positionH>
                <wp:positionV relativeFrom="paragraph">
                  <wp:posOffset>2325370</wp:posOffset>
                </wp:positionV>
                <wp:extent cx="2806700" cy="2136140"/>
                <wp:effectExtent l="0" t="0" r="0" b="0"/>
                <wp:wrapSquare wrapText="largest"/>
                <wp:docPr id="44" name="Ram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40890"/>
                                  <wp:effectExtent l="0" t="0" r="0" b="0"/>
                                  <wp:docPr id="46"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 Italienska medborgarpanelen</w:t>
                            </w:r>
                          </w:p>
                        </w:txbxContent>
                      </wps:txbx>
                      <wps:bodyPr lIns="0" rIns="0" tIns="0" bIns="0">
                        <a:noAutofit/>
                      </wps:bodyPr>
                    </wps:wsp>
                  </a:graphicData>
                </a:graphic>
              </wp:anchor>
            </w:drawing>
          </mc:Choice>
          <mc:Fallback>
            <w:pict>
              <v:rect id="shape_0" ID="Ram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40890"/>
                            <wp:effectExtent l="0" t="0" r="0" b="0"/>
                            <wp:docPr id="47"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 Italienska medborgarpanelen</w:t>
                      </w:r>
                    </w:p>
                  </w:txbxContent>
                </v:textbox>
              </v:rect>
            </w:pict>
          </mc:Fallback>
        </mc:AlternateContent>
      </w:r>
      <w:r>
        <w:rPr/>
        <w:t>Totalt 100 medborgare som företräder panelerna sammanträdde i Paris den 16–17 oktober 2021 för den nationella synteskonferensen för att utarbeta och anta rekommendationerna. Sammanlagt 14 prioriterade rekommendationer identifierades som en del av denna process. Rekommendationerna omfattade konferensens nio teman och överlämnades till den franska regeringen, däribland statssekreterare Clément Beaune, och utgjorde den franska regeringens bidrag till konferensen.</w:t>
      </w:r>
    </w:p>
    <w:p>
      <w:pPr>
        <w:pStyle w:val="Titre4"/>
        <w:numPr>
          <w:ilvl w:val="3"/>
          <w:numId w:val="2"/>
        </w:numPr>
        <w:rPr/>
      </w:pPr>
      <w:bookmarkStart w:id="24" w:name="__RefHeading___Toc298222_1346298689"/>
      <w:bookmarkEnd w:id="24"/>
      <w:r>
        <w:rPr/>
        <w:t>4)</w:t>
        <w:tab/>
        <w:t>ITALIEN</w:t>
      </w:r>
    </w:p>
    <w:p>
      <w:pPr>
        <w:pStyle w:val="Corpsdetexte"/>
        <w:rPr/>
      </w:pPr>
      <w:r>
        <w:rPr/>
        <w:t>En medborgarpanel anordnades i mars 2022 av en oberoende tredje part, under överinseende av det italienska ministeriet för europeisk politik under ministerrådets ordförandeskap.</w:t>
      </w:r>
    </w:p>
    <w:p>
      <w:pPr>
        <w:pStyle w:val="Corpsdetexte"/>
        <w:rPr/>
      </w:pPr>
      <w:r>
        <w:rPr/>
      </w:r>
    </w:p>
    <w:p>
      <w:pPr>
        <w:pStyle w:val="Corpsdetexte"/>
        <w:rPr/>
      </w:pPr>
      <w:r>
        <w:rPr/>
        <w:t>Totalt deltog 55 slumpmässigt utvalda medborgare, företrädare för det italienska samhället och dess regioner. Deltagarna valdes ut slumpmässigt för att säkerställa förekomsten av olika kön, ålder, socialt ursprung, bostadsort och yrkesstatus.</w:t>
      </w:r>
    </w:p>
    <w:p>
      <w:pPr>
        <w:pStyle w:val="Corpsdetexte"/>
        <w:rPr/>
      </w:pPr>
      <w:r>
        <w:rPr/>
        <w:t>Medborgarna träffades online den 11–12 mars 2022 för att diskutera två teman för konferensen:</w:t>
      </w:r>
    </w:p>
    <w:p>
      <w:pPr>
        <w:pStyle w:val="Alineanegatifpuce"/>
        <w:numPr>
          <w:ilvl w:val="0"/>
          <w:numId w:val="3"/>
        </w:numPr>
        <w:rPr/>
      </w:pPr>
      <w:r>
        <w:rPr/>
        <w:t xml:space="preserve"> ”</w:t>
      </w:r>
      <w:r>
        <w:rPr/>
        <w:t>En starkare ekonomi, social rättvisa och sysselsättning”, och</w:t>
      </w:r>
    </w:p>
    <w:p>
      <w:pPr>
        <w:pStyle w:val="Alineanegatifpuce"/>
        <w:numPr>
          <w:ilvl w:val="0"/>
          <w:numId w:val="3"/>
        </w:numPr>
        <w:rPr/>
      </w:pPr>
      <w:r>
        <w:rPr/>
        <w:t xml:space="preserve"> ”</w:t>
      </w:r>
      <w:r>
        <w:rPr/>
        <w:t>Europa i världen”.</w:t>
      </w:r>
    </w:p>
    <w:p>
      <w:pPr>
        <w:pStyle w:val="Corpsdetexte"/>
        <w:rPr/>
      </w:pPr>
      <w:r>
        <w:rPr/>
        <w:t>Den 12 mars 2022 antog panelen totalt 58 rekommendationer, däribland 33 om ”En starkare ekonomi, social rättvisa och sysselsättning” och 25 om ”Europa i världen”. Den sista dagen genomförde deltagarna kontrollen och valideringen av det första utkastet till rekommendationer under den första fasen av arbetet.</w:t>
      </w:r>
    </w:p>
    <w:p>
      <w:pPr>
        <w:pStyle w:val="Corpsdetexte"/>
        <w:rPr/>
      </w:pPr>
      <w:r>
        <w:rPr/>
      </w:r>
    </w:p>
    <w:p>
      <w:pPr>
        <w:pStyle w:val="Titre4"/>
        <w:numPr>
          <w:ilvl w:val="3"/>
          <w:numId w:val="2"/>
        </w:numPr>
        <w:rPr/>
      </w:pPr>
      <w:bookmarkStart w:id="25" w:name="__RefHeading___Toc298224_1346298689"/>
      <w:bookmarkEnd w:id="25"/>
      <w:r>
        <w:rPr/>
        <w:t>5)</w:t>
        <w:tab/>
        <w:t>LITAUEN</w:t>
      </w:r>
    </w:p>
    <w:p>
      <w:pPr>
        <w:pStyle w:val="Corpsdetexte"/>
        <w:rPr/>
      </w:pPr>
      <w:r>
        <w:rPr/>
        <w:t>På uppdrag av utrikesministeriet anordnades en nationell medborgarpanel av en oberoende tredje part i januari 2022.</w:t>
      </w:r>
    </w:p>
    <w:p>
      <w:pPr>
        <w:pStyle w:val="Corpsdetexte"/>
        <w:rPr/>
      </w:pPr>
      <w:r>
        <w:rPr/>
        <mc:AlternateContent>
          <mc:Choice Requires="wps">
            <w:drawing>
              <wp:anchor behindDoc="0" distT="0" distB="0" distL="0" distR="0" simplePos="0" locked="0" layoutInCell="1" allowOverlap="1" relativeHeight="93">
                <wp:simplePos x="0" y="0"/>
                <wp:positionH relativeFrom="column">
                  <wp:align>center</wp:align>
                </wp:positionH>
                <wp:positionV relativeFrom="paragraph">
                  <wp:posOffset>635</wp:posOffset>
                </wp:positionV>
                <wp:extent cx="2971165" cy="2247265"/>
                <wp:effectExtent l="0" t="0" r="0" b="0"/>
                <wp:wrapSquare wrapText="largest"/>
                <wp:docPr id="48" name="Ram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8985"/>
                                  <wp:effectExtent l="0" t="0" r="0" b="0"/>
                                  <wp:docPr id="50" name="Bil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 Litauiska medborgarpanelen</w:t>
                            </w:r>
                          </w:p>
                        </w:txbxContent>
                      </wps:txbx>
                      <wps:bodyPr lIns="0" rIns="0" tIns="0" bIns="0">
                        <a:noAutofit/>
                      </wps:bodyPr>
                    </wps:wsp>
                  </a:graphicData>
                </a:graphic>
              </wp:anchor>
            </w:drawing>
          </mc:Choice>
          <mc:Fallback>
            <w:pict>
              <v:rect id="shape_0" ID="Ram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8985"/>
                            <wp:effectExtent l="0" t="0" r="0" b="0"/>
                            <wp:docPr id="51" name="Bil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 Litauiska medborgarpanelen</w:t>
                      </w:r>
                    </w:p>
                  </w:txbxContent>
                </v:textbox>
              </v:rect>
            </w:pict>
          </mc:Fallback>
        </mc:AlternateContent>
      </w:r>
    </w:p>
    <w:p>
      <w:pPr>
        <w:pStyle w:val="Corpsdetexte"/>
        <w:rPr/>
      </w:pPr>
      <w:r>
        <w:rPr/>
        <w:t>Det samlade sammanlagt 25 slumpmässigt utvalda medborgare i åldern 18–65 år, representativa för de olika socioekonomiska grupperna och regionerna i Litauen.</w:t>
      </w:r>
    </w:p>
    <w:p>
      <w:pPr>
        <w:pStyle w:val="Corpsdetexte"/>
        <w:rPr/>
      </w:pPr>
      <w:r>
        <w:rPr/>
        <w:t>Den 4 januari 2022 anordnades en öppningssession på nätet och medborgarna diskuterade två ämnen:</w:t>
      </w:r>
    </w:p>
    <w:p>
      <w:pPr>
        <w:pStyle w:val="Alineanegatifpuce"/>
        <w:numPr>
          <w:ilvl w:val="0"/>
          <w:numId w:val="3"/>
        </w:numPr>
        <w:rPr/>
      </w:pPr>
      <w:r>
        <w:rPr/>
        <w:t xml:space="preserve"> </w:t>
      </w:r>
      <w:r>
        <w:rPr/>
        <w:t>EU:s roll och befogenheter i utrikespolitiken,</w:t>
      </w:r>
    </w:p>
    <w:p>
      <w:pPr>
        <w:pStyle w:val="Alineanegatifpuce"/>
        <w:numPr>
          <w:ilvl w:val="0"/>
          <w:numId w:val="3"/>
        </w:numPr>
        <w:rPr/>
      </w:pPr>
      <w:r>
        <w:rPr/>
        <w:t xml:space="preserve"> </w:t>
      </w:r>
      <w:r>
        <w:rPr/>
        <w:t>EU:s ekonomiska roll.</w:t>
      </w:r>
    </w:p>
    <w:p>
      <w:pPr>
        <w:pStyle w:val="Normal"/>
        <w:rPr/>
      </w:pPr>
      <w:r>
        <w:rPr/>
      </w:r>
    </w:p>
    <w:p>
      <w:pPr>
        <w:pStyle w:val="Corpsdetexte"/>
        <w:rPr/>
      </w:pPr>
      <w:r>
        <w:rPr/>
        <w:t>Den 15 januari 2022 träffades deltagarna personligen för att formulera de viktigaste slutsatserna av sina diskussioner. Den 25 januari 2022 antog de 21 rekommendationer vid en virtuell session, varav 10 var inriktade på EU:s roll och befogenheter i utrikespolitiken och 11 om EU:s ekonomiska roll.</w:t>
      </w:r>
    </w:p>
    <w:p>
      <w:pPr>
        <w:pStyle w:val="Corpsdetexte"/>
        <w:rPr/>
      </w:pPr>
      <w:r>
        <w:rPr/>
      </w:r>
    </w:p>
    <w:p>
      <w:pPr>
        <w:pStyle w:val="Titre4"/>
        <w:numPr>
          <w:ilvl w:val="3"/>
          <w:numId w:val="2"/>
        </w:numPr>
        <w:rPr/>
      </w:pPr>
      <w:bookmarkStart w:id="26" w:name="__RefHeading___Toc298226_1346298689"/>
      <w:bookmarkEnd w:id="26"/>
      <w:r>
        <w:rPr/>
        <w:t>6)</w:t>
        <w:tab/>
        <w:t>NEDERLÄNDERNA</w:t>
      </w:r>
    </w:p>
    <w:p>
      <w:pPr>
        <w:pStyle w:val="Corpsdetexte"/>
        <w:rPr/>
      </w:pPr>
      <w:r>
        <w:rPr/>
        <w:t>Medborgarpanelen anordnades av en oberoende tredje part, och dialogerna ”Visions of Europe” inleddes den</w:t>
      </w:r>
      <w:r>
        <w:rPr>
          <w:vertAlign w:val="superscript"/>
        </w:rPr>
        <w:t>1</w:t>
      </w:r>
      <w:r>
        <w:rPr/>
        <w:t xml:space="preserve"> september. De delades upp i flera delar.</w:t>
      </w:r>
    </w:p>
    <w:p>
      <w:pPr>
        <w:pStyle w:val="Corpsdetexte"/>
        <w:rPr/>
      </w:pPr>
      <w:r>
        <w:rPr/>
        <w:t>Onlineavsnittet lanserades den</w:t>
      </w:r>
      <w:r>
        <w:rPr>
          <w:vertAlign w:val="superscript"/>
        </w:rPr>
        <w:t>1</w:t>
      </w:r>
      <w:r>
        <w:rPr/>
        <w:t xml:space="preserve"> september 2021 och innehöll en questio nary</w:t>
      </w:r>
      <w:r>
        <w:drawing>
          <wp:anchor behindDoc="0" distT="0" distB="0" distL="0" distR="0" simplePos="0" locked="0" layoutInCell="1" allowOverlap="1" relativeHeight="33">
            <wp:simplePos x="0" y="0"/>
            <wp:positionH relativeFrom="column">
              <wp:posOffset>1356995</wp:posOffset>
            </wp:positionH>
            <wp:positionV relativeFrom="paragraph">
              <wp:posOffset>1277620</wp:posOffset>
            </wp:positionV>
            <wp:extent cx="3610610" cy="2474595"/>
            <wp:effectExtent l="0" t="0" r="0" b="0"/>
            <wp:wrapTopAndBottom/>
            <wp:docPr id="52" name="Bild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t>o</w:t>
      </w:r>
      <w:r>
        <w:rPr/>
        <w:t>ch ett förenklat urvalsverktyg som gör det möjligt för medborgarna att uttrycka sina preferenser, önskemål och rekommendationer om konferensens nio teman. Frågeformuläret delades ut till en utvald representativ och inkluderande grupp på 4 000 medborgare.</w:t>
      </w:r>
    </w:p>
    <w:p>
      <w:pPr>
        <w:pStyle w:val="Corpsdetexte"/>
        <w:rPr/>
      </w:pPr>
      <w:r>
        <w:rPr/>
      </w:r>
    </w:p>
    <w:p>
      <w:pPr>
        <w:pStyle w:val="Corpsdetexte"/>
        <w:rPr/>
      </w:pPr>
      <w:r>
        <w:rPr/>
        <w:t>I oktober och november 2021 hölls djupgående debatter med medborgarna både online och offline, särskilt för att nå ungdomar och svåråtkomliga målgrupper.</w:t>
      </w:r>
    </w:p>
    <w:p>
      <w:pPr>
        <w:pStyle w:val="Corpsdetexte"/>
        <w:rPr/>
      </w:pPr>
      <w:r>
        <w:rPr/>
        <w:t>Två rapporter har publicerats med titeln ”Vår vision för Europa”. yttranden, idéer och rekommendationer (Elze kijk op Europa; Meningen, ideeën en Aanbevelingen) och sammanför de 30 rekommendationerna från medborgarna om konferensens nio teman.</w:t>
      </w:r>
    </w:p>
    <w:p>
      <w:pPr>
        <w:pStyle w:val="Corpsdetexte"/>
        <w:rPr/>
      </w:pPr>
      <w:r>
        <w:rPr/>
        <mc:AlternateContent>
          <mc:Choice Requires="wps">
            <w:drawing>
              <wp:anchor behindDoc="0" distT="0" distB="0" distL="0" distR="0" simplePos="0" locked="0" layoutInCell="1" allowOverlap="1" relativeHeight="31">
                <wp:simplePos x="0" y="0"/>
                <wp:positionH relativeFrom="column">
                  <wp:posOffset>25400</wp:posOffset>
                </wp:positionH>
                <wp:positionV relativeFrom="paragraph">
                  <wp:posOffset>591820</wp:posOffset>
                </wp:positionV>
                <wp:extent cx="2971165" cy="2225675"/>
                <wp:effectExtent l="0" t="0" r="0" b="0"/>
                <wp:wrapSquare wrapText="largest"/>
                <wp:docPr id="53" name="Ram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t>Nederländska</w:t>
                            </w:r>
                            <w:r>
                              <w:rPr>
                                <w:color w:val="auto"/>
                              </w:rPr>
                              <w:drawing>
                                <wp:inline distT="0" distB="0" distL="0" distR="0">
                                  <wp:extent cx="2970530" cy="2017395"/>
                                  <wp:effectExtent l="0" t="0" r="0" b="0"/>
                                  <wp:docPr id="55"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medborgarpanelen</w:t>
                            </w:r>
                          </w:p>
                        </w:txbxContent>
                      </wps:txbx>
                      <wps:bodyPr lIns="0" rIns="0" tIns="0" bIns="0">
                        <a:noAutofit/>
                      </wps:bodyPr>
                    </wps:wsp>
                  </a:graphicData>
                </a:graphic>
              </wp:anchor>
            </w:drawing>
          </mc:Choice>
          <mc:Fallback>
            <w:pict>
              <v:rect id="shape_0" ID="Ram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pPr>
                      <w:r>
                        <w:rPr>
                          <w:color w:val="auto"/>
                        </w:rPr>
                        <w:t>Nederländska</w:t>
                      </w:r>
                      <w:r>
                        <w:rPr>
                          <w:color w:val="auto"/>
                        </w:rPr>
                        <w:drawing>
                          <wp:inline distT="0" distB="0" distL="0" distR="0">
                            <wp:extent cx="2970530" cy="2017395"/>
                            <wp:effectExtent l="0" t="0" r="0" b="0"/>
                            <wp:docPr id="56"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medborgarpanelen</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Evenemang som anordnas inom ramen för konferensen</w:t>
      </w:r>
    </w:p>
    <w:p>
      <w:pPr>
        <w:pStyle w:val="Titre3"/>
        <w:numPr>
          <w:ilvl w:val="2"/>
          <w:numId w:val="2"/>
        </w:numPr>
        <w:rPr/>
      </w:pPr>
      <w:bookmarkStart w:id="28" w:name="__RefHeading___Toc298230_1346298689"/>
      <w:bookmarkEnd w:id="28"/>
      <w:r>
        <w:rPr/>
        <w:t>1.</w:t>
        <w:tab/>
        <w:t>Nationella evenemang</w:t>
      </w:r>
    </w:p>
    <w:p>
      <w:pPr>
        <w:pStyle w:val="Corpsdetexte"/>
        <w:rPr/>
      </w:pPr>
      <w:r>
        <w:rPr/>
        <w:t xml:space="preserve">Medlemsstaterna bidrog till konferensen genom ett brett spektrum av evenemang och initiativ. Flera tusen medborgare från hela EU deltog i dessa evenemang. En </w:t>
      </w:r>
      <w:hyperlink r:id="rId48">
        <w:r>
          <w:rPr>
            <w:rStyle w:val="LienInternet"/>
          </w:rPr>
          <w:t>särskild rubrik</w:t>
        </w:r>
      </w:hyperlink>
      <w:r>
        <w:rPr/>
        <w:t xml:space="preserve"> i den flerspråkiga digitala plattformen ger en översikt över de viktigaste verksamheter som medlemsstaternas myndigheter har organiserat eller stött. Evenemangen presenterades vid konferensens plenarförsamlingar den 23 oktober 2021 och den 25 mars 2022 av företrädare för nationella evenemang och/eller av nationella medborgarpaneler, men de bidrog också till konferensen genom </w:t>
      </w:r>
      <w:hyperlink r:id="rId49">
        <w:r>
          <w:rPr>
            <w:rStyle w:val="LienInternet"/>
          </w:rPr>
          <w:t>rapporter från plattformen</w:t>
        </w:r>
      </w:hyperlink>
      <w:r>
        <w:rPr/>
        <w:t>, vilket berikade debatten på europeisk nivå.</w:t>
      </w:r>
    </w:p>
    <w:p>
      <w:pPr>
        <w:pStyle w:val="Corpsdetexte"/>
        <w:rPr/>
      </w:pPr>
      <w:r>
        <w:rPr/>
        <w:t xml:space="preserve"> </w:t>
      </w:r>
      <w:r>
        <w:rPr/>
        <w:t>Huvudsyftet med dessa evenemang och initiativ var att lyssna på medborgarna och involvera dem i debatter om Europeiska unionen. Inkludering och dialog med medborgarna var också en prioritering, med insatser för att inkludera personer som vanligtvis inte deltar i EU-relaterade debatter.</w:t>
      </w:r>
    </w:p>
    <w:p>
      <w:pPr>
        <w:pStyle w:val="Corpsdetexte"/>
        <w:rPr/>
      </w:pPr>
      <w:r>
        <w:rPr/>
        <w:t>Olika typer av evenemang har ägt rum, där man kombinerar centraliserade och decentraliserade tillvägagångssätt, bland annat med olika former av stöd för nedifrån och upp-initiativ. Aktiviteter och evenemang i medlemsstaterna anordnades av olika institutioner och aktörer, däribland nationella, regionala och lokala myndigheter, det civila samhällets organisationer, arbetsmarknadens parter, sammanslutningar och medborgare. I vissa fall deltog även icke-statliga organisationer, kulturinstitutioner, tankesmedjor, universitet och forskningsinstitut aktivt i anordnandet av evenemang på konferensen. I många av dessa aktiviteter och evenemang har särskild tonvikt lagts på den yngre generationens deltagande.</w:t>
      </w:r>
    </w:p>
    <w:p>
      <w:pPr>
        <w:pStyle w:val="Corpsdetexte"/>
        <w:rPr/>
      </w:pPr>
      <w:r>
        <w:rPr/>
        <w:drawing>
          <wp:anchor behindDoc="0" distT="0" distB="0" distL="0" distR="0" simplePos="0" locked="0" layoutInCell="1" allowOverlap="1" relativeHeight="71">
            <wp:simplePos x="0" y="0"/>
            <wp:positionH relativeFrom="column">
              <wp:posOffset>31750</wp:posOffset>
            </wp:positionH>
            <wp:positionV relativeFrom="paragraph">
              <wp:posOffset>123190</wp:posOffset>
            </wp:positionV>
            <wp:extent cx="2518410" cy="7244080"/>
            <wp:effectExtent l="0" t="0" r="0" b="0"/>
            <wp:wrapTopAndBottom/>
            <wp:docPr id="57" name="Bild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Översikt över de viktigaste evenemangen och initiativen i medlemsstaterna:</w:t>
      </w:r>
    </w:p>
    <w:p>
      <w:pPr>
        <w:pStyle w:val="P68B1DB1Corpsdetexte12"/>
        <w:rPr/>
      </w:pPr>
      <w:r>
        <w:rPr/>
        <w:t>1 Belgien</w:t>
      </w:r>
    </w:p>
    <w:p>
      <w:pPr>
        <w:pStyle w:val="Corpsdetexte"/>
        <w:rPr/>
      </w:pPr>
      <w:r>
        <w:rPr/>
        <w:t>Flera evenemang har anordnats av de federala och regionala myndigheterna. Flera debatter med medborgarna ägde rum, till exempel om EU i världen och om klimatförändringarna och miljön. En strukturerad dialog med medborgarna om ”Att leva i en gränsregion” och ett hackathon om ”Hållbara livsstilars och klimatförändringars inverkan på livskvaliteten” och ”hinder för ungdomssysselsättningen” ägde också rum.</w:t>
      </w:r>
    </w:p>
    <w:p>
      <w:pPr>
        <w:pStyle w:val="Corpsdetexte"/>
        <w:rPr/>
      </w:pPr>
      <w:r>
        <w:rPr/>
        <w:t>Dessutom anordnades ett evenemang om digitalisering och en hållbar ekonomi, och en rad debatter mellan ungdomar och politiker hölls på temat ”Europa som lyssnar på dig”.</w:t>
      </w:r>
    </w:p>
    <w:p>
      <w:pPr>
        <w:pStyle w:val="P68B1DB1Corpsdetexte12"/>
        <w:rPr/>
      </w:pPr>
      <w:r>
        <w:rPr/>
        <w:t>2 Bulgarien</w:t>
      </w:r>
    </w:p>
    <w:p>
      <w:pPr>
        <w:pStyle w:val="Corpsdetexte"/>
        <w:rPr/>
      </w:pPr>
      <w:r>
        <w:rPr/>
        <w:t>Den bulgariska övningen inleddes vid en ceremoni med titeln ”Hur man hör medborgarnas röst genom konferensen om Europas framtid?” med deltagande av offentliga myndigheter och företrädare för medborgarna. Som en del av de organiserade evenemangen upprättades en dialog om demografi och demokrati.</w:t>
      </w:r>
    </w:p>
    <w:p>
      <w:pPr>
        <w:pStyle w:val="Corpsdetexte"/>
        <w:rPr/>
      </w:pPr>
      <w:r>
        <w:rPr/>
        <w:t>Flera lokala evenemang ägde rum i större universitetsstäder, med hjälp av Europa direkt-centrum.</w:t>
      </w:r>
    </w:p>
    <w:p>
      <w:pPr>
        <w:pStyle w:val="P68B1DB1Corpsdetexte12"/>
        <w:rPr/>
      </w:pPr>
      <w:r>
        <w:rPr/>
        <w:t>3 Tjeckien</w:t>
      </w:r>
    </w:p>
    <w:p>
      <w:pPr>
        <w:pStyle w:val="Corpsdetexte"/>
        <w:rPr/>
      </w:pPr>
      <w:r>
        <w:rPr/>
        <w:t>Tjeckien anordnade centrala diskussioner med allmänheten och informationsevenemang för berörda intressenter. Dessa evenemang kompletterades med ungdomsevenemang och evenemang med internationellt deltagande. I synnerhet anordnades ett transnationellt evenemang med tyska och tjeckiska medborgare. Flera regionala debatter ägde rum i hela landet samt regionala seminarier för gymnasieelever på temat ”Beslut om Europa”.</w:t>
      </w:r>
    </w:p>
    <w:p>
      <w:pPr>
        <w:pStyle w:val="Normal"/>
        <w:rPr/>
      </w:pPr>
      <w:r>
        <w:rPr/>
      </w:r>
    </w:p>
    <w:p>
      <w:pPr>
        <w:pStyle w:val="P68B1DB1Corpsdetexte12"/>
        <w:tabs>
          <w:tab w:val="left" w:pos="1391" w:leader="none"/>
        </w:tabs>
        <w:rPr/>
      </w:pPr>
      <w:r>
        <w:rPr/>
        <w:t>4 Danmark</w:t>
      </w:r>
    </w:p>
    <w:p>
      <w:pPr>
        <w:pStyle w:val="Corpsdetexte"/>
        <w:rPr/>
      </w:pPr>
      <w:r>
        <w:rPr/>
        <w:t>En bred och inkluderande nationell debatt, där det civila samhället och andra icke-statliga aktörer spelade en central roll, anordnades. En särskild reserv av offentliga medel har beviljats en grupp olika organisationer, däribland icke-statliga organisationer, medier, ungdomsorganisationer, kulturinstitutioner, tankesmedjor och forskningsinstitut för att stödja debatter och initiativ som inrättats av icke-statliga organisationer. Mer än 180 debatter ägde rum, varav ungefär hälften riktade sig specifikt till ungdomar. Dessutom anordnade regeringen och parlamentet en rad officiella evenemang, såsom medborgarsamråd och debatter.</w:t>
      </w:r>
    </w:p>
    <w:p>
      <w:pPr>
        <w:pStyle w:val="P68B1DB1Corpsdetexte12"/>
        <w:rPr/>
      </w:pPr>
      <w:r>
        <w:rPr/>
        <w:t>5 Tyskland</w:t>
      </w:r>
    </w:p>
    <w:p>
      <w:pPr>
        <w:pStyle w:val="Corpsdetexte"/>
        <w:rPr/>
      </w:pPr>
      <w:r>
        <w:rPr/>
        <w:t>Händelserna i Tyskland involverade den federala regeringen, förbundsdagen, de federala staterna och det civila samhället. Utöver de evenemang som inrättats av den federala regeringen organiserades mer än 50 regionala evenemang av Tysklands sexton federala stater och cirka 300 av det civila samhället.</w:t>
      </w:r>
    </w:p>
    <w:p>
      <w:pPr>
        <w:pStyle w:val="Corpsdetexte"/>
        <w:rPr/>
      </w:pPr>
      <w:r>
        <w:rPr/>
        <w:t>Gränsöverskridande evenemang och dialoger med studenter och ungdomar har varit ett centralt inslag i många initiativ, vilket har satt ungdomar i spetsen för diskussioner som syftar till att forma Europas framtid.</w:t>
      </w:r>
    </w:p>
    <w:p>
      <w:pPr>
        <w:pStyle w:val="P68B1DB1Corpsdetexte12"/>
        <w:rPr/>
      </w:pPr>
      <w:r>
        <w:rPr/>
        <w:t>6 Estland</w:t>
      </w:r>
    </w:p>
    <w:p>
      <w:pPr>
        <w:pStyle w:val="Corpsdetexte"/>
        <w:rPr/>
      </w:pPr>
      <w:r>
        <w:rPr/>
        <w:t>Olika evenemang, seminarier och debatter anordnades av statskansliet i samarbete med bland annat Europeiska kommissionens representation i Estland, utrikesministeriet och andra ministerier samt det civila samhället och ungdomsorganisationer. I synnerhet fördes en diskussion för gymnasieelever om viktiga frågor som rör klimatförändringar, energipolitik och konferensen i allmänhet. En diskussion om ”estnisk diplomati för att uppnå klimatmålen” inleddes också.</w:t>
      </w:r>
    </w:p>
    <w:p>
      <w:pPr>
        <w:pStyle w:val="P68B1DB1Corpsdetexte12"/>
        <w:rPr/>
      </w:pPr>
      <w:r>
        <w:rPr/>
        <w:t>7 Irland</w:t>
      </w:r>
    </w:p>
    <w:p>
      <w:pPr>
        <w:pStyle w:val="Corpsdetexte"/>
        <w:rPr/>
      </w:pPr>
      <w:r>
        <w:rPr/>
        <w:t>Inkludering och dialog med hela befolkningen, särskilt ungdomar, var det centrala temat för de aktiviteter som organiserades i Irland.</w:t>
      </w:r>
    </w:p>
    <w:p>
      <w:pPr>
        <w:pStyle w:val="Corpsdetexte"/>
        <w:rPr/>
      </w:pPr>
      <w:r>
        <w:rPr/>
        <w:t>I samarbete med European Movement Ireland (EMI) inleddes ett program med regionala och sektoriella åtaganden 2021 och 2022. Den första fasen av de regionala mötena ägde rum i juni och juli i form av virtuella samråd. Den andra fasen av regionala evenemang tog formen av offentliga möten ansikte mot ansikte i början av 2022. Sedan juli har ett program med regeringsledda händelser pågått.</w:t>
      </w:r>
    </w:p>
    <w:p>
      <w:pPr>
        <w:pStyle w:val="P68B1DB1Corpsdetexte12"/>
        <w:rPr/>
      </w:pPr>
      <w:r>
        <w:rPr/>
        <w:t>8 Grekland</w:t>
      </w:r>
    </w:p>
    <w:p>
      <w:pPr>
        <w:pStyle w:val="Corpsdetexte"/>
        <w:rPr/>
      </w:pPr>
      <w:r>
        <w:rPr/>
        <w:t>Utrikesministeriet ansvarade för samordningen av den nationella dialogen. Centrala och lokala myndigheter och det civila samhället uppmuntrades starkt att anordna diskussioner och andra evenemang. Till exempel ägde evenemang rum om samarbetet mellan Europa och Medelhavsområdet, västra Balkan, den demografiska utmaningen, migration och demokrati, med deltagande av medborgare och olika intressenter.</w:t>
      </w:r>
    </w:p>
    <w:p>
      <w:pPr>
        <w:pStyle w:val="P68B1DB1Corpsdetexte12"/>
        <w:rPr/>
      </w:pPr>
      <w:r>
        <w:rPr/>
        <w:t>9 Spanien</w:t>
      </w:r>
    </w:p>
    <w:p>
      <w:pPr>
        <w:pStyle w:val="Corpsdetexte"/>
        <w:rPr/>
      </w:pPr>
      <w:r>
        <w:rPr/>
        <w:t>Den spanska ramen omfattade sex evenemang på nationell nivå (t.ex. ett samråd med spanska medborgare om Europas framtid) och omkring 20 på regional nivå. Ett evenemang anordnades också med portugisiska och spanska medborgare för att diskutera viktiga frågor av intresse för deras regioners och EU:s framtid. På regional och lokal nivå anordnades evenemang av myndigheterna på flera områden, t.ex. gränsöverskridande samarbete, effekterna av demografiska förändringar, hållbar transport och rörlighet, klimatförändringar, migration och de yttersta randområdenas framtid.</w:t>
      </w:r>
    </w:p>
    <w:p>
      <w:pPr>
        <w:pStyle w:val="Normal"/>
        <w:rPr/>
      </w:pPr>
      <w:r>
        <w:rPr/>
      </w:r>
    </w:p>
    <w:p>
      <w:pPr>
        <w:pStyle w:val="P68B1DB1Corpsdetexte12"/>
        <w:rPr/>
      </w:pPr>
      <w:r>
        <w:rPr/>
        <w:t>10 Frankrike</w:t>
      </w:r>
    </w:p>
    <w:p>
      <w:pPr>
        <w:pStyle w:val="Corpsdetexte"/>
        <w:rPr/>
      </w:pPr>
      <w:r>
        <w:rPr/>
        <w:t>Den franska regeringen genomförde ett omfattande samråd på nätet för ungdomar från maj till juli 2021. Femtiotusen unga fransmän uttryckte sina åsikter och stödde sexton huvudidéer för Europas framtid. Resultaten av detta arbete sammanställdes tillsammans med resultaten från den franska medborgarpanelen i en slutrapport som utgör Frankrikes bidrag till konferensen. Den franska regeringen uppmanade också alla franska aktörer som ville göra det (föreningar, lokala myndigheter, valda tjänstemän, företrädare för det civila samhället) att anordna evenemang.</w:t>
      </w:r>
    </w:p>
    <w:p>
      <w:pPr>
        <w:pStyle w:val="P68B1DB1Corpsdetexte12"/>
        <w:rPr/>
      </w:pPr>
      <w:r>
        <w:rPr/>
        <w:t>11 Kroatien</w:t>
      </w:r>
    </w:p>
    <w:p>
      <w:pPr>
        <w:pStyle w:val="Corpsdetexte"/>
        <w:rPr/>
      </w:pPr>
      <w:r>
        <w:rPr/>
        <w:t>En arbetsgrupp för samordning av verksamheten har inrättats och har samlat idéer och planer för att bedriva verksamhet på nationell nivå. Ministerier, centrala statliga kontor, regionala utvecklingsorgan, universitet, icke-statliga organisationer och institut anordnade evenemang i form av konferenser, medborgardialoger och debatter med medborgarna, offentliga diskussioner och utbildningsseminarier, med särskilt fokus på ungdomar.</w:t>
      </w:r>
    </w:p>
    <w:p>
      <w:pPr>
        <w:pStyle w:val="Corpsdetexte"/>
        <w:rPr/>
      </w:pPr>
      <w:r>
        <w:rPr/>
        <w:t>Ämnen som behandlas är migration, demografi, klimatneutralitet och den cirkulära ekonomin. Vissa evenemang anordnades med andra medlemsstater och angränsande länder utanför EU.</w:t>
      </w:r>
    </w:p>
    <w:p>
      <w:pPr>
        <w:pStyle w:val="P68B1DB1Corpsdetexte12"/>
        <w:rPr/>
      </w:pPr>
      <w:r>
        <w:rPr/>
        <w:t>12 Italien</w:t>
      </w:r>
    </w:p>
    <w:p>
      <w:pPr>
        <w:pStyle w:val="Corpsdetexte"/>
        <w:rPr/>
      </w:pPr>
      <w:r>
        <w:rPr/>
        <w:t>Flera evenemang, med särskilt fokus på ungdomar, har anordnats för att nå så många medborgare som möjligt, bland annat med aktivt stöd från lokala myndigheter. En mediekampanj inleddes för att öka medvetenheten om dessa evenemang så mycket som möjligt. Dessa aktiviteter omfattar ungdomsforumet EU-Balkan, anordnat med ungdomar från västra Balkan, ungdomsforumet ”Med dialoger”, som involverar ungdomar från det södra grannskapet, samt tävlingar för gymnasie- och universitetsstuderande med titeln ”Europa är i dina händer”.</w:t>
      </w:r>
    </w:p>
    <w:p>
      <w:pPr>
        <w:pStyle w:val="P68B1DB1Corpsdetexte12"/>
        <w:rPr/>
      </w:pPr>
      <w:r>
        <w:rPr/>
        <w:t>13 Cypern</w:t>
      </w:r>
    </w:p>
    <w:p>
      <w:pPr>
        <w:pStyle w:val="Corpsdetexte"/>
        <w:rPr/>
      </w:pPr>
      <w:r>
        <w:rPr/>
        <w:t>Ett antal ungdomsinriktade aktiviteter har anordnats, med många aktörer. Ett kick-off-evenemang ägde rum, inklusive en diskussion med den yngre generationen om deras förväntningar, farhågor och visioner för Europa och Cypern inom EU. En öppen dialog fördes också om ungdomars roll i debatten om Europa och de problem som de ställs inför på nationell och europeisk nivå. Ett evenemang ägde också rum för att diskutera framtiden för Europas säkerhet och försvar.</w:t>
      </w:r>
    </w:p>
    <w:p>
      <w:pPr>
        <w:pStyle w:val="P68B1DB1Corpsdetexte12"/>
        <w:rPr/>
      </w:pPr>
      <w:r>
        <w:rPr/>
        <w:t>14 Lettland</w:t>
      </w:r>
    </w:p>
    <w:p>
      <w:pPr>
        <w:pStyle w:val="Corpsdetexte"/>
        <w:rPr/>
      </w:pPr>
      <w:r>
        <w:rPr/>
        <w:t>Flera evenemang har organiserats, bland annat en rikstäckande online-diskussion med studenter med titeln ”Framtiden är i dina händer” om ekonomiska, sociala och säkerhetsfrågor. En nationell undersökning och diskussioner i tankesmedjor inrättades för att samla den allmänna opinionen om medborgarnas åsikter om Europeiska unionens framtida prioriteringar inom alla teman under konferensen. Regionala ansikte mot ansikte diskussioner hölls för att öka medvetenheten om konferensen bland personer i åldern 55 år och äldre och ansikte mot ansikte fördes diskussioner med gymnasieelever.</w:t>
      </w:r>
    </w:p>
    <w:p>
      <w:pPr>
        <w:pStyle w:val="P68B1DB1Corpsdetexte12"/>
        <w:rPr/>
      </w:pPr>
      <w:r>
        <w:rPr/>
        <w:t>15 Litauen</w:t>
      </w:r>
    </w:p>
    <w:p>
      <w:pPr>
        <w:pStyle w:val="Corpsdetexte"/>
        <w:rPr/>
      </w:pPr>
      <w:r>
        <w:rPr/>
        <w:t>Evenemangen anordnades huvudsakligen på decentraliserad basis och tonvikten lades på de olika regionerna i Litauen och ungdomar (t.ex. inom ramen för ungdomsdebatten i de baltiska staterna). En rad medborgardialoger (om demokrati, digitalisering, klimatförändringar osv.), transnationella dialoger (t.ex. med Frankrike, Irland och Italien) och det civila samhällets evenemang ägde rum. Dessutom uppmuntrades skolorna att ta itu med frågan om Europas framtid.</w:t>
      </w:r>
    </w:p>
    <w:p>
      <w:pPr>
        <w:pStyle w:val="Normal"/>
        <w:rPr/>
      </w:pPr>
      <w:r>
        <w:rPr/>
      </w:r>
    </w:p>
    <w:p>
      <w:pPr>
        <w:pStyle w:val="P68B1DB1Corpsdetexte12"/>
        <w:rPr/>
      </w:pPr>
      <w:r>
        <w:rPr/>
        <w:t>16 Luxemburg</w:t>
      </w:r>
    </w:p>
    <w:p>
      <w:pPr>
        <w:pStyle w:val="Corpsdetexte"/>
        <w:rPr/>
      </w:pPr>
      <w:r>
        <w:rPr/>
        <w:t>Ett antal evenemang anordnades på nationell nivå med en öppen, inkluderande och transparent strategi. Till exempel anordnade parlamentet ett antal evenemang i nya format, till exempel ”bistrot talks”. Ett hackathon för studenter och unga företagare anordnades också för att diskutera den digitala kompassen och EU:s industristrategi.</w:t>
      </w:r>
    </w:p>
    <w:p>
      <w:pPr>
        <w:pStyle w:val="Corpsdetexte"/>
        <w:rPr/>
      </w:pPr>
      <w:r>
        <w:rPr/>
        <w:t>Dessutom ägde ett trepartsutbyte rum mellan tyska, franska och luxemburgska gymnasieelever.</w:t>
      </w:r>
    </w:p>
    <w:p>
      <w:pPr>
        <w:pStyle w:val="P68B1DB1Corpsdetexte12"/>
        <w:rPr/>
      </w:pPr>
      <w:r>
        <w:rPr/>
        <w:t>17 Ungern</w:t>
      </w:r>
    </w:p>
    <w:p>
      <w:pPr>
        <w:pStyle w:val="Corpsdetexte"/>
        <w:rPr/>
      </w:pPr>
      <w:r>
        <w:rPr/>
        <w:t>Ett brett spektrum av evenemang i hela samhället (mer än 800) anordnades. Institutionella evenemang omfattar internationella konferenser på hög nivå som anordnas av flera ministerier (t.ex. om EU:s utvidgning och den digitala agendan) och rundabordssamtal med studenter och ungdomsorganisationer (t.ex. om europeisk integration). Flera organisationer höll paneler för att diskutera följande ämnen: EU:s institutioner, en starkare ekonomi, social rättvisa och sysselsättning, digital omvandling, utbildning, kultur, ungdom och idrott. värden och rättigheter, rättsstatsprincipen och säkerheten, Icke-statliga organisationer, migrering; samt demografi, familj, hälsa, klimatförändringar och miljö.</w:t>
      </w:r>
    </w:p>
    <w:p>
      <w:pPr>
        <w:pStyle w:val="P68B1DB1Corpsdetexte12"/>
        <w:rPr/>
      </w:pPr>
      <w:r>
        <w:rPr/>
        <w:t>18 Malta</w:t>
      </w:r>
    </w:p>
    <w:p>
      <w:pPr>
        <w:pStyle w:val="Corpsdetexte"/>
        <w:rPr/>
      </w:pPr>
      <w:r>
        <w:rPr/>
        <w:t>Efter ett kick-off-evenemang inrättades en nationell samordningskommitté för att främja initiativet genom olika kommunikationskanaler och hjälpte till att vägleda debatten genom nationella och lokala evenemang.</w:t>
      </w:r>
    </w:p>
    <w:p>
      <w:pPr>
        <w:pStyle w:val="Corpsdetexte"/>
        <w:rPr/>
      </w:pPr>
      <w:r>
        <w:rPr/>
        <w:t>Tematiska offentliga dialoger (t.ex. om hälsa, europeiska värderingar och framtidens arbete för ett rättvist samhälle), presskonferenser, samråd med berörda parter från berörda sektorer och interaktiva sessioner med barn och studenter anordnades i fysiskt eller hybridformat.</w:t>
      </w:r>
    </w:p>
    <w:p>
      <w:pPr>
        <w:pStyle w:val="Corpsdetexte"/>
        <w:rPr/>
      </w:pPr>
      <w:r>
        <w:rPr/>
      </w:r>
    </w:p>
    <w:p>
      <w:pPr>
        <w:pStyle w:val="P68B1DB1Corpsdetexte12"/>
        <w:rPr/>
      </w:pPr>
      <w:r>
        <w:rPr/>
        <w:t>19 Nederländerna</w:t>
      </w:r>
    </w:p>
    <w:p>
      <w:pPr>
        <w:pStyle w:val="Corpsdetexte"/>
        <w:rPr/>
      </w:pPr>
      <w:r>
        <w:rPr/>
        <w:t>I Nederländerna lades tonvikten vid organisationen av den nationella medborgarpanelen ”Visions of Europe – Kijk op Europa”, som ägde rum både online och ansikte mot ansikte. Den baserades på en tvåfasig strategi: det första var att samla in medborgarnas reflektioner och åsikter om ”vad”, nämligen vad de förväntade sig och ville ha. den andra fasen försökte sedan förstå deras underliggande åsikter (”varför” och ”hur”) genom gruppdialoger.</w:t>
      </w:r>
    </w:p>
    <w:p>
      <w:pPr>
        <w:pStyle w:val="Corpsdetexte"/>
        <w:rPr/>
      </w:pPr>
      <w:r>
        <w:rPr/>
      </w:r>
    </w:p>
    <w:p>
      <w:pPr>
        <w:pStyle w:val="P68B1DB1Corpsdetexte12"/>
        <w:rPr/>
      </w:pPr>
      <w:r>
        <w:rPr/>
        <w:t>20 Österrike</w:t>
      </w:r>
    </w:p>
    <w:p>
      <w:pPr>
        <w:pStyle w:val="Corpsdetexte"/>
        <w:rPr/>
      </w:pPr>
      <w:r>
        <w:rPr/>
        <w:t>Diskussioner ägde rum i olika format, på federal, regional och lokal nivå. ”Framtida laboratorier” och ”framtida dialoger” möjliggjorde djupgående utbyten med experter på hög nivå om olika ämnen och att söka mer omfattande lösningar för framtiden. Dessutom anordnades ett antal evenemang av och för österrikiska kommunfullmäktigeledamöter med ansvar för EU-frågor. Flera evenemang riktade sig direkt till ungdomar och studenter.</w:t>
      </w:r>
    </w:p>
    <w:p>
      <w:pPr>
        <w:pStyle w:val="P68B1DB1Corpsdetexte12"/>
        <w:rPr/>
      </w:pPr>
      <w:r>
        <w:rPr/>
        <w:t>21 Polen</w:t>
      </w:r>
    </w:p>
    <w:p>
      <w:pPr>
        <w:pStyle w:val="Corpsdetexte"/>
        <w:rPr/>
      </w:pPr>
      <w:r>
        <w:rPr/>
        <w:t>Evenemangen organiserades huvudsakligen som en del av en decentraliserad strategi. På regional nivå anordnade de regionala centrumen för internationell debatt offentliga evenemang i de 16 polska regionerna i fysisk och virtuell form. Diskussionsämnena omfattade konferensens tematiska områden, såsom solidaritet i kristider, jordbruk och ny teknik.</w:t>
      </w:r>
    </w:p>
    <w:p>
      <w:pPr>
        <w:pStyle w:val="Corpsdetexte"/>
        <w:rPr/>
      </w:pPr>
      <w:r>
        <w:rPr/>
        <w:t>En nationell debatt hölls också om klimat, digitalisering, den inre marknaden, hälsa, EU i världen och migration.</w:t>
      </w:r>
    </w:p>
    <w:p>
      <w:pPr>
        <w:pStyle w:val="P68B1DB1Corpsdetexte12"/>
        <w:rPr/>
      </w:pPr>
      <w:r>
        <w:rPr/>
        <w:t>22 Portugal</w:t>
      </w:r>
    </w:p>
    <w:p>
      <w:pPr>
        <w:pStyle w:val="Corpsdetexte"/>
        <w:rPr/>
      </w:pPr>
      <w:r>
        <w:rPr/>
        <w:t>Efter det första medborgarevenemanget i Lissabon, som inledde medborgarnas deltagande i konferensen, anordnades många evenemang i partnerskap med bland annat lokala myndigheter, universitet, skolor, arbetsmarknadens parter, ungdomsorganisationer och lokala organisationer i det civila samhället. Till exempel anordnades ett transnationellt evenemang med Spanien för att diskutera viktiga frågor av intresse för regionerna i båda länderna och EU. Dessutom ägde de decentraliserade nationella evenemang rum på olika områden såsom migration och internationella partnerskap, den europeiska demokratins framtid och den digitala omvandlingen.</w:t>
      </w:r>
    </w:p>
    <w:p>
      <w:pPr>
        <w:pStyle w:val="P68B1DB1Corpsdetexte12"/>
        <w:rPr/>
      </w:pPr>
      <w:r>
        <w:rPr/>
        <w:t>23 Rumänien</w:t>
      </w:r>
    </w:p>
    <w:p>
      <w:pPr>
        <w:pStyle w:val="Corpsdetexte"/>
        <w:rPr/>
      </w:pPr>
      <w:r>
        <w:rPr/>
        <w:t>Evenemangen organiserades eller anordnades i huvudsak av administrationen och instituten i synnerhet, med aktivt deltagande av det civila samhället och ungdomsorganisationer.</w:t>
      </w:r>
    </w:p>
    <w:p>
      <w:pPr>
        <w:pStyle w:val="Corpsdetexte"/>
        <w:rPr/>
      </w:pPr>
      <w:r>
        <w:rPr/>
        <w:t>Diskussionerna inriktades på ett brett spektrum av ämnen, såsom digital omställning, utbildning, hälsa, miljö, hållbar utveckling, ekonomi, jordbruk och EU:s strategiska partnerskap. Evenemangen ägde rum i huvudstaden och på lokal nivå, och alla åldersgrupper deltog.</w:t>
      </w:r>
    </w:p>
    <w:p>
      <w:pPr>
        <w:pStyle w:val="P68B1DB1Corpsdetexte12"/>
        <w:rPr/>
      </w:pPr>
      <w:r>
        <w:rPr/>
        <w:t>24 Slovenien</w:t>
      </w:r>
    </w:p>
    <w:p>
      <w:pPr>
        <w:pStyle w:val="Corpsdetexte"/>
        <w:rPr/>
      </w:pPr>
      <w:r>
        <w:rPr/>
        <w:t>Tanken var att uppmuntra till en bred debatt där det civila samhället spelade en central roll och särskilt ungdomars deltagande.</w:t>
      </w:r>
    </w:p>
    <w:p>
      <w:pPr>
        <w:pStyle w:val="Corpsdetexte"/>
        <w:rPr/>
      </w:pPr>
      <w:r>
        <w:rPr/>
        <w:t>Regeringen anordnade ett kick-off-evenemang som följdes av flera initiativ, t.ex. det strategiska forumet Bled, vars huvudtemat var Europas framtid, med särskilt fokus på EU:s utvidgning och västra Balkan. Andra evenemang inriktades på frågor som penningpolitik, klimatneutralitet, ungdomar och EU:s roll i en multipolär internationell miljö.</w:t>
      </w:r>
    </w:p>
    <w:p>
      <w:pPr>
        <w:pStyle w:val="P68B1DB1Corpsdetexte12"/>
        <w:rPr/>
      </w:pPr>
      <w:r>
        <w:rPr/>
        <w:t>25 Slovakien</w:t>
      </w:r>
    </w:p>
    <w:p>
      <w:pPr>
        <w:pStyle w:val="Corpsdetexte"/>
        <w:rPr/>
      </w:pPr>
      <w:r>
        <w:rPr/>
        <w:t>De organiserade evenemangen anordnades kring två huvudpelare. Den första pelaren var WeAreEU-projektet, som var inriktat på allmänheten, inklusive diskussioner med studenter och offentliga samråd, och med en rad regionala evenemang som anordnades som en del av WeAreEU Road Show. Den andra pelaren var den nationella konventionen om EU, med fokus på expertinsatser och analyser på områden som den inre marknaden, desinformation och populism samt den digitala och ekologiska omställningen.</w:t>
      </w:r>
    </w:p>
    <w:p>
      <w:pPr>
        <w:pStyle w:val="P68B1DB1Corpsdetexte12"/>
        <w:rPr/>
      </w:pPr>
      <w:r>
        <w:rPr/>
        <w:t>26 Finland</w:t>
      </w:r>
    </w:p>
    <w:p>
      <w:pPr>
        <w:pStyle w:val="Corpsdetexte"/>
        <w:rPr/>
      </w:pPr>
      <w:r>
        <w:rPr/>
        <w:t>En rad regionala samråd, bland annat ”evenemanget för den nordligaste konferensen i EU”, anordnades av regeringen i olika frågor, t.ex. hållbar tillväxt, utbildning och rättsstatsprincipen. En undersökning genomfördes också för att informera diskussionen.</w:t>
      </w:r>
    </w:p>
    <w:p>
      <w:pPr>
        <w:pStyle w:val="Corpsdetexte"/>
        <w:spacing w:before="6264" w:after="57"/>
        <w:rPr/>
      </w:pPr>
      <w:r>
        <w:rPr/>
        <w:t xml:space="preserve">Evenemang anordnades av regeringen i samarbete med städer, lokala myndigheter, universitet, icke-statliga organisationer och ungdomsorganisationer samt med Finlands riksdag, Europaparlamentet och Europeiska kommissionens </w:t>
      </w:r>
      <w:r>
        <w:drawing>
          <wp:anchor behindDoc="0" distT="0" distB="0" distL="0" distR="0" simplePos="0" locked="0" layoutInCell="1" allowOverlap="1" relativeHeight="30">
            <wp:simplePos x="0" y="0"/>
            <wp:positionH relativeFrom="column">
              <wp:posOffset>5080</wp:posOffset>
            </wp:positionH>
            <wp:positionV relativeFrom="paragraph">
              <wp:posOffset>3077845</wp:posOffset>
            </wp:positionV>
            <wp:extent cx="6120130" cy="3977640"/>
            <wp:effectExtent l="0" t="0" r="0" b="0"/>
            <wp:wrapSquare wrapText="largest"/>
            <wp:docPr id="58" name="Bild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t>i</w:t>
      </w:r>
      <w:r>
        <w:rPr/>
        <w:t>nformationskontor i Finland.</w:t>
      </w:r>
    </w:p>
    <w:p>
      <w:pPr>
        <w:pStyle w:val="Normal"/>
        <w:rPr/>
      </w:pPr>
      <w:r>
        <w:rPr/>
      </w:r>
    </w:p>
    <w:p>
      <w:pPr>
        <w:pStyle w:val="P68B1DB1Corpsdetexte12"/>
        <w:rPr/>
      </w:pPr>
      <w:r>
        <w:rPr/>
        <w:t>27 Sverige</w:t>
      </w:r>
    </w:p>
    <w:p>
      <w:pPr>
        <w:pStyle w:val="Corpsdetexte"/>
        <w:rPr/>
      </w:pPr>
      <w:r>
        <w:rPr/>
        <w:t>Evenemangen anordnades huvudsakligen på decentraliserad basis som en gemensam övning mellan regeringen, det nationella parlamentet, politiska partier, arbetsmarknadens parter, lokala och regionala företrädare, det civila samhällets organisationer och andra relevanta aktörer i samhället.</w:t>
      </w:r>
    </w:p>
    <w:p>
      <w:pPr>
        <w:pStyle w:val="Corpsdetexte"/>
        <w:rPr/>
      </w:pPr>
      <w:r>
        <w:rPr/>
        <w:t>Till exempel diskuterade den svenska Europaministern Europas framtid med studenter från olika skolor och deltog i möten på kommunal nivå för att diskutera Europas framtid och demokrati med medborgarna. Digitala medier har också använts för att delta i dialoger med medborgarna genom t.ex. frågestunder.</w:t>
      </w:r>
    </w:p>
    <w:p>
      <w:pPr>
        <w:pStyle w:val="Corpsdetexte"/>
        <w:rPr/>
      </w:pPr>
      <w:r>
        <w:rPr/>
        <w:t>Ovanstående beskrivningar är inte uttömmande. Mer information om nationella evenemang finns i ett särskilt avsnitt av den flerspråkiga digitala plattformen.</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Möte för unga européer </w:t>
      </w:r>
    </w:p>
    <w:p>
      <w:pPr>
        <w:pStyle w:val="Normal"/>
        <w:rPr/>
      </w:pPr>
      <w:r>
        <w:rPr/>
        <w:t xml:space="preserve">Det </w:t>
      </w:r>
      <w:hyperlink r:id="rId52">
        <w:r>
          <w:rPr>
            <w:rStyle w:val="LienInternet"/>
          </w:rPr>
          <w:t>europeiska ungdomsevenemanget (EYE 2021)</w:t>
        </w:r>
      </w:hyperlink>
      <w:r>
        <w:rPr/>
        <w:t xml:space="preserve"> ägde rum den 8–9 oktober 2021 och samlade 10 000 ungdomar online och Europaparlamentet i Strasbourg för att utforma och utbyta idéer om Europas framtid. EYE </w:t>
      </w:r>
      <w:r>
        <w:rPr>
          <w:i/>
        </w:rPr>
        <w:t>var en unik möjlighet för ungdomar i åldern 16–30 år att interagera personligen och online, att inspirera varandra och att utbyta åsikter med experter, aktivister, influencers och beslutsfattare, i hjärtat av den europeiska demokratin</w:t>
      </w:r>
      <w:r>
        <w:rPr/>
        <w:t>.</w:t>
      </w:r>
    </w:p>
    <w:p>
      <w:pPr>
        <w:pStyle w:val="Normal"/>
        <w:spacing w:before="6132" w:after="57"/>
        <w:rPr/>
      </w:pPr>
      <w:r>
        <w:rPr/>
        <w:t xml:space="preserve">Sedan maj 2021, i samarbete med alleuropeiska ungdomsorganisationer, har mer än 2 000 förslag från unga medborgare från hela EU samlats in </w:t>
      </w:r>
      <w:r>
        <w:drawing>
          <wp:anchor behindDoc="0" distT="0" distB="0" distL="0" distR="0" simplePos="0" locked="0" layoutInCell="1" allowOverlap="1" relativeHeight="94">
            <wp:simplePos x="0" y="0"/>
            <wp:positionH relativeFrom="column">
              <wp:posOffset>53340</wp:posOffset>
            </wp:positionH>
            <wp:positionV relativeFrom="paragraph">
              <wp:posOffset>2400300</wp:posOffset>
            </wp:positionV>
            <wp:extent cx="5980430" cy="3893820"/>
            <wp:effectExtent l="0" t="0" r="0" b="0"/>
            <wp:wrapTopAndBottom/>
            <wp:docPr id="59" name="Bild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t>o</w:t>
      </w:r>
      <w:r>
        <w:rPr/>
        <w:t xml:space="preserve">nline. Dessutom fokuserade flera sessioner, både online före evenemanget och under Europaåret i Strasbourg, på konferensen om Europas framtid. Efter evenemanget samlades de 20 viktigaste idéerna från deltagarna, två idéer per tema för konferensen, i </w:t>
      </w:r>
      <w:hyperlink r:id="rId54">
        <w:r>
          <w:rPr>
            <w:rStyle w:val="LienInternet"/>
          </w:rPr>
          <w:t>rapporten om ungdomsidéer för</w:t>
        </w:r>
      </w:hyperlink>
      <w:r>
        <w:rPr/>
        <w:t xml:space="preserve"> konferensen om Europas framtid, som publicerades på 23 språk.</w:t>
      </w:r>
    </w:p>
    <w:p>
      <w:pPr>
        <w:pStyle w:val="Normal"/>
        <w:rPr/>
      </w:pPr>
      <w:r>
        <w:rPr/>
        <w:t xml:space="preserve">Rapporten om ungdomsidéer presenterades vid konferensens plenarsession den 23 oktober av unga deltagare från de europeiska medborgarpanelerna som också deltog i Europaåret 2021. Alla idéer som samlas in finns tillgängliga på: </w:t>
      </w:r>
      <w:hyperlink r:id="rId55">
        <w:r>
          <w:rPr>
            <w:rStyle w:val="LienInternet"/>
          </w:rPr>
          <w:t>Sök.youthideas.eu.</w:t>
        </w:r>
      </w:hyperlink>
    </w:p>
    <w:p>
      <w:pPr>
        <w:pStyle w:val="Titre3"/>
        <w:numPr>
          <w:ilvl w:val="2"/>
          <w:numId w:val="2"/>
        </w:numPr>
        <w:rPr/>
      </w:pPr>
      <w:bookmarkStart w:id="31" w:name="__RefHeading___Toc298236_1346298689"/>
      <w:bookmarkEnd w:id="31"/>
      <w:r>
        <w:rPr/>
        <w:t>3.</w:t>
        <w:tab/>
        <w:t>Övriga evenemang</w:t>
      </w:r>
    </w:p>
    <w:p>
      <w:pPr>
        <w:pStyle w:val="Normal"/>
        <w:rPr/>
      </w:pPr>
      <w:r>
        <w:rPr/>
        <w:t>Utöver ovanstående evenemang samlade många andra institutioner och intressenter medborgarna för att diskutera Europas framtid</w:t>
      </w:r>
      <w:r>
        <w:rPr>
          <w:rStyle w:val="Ancredenotedebasdepage"/>
          <w:rStyle w:val="Ancredenotedebasdepage"/>
        </w:rPr>
        <w:footnoteReference w:id="6"/>
      </w:r>
      <w:r>
        <w:rPr/>
        <w:t>.</w:t>
      </w:r>
    </w:p>
    <w:p>
      <w:pPr>
        <w:pStyle w:val="Normal"/>
        <w:rPr/>
      </w:pPr>
      <w:r>
        <w:rPr/>
        <w:t>Under hela konferensen om Europas framtid har Europeiska ekonomiska och sociala kommittén (EESK) arbetat för att göra den känd och hjälpa sitt omfattande nätverk av organisationer i det civila samhället i medlemsstaterna att anordna nationella samråd. Totalt stödde det införandet av 75 evenemang, varav 33 på nationell nivå och 42 på central nivå. Av dessa evenemang publicerade 60 % rapporter på konferensplattformen och endast dessa 45 evenemang samlade mer än 7 300 deltagare. I synnerhet inledde EESK sin verksamhet i juni 2021 med en stor konferens –</w:t>
      </w:r>
      <w:hyperlink r:id="rId56">
        <w:r>
          <w:rPr>
            <w:rStyle w:val="LienInternet"/>
          </w:rPr>
          <w:t>Föra tillbaka det europeiska projektet till medborgarna</w:t>
        </w:r>
      </w:hyperlink>
      <w:r>
        <w:rPr/>
        <w:t>– och anordnade seminariet om</w:t>
      </w:r>
      <w:hyperlink r:id="rId57">
        <w:r>
          <w:rPr>
            <w:rStyle w:val="LienInternet"/>
          </w:rPr>
          <w:t>ett sammanlänkat EU</w:t>
        </w:r>
      </w:hyperlink>
      <w:r>
        <w:rPr/>
        <w:t>i Lissabon i november 2021 och ett evenemang på hög nivå i Bryssel i februari 2022 ”Att</w:t>
      </w:r>
      <w:hyperlink r:id="rId58">
        <w:r>
          <w:rPr>
            <w:rStyle w:val="LienInternet"/>
          </w:rPr>
          <w:t>forma Europa tillsammans</w:t>
        </w:r>
      </w:hyperlink>
      <w:r>
        <w:rPr/>
        <w:t>”. Kommittén uppmuntrade också användningen av onlineplattformen, där den laddade upp 60 nya idéer, och inledde en omfattande kommunikationskampanj på sociala medier, med en potentiell publik på enbart Twitter, för att främja nationella evenemang på engelska och på det lokala språket och tillhandahålla information före och efter varje plenarförsamling och konferensrelaterat möte.</w:t>
      </w:r>
    </w:p>
    <w:p>
      <w:pPr>
        <w:pStyle w:val="Normal"/>
        <w:rPr/>
      </w:pPr>
      <w:r>
        <w:rPr/>
        <w:t xml:space="preserve">Europeiska regionkommittén (ReK) anordnade tematiska debatter i sina utskott och plenarsessioner samt 140 evenemang på lokal, gränsöverskridande och interregional nivå med deltagande av 10 000 medborgare och 200 lokala politiker. Dessutom offentliggjordes den första </w:t>
      </w:r>
      <w:hyperlink r:id="rId59">
        <w:r>
          <w:rPr>
            <w:rStyle w:val="LienInternet"/>
          </w:rPr>
          <w:t>undersökningen någonsin av 1,2 miljoner lokala politiker</w:t>
        </w:r>
      </w:hyperlink>
      <w:r>
        <w:rPr/>
        <w:t xml:space="preserve"> i EU-27 om deras syn på Europas framtid i oktober 2021. Dessutom föreslog Cdr </w:t>
      </w:r>
      <w:hyperlink r:id="rId60">
        <w:r>
          <w:rPr>
            <w:rStyle w:val="LienInternet"/>
          </w:rPr>
          <w:t>44 idéer</w:t>
        </w:r>
      </w:hyperlink>
      <w:r>
        <w:rPr/>
        <w:t xml:space="preserve"> om den flerspråkiga digitala plattformen. I början av 2022 presenterade</w:t>
      </w:r>
      <w:hyperlink r:id="rId61">
        <w:r>
          <w:rPr>
            <w:rStyle w:val="LienInternet"/>
          </w:rPr>
          <w:t xml:space="preserve"> en oberoende högnivågrupp för europeisk demokrati</w:t>
        </w:r>
      </w:hyperlink>
      <w:r>
        <w:rPr/>
        <w:t xml:space="preserve"> idéer om hur demokratin kan förbättras i EU. En resolution med förslag till konferensens slutrapport antogs av ReK och ett </w:t>
      </w:r>
      <w:hyperlink r:id="rId62">
        <w:r>
          <w:rPr>
            <w:rStyle w:val="LienInternet"/>
          </w:rPr>
          <w:t>12-punkts</w:t>
        </w:r>
      </w:hyperlink>
      <w:r>
        <w:rPr/>
        <w:t xml:space="preserve"> manifest som utarbetats på uppdrag av de miljoner lokala och regionala politikerna i EU godkändes vid det </w:t>
      </w:r>
      <w:hyperlink r:id="rId63">
        <w:r>
          <w:rPr>
            <w:rStyle w:val="LienInternet"/>
          </w:rPr>
          <w:t>europeiska toppmötet för regioner och städer</w:t>
        </w:r>
      </w:hyperlink>
      <w:r>
        <w:rPr/>
        <w:t xml:space="preserve"> i mars 2022. I en rapport</w:t>
      </w:r>
      <w:hyperlink r:id="rId64">
        <w:r>
          <w:rPr>
            <w:rStyle w:val="LienInternet"/>
          </w:rPr>
          <w:t>med titeln Medborgare, lokala politiker och Europas framtid</w:t>
        </w:r>
      </w:hyperlink>
      <w:r>
        <w:rPr/>
        <w:t>(mars 2022) sammanfattas alla ReK:s aktiviteter inom ramen för konferensen.</w:t>
      </w:r>
    </w:p>
    <w:p>
      <w:pPr>
        <w:pStyle w:val="Normal"/>
        <w:rPr/>
      </w:pPr>
      <w:r>
        <w:rPr/>
      </w:r>
    </w:p>
    <w:p>
      <w:pPr>
        <w:pStyle w:val="Normal"/>
        <w:rPr/>
      </w:pPr>
      <w:r>
        <w:rPr/>
        <w:t xml:space="preserve">De tre arbetsgivarorganisationer som är associerade med EU:s sociala partnerskap, </w:t>
      </w:r>
      <w:hyperlink r:id="rId65">
        <w:r>
          <w:rPr>
            <w:rStyle w:val="LienInternet"/>
          </w:rPr>
          <w:t>BusinessEurope</w:t>
        </w:r>
      </w:hyperlink>
      <w:r>
        <w:rPr/>
        <w:t xml:space="preserve">, </w:t>
      </w:r>
      <w:hyperlink r:id="rId66">
        <w:r>
          <w:rPr>
            <w:rStyle w:val="LienInternet"/>
          </w:rPr>
          <w:t>SGI Europe</w:t>
        </w:r>
      </w:hyperlink>
      <w:r>
        <w:rPr/>
        <w:t xml:space="preserve"> och </w:t>
      </w:r>
      <w:hyperlink r:id="rId67">
        <w:r>
          <w:rPr>
            <w:rStyle w:val="LienInternet"/>
          </w:rPr>
          <w:t>UEAPME</w:t>
        </w:r>
      </w:hyperlink>
      <w:r>
        <w:rPr/>
        <w:t xml:space="preserve"> offentliggjorde alla sina prioriteringar och bidrag på den digitala plattformen och presenterade dem för relevanta arbetsgrupper och plenarsammanträden. Dessutom främjade alla konferensen, både internt och externt, och organiserade evenemang och deltog i dialog med intressenter i olika forum. Europeiska fackliga samorganisationen (EFS) mobiliserade sig för att bidra till konferensen och deltog i plenarförsamlingens och arbetsgruppernas möten. EFS identifierade fackliga förslag för en rättvisare framtid för Europa och offentliggjorde dem på onlineplattformen (dessa var bland de mest understödda förslagen). EFS och dess dotterbolag organiserade evenemang och kommunikationsaktiviteter för att presentera och diskutera fackliga förslag.</w:t>
      </w:r>
    </w:p>
    <w:p>
      <w:pPr>
        <w:pStyle w:val="Normal"/>
        <w:rPr/>
      </w:pPr>
      <w:r>
        <w:rPr/>
        <w:t xml:space="preserve">Företrädare för det civila samhället </w:t>
      </w:r>
      <w:hyperlink r:id="rId68">
        <w:r>
          <w:rPr>
            <w:rStyle w:val="LienInternet"/>
          </w:rPr>
          <w:t>– det civila samhällets konvent för konferensen om Europas framtid</w:t>
        </w:r>
      </w:hyperlink>
      <w:r>
        <w:rPr/>
        <w:t xml:space="preserve"> och den </w:t>
      </w:r>
      <w:hyperlink r:id="rId69">
        <w:r>
          <w:rPr>
            <w:rStyle w:val="LienInternet"/>
          </w:rPr>
          <w:t>europeiska internationella rörelsen</w:t>
        </w:r>
      </w:hyperlink>
      <w:r>
        <w:rPr/>
        <w:t xml:space="preserve"> – anordnade </w:t>
      </w:r>
      <w:hyperlink r:id="rId70">
        <w:r>
          <w:rPr>
            <w:rStyle w:val="LienInternet"/>
          </w:rPr>
          <w:t>ett stort antal evenemang</w:t>
        </w:r>
      </w:hyperlink>
      <w:r>
        <w:rPr/>
        <w:t xml:space="preserve"> i hela Europa och var </w:t>
      </w:r>
      <w:hyperlink r:id="rId71">
        <w:r>
          <w:rPr>
            <w:rStyle w:val="LienInternet"/>
          </w:rPr>
          <w:t>aktiva i plenum.</w:t>
        </w:r>
      </w:hyperlink>
      <w:r>
        <w:rPr/>
        <w:t xml:space="preserve"> Det civila samhället har involverat hundratals organisationer i det civila samhället i en nedifrån och upp-strategi genom </w:t>
      </w:r>
      <w:hyperlink r:id="rId72">
        <w:r>
          <w:rPr>
            <w:rStyle w:val="LienInternet"/>
          </w:rPr>
          <w:t>tematiska grupper</w:t>
        </w:r>
      </w:hyperlink>
      <w:r>
        <w:rPr/>
        <w:t xml:space="preserve"> för att utarbeta gemensamma och övergripande förslag inom </w:t>
      </w:r>
      <w:hyperlink r:id="rId73">
        <w:r>
          <w:rPr>
            <w:rStyle w:val="LienInternet"/>
          </w:rPr>
          <w:t>olika politikområden som konferensen omfattar</w:t>
        </w:r>
      </w:hyperlink>
      <w:r>
        <w:rPr/>
        <w:t>. Idéerna bidrog till konferensen genom plattformen, arbetsgrupperna, plenarsammanträdena och i direkt kontakt med styrelsen, medordförandena och det gemensamma sekretariatet.</w:t>
      </w:r>
    </w:p>
    <w:p>
      <w:pPr>
        <w:pStyle w:val="Normal"/>
        <w:rPr/>
      </w:pPr>
      <w:r>
        <w:rPr/>
        <w:t>Europeiska kommissionens representationer i medlemsstaterna, Europa direkt-centrum, europeiska dokumentationscentrum och Europaparlamentets förbindelsekontor informerade aktivt medborgarna om konferensen om Europas framtid. Europeiska kommissionens representationer rapporterade 1400 aktiviteter som hjälpte till att kommunicera och genomföra konferensen i hela Europa. De organiserade eller aktivt deltog i mer än 850 evenemang, varav cirka 65 % riktade sig till ungdomar och kvinnor för att uppmuntra deras deltagande i konferensen i allmänhet. Europaparlamentets förbindelsekontor har organiserat mer än 1300 PR-aktiviteter i medlemsstaterna.</w:t>
      </w:r>
    </w:p>
    <w:p>
      <w:pPr>
        <w:pStyle w:val="Normal"/>
        <w:rPr/>
      </w:pPr>
      <w:r>
        <w:rPr/>
        <w:t>Tematiska workshoppar om konferensens huvudämnen anordnades också i närvaro av parlamentsledamöter, medborgare, berörda parter, nationella och regionala myndigheter och lokala medier, i syfte att öka konferensens synlighet. De europeiska dokumentationscentrumen rapporterade mer än 120 åtgärder i samband med konferensens kommunikation.</w:t>
      </w:r>
    </w:p>
    <w:p>
      <w:pPr>
        <w:pStyle w:val="Normal"/>
        <w:rPr/>
      </w:pPr>
      <w:r>
        <w:rPr/>
        <w:t>Europa direkt-centrumen rapporterade mer än 1000 tematiska evenemang om konferensen och mer än 600 PR-aktiviteter, inklusive ett brett spektrum av ungdomsgrupper och ungdomsorganisationer. De europeiska dokumentationscentrumen rapporterade mer än 120 åtgärder i samband med konferensens kommunikation.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Konferensens plenarförsamling</w:t>
      </w:r>
    </w:p>
    <w:p>
      <w:pPr>
        <w:pStyle w:val="Normal"/>
        <w:rPr/>
      </w:pPr>
      <w:r>
        <w:rPr/>
      </w:r>
      <w:r>
        <w:br w:type="page"/>
      </w:r>
    </w:p>
    <w:p>
      <w:pPr>
        <w:pStyle w:val="Titre2"/>
        <w:numPr>
          <w:ilvl w:val="1"/>
          <w:numId w:val="2"/>
        </w:numPr>
        <w:rPr/>
      </w:pPr>
      <w:bookmarkStart w:id="33" w:name="__RefHeading___Toc298240_1346298689"/>
      <w:bookmarkEnd w:id="33"/>
      <w:r>
        <w:rPr/>
        <w:t>A. Plenarförsamlingens roll och funktion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En plenarförsamling för konferensen inrättades för att diskutera rekommendationerna från de nationella och europeiska medborgarpanelerna, grupperade efter tema, och utan att resultatet av debatterna bestäms i förväg eller deras omfattning begränsas till på förhand fastställda politikområden.</w:t>
      </w:r>
    </w:p>
    <w:p>
      <w:pPr>
        <w:pStyle w:val="Corpsdetexte"/>
        <w:rPr/>
      </w:pPr>
      <w:r>
        <w:rPr/>
        <w:t>Bidrag som samlats in på den flerspråkiga plattformen diskuterades också vid behov. Plenarförsamlingen hade en unik sammansättning: det omfattade för första gången medborgare som företräder europeiska och nationella medborgarevenemang och paneler, företrädare för EU-institutionerna och dess rådgivande organ, valda företrädare på nationell, regional och lokal nivå samt företrädare för det civila samhället och arbetsmarknadens parter.</w:t>
      </w:r>
    </w:p>
    <w:p>
      <w:pPr>
        <w:pStyle w:val="Corpsdetexte"/>
        <w:rPr/>
      </w:pPr>
      <w:r>
        <w:rPr/>
        <w:t>Rekommendationerna lades fram av medborgarna och diskuterades med dem. plenarförsamlingen var då tvungen att lägga fram sina förslag i samförstånd</w:t>
      </w:r>
      <w:r>
        <w:rPr>
          <w:rStyle w:val="Ancredenotedebasdepage"/>
          <w:rStyle w:val="Ancredenotedebasdepage"/>
        </w:rPr>
        <w:footnoteReference w:id="7"/>
      </w:r>
      <w:r>
        <w:rPr/>
        <w:t xml:space="preserve"> för direktionen. Konferensens plenarförsamling sammanträdde sju gånger mellan juni 2021 och april 2022.</w:t>
      </w:r>
    </w:p>
    <w:p>
      <w:pPr>
        <w:pStyle w:val="Corpsdetexte"/>
        <w:rPr/>
      </w:pPr>
      <w:r>
        <w:rPr/>
        <w:t>Konferensens plenarförsamling bestod av 108 företrädare för Europaparlamentet, 54 företrädare för rådet och tre företrädare för</w:t>
      </w:r>
      <w:r>
        <w:rPr>
          <w:rStyle w:val="Ancredenotedebasdepage"/>
          <w:rStyle w:val="Ancredenotedebasdepage"/>
        </w:rPr>
        <w:footnoteReference w:id="8"/>
      </w:r>
      <w:r>
        <w:rPr/>
        <w:t>Europeiska kommissionen, 108 företrädare för alla nationella parlament på lika villkor och medborgare.</w:t>
      </w:r>
    </w:p>
    <w:p>
      <w:pPr>
        <w:pStyle w:val="Corpsdetexte"/>
        <w:rPr/>
      </w:pPr>
      <w:r>
        <w:rPr/>
        <w:t>Åttio företrädare för de europeiska medborgarpanelerna, varav minst en tredjedel var under 25 år, ordföranden för Europeiska ungdomsforumet och 27</w:t>
      </w:r>
      <w:r>
        <w:rPr>
          <w:rStyle w:val="Ancredenotedebasdepage"/>
          <w:rStyle w:val="Ancredenotedebasdepage"/>
        </w:rPr>
        <w:footnoteReference w:id="9"/>
      </w:r>
      <w:r>
        <w:rPr/>
        <w:t xml:space="preserve"> företrädare för nationella evenemang och/eller nationella medborgarpaneler deltog också.</w:t>
      </w:r>
    </w:p>
    <w:p>
      <w:pPr>
        <w:pStyle w:val="Corpsdetexte"/>
        <w:rPr/>
      </w:pPr>
      <w:r>
        <w:rPr/>
        <w:t>18 företrädare för Regionkommittén och 18 företrädare för Ekonomiska och sociala kommittén, sex valda företrädare för regionala myndigheter och sex valda företrädare för lokala myndigheter, 12 företrädare för arbetsmarknadens parter och åtta företrädare för det civila samhället deltog också. Unionens höga representant för utrikes frågor och säkerhetspolitik uppmanades att diskutera EU:s internationella roll.</w:t>
      </w:r>
    </w:p>
    <w:p>
      <w:pPr>
        <w:pStyle w:val="Corpsdetexte"/>
        <w:rPr/>
      </w:pPr>
      <w:r>
        <w:rPr/>
        <w:t>Företrädare för viktiga intressenter, t.ex. företrädare för partner från västra Balkan, Ukraina, religiösa, filosofiska och konfessionslösa grupper inbjöds också.</w:t>
      </w:r>
    </w:p>
    <w:p>
      <w:pPr>
        <w:pStyle w:val="Corpsdetexte"/>
        <w:rPr/>
      </w:pPr>
      <w:r>
        <w:rPr/>
        <w:t>Plenarförsamlingens sammanträden leddes gemensamt av medordförandena för konferensen. Konferensens plenarsammanträden ägde rum i Europaparlamentets byggnader i Strasbourg. På grund av de tillämpliga hälso- och säkerhetsbestämmelserna hölls de fem första sammanträdena i konferensens plenarförsamling i hybridformat, medan de två sista hölls personligen. Konferensens plenarmöten direktsändes och alla mötesdokument gjordes tillgängliga för allmänheten på den flerspråkiga digitala plattformen.</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Arbetsgrupper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 enlighet med konferensens arbetsordning föreslog medordförandena för konferensens plenarförsamling att nio tematiska arbetsgrupper skulle inrättas, på grundval av temana för den flerspråkiga digitala plattformen, för att bidra till att förbereda diskussionerna och förslagen från konferensens plenarförsamling, i enlighet med parametrarna i den gemensamma förklaringen. I oktober 2021 enades medordförandena om mandatet för arbetsgrupperna. De olika arbetsgrupperna omfattade följande teman: Klimatförändringar och miljö, Hälsa; En starkare ekonomi, social rättvisa och sysselsättning. EU i världen, Värden och rättigheter, rättsstatsprincipen, säkerhet, Den digitala omvandlingen. Den europeiska demokratin, Migrering; utbildning, kultur, ungdom och idrott.</w:t>
      </w:r>
    </w:p>
    <w:p>
      <w:pPr>
        <w:pStyle w:val="Normal"/>
        <w:rPr/>
      </w:pPr>
      <w:r>
        <w:rPr/>
        <w:t>Arbetsgrupperna redogjorde för sitt bidrag till konferensens plenarförsamling genom att granska rekommendationerna från respektive nationella och europeiska medborgarpaneler samt de bidrag som offentliggjorts på den flerspråkiga digitala plattformen om de nio teman som samlats in inom ramen för konferensen. Medlemmarna i konferensens plenarförsamling delades upp mellan de nio arbetsgrupperna enligt följande: tolv ledamöter per arbetsgrupp för Europaparlamentet och de nationella parlamenten, sex för rådet, tre för företrädare för nationella medborgarpaneler eller nationella evenemang, två för Regionkommittén och två för Ekonomiska och sociala kommittén, en eller två för arbetsmarknadens parter, en för det civila samhället och en för valda ledamöter av lokala och regionala myndigheter samt företrädare för europeiska medborgarpaneler. Företrädare för de europeiska medborgarpanelerna deltog i arbetet i den arbetsgrupp som ansvarar för deras panel. Dessutom har särskilda arrangemang gjorts för att göra det möjligt för kommissionskollegiet att delta i arbetsgrupper i enlighet med deras ansvarsområden.</w:t>
      </w:r>
    </w:p>
    <w:p>
      <w:pPr>
        <w:pStyle w:val="Normal"/>
        <w:rPr/>
      </w:pPr>
      <w:r>
        <w:rPr/>
        <w:t>Arbetsgrupperna höll livliga debatter och arbetade med utkast till förslag som utarbetats under ledning av ordföranden och talespersonen, utvalda bland företrädarna för de europeiska medborgarpanelerna i arbetsgruppen, med bistånd av det gemensamma sekretariatet. Arbetsgrupperna skulle arbeta på grundval av den konsensus som anges i artikel 17 i konferensens arbetsordning. Ordföranden och talespersonen presenterade därefter arbetsgruppens resultat för plenarförsamlingen. Arbetsgruppens ordförande biträddes av det gemensamma sekretariatet. Det gemensamma konferenssekretariatet utarbetade de sammanfattande rapporterna från varje sammanträde i arbetsgruppen under ledning av ordföranden och i samråd med arbetsgruppens medlemmar.</w:t>
      </w:r>
    </w:p>
    <w:p>
      <w:pPr>
        <w:pStyle w:val="Normal"/>
        <w:rPr/>
      </w:pPr>
      <w:r>
        <w:rPr/>
        <w:t>Arbetsgrupperna sammanträdde i anslutning till konferensens plenarsammanträden mellan oktober 2021 och 8 april 2022 samt online i december 2021. Vissa arbetsgrupper höll ytterligare möten. Arbetsgruppens möten sändes direkt från och med den 20 januari 2022. Deras sammanfattande rapporter har vederbörligen offentliggjorts i avsnittet ”Konferensförsamlingen” om den flerspråkiga digitala plattformen.</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Kronologisk sammanfattning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KONFERENSENS KONSTITUERANDE PLENARFÖRSAMLING DEN 19 JUNI 2021</w:t>
      </w:r>
    </w:p>
    <w:p>
      <w:pPr>
        <w:pStyle w:val="Normal"/>
        <w:rPr/>
      </w:pPr>
      <w:r>
        <w:rPr/>
        <w:t>Konferensens konstituerande plenarsession hölls den 19 juni 2021 i hybridformat</w:t>
      </w:r>
      <w:r>
        <w:rPr>
          <w:rStyle w:val="Ancredenotedebasdepage"/>
          <w:rStyle w:val="Ancredenotedebasdepage"/>
        </w:rPr>
        <w:footnoteReference w:id="10"/>
      </w:r>
      <w:r>
        <w:rPr/>
        <w:t>. Det gjorde det möjligt för plenarledamöterna att lyssna på en presentation och hålla en allmän debatt om konferensens syfte och förväntningar. Medordförandena underströk att detta arbete med överläggningsdemokrati på EU-nivå saknar motstycke, vilket stärkt den representativa demokratin och sätter medborgarna i centrum för beslutsfattandet i Europeiska unionen. Medordförandena redogjorde också för hur konferensens tre pelare fungerar: den flerspråkiga digitala plattformen, de europeiska och nationella medborgarpanelerna och plenarförsamlingen.</w:t>
      </w:r>
    </w:p>
    <w:p>
      <w:pPr>
        <w:pStyle w:val="Normal"/>
        <w:rPr/>
      </w:pPr>
      <w:r>
        <w:rPr/>
        <w:t>Dessutom informerades plenarmedlemmarna om avsikten att inrätta nio tematiska arbetsgrupper samt tidsplanen för konferensen. I den efterföljande debatten, där mer än 150 deltagare yttrade sig, diskuterades ett brett spektrum av ämnen. Eftersom urvalet av deltagare i de europeiska medborgarpanelerna ännu inte har slutförts deltog ordföranden för Europeiska ungdomsforumet och 27 företrädare för nationella evenemang och/eller nationella medborgarpaneler för att representera medborgarkomponenten.</w:t>
      </w:r>
    </w:p>
    <w:p>
      <w:pPr>
        <w:pStyle w:val="Normal"/>
        <w:rPr/>
      </w:pPr>
      <w:r>
        <w:rPr>
          <w:b/>
          <w:i/>
          <w:u w:val="single"/>
        </w:rPr>
        <w:t>KONFERENSENS ANDRA PLENARFÖRSAMLING DEN 22–23 OKTOBER 2021</w:t>
      </w:r>
      <w:r>
        <w:rPr/>
        <w:t xml:space="preserve"> </w:t>
      </w:r>
    </w:p>
    <w:p>
      <w:pPr>
        <w:pStyle w:val="Normal"/>
        <w:rPr/>
      </w:pPr>
      <w:r>
        <w:rPr/>
        <w:t>Konferensens andra plenarförsamling hölls den 22–23 oktober 2021 i ett hybridformat, med deltagande för första gången av företrädare för de europeiska medborgarpanelerna. Plenarledamöterna fick tillfälle att höra en föredragning om läget för de fyra europeiska medborgarpanelerna och hålla en debatt. Dessutom kunde företrädare för nationella evenemang och paneler presentera de evenemang som anordnades på nationell nivå. En rapport om det europeiska ungdomsevenemanget lades fram för konferensens plenarförsamling. den gav en översikt över de 20 konkreta idéer som valts ut av de unga medborgare som deltog i mötet.</w:t>
      </w:r>
    </w:p>
    <w:p>
      <w:pPr>
        <w:pStyle w:val="Normal"/>
        <w:rPr/>
      </w:pPr>
      <w:r>
        <w:rPr/>
        <w:t>I den efterföljande debatten lades tonvikten på den innovativa karaktären hos den flerspråkiga digitala plattformen, som gav medborgarna en röst i kapitlet och en plats för debatt på alla EU:s officiella språk. Denna debatt grundade sig på den andra interimsrapporten om plattformen. Partnerna på västra Balkan inbjöds att delta i detta plenarmöte som viktiga intressenter.</w:t>
      </w:r>
    </w:p>
    <w:p>
      <w:pPr>
        <w:pStyle w:val="Normal"/>
        <w:rPr/>
      </w:pPr>
      <w:r>
        <w:rPr>
          <w:b/>
          <w:i/>
          <w:u w:val="single"/>
        </w:rPr>
        <w:t>KONFERENSENS TREDJE PLENARFÖRSAMLING DEN 21–22 JANUARI 2022</w:t>
      </w:r>
      <w:r>
        <w:rPr/>
        <w:t xml:space="preserve"> </w:t>
      </w:r>
    </w:p>
    <w:p>
      <w:pPr>
        <w:pStyle w:val="Normal"/>
        <w:rPr/>
      </w:pPr>
      <w:r>
        <w:rPr/>
        <w:t>Konferensens tredje plenarförsamling, som ägde rum den 21–22 januari 2022, var den första som ägnades åt den officiella presentationen av rekommendationer från europeiska medborgarpaneler samt tillhörande nationella medborgarpaneler. Denna plenarsession var den första som ägde rum efter slutförandet av rekommendationerna från vissa europeiska medborgarpaneler, nämligen följande: paneler 2 (EU:s demokrati, värden och rättigheter, rättsstatsprincipen, säkerhet) och 3 (klimatförändringar och miljö; hälsa). Plenarsessionen hölls i ett hybridformat, med deltagande av mer än 400 medlemmar i konferensens plenarförsamling, antingen på plats eller på distans.</w:t>
      </w:r>
    </w:p>
    <w:p>
      <w:pPr>
        <w:pStyle w:val="Normal"/>
        <w:rPr/>
      </w:pPr>
      <w:r>
        <w:rPr/>
        <w:t>Detta plenarsammanträde präglades också av att Europaparlamentets talman, David Maria Sassoli, kort före avlidit. Medordförandena hyllade hans minne vid sammanträdets öppnande. Debatterna i denna plenarsession anordnades per tema, om de ämnen som omfattas av de europeiska medborgarpanelerna 2 och 3.</w:t>
      </w:r>
    </w:p>
    <w:p>
      <w:pPr>
        <w:pStyle w:val="Normal"/>
        <w:rPr/>
      </w:pPr>
      <w:r>
        <w:rPr/>
        <w:t>Diskussionerna ägde rum i ett innovativt interaktivt format, inklusive stunder som ägnades åt medborgarnas feedback samt ett särskilt system med frågor om ”blåkort” som möjliggjorde spontana och livliga utbyten om medborgarnas rekommendationer.</w:t>
      </w:r>
    </w:p>
    <w:p>
      <w:pPr>
        <w:pStyle w:val="Normal"/>
        <w:rPr/>
      </w:pPr>
      <w:r>
        <w:rPr>
          <w:b/>
          <w:i/>
          <w:u w:val="single"/>
        </w:rPr>
        <w:t>KONFERENSENS FJÄRDE PLENARFÖRSAMLING DEN 11–12 MARS 2022</w:t>
      </w:r>
      <w:r>
        <w:rPr/>
        <w:t xml:space="preserve"> </w:t>
      </w:r>
    </w:p>
    <w:p>
      <w:pPr>
        <w:pStyle w:val="Normal"/>
        <w:rPr/>
      </w:pPr>
      <w:r>
        <w:rPr/>
        <w:t>Konferensens fjärde plenarförsamling ägnades också åt presentationen av rekommendationer från de europeiska medborgarpanelerna och tillhörande nationella medborgarpaneler. Denna plenarsession ägde rum efter slutförandet av rekommendationerna från de två återstående europeiska medborgarpanelerna, nämligen panelerna 1 (En starkare ekonomi, social rättvisa och sysselsättning; utbildning, kultur, ungdom och idrott. digital omvandling) och 4 (EU i världen, migrering).</w:t>
      </w:r>
    </w:p>
    <w:p>
      <w:pPr>
        <w:pStyle w:val="Normal"/>
        <w:rPr/>
      </w:pPr>
      <w:r>
        <w:rPr/>
        <w:t>Liksom vid plenarsessionen i januari organiserades debatterna i denna plenarsession per tema. De ämnen som diskuterades denna gång var de i de europeiska medborgarpanelerna 1 och 4. Diskussionerna om medborgarnas rekommendationer gav på nytt upphov till livliga och djupgående utbyten, med stöd av ett innovativt interaktivt format.</w:t>
      </w:r>
    </w:p>
    <w:p>
      <w:pPr>
        <w:pStyle w:val="Normal"/>
        <w:rPr/>
      </w:pPr>
      <w:r>
        <w:rPr>
          <w:b/>
          <w:i/>
          <w:u w:val="single"/>
        </w:rPr>
        <w:t>KONFERENSENS FEMTE PLENARFÖRSAMLING DEN 25–26 MARS 2022</w:t>
      </w:r>
      <w:r>
        <w:rPr/>
        <w:t xml:space="preserve"> </w:t>
      </w:r>
    </w:p>
    <w:p>
      <w:pPr>
        <w:pStyle w:val="Normal"/>
        <w:rPr/>
      </w:pPr>
      <w:r>
        <w:rPr/>
        <w:t>Den femte plenarförsamlingen markerade konferensens inträde i nästa fas, med inledandet av processen med att fastställa plenarförsamlingens förslag på grundval av rekommendationer från medborgarna. Därför höll plenarmedlemmarna, efter att ha förberett sig inom arbetsgruppens mindre tematiska ram, för första gången debatter om konferensens nio teman: en starkare ekonomi, social rättvisa och sysselsättning. utbildning, kultur, ungdom och idrott. den digitala omvandlingen. Den europeiska demokratin, värden och rättigheter, rättsstatsprincipen, säkerhet, klimatförändringar och miljö, hälsa; EU i världen, migrering. Denna plenarsession utgjorde också en möjlighet för företrädare för nationella evenemang som anordnas i de 27 EU-medlemsstaterna att presentera resultaten av sina initiativ.</w:t>
      </w:r>
    </w:p>
    <w:p>
      <w:pPr>
        <w:pStyle w:val="Normal"/>
        <w:rPr/>
      </w:pPr>
      <w:r>
        <w:rPr>
          <w:b/>
          <w:i/>
          <w:u w:val="single"/>
        </w:rPr>
        <w:t>KONFERENSENS SJÄTTE PLENARFÖRSAMLING DEN 8–9 APRIL 2022</w:t>
      </w:r>
      <w:r>
        <w:rPr/>
        <w:t xml:space="preserve"> </w:t>
      </w:r>
    </w:p>
    <w:p>
      <w:pPr>
        <w:pStyle w:val="Normal"/>
        <w:rPr/>
      </w:pPr>
      <w:r>
        <w:rPr/>
        <w:t>Vid konferensens sjätte plenarmöte slutfördes plenarförsamlingens utkast till förslag.</w:t>
      </w:r>
    </w:p>
    <w:p>
      <w:pPr>
        <w:pStyle w:val="Normal"/>
        <w:rPr/>
      </w:pPr>
      <w:r>
        <w:rPr/>
        <w:t>När de senaste sammanträdena i de tematiska arbetsgrupperna hade slutförts yttrade sig alla plenarledamöter genom nio viktiga debatter och kommenterade de utkast till förslag som de hade utarbetat under de senaste månaderna. Detta utbyte var också ett tillfälle för dem att reflektera över den unika processen med att utarbeta plenarförsamlingens förslag, på grundval av medborgarnas rekommendationer, och på det arbete som utförts sedan de utarbetades. Medborgarna betonade särskilt den unika mänskliga erfarenheten och mervärdet av denna överläggningsprocess, som förenade dem kring detta gemensamma projekt. Denna debatt bidrog till de slutliga utkasten till förslag som skulle läggas fram för konferensens senaste plenarförsamling.</w:t>
      </w:r>
    </w:p>
    <w:p>
      <w:pPr>
        <w:pStyle w:val="Normal"/>
        <w:rPr/>
      </w:pPr>
      <w:r>
        <w:rPr>
          <w:b/>
          <w:i/>
          <w:u w:val="single"/>
        </w:rPr>
        <w:t>KONFERENSENS SJUNDE PLENARFÖRSAMLING, 29–30 APRIL 2022</w:t>
      </w:r>
      <w:r>
        <w:rPr/>
        <w:t xml:space="preserve"> </w:t>
      </w:r>
    </w:p>
    <w:p>
      <w:pPr>
        <w:pStyle w:val="Normal"/>
        <w:rPr/>
      </w:pPr>
      <w:r>
        <w:rPr/>
        <w:t>Den sjunde och sista plenarförsamlingen i konferensen om Europas framtid var en viktig milstolpe och avslutade en process med intensiva överläggningar som varade flera månader i samband med utarbetandet av 49 förslag. De 49 förslagen lades fram och formulerades av plenarförsamlingen för direktionen i samförstånd. Detta samförstånd nåddes mellan företrädarna för Europaparlamentet, rådet, Europeiska kommissionen och de nationella parlamenten.</w:t>
      </w:r>
    </w:p>
    <w:p>
      <w:pPr>
        <w:pStyle w:val="Normal"/>
        <w:rPr/>
      </w:pPr>
      <w:r>
        <w:rPr/>
        <w:t xml:space="preserve">Företrädare för Regionkommittén och Europeiska ekonomiska och sociala kommittén samt regionala och lokala förtroendevalda samt företrädare för arbetsmarknadens parter och det civila samhället uttryckte också sitt stöd för processen och stödde förslagen. </w:t>
      </w:r>
    </w:p>
    <w:p>
      <w:pPr>
        <w:pStyle w:val="Normal"/>
        <w:rPr/>
      </w:pPr>
      <w:r>
        <w:rPr/>
        <w:t>Medborgarkomponenten lade fram sin slutliga ståndpunkt om förslagen (se huvudbudskapen nedan).</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fill="EEEEEE" w:val="clear"/>
        <w:rPr/>
      </w:pPr>
      <w:r>
        <w:rPr/>
        <w:t>Vid den avslutande plenarsessionen (29–30 april 2022) lade de 108 medborgarna fram sin slutliga ståndpunkt om förslagen i kammaren. Deras presentation utformades kollektivt och presenterades av 17 av dem i form av ett berättande tal, under den slutliga debatten. Texten nedan är en sammanfattning av huvudbudskapen i deras inlägg.</w:t>
      </w:r>
    </w:p>
    <w:p>
      <w:pPr>
        <w:pStyle w:val="P68B1DB1Normal14"/>
        <w:shd w:fill="EEEEEE" w:val="clear"/>
        <w:jc w:val="center"/>
        <w:rPr/>
      </w:pPr>
      <w:r>
        <w:rPr/>
        <w:t>**</w:t>
      </w:r>
    </w:p>
    <w:p>
      <w:pPr>
        <w:pStyle w:val="P68B1DB1Normal14"/>
        <w:shd w:fill="EEEEEE" w:val="clear"/>
        <w:rPr/>
      </w:pPr>
      <w:r>
        <w:rPr/>
        <w:t>Vi börjar med att tacka Europaparlamentet, rådet och kommissionen för att ha gett oss möjlighet att bidra till att forma Europas framtid. Vi har träffat europeiska kolleger från hela unionen, från olika paneler och evenemang, med politiska företrädare och sociala aktörer, och har breddat vår horisont. Vi växte upp som européer. För detta har vi alla offrat: vi togs ut ur vårt dagliga liv, togs ledigt och tillbringades, för medlemmarna i de europeiska medborgarpanelerna, nio helger borta från våra familjer. Men vi hade en otrolig och unik upplevelse. För oss var det inte slöseri med tid.</w:t>
      </w:r>
    </w:p>
    <w:p>
      <w:pPr>
        <w:pStyle w:val="P68B1DB1Normal14"/>
        <w:shd w:fill="EEEEEE" w:val="clear"/>
        <w:rPr/>
      </w:pPr>
      <w:r>
        <w:rPr/>
        <w:t>Det var ups and downs längs vägen. Vi fick inte alltid svar på våra frågor. Vi vet att det kommer att ta tid att genomföra förslagen. Men vi är övertygade om att ni kommer att göra vad som krävs för att uppnå detta, av respekt för vårt gemensamma arbete. Om vi, medborgarna, har kunnat övervinna våra olikheter, språkbarriärer, arbeta tillsammans och höja oss till er nivå, kan ni också göra det.</w:t>
      </w:r>
    </w:p>
    <w:p>
      <w:pPr>
        <w:pStyle w:val="P68B1DB1Normal14"/>
        <w:shd w:fill="EEEEEE" w:val="clear"/>
        <w:jc w:val="center"/>
        <w:rPr/>
      </w:pPr>
      <w:r>
        <w:rPr/>
        <w:t>**</w:t>
      </w:r>
    </w:p>
    <w:p>
      <w:pPr>
        <w:pStyle w:val="P68B1DB1Normal14"/>
        <w:shd w:fill="EEEEEE" w:val="clear"/>
        <w:rPr/>
      </w:pPr>
      <w:r>
        <w:rPr/>
        <w:t>Vi har alla kommit långt och nu när vårt arbete i plenum är över kan vi vara stolta över det. Vi ser åtta övergripande teman som ger ett tydligt och starkt mandat för Europas framtid.</w:t>
      </w:r>
    </w:p>
    <w:p>
      <w:pPr>
        <w:pStyle w:val="P68B1DB1Normal14"/>
        <w:shd w:fill="EEEEEE" w:val="clear"/>
        <w:rPr/>
      </w:pPr>
      <w:r>
        <w:rPr>
          <w:b/>
        </w:rPr>
        <w:t>För det första</w:t>
      </w:r>
      <w:r>
        <w:rPr/>
        <w:t>, ett EU som bygger på solidaritet, social rättvisa och jämlikhet. En stor oro för medborgarna är att hitta lika villkor och rättigheter på olika områden: hälso- och sjukvård, sociala tjänster, livslångt lärande, lika möjligheter för människor som bor på landsbygden och i stadsområden, med beaktande av demografiska överväganden. I framtiden bör européerna i alla medlemsstater och regioner inte längre diskrimineras på grund av ålder, bosättningsort, nationalitet, kön, religion eller politiska preferenser. De bör erbjudas anständig levnadsstandard, löner och arbetsvillkor. EU måste vara mer än en ekonomisk union. Medlemsstaterna måste visa större solidaritet med varandra. Vi är en familj och vi måste bete oss som sådana i krissituationer.</w:t>
      </w:r>
    </w:p>
    <w:p>
      <w:pPr>
        <w:pStyle w:val="P68B1DB1Normal14"/>
        <w:shd w:fill="EEEEEE" w:val="clear"/>
        <w:rPr/>
      </w:pPr>
      <w:r>
        <w:rPr>
          <w:b/>
        </w:rPr>
        <w:t>För det andra</w:t>
      </w:r>
      <w:r>
        <w:rPr/>
        <w:t xml:space="preserve"> måste EU våga och agera snabbt för att bli ledande inom miljö och klimat, påskynda övergången till grön energi, förbättra sitt järnvägsnät, uppmuntra hållbara transporter och en verkligt cirkulär ekonomi. Det finns ingen tid att slösa. EU måste driva på förändringar på många politikområden: jordbruk, biologisk mångfald, ekonomi, energi, transport, utbildning, hälsa, digital omvandling och klimatdiplomati. Vi har forskningskapacitet, ekonomisk styrka och geopolitiskt inflytande för att göra det. Om vi prioriterar klimatet kan vi hoppas på en välmående framtid.</w:t>
      </w:r>
    </w:p>
    <w:p>
      <w:pPr>
        <w:pStyle w:val="P68B1DB1Normal14"/>
        <w:shd w:fill="EEEEEE" w:val="clear"/>
        <w:rPr/>
      </w:pPr>
      <w:r>
        <w:rPr>
          <w:b/>
        </w:rPr>
        <w:t>För det tredje</w:t>
      </w:r>
      <w:r>
        <w:rPr/>
        <w:t xml:space="preserve"> behöver EU en mer demokratisk union. EU-medborgarna älskar EU, men låt oss vara uppriktiga: det är inte alltid lätt. Du uppmanade oss att hjälpa dig och du frågade oss: hur ska den europeiska demokratin se ut i framtiden? Och vi svarade dig: Vi medborgare vill ha ett Europa där besluten fattas på ett öppet och snabbt sätt, där principen om enhällighet omprövas och där vi, medborgarna, regelbundet och allvarligt deltar.</w:t>
      </w:r>
    </w:p>
    <w:p>
      <w:pPr>
        <w:pStyle w:val="P68B1DB1Normal14"/>
        <w:shd w:fill="EEEEEE" w:val="clear"/>
        <w:rPr/>
      </w:pPr>
      <w:r>
        <w:rPr>
          <w:b/>
        </w:rPr>
        <w:t>För det fjärde</w:t>
      </w:r>
      <w:r>
        <w:rPr/>
        <w:t xml:space="preserve"> behöver EU mer harmonisering på vissa områden och närma sig unionen. Kriget slår till vid våra portar i öst, vilket kräver att vi blir mer enade än någonsin och att ge EU mer kompetens i utrikesfrågor. Denna konferens kan ligga till grund för skapandet av ett mer enat och politiskt sammanhängande Europa. Allt kommer ner till detta ord: Förbundet. Vi kan inte beskriva oss själva som sådana om vi misslyckas med att uppnå det samarbete som denna konferens har illustrerat.</w:t>
      </w:r>
    </w:p>
    <w:p>
      <w:pPr>
        <w:pStyle w:val="P68B1DB1Normal14"/>
        <w:shd w:fill="EEEEEE" w:val="clear"/>
        <w:rPr/>
      </w:pPr>
      <w:r>
        <w:rPr>
          <w:b/>
        </w:rPr>
        <w:t>För det femte</w:t>
      </w:r>
      <w:r>
        <w:rPr/>
        <w:t xml:space="preserve"> måste EU bli självständigt och säkerställa sin globala konkurrenskraft. Under hela processen talade vi om att uppnå detta mål på viktiga strategiska områden: jordbruk, energi, industri, hälsa. Vi måste undvika att vara beroende av tredjeländer för många känsliga produkter. Vi måste bygga vidare på vår arbetskrafts begåvning, förhindra kompetensflykt och tillhandahålla adekvat kompetensutbildning till medborgarna i alla skeden av deras liv, oavsett var de bor i EU. Vi kan inte ha enorma skillnader inom EU och ungdomar utan perspektiv i ett land som tvingas gå till ett annat.</w:t>
      </w:r>
    </w:p>
    <w:p>
      <w:pPr>
        <w:pStyle w:val="P68B1DB1Normal14"/>
        <w:shd w:fill="EEEEEE" w:val="clear"/>
        <w:rPr/>
      </w:pPr>
      <w:r>
        <w:rPr/>
        <w:t>För det</w:t>
      </w:r>
      <w:r>
        <w:rPr>
          <w:b/>
        </w:rPr>
        <w:t>sjätte</w:t>
      </w:r>
      <w:r>
        <w:rPr/>
        <w:t xml:space="preserve"> bygger EU:s framtid på dess värderingar. Dessa har väglett vårt arbete. När vi började kunde ingen föreställa sig att ett krig skulle bryta ut på vår kontinent. Denna kamp för frihet gör oss medvetna om möjligheten att leva i en fredlig union. Bakom alla våra förslag uttrycks dessa värden: ett humant och värdigt mottagande av migranter, lika tillgång till hälsa, kampen mot korruption, kravet på skydd av naturen och den biologiska mångfalden samt en mer demokratisk union.</w:t>
      </w:r>
    </w:p>
    <w:p>
      <w:pPr>
        <w:pStyle w:val="P68B1DB1Normal14"/>
        <w:shd w:fill="EEEEEE" w:val="clear"/>
        <w:rPr/>
      </w:pPr>
      <w:r>
        <w:rPr/>
        <w:t>För det</w:t>
      </w:r>
      <w:r>
        <w:rPr>
          <w:b/>
        </w:rPr>
        <w:t>sjunde</w:t>
      </w:r>
      <w:r>
        <w:rPr/>
        <w:t xml:space="preserve"> bör medborgarna i framtiden känna sig mer europeiska och lära känna EU bättre. Detta är en övergripande fråga som har legat till grund för alla panelers arbete. Digital omvandling, utbildning, rörlighet och utbyte kan ge innehåll åt denna europeiska identitet, som kompletterar våra nationella identiteter utan att ifrågasätta dem. Många av oss kände sig inte europeiska före denna konferens: det uppstod här, långsamt, genom att utbyta med varandra. Vi hade turen att ha den möjligheten, men många gör det inte. Därför är information, kommunikation och medvetenhet så viktiga.</w:t>
      </w:r>
    </w:p>
    <w:p>
      <w:pPr>
        <w:pStyle w:val="P68B1DB1Normal14"/>
        <w:shd w:fill="EEEEEE" w:val="clear"/>
        <w:rPr/>
      </w:pPr>
      <w:r>
        <w:rPr/>
        <w:t xml:space="preserve">Slutligen är ett </w:t>
      </w:r>
      <w:r>
        <w:rPr>
          <w:b/>
        </w:rPr>
        <w:t>åttonde</w:t>
      </w:r>
      <w:r>
        <w:rPr/>
        <w:t xml:space="preserve"> övergripande tema, ytterst viktigt för oss, utbildning och medborgarnas egenmakt i allmänhet. För denna konferens beslutade du att bjuda in medborgare från 16 års ålder. Vi är tacksamma för detta eftersom det, mer än någonsin, är nödvändigt att stärka ungdomar. Den höga andelen ungdomar som avstår från att rösta visar att kopplingen mellan ungdom och politik måste återkopplas. De måste också vara ekonomiskt och socialt ansvariga: det är fortfarande alltför svårt att komma in på arbetsmarknaden för att hävda sina sociala rättigheter. Under covid-19-pandemin kände de sig övergivna och många drabbas fortfarande av konsekvenserna för deras psykiska hälsa. Men alla européer måste få makt, inte bara ungdomar: genom rörlighetsprogram och livslångt lärande måste vi bredda alla européers horisonter. Vi måste också utbilda medborgarna i demokrati, medborgardeltagande och mediekompetens. Vi behöver ett holistiskt förhållningssätt.</w:t>
      </w:r>
    </w:p>
    <w:p>
      <w:pPr>
        <w:pStyle w:val="P68B1DB1Normal14"/>
        <w:shd w:fill="EEEEEE" w:val="clear"/>
        <w:jc w:val="center"/>
        <w:rPr/>
      </w:pPr>
      <w:r>
        <w:rPr/>
        <w:t>**</w:t>
      </w:r>
    </w:p>
    <w:p>
      <w:pPr>
        <w:pStyle w:val="P68B1DB1Normal14"/>
        <w:shd w:fill="EEEEEE" w:val="clear"/>
        <w:rPr/>
      </w:pPr>
      <w:r>
        <w:rPr/>
        <w:t>Ingen visste vad resultatet skulle bli. 27 länder, 24 språk, olika åldrar. Och ändå, när vi arbetade tillsammans, kände vi kontakt: våra hjärnor, våra tankar, våra erfarenheter. Vi är inte experter från EU eller ett av konferensens teman, men vi är experter i verkliga livet, och vi har våra berättelser. Vi går till jobbet, vi bor på landsbygden och i förorterna arbetar vi på natten, vi studerar, vi har barn, vi tar kollektivtrafik. Vi kan lita på vår mångfald. Enighet nåddes om förslagen mellan de fyra olika delarna och inom medborgarkomponenten. Vi håller med och stöder alla de förslag som nu ligger i dina händer. Vi uttrycker en avvikande ståndpunkt om åtgärd 38.4, tredje punkten, eftersom den inte härrör från europeiska paneler eller nationella paneler och inte har diskuterats tillräckligt i hela arbetsgruppen. Därför kommenterar vi inte åtgärdens innehåll eller relevans. Med detta i åtanke uppmanar vi er att överväga dessa förslag som helhet, att genomföra dem, och inte bara de som passar er mest och som är lätta att tillämpa. Gör det transparent. Vi har arbetat med dessa förslag med engagemang och passion, vi är stolta över vårt arbete: respektera honom.</w:t>
      </w:r>
    </w:p>
    <w:p>
      <w:pPr>
        <w:pStyle w:val="P68B1DB1Normal14"/>
        <w:shd w:fill="EEEEEE" w:val="clear"/>
        <w:rPr/>
      </w:pPr>
      <w:r>
        <w:rPr/>
        <w:t>Konferensen om Europas framtid genomgick en pandemi och bevittnade ett krig i Europa och visade sin fulla solidaritet med det ukrainska folket. Året var hektiskt för deltagarna och för alla européer. Men konferensen fortsatte sitt arbete mot vindar och tidvatten. Låt oss på konferensens medborgares vägnar avsluta med att skicka ett enkelt budskap till er: vi känner oss europeiska, vi känner oss engagerade och lyssnade till demokratiseringsprocessen, vi tror på EU och vi vill fortsätta att tro på det. Så, från djupet av våra hjärtan, läs förslagen väl och genomföra dem, för Europas framtids skull.</w:t>
      </w:r>
    </w:p>
    <w:p>
      <w:pPr>
        <w:pStyle w:val="Normal"/>
        <w:shd w:fill="EEEEEE" w:val="clear"/>
        <w:rPr/>
      </w:pPr>
      <w:r>
        <w:rPr/>
      </w:r>
      <w:r>
        <w:br w:type="page"/>
      </w:r>
    </w:p>
    <w:p>
      <w:pPr>
        <w:pStyle w:val="Corpsdetexte"/>
        <w:rPr/>
      </w:pPr>
      <w:r>
        <w:rPr/>
        <w:t>Företrädare för rådets del av plenarförsamlingen avstod från att kommentera förslagens innehåll, men stödde och uppmuntrade i stället medborgarnas verksamhet och noterade deras rekommendationer. Efter den 9 maj 2022 kommer rådet att fastställa hur man ska följa upp resultatet av konferensen inom sitt eget behörighetsområde och i enlighet med fördragen.</w:t>
      </w:r>
    </w:p>
    <w:p>
      <w:pPr>
        <w:pStyle w:val="Normal"/>
        <w:rPr/>
      </w:pPr>
      <w:r>
        <w:rPr/>
      </w:r>
    </w:p>
    <w:p>
      <w:pPr>
        <w:pStyle w:val="Corpsdetexte"/>
        <w:rPr/>
      </w:pPr>
      <w:r>
        <w:rPr/>
        <w:t>Styrelsen för konferensen om Europas framtid noterar plenarförsamlingens förslag och presenterar dem som slutresultat av konferensen. Dessa förslag gav vägledning om Europas framtid och erhölls efter nästan ett års överläggningar, inom ramen för den gemensamma förklaringen och konferensens arbetsordning.</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70">
            <wp:simplePos x="0" y="0"/>
            <wp:positionH relativeFrom="column">
              <wp:align>center</wp:align>
            </wp:positionH>
            <wp:positionV relativeFrom="paragraph">
              <wp:posOffset>635</wp:posOffset>
            </wp:positionV>
            <wp:extent cx="6120130" cy="6079490"/>
            <wp:effectExtent l="0" t="0" r="0" b="0"/>
            <wp:wrapSquare wrapText="largest"/>
            <wp:docPr id="60" name="Bild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Plenarförsamlingens förslag </w:t>
      </w:r>
      <w:r>
        <w:br w:type="page"/>
      </w:r>
    </w:p>
    <w:p>
      <w:pPr>
        <w:pStyle w:val="Normal"/>
        <w:rPr/>
      </w:pPr>
      <w:r>
        <w:rPr/>
        <w:drawing>
          <wp:anchor behindDoc="0" distT="0" distB="0" distL="0" distR="0" simplePos="0" locked="0" layoutInCell="1" allowOverlap="1" relativeHeight="25">
            <wp:simplePos x="0" y="0"/>
            <wp:positionH relativeFrom="column">
              <wp:posOffset>1270</wp:posOffset>
            </wp:positionH>
            <wp:positionV relativeFrom="paragraph">
              <wp:posOffset>635</wp:posOffset>
            </wp:positionV>
            <wp:extent cx="913765" cy="913765"/>
            <wp:effectExtent l="0" t="0" r="0" b="0"/>
            <wp:wrapSquare wrapText="largest"/>
            <wp:docPr id="61" name="Bild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Klimatförändringar och miljö</w:t>
      </w:r>
    </w:p>
    <w:p>
      <w:pPr>
        <w:pStyle w:val="Titre3"/>
        <w:numPr>
          <w:ilvl w:val="2"/>
          <w:numId w:val="2"/>
        </w:numPr>
        <w:rPr/>
      </w:pPr>
      <w:bookmarkStart w:id="38" w:name="__RefHeading___Toc298250_1346298689"/>
      <w:bookmarkEnd w:id="38"/>
      <w:r>
        <w:rPr/>
        <w:t>1. Förslag: Jordbruk, livsmedelsproduktion, biologisk mångfald och ekosystem, föroreningar</w:t>
      </w:r>
    </w:p>
    <w:p>
      <w:pPr>
        <w:pStyle w:val="P68B1DB1Normal15"/>
        <w:rPr/>
      </w:pPr>
      <w:r>
        <w:rPr/>
        <w:t>Mål: Säker, hållbar, rättvis, klimatvänlig och överkomlig livsmedelsproduktion som respekterar principerna om hållbarhet och miljön och skyddar den biologiska mångfalden och ekosystemen samtidigt som livsmedelstryggheten säkerställs.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rPr/>
      </w:pPr>
      <w:r>
        <w:rPr/>
        <w:t>1.</w:t>
        <w:tab/>
        <w:t>Lyfta fram begreppen gröna och blå ekonomier genom att främja ett effektivt, miljövänligt och klimatvänligt jordbruk och fiske i EU och runt om i världen, inbegripet ekologiskt jordbruk och andra innovativa och hållbara former av jordbruk, såsom vertikalt jordbruk, som möjliggör mer produktion med färre insatsvaror och minskar utsläppen och miljöpåverkan, men genom att fortsätta att säkerställa produktivitet och livsmedelstrygghet (Panel 3 – rekommendationerna 1, 2 och 10), panel 2 – Rekommendation 4).</w:t>
      </w:r>
    </w:p>
    <w:p>
      <w:pPr>
        <w:pStyle w:val="Puce3"/>
        <w:rPr/>
      </w:pPr>
      <w:r>
        <w:rPr/>
        <w:t>2.</w:t>
        <w:tab/>
        <w:t>Omdirigera subventioner och stärka incitamenten för ekologiskt och hållbart jordbruk som uppfyller särskilda miljönormer och bidrar till att uppnå globala klimatmål (Panel 3 – Rekommendationerna 1 och 12).</w:t>
      </w:r>
    </w:p>
    <w:p>
      <w:pPr>
        <w:pStyle w:val="Puce3"/>
        <w:rPr/>
      </w:pPr>
      <w:r>
        <w:rPr/>
        <w:t>3.</w:t>
        <w:tab/>
        <w:t>Tillämpa principerna för den cirkulära ekonomin på jordbruket och uppmuntra åtgärder för att bekämpa livsmedelsslöseri (debatt i arbetsgruppen, flerspråkig digital plattform – NPC).</w:t>
      </w:r>
    </w:p>
    <w:p>
      <w:pPr>
        <w:pStyle w:val="Puce3"/>
        <w:rPr/>
      </w:pPr>
      <w:r>
        <w:rPr/>
        <w:t>4.</w:t>
        <w:tab/>
        <w:t>Avsevärt minska användningen av bekämpningsmedel och kemiska gödselmedel, i linje med befintliga mål, samtidigt som man fortsätter att säkerställa livsmedelssäkerheten och stödja forskning för att utveckla mer hållbara och naturbaserade alternativ (panel 3 – rekommendation 10, debatt i arbetsgruppen).</w:t>
      </w:r>
    </w:p>
    <w:p>
      <w:pPr>
        <w:pStyle w:val="Puce3"/>
        <w:rPr/>
      </w:pPr>
      <w:r>
        <w:rPr/>
        <w:t>5.</w:t>
        <w:tab/>
        <w:t>Införa certifiering av koldioxidupptag på grundval av robust, robust och transparent koldioxidredovisning (plenardebatt).</w:t>
      </w:r>
    </w:p>
    <w:p>
      <w:pPr>
        <w:pStyle w:val="Puce3"/>
        <w:rPr/>
      </w:pPr>
      <w:r>
        <w:rPr/>
        <w:t>6.</w:t>
        <w:tab/>
        <w:t>Öka forskningen och innovationen, särskilt när det gäller tekniska lösningar som rör hållbar produktion, motståndskraft mot skadegörare och precisionsjordbruk samt kommunikation, rådgivningssystem och utbildning för jordbrukare och jordbrukare (panel 3 – rekommendation 10, debatt i arbetsgruppen, plenardebatt).</w:t>
      </w:r>
    </w:p>
    <w:p>
      <w:pPr>
        <w:pStyle w:val="Puce3"/>
        <w:rPr/>
      </w:pPr>
      <w:r>
        <w:rPr/>
        <w:t>7.</w:t>
        <w:tab/>
        <w:t>Avskaffa social dumpning och främja en rättvis grön övergång till bättre arbetstillfällen inom jordbrukssektorn med högkvalitativa säkerhets-, hälso- och arbetsvillkor (debatt i arbetsgruppen).</w:t>
      </w:r>
    </w:p>
    <w:p>
      <w:pPr>
        <w:pStyle w:val="Puce3"/>
        <w:rPr/>
      </w:pPr>
      <w:r>
        <w:rPr/>
        <w:t>8.</w:t>
        <w:tab/>
        <w:t>Diskutera aspekter som användningen av plast i jordbruksfilmer och sätt att minska vattenförbrukningen inom jordbruket (PNM).</w:t>
      </w:r>
    </w:p>
    <w:p>
      <w:pPr>
        <w:pStyle w:val="Puce3"/>
        <w:rPr/>
      </w:pPr>
      <w:r>
        <w:rPr/>
        <w:t>9.</w:t>
        <w:tab/>
        <w:t>Motiverad köttuppfödning och köttproduktion inriktad på djurens välbefinnande och hållbarhet genom åtgärder som tydlig märkning, hög kvalitet och gemensamma djurhållnings- och transportnormer, vilket stärker kopplingen mellan djur och foder (panel 3 – rekommendationerna 16 och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Förslag: Jordbruk, livsmedelsproduktion, biologisk mångfald och ekosystem, föroreningar</w:t>
      </w:r>
    </w:p>
    <w:p>
      <w:pPr>
        <w:pStyle w:val="P68B1DB1Normal15"/>
        <w:rPr/>
      </w:pPr>
      <w:r>
        <w:rPr/>
        <w:t>Mål: Skydda och återställa biologisk mångfald, landskap och hav och eliminera föroreningar.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Åtgärder:</w:t>
      </w:r>
    </w:p>
    <w:p>
      <w:pPr>
        <w:pStyle w:val="Puce3"/>
        <w:tabs>
          <w:tab w:val="clear" w:pos="720"/>
        </w:tabs>
        <w:rPr/>
      </w:pPr>
      <w:r>
        <w:rPr/>
        <w:t>1.</w:t>
        <w:tab/>
        <w:t>Skapa, återställa, förvalta och utvidga skyddade områden för bevarande av den biologiska mångfalden (rekommendation FR, panel 3 – rekommendation 11).</w:t>
      </w:r>
    </w:p>
    <w:p>
      <w:pPr>
        <w:pStyle w:val="Puce3"/>
        <w:tabs>
          <w:tab w:val="clear" w:pos="720"/>
        </w:tabs>
        <w:rPr/>
      </w:pPr>
      <w:r>
        <w:rPr/>
        <w:t>2.</w:t>
        <w:tab/>
        <w:t>Inrätta ett tvångs- och belöningssystem för att bekämpa föroreningar, med tillämpning av principen att förorenaren betalar, som också bör integreras i skatteåtgärder och med bättre medvetenhet och incitament (panel 3 – rekommendation 32, FR-rekommendation, plenardebatt).</w:t>
      </w:r>
    </w:p>
    <w:p>
      <w:pPr>
        <w:pStyle w:val="Puce3"/>
        <w:tabs>
          <w:tab w:val="clear" w:pos="720"/>
        </w:tabs>
        <w:rPr/>
      </w:pPr>
      <w:r>
        <w:rPr/>
        <w:t>3.</w:t>
        <w:tab/>
        <w:t>Bredda kommunernas roll i stadsplaneringen och byggandet av nya byggnader som stöder blå och grön infrastruktur, undviker ytterligare tätning av mark och sätter stopp för den, obligatoriska grönområden för nya byggnader för att främja biologisk mångfald och stadsskogar (panel 3 – rekommendation 5, panel 1 – rekommendation 18, rekommendation FR).</w:t>
      </w:r>
    </w:p>
    <w:p>
      <w:pPr>
        <w:pStyle w:val="Puce3"/>
        <w:tabs>
          <w:tab w:val="clear" w:pos="720"/>
        </w:tabs>
        <w:rPr/>
      </w:pPr>
      <w:r>
        <w:rPr/>
        <w:t>4.</w:t>
        <w:tab/>
        <w:t>Skydda insekter, särskilt inhemska och pollinerande arter, bland annat genom skydd mot invasiva arter och bättre efterlevnad av befintliga regler (panel 1 – rekommendation 18).</w:t>
      </w:r>
    </w:p>
    <w:p>
      <w:pPr>
        <w:pStyle w:val="Puce3"/>
        <w:tabs>
          <w:tab w:val="clear" w:pos="720"/>
        </w:tabs>
        <w:rPr/>
      </w:pPr>
      <w:r>
        <w:rPr/>
        <w:t>5.</w:t>
        <w:tab/>
        <w:t>Stöd till beskogning och återbeskogning, inbegripet skogar som förstörts av bränder, tillämpar ansvarsfull skogsförvaltning och uppmuntrar till bättre användning av trä för att ersätta andra material. Fastställa bindande nationella mål i alla EU-medlemsstater för återbeskogning av inhemska träd och lokala växter, med beaktande av olika nationella situationer och särdrag (panel 3 – rekommendation 14, panel 1 – rekommendation 18).</w:t>
      </w:r>
    </w:p>
    <w:p>
      <w:pPr>
        <w:pStyle w:val="Puce3"/>
        <w:tabs>
          <w:tab w:val="clear" w:pos="720"/>
        </w:tabs>
        <w:rPr/>
      </w:pPr>
      <w:r>
        <w:rPr/>
        <w:t>6.</w:t>
        <w:tab/>
        <w:t>Genomdriva och utvidga förbudet mot engångsplast.</w:t>
      </w:r>
    </w:p>
    <w:p>
      <w:pPr>
        <w:pStyle w:val="Puce3"/>
        <w:tabs>
          <w:tab w:val="clear" w:pos="720"/>
        </w:tabs>
        <w:rPr/>
      </w:pPr>
      <w:r>
        <w:rPr/>
        <w:t>7.</w:t>
        <w:tab/>
        <w:t>Skydd av vattenkällor och bekämpning av flod- och havsföroreningar, bland annat genom forskning och bekämpning av mikroplastföroreningar, och främjande av miljövänliga transporter med bästa tillgängliga teknik och inrättande av unionsforskning och finansiering av alternativa marina bränslen och -teknik (NMP, debatt i arbetsgruppen).</w:t>
      </w:r>
    </w:p>
    <w:p>
      <w:pPr>
        <w:pStyle w:val="Puce3"/>
        <w:tabs>
          <w:tab w:val="clear" w:pos="720"/>
        </w:tabs>
        <w:rPr/>
      </w:pPr>
      <w:r>
        <w:rPr/>
        <w:t>8.</w:t>
        <w:tab/>
        <w:t>Begränsa ljusföroreningar (debatt i arbetsgruppen).</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Förslag: Klimatförändringar, energi, transport</w:t>
      </w:r>
    </w:p>
    <w:p>
      <w:pPr>
        <w:pStyle w:val="P68B1DB1Normal15"/>
        <w:rPr/>
      </w:pPr>
      <w:r>
        <w:rPr/>
        <w:t>Mål: Öka den europeiska energitryggheten och uppnå unionens energioberoende samtidigt som man säkerställer en rättvis omställning och tillhandahåller tillräcklig hållbar och överkomlig energi för européerna. Bekämpa klimatförändringarna genom att ge EU en global ledarroll i hållbar energipolitik och respektera globala klimatskyddsmål.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Åtgärder:</w:t>
      </w:r>
    </w:p>
    <w:p>
      <w:pPr>
        <w:pStyle w:val="Puce3"/>
        <w:tabs>
          <w:tab w:val="clear" w:pos="720"/>
        </w:tabs>
        <w:rPr/>
      </w:pPr>
      <w:r>
        <w:rPr/>
        <w:t>1.</w:t>
        <w:tab/>
        <w:t>Uppnå och om möjligt påskynda den gröna omställningen, bland annat genom att investera mer i förnybar energi, för att minska det externa energiberoendet, och även erkänna de lokala och regionala myndigheternas roll i den gröna omställningen (debatt i arbetsgruppen).</w:t>
      </w:r>
    </w:p>
    <w:p>
      <w:pPr>
        <w:pStyle w:val="Puce3"/>
        <w:tabs>
          <w:tab w:val="clear" w:pos="720"/>
        </w:tabs>
        <w:rPr/>
      </w:pPr>
      <w:r>
        <w:rPr/>
        <w:t>2.</w:t>
        <w:tab/>
        <w:t>Inom energipolitiken undersöka de geopolitiska och säkerhetsmässiga konsekvenserna av alla energileverantörer från tredjeländer, särskilt när det gäller mänskliga rättigheter, ekologi, goda styrelseformer och rättsstatsprincipen (debatt i arbetsgruppen).</w:t>
      </w:r>
    </w:p>
    <w:p>
      <w:pPr>
        <w:pStyle w:val="Puce3"/>
        <w:tabs>
          <w:tab w:val="clear" w:pos="720"/>
        </w:tabs>
        <w:rPr/>
      </w:pPr>
      <w:r>
        <w:rPr/>
        <w:t>3.</w:t>
        <w:tab/>
        <w:t>Minska beroendet av olje- och gasimport genom energieffektivitetsprojekt, stöd till överkomlig kollektivtrafik, ett höghastighetsjärnvägsnät för godstransporter och utbyggnad av ren och förnybar energiförsörjning (panel 4 – rekommendation 2, panel 1 – rekommendation 10, FR och DE rekommendationer).</w:t>
      </w:r>
    </w:p>
    <w:p>
      <w:pPr>
        <w:pStyle w:val="Puce3"/>
        <w:tabs>
          <w:tab w:val="clear" w:pos="720"/>
        </w:tabs>
        <w:rPr/>
      </w:pPr>
      <w:r>
        <w:rPr/>
        <w:t>4.</w:t>
        <w:tab/>
        <w:t>Förbättra kvaliteten och sammanlänkningen, säkerställa underhåll och omvandling av elinfrastruktur och elnät för att öka säkerheten och möjliggöra övergången till förnybara energikällor (panel 1 – rekommendation 10, debatt i arbetsgruppen).</w:t>
      </w:r>
    </w:p>
    <w:p>
      <w:pPr>
        <w:pStyle w:val="Puce3"/>
        <w:tabs>
          <w:tab w:val="clear" w:pos="720"/>
        </w:tabs>
        <w:rPr/>
      </w:pPr>
      <w:r>
        <w:rPr/>
        <w:t>5.</w:t>
        <w:tab/>
        <w:t>Investera i teknik som kan producera förnybar energi, t.ex. effektiv produktion av grön vätgas, särskilt i sektorer som är svåra att elektrifiera (panel 3 – rekommendation 31, debatt i arbetsgruppen).</w:t>
      </w:r>
    </w:p>
    <w:p>
      <w:pPr>
        <w:pStyle w:val="Puce3"/>
        <w:tabs>
          <w:tab w:val="clear" w:pos="720"/>
        </w:tabs>
        <w:rPr/>
      </w:pPr>
      <w:r>
        <w:rPr/>
        <w:t>6.</w:t>
        <w:tab/>
        <w:t>Investera i utforskning av nya energikällor och miljövänliga lagringsmetoder och, i avvaktan på en konkret lösning, göra ytterligare investeringar i befintliga optimala lösningar för energiproduktion och energilagring (Panel 3 – rekommendationerna 9 och 31).</w:t>
      </w:r>
    </w:p>
    <w:p>
      <w:pPr>
        <w:pStyle w:val="Puce3"/>
        <w:tabs>
          <w:tab w:val="clear" w:pos="720"/>
        </w:tabs>
        <w:rPr/>
      </w:pPr>
      <w:r>
        <w:rPr/>
        <w:t>7.</w:t>
        <w:tab/>
        <w:t>Göra koldioxidfilter</w:t>
      </w:r>
      <w:r>
        <w:rPr>
          <w:vertAlign w:val="subscript"/>
        </w:rPr>
        <w:t>obligatoriska</w:t>
      </w:r>
      <w:r>
        <w:rPr/>
        <w:t xml:space="preserve"> i kraftverk för fossila bränslen och ge ekonomiskt stöd till medlemsstater som inte har ekonomiska resurser för att genomföra koldioxidfilter (</w:t>
      </w:r>
      <w:r>
        <w:rPr>
          <w:vertAlign w:val="subscript"/>
        </w:rPr>
        <w:t>panel</w:t>
      </w:r>
      <w:r>
        <w:rPr/>
        <w:t xml:space="preserve"> 3 – rekommendation 29).</w:t>
      </w:r>
    </w:p>
    <w:p>
      <w:pPr>
        <w:pStyle w:val="Puce3"/>
        <w:tabs>
          <w:tab w:val="clear" w:pos="720"/>
        </w:tabs>
        <w:rPr/>
      </w:pPr>
      <w:r>
        <w:rPr/>
        <w:t>8.</w:t>
        <w:tab/>
        <w:t>Säkerställa en rättvis omställning, skydda arbetstagare och arbetstillfällen genom tillräcklig finansiering för övergång och vidare forskning, reformera skattesystemet genom rättvisare beskattning och åtgärder mot skattebedrägeri och säkerställa en inkluderande strategi för styrning i beslutsfattandet på alla nivåer (t.ex. ambitiösa omskolning och kompetenshöjningsåtgärder, starkt socialt skydd, hålla offentliga tjänster i händerna på staten, upprätthålla hälso- och säkerhetsregler på arbetsplatsen) (plenardebatt, debatt i arbetsgruppen, NPC).</w:t>
      </w:r>
    </w:p>
    <w:p>
      <w:pPr>
        <w:pStyle w:val="Puce3"/>
        <w:tabs>
          <w:tab w:val="clear" w:pos="720"/>
        </w:tabs>
        <w:rPr/>
      </w:pPr>
      <w:r>
        <w:rPr/>
        <w:t>9.</w:t>
        <w:tab/>
        <w:t>Införa ett investeringspaket för klimatvänlig teknik och klimatvänliga innovationer, som bör finansieras genom klimatrelaterade importtullar och klimatrelaterade koldioxidjusteringsavgifter (DE-rekommendation).</w:t>
      </w:r>
    </w:p>
    <w:p>
      <w:pPr>
        <w:pStyle w:val="Puce3"/>
        <w:tabs>
          <w:tab w:val="clear" w:pos="720"/>
        </w:tabs>
        <w:rPr/>
      </w:pPr>
      <w:r>
        <w:rPr/>
        <w:t>10.</w:t>
        <w:tab/>
        <w:t>I slutet av en övergångsperiod bör fossila bränslen inte längre få subventioner och ingen finansiering av traditionell gasinfrastruktur bör äga rum (debatt i arbetsgruppen).</w:t>
      </w:r>
    </w:p>
    <w:p>
      <w:pPr>
        <w:pStyle w:val="Puce3"/>
        <w:tabs>
          <w:tab w:val="clear" w:pos="720"/>
        </w:tabs>
        <w:rPr/>
      </w:pPr>
      <w:r>
        <w:rPr/>
        <w:t>11.</w:t>
        <w:tab/>
        <w:t>Att öka EU:s ledarskap och roll och ansvar för att främja ambitiösa klimatåtgärder och en rättvis omställning och bidra till att reagera på förluster och skador på den internationella arenan, där FN måste stå i centrum för åtgärden (Nederländernas rekommendation, arbetsgruppens debatt).</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Förslag: Klimatförändringar, energi, transport</w:t>
      </w:r>
    </w:p>
    <w:p>
      <w:pPr>
        <w:pStyle w:val="P68B1DB1Normal15"/>
        <w:rPr/>
      </w:pPr>
      <w:r>
        <w:rPr/>
        <w:t>Mål: Tillhandahålla modern, säker, ekologisk och högkvalitativ infrastruktur som säkerställer konnektivitet, även i landsbygds- och öområden, bland annat genom kollektivtrafik till överkomliga priser.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Åtgärder:</w:t>
      </w:r>
    </w:p>
    <w:p>
      <w:pPr>
        <w:pStyle w:val="Puce3"/>
        <w:tabs>
          <w:tab w:val="clear" w:pos="720"/>
        </w:tabs>
        <w:rPr/>
      </w:pPr>
      <w:r>
        <w:rPr/>
        <w:t>1.</w:t>
        <w:tab/>
        <w:t>Stödja kollektivtrafiken och utveckla ett effektivt, tillförlitligt och överkomligt europeiskt kollektivtrafiknät, särskilt på landsbygden och på öar, genom ytterligare incitament för användning av kollektivtrafik (panel 3 – rekommendation 36, panel 4 – rekommendation 2).</w:t>
      </w:r>
    </w:p>
    <w:p>
      <w:pPr>
        <w:pStyle w:val="Puce3"/>
        <w:tabs>
          <w:tab w:val="clear" w:pos="720"/>
        </w:tabs>
        <w:rPr/>
      </w:pPr>
      <w:r>
        <w:rPr/>
        <w:t>2.</w:t>
        <w:tab/>
        <w:t>Investera i nattåg med höghastighetståg och fastställa en enda standard för miljövänlig järnvägsteknik i Europa för att erbjuda ett trovärdigt alternativ och underlätta möjligheten att ersätta och avskräcka kortdistansflygningar (debatt i arbetsgruppen, NPM).</w:t>
      </w:r>
    </w:p>
    <w:p>
      <w:pPr>
        <w:pStyle w:val="Puce3"/>
        <w:tabs>
          <w:tab w:val="clear" w:pos="720"/>
        </w:tabs>
        <w:rPr/>
      </w:pPr>
      <w:r>
        <w:rPr/>
        <w:t>3.</w:t>
        <w:tab/>
        <w:t>Uppmuntra köpet, med beaktande av hushållens överkomliga priser, och (delad) användning av elfordon som uppfyller en god batterilivslängd samt investeringar i nödvändig laddningsinfrastruktur och investeringar i utveckling av annan ren teknik för fordon vars elektrifiering är svår att uppnå (panel 3 – rekommendation 38).</w:t>
      </w:r>
    </w:p>
    <w:p>
      <w:pPr>
        <w:pStyle w:val="Puce3"/>
        <w:tabs>
          <w:tab w:val="clear" w:pos="720"/>
        </w:tabs>
        <w:rPr/>
      </w:pPr>
      <w:r>
        <w:rPr/>
        <w:t>4.</w:t>
        <w:tab/>
        <w:t>Upprätta bredbandsanslutning till internet och mobilnät i landsbygds- och öområden (panel 3 – rekommendation 36).</w:t>
      </w:r>
    </w:p>
    <w:p>
      <w:pPr>
        <w:pStyle w:val="Puce3"/>
        <w:tabs>
          <w:tab w:val="clear" w:pos="720"/>
        </w:tabs>
        <w:rPr/>
      </w:pPr>
      <w:r>
        <w:rPr/>
        <w:t>5.</w:t>
        <w:tab/>
        <w:t>Förbättra befintlig transportinfrastruktur ur ekologisk synvinkel (panel 3 – rekommendation 37).</w:t>
      </w:r>
    </w:p>
    <w:p>
      <w:pPr>
        <w:pStyle w:val="Puce3"/>
        <w:tabs>
          <w:tab w:val="clear" w:pos="720"/>
        </w:tabs>
        <w:rPr/>
      </w:pPr>
      <w:r>
        <w:rPr/>
        <w:t>6.</w:t>
        <w:tab/>
        <w:t>Kräva program för stadsutveckling för ”grönare” städer med färre utsläpp, med specifika områden utan bilar i städerna, utan att skada kommersiella områden (panel 3 – rekommendation 6).</w:t>
      </w:r>
    </w:p>
    <w:p>
      <w:pPr>
        <w:pStyle w:val="Puce3"/>
        <w:tabs>
          <w:tab w:val="clear" w:pos="720"/>
        </w:tabs>
        <w:rPr/>
      </w:pPr>
      <w:r>
        <w:rPr/>
        <w:t>7.</w:t>
        <w:tab/>
        <w:t>Förbättra infrastrukturen för cyklar och ge fler rättigheter och rättsligt skydd för cyklister och fotgängare, särskilt vid olyckor med ett motorfordon, garantera trafiksäkerheten och tillhandahålla utbildning om vägkoden (Panel 3 – rekommendation 4).</w:t>
      </w:r>
    </w:p>
    <w:p>
      <w:pPr>
        <w:pStyle w:val="Puce3"/>
        <w:tabs>
          <w:tab w:val="clear" w:pos="720"/>
        </w:tabs>
        <w:rPr/>
      </w:pPr>
      <w:r>
        <w:rPr/>
        <w:t>8.</w:t>
        <w:tab/>
        <w:t>Reglera gruvdriften av kryptovalutor, som använder en betydande mängd energi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Förslag: Hållbar konsumtion, förpackning och produktion</w:t>
      </w:r>
    </w:p>
    <w:p>
      <w:pPr>
        <w:pStyle w:val="P68B1DB1Normal15"/>
        <w:rPr/>
      </w:pPr>
      <w:r>
        <w:rPr/>
        <w:t>Mål: Förbättra användningen och hanteringen av material i unionen för att främja den cirkulära ekonomin, bli mer självständig och vara mindre beroende. Utveckla en cirkulär ekonomi genom att främja hållbar produktion och hållbara produkter i unionen. Säkerställa att alla produkter som släpps ut på unionsmarknaden uppfyller unionens gemensamma miljönormer.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Åtgärder:</w:t>
      </w:r>
    </w:p>
    <w:p>
      <w:pPr>
        <w:pStyle w:val="Puce3"/>
        <w:tabs>
          <w:tab w:val="clear" w:pos="720"/>
        </w:tabs>
        <w:rPr/>
      </w:pPr>
      <w:r>
        <w:rPr/>
        <w:t>1.</w:t>
        <w:tab/>
        <w:t>Striktare och harmoniserade unionsproduktionsstandarder och transparent märkningssystem för alla produkter som säljs på EU-marknaden med avseende på deras hållbarhet/miljöavtryck och livslängd genom en QR-kod och ett ekostreck eller digitalt produktpass (panel 3 – rekommendationerna 8, 13, 20 och 21, panel 1 – rekommendation 16, panel 4 – rekommendation 13).</w:t>
      </w:r>
    </w:p>
    <w:p>
      <w:pPr>
        <w:pStyle w:val="Puce3"/>
        <w:tabs>
          <w:tab w:val="clear" w:pos="720"/>
        </w:tabs>
        <w:rPr/>
      </w:pPr>
      <w:r>
        <w:rPr/>
        <w:t>2.</w:t>
        <w:tab/>
        <w:t>Se över de globala leveranskedjorna, även inom jordbruksproduktionen, för att minska EU:s beroende och korta kretslopp.</w:t>
      </w:r>
    </w:p>
    <w:p>
      <w:pPr>
        <w:pStyle w:val="Puce3"/>
        <w:tabs>
          <w:tab w:val="clear" w:pos="720"/>
        </w:tabs>
        <w:rPr/>
      </w:pPr>
      <w:r>
        <w:rPr/>
        <w:t>3.</w:t>
        <w:tab/>
        <w:t>Ytterligare förhindra avfallsgenerering genom att fastställa mål för förebyggande och återanvändning och fastställa kvalitetsstandarder för avfallssorteringssystem (debatt i arbetsgruppens rekommendation).</w:t>
      </w:r>
    </w:p>
    <w:p>
      <w:pPr>
        <w:pStyle w:val="Puce3"/>
        <w:tabs>
          <w:tab w:val="clear" w:pos="720"/>
        </w:tabs>
        <w:rPr/>
      </w:pPr>
      <w:r>
        <w:rPr/>
        <w:t>4.</w:t>
        <w:tab/>
        <w:t>Fasa ut ohållbara förpackningar, reglera miljövänliga förpackningar och undvika slöseri med material i förpackningar genom ekonomiska incitament och sanktioner samt investeringar i alternativ forskning (panel 3 – rekommendation 15 och 25, panel 1 – rekommendation 12, panel 4 – rekommendation 16).</w:t>
      </w:r>
    </w:p>
    <w:p>
      <w:pPr>
        <w:pStyle w:val="Puce3"/>
        <w:tabs>
          <w:tab w:val="clear" w:pos="720"/>
        </w:tabs>
        <w:rPr/>
      </w:pPr>
      <w:r>
        <w:rPr/>
        <w:t>5.</w:t>
        <w:tab/>
        <w:t>Införa ett europeiskt system för deponering av förpackningar och avancerade standarder för containrar (panel 3 – rekommendationerna 22 och 23, NPC).</w:t>
      </w:r>
    </w:p>
    <w:p>
      <w:pPr>
        <w:pStyle w:val="Puce3"/>
        <w:tabs>
          <w:tab w:val="clear" w:pos="720"/>
        </w:tabs>
        <w:rPr/>
      </w:pPr>
      <w:r>
        <w:rPr/>
        <w:t>6.</w:t>
        <w:tab/>
        <w:t>Lansera en EU-kunskapsplattform om hur man kan säkerställa en hållbar och långsiktig användning av produkter och hur man kan ”reparera” dem, inklusive information som finns tillgänglig från konsumentorganisationer (panel 3 – rekommendation 20).</w:t>
      </w:r>
    </w:p>
    <w:p>
      <w:pPr>
        <w:pStyle w:val="Puce3"/>
        <w:tabs>
          <w:tab w:val="clear" w:pos="720"/>
        </w:tabs>
        <w:rPr/>
      </w:pPr>
      <w:r>
        <w:rPr/>
        <w:t>7.</w:t>
        <w:tab/>
        <w:t>Införa åtgärder för att bekämpa tidig eller förtida åldrande, inklusive planerat åldrande, säkerställa längre skyddsåtgärder, främja rätten till reparation och säkerställa tillgången till och tillgången till kompatibla reservdelar (panel 3 – rekommendation 20, FR-rekommendation, rekommendation DE, panel 1 – rekommendation 14).</w:t>
      </w:r>
    </w:p>
    <w:p>
      <w:pPr>
        <w:pStyle w:val="Puce3"/>
        <w:tabs>
          <w:tab w:val="clear" w:pos="720"/>
        </w:tabs>
        <w:rPr/>
      </w:pPr>
      <w:r>
        <w:rPr/>
        <w:t>8.</w:t>
        <w:tab/>
        <w:t>Skapa en marknad för returråvaror med beaktande av obligatoriska mängder återvunnet material genom att uppmuntra minskad användning av råvaror (debatt i arbetsgruppen).</w:t>
      </w:r>
    </w:p>
    <w:p>
      <w:pPr>
        <w:pStyle w:val="Puce3"/>
        <w:tabs>
          <w:tab w:val="clear" w:pos="720"/>
        </w:tabs>
        <w:rPr/>
      </w:pPr>
      <w:r>
        <w:rPr/>
        <w:t>9.</w:t>
        <w:tab/>
        <w:t>Snabbt genomförande av en ambitiös textilstrategi och definition av en mekanism för att konsumenterna ska kunna veta att produkten uppfyller hållbarhetskriterierna (panel 3 – rekommendation 28, debatt i arbetsgruppen).</w:t>
      </w:r>
    </w:p>
    <w:p>
      <w:pPr>
        <w:pStyle w:val="Puce3"/>
        <w:tabs>
          <w:tab w:val="clear" w:pos="720"/>
        </w:tabs>
        <w:rPr/>
      </w:pPr>
      <w:r>
        <w:rPr/>
        <w:t>10.</w:t>
        <w:tab/>
        <w:t>EU:s åtgärder för att göra det möjligt för konsumenterna att använda produkter längre och uppmuntra dem att göra det (panel 3 – rekommendation 20).</w:t>
      </w:r>
    </w:p>
    <w:p>
      <w:pPr>
        <w:pStyle w:val="Puce3"/>
        <w:tabs>
          <w:tab w:val="clear" w:pos="720"/>
        </w:tabs>
        <w:rPr/>
      </w:pPr>
      <w:r>
        <w:rPr/>
        <w:t>11.</w:t>
        <w:tab/>
        <w:t>Stärka miljönormerna och genomdriva bestämmelserna om export av avfall i EU och till tredjeländer (panel 4 – rekommendation 15, NPC).</w:t>
      </w:r>
    </w:p>
    <w:p>
      <w:pPr>
        <w:pStyle w:val="Puce3"/>
        <w:tabs>
          <w:tab w:val="clear" w:pos="720"/>
        </w:tabs>
        <w:rPr/>
      </w:pPr>
      <w:r>
        <w:rPr/>
        <w:t>12.</w:t>
        <w:tab/>
        <w:t>Införa åtgärder för att begränsa reklamen för miljöskadliga produkter genom att införa en obligatorisk ansvarsfriskrivning för produkter som är särskilt skadliga för miljön (panel 3 – rekommendation 22).</w:t>
      </w:r>
    </w:p>
    <w:p>
      <w:pPr>
        <w:pStyle w:val="Puce3"/>
        <w:tabs>
          <w:tab w:val="clear" w:pos="720"/>
        </w:tabs>
        <w:rPr/>
      </w:pPr>
      <w:r>
        <w:rPr/>
        <w:t>13.</w:t>
        <w:tab/>
        <w:t>Tillämpa strängare tillverkningsstandarder och rättvisa arbetsförhållanden längs hela produktions- och värdekedjan (panel 3 – rekommendation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Förslag: Information, medvetenhet, dialog och livsstil</w:t>
      </w:r>
    </w:p>
    <w:p>
      <w:pPr>
        <w:pStyle w:val="P68B1DB1Normal15"/>
        <w:rPr/>
      </w:pPr>
      <w:r>
        <w:rPr/>
        <w:t>Mål: Uppmuntra kunskap, medvetenhet, utbildning och dialog om miljö, klimatförändringar, energianvändning och hållbarhet.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Åtgärder:</w:t>
      </w:r>
    </w:p>
    <w:p>
      <w:pPr>
        <w:pStyle w:val="Puce3"/>
        <w:tabs>
          <w:tab w:val="clear" w:pos="720"/>
        </w:tabs>
        <w:rPr/>
      </w:pPr>
      <w:r>
        <w:rPr/>
        <w:t>1.</w:t>
        <w:tab/>
        <w:t>Skapa en interaktiv plattform vars fakta har verifierats för att tillhandahålla mångsidig och regelbundet uppdaterad vetenskaplig information på miljöområdet (panel 3 – rekommendation 33).</w:t>
      </w:r>
    </w:p>
    <w:p>
      <w:pPr>
        <w:pStyle w:val="Puce3"/>
        <w:tabs>
          <w:tab w:val="clear" w:pos="720"/>
        </w:tabs>
        <w:rPr/>
      </w:pPr>
      <w:r>
        <w:rPr/>
        <w:t>2.</w:t>
        <w:tab/>
        <w:t>Stödja kampanjer för ekologisk medvetenhet, inbegripet en långsiktig europeisk kampanj för hållbar konsumtion och livsstil (rekommendationerna DE, NL och FR, panel 3 – rekommendation 7).</w:t>
      </w:r>
    </w:p>
    <w:p>
      <w:pPr>
        <w:pStyle w:val="Puce3"/>
        <w:tabs>
          <w:tab w:val="clear" w:pos="720"/>
        </w:tabs>
        <w:rPr/>
      </w:pPr>
      <w:r>
        <w:rPr/>
        <w:t>3.</w:t>
        <w:tab/>
        <w:t>Uppmuntra och underlätta dialog och samråd mellan alla beslutsnivåer, särskilt med ungdomar och på lokal nivå (rekommendationer från DE, NL och FR, panel 3 – rekommendationerna 27 och 35, plenardebatt).</w:t>
      </w:r>
    </w:p>
    <w:p>
      <w:pPr>
        <w:pStyle w:val="Puce3"/>
        <w:tabs>
          <w:tab w:val="clear" w:pos="720"/>
        </w:tabs>
        <w:rPr/>
      </w:pPr>
      <w:r>
        <w:rPr/>
        <w:t>4.</w:t>
        <w:tab/>
        <w:t>Unionens definition, med stöd av medlemsstaterna, av en gemensam europeisk stadga med inriktning på miljöfrågor och främjande av miljömedvetenhet bland alla medborgare (panel 3 – rekommendation 7).</w:t>
      </w:r>
    </w:p>
    <w:p>
      <w:pPr>
        <w:pStyle w:val="Puce3"/>
        <w:tabs>
          <w:tab w:val="clear" w:pos="720"/>
        </w:tabs>
        <w:rPr/>
      </w:pPr>
      <w:r>
        <w:rPr/>
        <w:t>5.</w:t>
        <w:tab/>
        <w:t>Tillhandahålla kurser och undervisningsmaterial för alla i syfte att förbättra kunskapen om klimat och hållbarhet och möjliggöra livslångt lärande i miljöfrågor (panel 1 – rekommendationerna 15 och 35, panel 3 – rekommendation 24, arbetsgruppens debatt).</w:t>
      </w:r>
    </w:p>
    <w:p>
      <w:pPr>
        <w:pStyle w:val="Puce3"/>
        <w:tabs>
          <w:tab w:val="clear" w:pos="720"/>
        </w:tabs>
        <w:rPr/>
      </w:pPr>
      <w:r>
        <w:rPr/>
        <w:t>6.</w:t>
        <w:tab/>
        <w:t>Integrera livsmedelsproduktion och skydd av den biologiska mångfalden i utbildningssystemet, inbegripet fördelarna med obearbetade livsmedel jämfört med bearbetade livsmedel, och uppmuntra skapandet av skolträdgårdar och bidrag till stadsträdgårdsprojekt och vertikalt jordbruk (panel 3 – rekommendation 5, panel 1 – rekommendation 18). Överväga att göra biologisk mångfald till ett obligatoriskt ämne i skolorna och öka allmänhetens medvetenhet om biologisk mångfald genom mediekampanjer och ”konkurrenser” som främjas i hela EU (lokala regeringstävlingar) (panel 3 – rekommendation 5, panel 1 – rekommendation 18).</w:t>
      </w:r>
    </w:p>
    <w:p>
      <w:pPr>
        <w:pStyle w:val="Puce3"/>
        <w:tabs>
          <w:tab w:val="clear" w:pos="720"/>
        </w:tabs>
        <w:rPr/>
      </w:pPr>
      <w:r>
        <w:rPr/>
        <w:t>7.</w:t>
        <w:tab/>
        <w:t>Stärka unionens roll och åtgärder på miljö- och utbildningsområdet genom att utvidga unionens befogenheter på utbildningsområdet för klimatförändringar och miljö och genom att utvidga beslutsfattandet med kvalificerad majoritet till ämnen som definieras som ”europeiskt intresse”, t.ex. miljö (Nederländernas och Frankrikes rekommendationer).</w:t>
      </w:r>
    </w:p>
    <w:p>
      <w:pPr>
        <w:pStyle w:val="Puce3"/>
        <w:tabs>
          <w:tab w:val="clear" w:pos="720"/>
        </w:tabs>
        <w:rPr/>
      </w:pPr>
      <w:r>
        <w:rPr/>
        <w:t>8.</w:t>
        <w:tab/>
        <w:t>Främja en växtdiet med hänsyn till klimatskydd och miljöskydd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95">
            <wp:simplePos x="0" y="0"/>
            <wp:positionH relativeFrom="column">
              <wp:posOffset>23495</wp:posOffset>
            </wp:positionH>
            <wp:positionV relativeFrom="paragraph">
              <wp:posOffset>51435</wp:posOffset>
            </wp:positionV>
            <wp:extent cx="913765" cy="913765"/>
            <wp:effectExtent l="0" t="0" r="0" b="0"/>
            <wp:wrapSquare wrapText="largest"/>
            <wp:docPr id="62" name="Bild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Hälsa”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7.Förslag: En hälsosam kost och en hälsosam livsstil </w:t>
      </w:r>
    </w:p>
    <w:p>
      <w:pPr>
        <w:pStyle w:val="P68B1DB1Normal15"/>
        <w:rPr/>
      </w:pPr>
      <w:r>
        <w:rPr/>
        <w:t>Mål: Se till att alla européer har tillgång till hälsosam kostutbildning och tillgång till hälsosamma och överkomliga livsmedel som en grund för en hälsosam livsstil, särskilt genom följande åtgärder: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Åtgärder</w:t>
      </w:r>
      <w:r>
        <w:rPr>
          <w:rStyle w:val="Ancredenotedefin"/>
          <w:rStyle w:val="Ancredenotedefin"/>
        </w:rPr>
        <w:endnoteReference w:id="2"/>
      </w:r>
      <w:r>
        <w:rPr/>
        <w:t>:</w:t>
      </w:r>
    </w:p>
    <w:p>
      <w:pPr>
        <w:pStyle w:val="Puce3"/>
        <w:tabs>
          <w:tab w:val="clear" w:pos="720"/>
        </w:tabs>
        <w:rPr/>
      </w:pPr>
      <w:r>
        <w:rPr/>
        <w:t>1.</w:t>
        <w:tab/>
        <w:t>Fastställa miniminormer för livsmedelskvalitet och spårbarhet, särskilt genom att begränsa användningen av antibiotika och andra veterinärmedicinska läkemedel till vad som är absolut nödvändigt för att skydda djurens hälsa och välbefinnande, i stället för att använda dem på ett förebyggande sätt, och för att säkerställa en förstärkning av kontrollerna i detta avseende. [#23, #17]</w:t>
      </w:r>
    </w:p>
    <w:p>
      <w:pPr>
        <w:pStyle w:val="Puce3"/>
        <w:tabs>
          <w:tab w:val="clear" w:pos="720"/>
        </w:tabs>
        <w:rPr/>
      </w:pPr>
      <w:r>
        <w:rPr/>
        <w:t>2.</w:t>
        <w:tab/>
        <w:t>Informera medborgarna om hälsosamma vanor att anta från tidig ålder och uppmuntra dem att göra säkra och hälsosamma val genom att beskatta bearbetade livsmedel som inte är det och göra hälsoinformation om livsmedel lättillgänglig. i detta syfte inrätta ett europeiskt system för bedömning av bearbetade livsmedel som bygger på vetenskaplig och oberoende sakkunskap samt en märkning om användningen av hormonella ämnen och hormonstörande ämnen i livsmedelsproduktionen, och i detta avseende stärka övervakningen och efterlevnaden av befintliga bestämmelser och överväga att stärka dem. [#18, #19, GT]</w:t>
      </w:r>
    </w:p>
    <w:p>
      <w:pPr>
        <w:pStyle w:val="Puce3"/>
        <w:tabs>
          <w:tab w:val="clear" w:pos="720"/>
        </w:tabs>
        <w:rPr/>
      </w:pPr>
      <w:r>
        <w:rPr/>
        <w:t>3.</w:t>
        <w:tab/>
        <w:t>Uppmuntra dialog med aktörer i livsmedelskedjan, från produktion till försäljning, som en del av företagens sociala ansvar för hälsosamma livsmedel. [#19, GT]</w:t>
      </w:r>
    </w:p>
    <w:p>
      <w:pPr>
        <w:pStyle w:val="Puce3"/>
        <w:tabs>
          <w:tab w:val="clear" w:pos="720"/>
        </w:tabs>
        <w:rPr/>
      </w:pPr>
      <w:r>
        <w:rPr/>
        <w:t>4.</w:t>
        <w:tab/>
        <w:t>På unionsnivå stödja tillhandahållandet av hälsosamma, varierade och överkomliga livsmedel i offentliga serviceinrättningar, såsom skolmatsalar, sjukhus eller hälso- och sjukvårdsanläggningar, bland annat genom särskild finansiering. [#3, Plenary, WG]</w:t>
      </w:r>
    </w:p>
    <w:p>
      <w:pPr>
        <w:pStyle w:val="Puce3"/>
        <w:tabs>
          <w:tab w:val="clear" w:pos="720"/>
        </w:tabs>
        <w:rPr/>
      </w:pPr>
      <w:r>
        <w:rPr/>
        <w:t>5.</w:t>
        <w:tab/>
        <w:t>Investera i forskning om konsekvenserna av användningen av antibiotika och effekterna av hormonella ämnen och hormonstörande ämnen på människors hälsa.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Förslag: Stärka hälso- och sjukvårdssystemet</w:t>
      </w:r>
    </w:p>
    <w:p>
      <w:pPr>
        <w:pStyle w:val="P68B1DB1Normal15"/>
        <w:rPr/>
      </w:pPr>
      <w:r>
        <w:rPr/>
        <w:t>Mål: Stärka motståndskraften och kvaliteten i våra hälso- och sjukvårdssystem, bland annat genom att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Åtgärder</w:t>
      </w:r>
      <w:r>
        <w:rPr>
          <w:rStyle w:val="Ancredenotedefin"/>
          <w:rStyle w:val="Ancredenotedefin"/>
        </w:rPr>
        <w:endnoteReference w:id="4"/>
      </w:r>
      <w:r>
        <w:rPr/>
        <w:t>:</w:t>
      </w:r>
    </w:p>
    <w:p>
      <w:pPr>
        <w:pStyle w:val="Puce3"/>
        <w:tabs>
          <w:tab w:val="clear" w:pos="720"/>
        </w:tabs>
        <w:rPr/>
      </w:pPr>
      <w:r>
        <w:rPr/>
        <w:t>1.</w:t>
        <w:tab/>
        <w:t>Inrättandet av ett europeiskt område för hälsodata, vilket skulle underlätta utbytet av hälsodata. enskilda patientjournaler skulle kunna göras tillgängliga – på frivillig basis – med hjälp av ett EU-elektroniskt hälsopass, i enlighet med dataskyddsreglerna. [#41, GT]</w:t>
      </w:r>
    </w:p>
    <w:p>
      <w:pPr>
        <w:pStyle w:val="Puce3"/>
        <w:tabs>
          <w:tab w:val="clear" w:pos="720"/>
        </w:tabs>
        <w:rPr/>
      </w:pPr>
      <w:r>
        <w:rPr/>
        <w:t>2.</w:t>
        <w:tab/>
        <w:t>Adekvata arbetsvillkor, särskilt genom en stark social dialog, inbegripet löner och arbetsformer, och harmonisering av utbildnings- och certifieringsstandarder för hälso- och sjukvårdspersonal. nätverk och utbytesprogram bör utvecklas, t.ex. ett Erasmus för medicinska skolor, vilket i hög grad skulle bidra till kompetensutveckling. För att behålla talanger i Europa och göra det möjligt för unga yrkesverksamma att bredda sina kunskaper och få yrkeserfarenhet bör EU:s utbytesprogram inrättas för att säkerställa att våra bästa biovetenskapliga hjärnor inte lockas till tredjeländer. [#39, GT]</w:t>
      </w:r>
    </w:p>
    <w:p>
      <w:pPr>
        <w:pStyle w:val="Puce3"/>
        <w:tabs>
          <w:tab w:val="clear" w:pos="720"/>
        </w:tabs>
        <w:rPr/>
      </w:pPr>
      <w:r>
        <w:rPr/>
        <w:t>3.</w:t>
        <w:tab/>
        <w:t>Säkerställa strategiskt oberoende på unionsnivå för att undvika beroende av tredjeländer [NL2]</w:t>
      </w:r>
      <w:r>
        <w:rPr>
          <w:rStyle w:val="Ancredenotedefin"/>
          <w:rStyle w:val="Ancredenotedefin"/>
        </w:rPr>
        <w:endnoteReference w:id="5"/>
      </w:r>
      <w:r>
        <w:rPr/>
        <w:t xml:space="preserve"> för läkemedel (särskilt aktiva ingredienser) och medicintekniska produkter (inklusive råvaror), i synnerhet bör en förteckning över viktiga och prioriterade läkemedel och behandlingar, men också över innovativa läkemedel och behandlingar (t.ex. biotekniska lösningar) upprättas på unionsnivå, med utgångspunkt i befintliga europeiska byråer och HERA, för att säkerställa att de är tillgängliga för medborgarna. Överväga att organisera en samordnad strategisk lagring i hela unionen. För att uppnå nödvändiga samordnade och långsiktiga åtgärder på unionsnivå, inkludera hälsa och hälso- och sjukvård bland de befogenheter som delas mellan unionen och dess medlemsstater genom ändring av artikel 4 i EUF-fördraget. [#40, #49, plenarsammanträde, arbetsgruppen]</w:t>
      </w:r>
    </w:p>
    <w:p>
      <w:pPr>
        <w:pStyle w:val="Puce3"/>
        <w:tabs>
          <w:tab w:val="clear" w:pos="720"/>
        </w:tabs>
        <w:rPr/>
      </w:pPr>
      <w:r>
        <w:rPr/>
        <w:t>4.</w:t>
        <w:tab/>
        <w:t>Fortsätta att utveckla, samordna och finansiera befintliga program för forskning och innovation på hälsoområdet utan att äventyra andra hälsorelaterade program, särskilt för de europeiska referensnätverken, eftersom de utgör grunden för utvecklingen av nätverk för hälso- och sjukvård för högspecialiserade och komplexa behandlingar. [#42, #43, GT]</w:t>
      </w:r>
    </w:p>
    <w:p>
      <w:pPr>
        <w:pStyle w:val="Puce3"/>
        <w:tabs>
          <w:tab w:val="clear" w:pos="720"/>
        </w:tabs>
        <w:rPr/>
      </w:pPr>
      <w:r>
        <w:rPr/>
        <w:t>5.</w:t>
        <w:tab/>
        <w:t>Investera i hälso- och sjukvårdssystem, särskilt på det offentliga och icke-vinstdrivande området, infrastruktur och digital hälsa och se till att vårdgivare respekterar principerna om fullständig tillgänglighet, överkomlighet och kvalitet på tjänster, och på så sätt se till att resurserna inte dräneras av hälso- och sjukvårdspersonal med liten eller ingen hänsyn till allmänintresset. [#51, GT]</w:t>
      </w:r>
    </w:p>
    <w:p>
      <w:pPr>
        <w:pStyle w:val="Puce3"/>
        <w:tabs>
          <w:tab w:val="clear" w:pos="720"/>
        </w:tabs>
        <w:rPr/>
      </w:pPr>
      <w:r>
        <w:rPr/>
        <w:t>6.</w:t>
        <w:tab/>
        <w:t>Ge tydliga rekommendationer till medlemsstaterna om att investera i effektiva, tillgängliga, överkomliga, högkvalitativa och motståndskraftiga hälso- och sjukvårdssystem, även inom ramen för den europeiska planeringsterminen. Krigets inverkan på folkhälsan i Ukraina visar på behovet av ytterligare utveckling av motståndskraftiga hälso- och sjukvårdssystem och solidaritetsmekanismer.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Förslag: En bredare syn på hälsa</w:t>
      </w:r>
    </w:p>
    <w:p>
      <w:pPr>
        <w:pStyle w:val="P68B1DB1Normal15"/>
        <w:rPr/>
      </w:pPr>
      <w:r>
        <w:rPr/>
        <w:t>Mål: Anta en helhetssyn på hälsa genom att, utöver sjukdomar och behandlingar, ta itu med hälsokultur och förebyggande åtgärder och genom att främja en gemensam förståelse av de problem som sjuka eller funktionshindrade personer står inför, i linje med One Health-strategin, som bör betonas som en övergripande och grundläggande princip som omfattar all unionspolitik.</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Åtgärder</w:t>
      </w:r>
      <w:r>
        <w:rPr>
          <w:rStyle w:val="Ancredenotedefin"/>
          <w:rStyle w:val="Ancredenotedefin"/>
        </w:rPr>
        <w:endnoteReference w:id="6"/>
      </w:r>
      <w:r>
        <w:rPr/>
        <w:t>:</w:t>
      </w:r>
    </w:p>
    <w:p>
      <w:pPr>
        <w:pStyle w:val="Puce3"/>
        <w:tabs>
          <w:tab w:val="clear" w:pos="720"/>
        </w:tabs>
        <w:rPr/>
      </w:pPr>
      <w:r>
        <w:rPr/>
        <w:t>1.</w:t>
        <w:tab/>
        <w:t>Förbättra förståelsen av psykiska problem och hur de ska hanteras, inbegripet tidig barndom och tidig diagnos, med utgångspunkt i god praxis som fastställts i hela unionen och som bör vara lättillgängliga via folkhälsoportalen för god praxis. För att öka medvetenheten bör unionens institutioner och berörda parter anordna evenemang för utbyte av bästa praxis och hjälpa sina medlemmar att sprida dem i sin egen valkrets. En EU-handlingsplan för psykisk hälsa bör utarbetas, som skulle ge en långsiktig strategi för psykisk hälsa, inklusive forskning, och även ta upp tillgången till yrkesverksamma, även för minderåriga, och inrättandet av ett europeiskt år för psykisk hälsa inom en snar framtid.</w:t>
      </w:r>
    </w:p>
    <w:p>
      <w:pPr>
        <w:pStyle w:val="Puce3"/>
        <w:tabs>
          <w:tab w:val="clear" w:pos="720"/>
        </w:tabs>
        <w:rPr/>
      </w:pPr>
      <w:r>
        <w:rPr/>
        <w:t>2.</w:t>
        <w:tab/>
        <w:t>På EU-nivå utveckla ett standardprogram för hälsosam livsstil som även omfattar sexualundervisning. Programmet bör också omfatta åtgärder som syftar till både en hälsosam livsstil och miljöskydd, och hur de kan bidra till att förebygga många sjukdomar, såsom cykling som ett hälsosamt sätt att resa dagligen. Den skulle vara kostnadsfri för medlemsstater och skolor som i förekommande fall skulle kunna använda den i sina program. Ett sådant program skulle ta itu med stereotyper om människor som är sjuka eller funktionshindrade. [#46, GT]</w:t>
      </w:r>
    </w:p>
    <w:p>
      <w:pPr>
        <w:pStyle w:val="Puce3"/>
        <w:tabs>
          <w:tab w:val="clear" w:pos="720"/>
        </w:tabs>
        <w:rPr/>
      </w:pPr>
      <w:r>
        <w:rPr/>
        <w:t>3.</w:t>
        <w:tab/>
        <w:t>Utveckla praktisk första hjälpen-utbildning, som skulle erbjudas kostnadsfritt till alla medborgare, och överväga möjligheten till regelbundna kurser som en gemensam praxis för studenter såväl som på arbetsplatsen. Ett minsta antal defibrillatorer bör också finnas tillgängliga på offentliga platser i alla medlemsstater. [#50]</w:t>
      </w:r>
    </w:p>
    <w:p>
      <w:pPr>
        <w:pStyle w:val="Puce3"/>
        <w:tabs>
          <w:tab w:val="clear" w:pos="720"/>
        </w:tabs>
        <w:rPr/>
      </w:pPr>
      <w:r>
        <w:rPr/>
        <w:t>4.</w:t>
        <w:tab/>
        <w:t>Utvidga hälsoveckans initiativ, som skulle äga rum i hela unionen under samma vecka och under vilken alla hälsofrågor bör behandlas och diskuteras. Också överväga initiativ från året för hälsa, börjar med året för psykisk hälsa. [#44, GT]</w:t>
      </w:r>
    </w:p>
    <w:p>
      <w:pPr>
        <w:pStyle w:val="Puce3"/>
        <w:tabs>
          <w:tab w:val="clear" w:pos="720"/>
        </w:tabs>
        <w:rPr/>
      </w:pPr>
      <w:r>
        <w:rPr/>
        <w:t>5.</w:t>
        <w:tab/>
        <w:t>Erkänna som en regelbunden medicinsk behandling för beskattning av hormonella preventivmedel som används av medicinska skäl, till exempel vid fibromyalgi och endometrios, samt feminina hygieniska produkter. Säkerställa tillgång till reproduktiva behandlingar för alla personer med fertilitetsproblem.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Förslag: Lika tillgång till hälsa för alla</w:t>
      </w:r>
    </w:p>
    <w:p>
      <w:pPr>
        <w:pStyle w:val="Normal"/>
        <w:rPr/>
      </w:pPr>
      <w:r>
        <w:rPr/>
        <w:t>Mål: Skapa en ”rätt till hälsa” genom att garantera alla européer lika och allmän tillgång till hälso- och sjukvård till överkomligt pris, förebyggande, botande och högkvalitativ hälso- och sjukvård.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7"/>
      </w:r>
      <w:r>
        <w:rPr/>
        <w:t>:</w:t>
      </w:r>
    </w:p>
    <w:p>
      <w:pPr>
        <w:pStyle w:val="Puce3"/>
        <w:tabs>
          <w:tab w:val="clear" w:pos="720"/>
        </w:tabs>
        <w:rPr/>
      </w:pPr>
      <w:r>
        <w:rPr/>
        <w:t>1.</w:t>
        <w:tab/>
        <w:t>Fastställa gemensamma miniminormer för hälso- och sjukvård på unionsnivå, som även omfattar förebyggande och tillgänglighet till vård samt närhet till vård, och stödja fastställandet av sådana standarder. [#39, GT]</w:t>
      </w:r>
    </w:p>
    <w:p>
      <w:pPr>
        <w:pStyle w:val="Puce3"/>
        <w:tabs>
          <w:tab w:val="clear" w:pos="720"/>
        </w:tabs>
        <w:rPr/>
      </w:pPr>
      <w:r>
        <w:rPr/>
        <w:t>2.</w:t>
        <w:tab/>
        <w:t>Erkänna behovet av att fullt ut beakta subsidiaritetsprincipen och de lokala, regionala och nationella hälso- och sjukvårdsaktörernas centrala roll [NL3], för att se till att åtgärder kan vidtas på unionsnivå när rätten till hälsa hanteras bättre. Möjliggöra snabbare och kraftfullare beslutsfattande i viktiga frågor och förbättra effektiviteten i EU:s styrning för utvecklingen av den europeiska hälsounionen (t.ex. pandemi eller sällsynta sjukdomar). [#49, FRsouhait11, digital plattform]</w:t>
      </w:r>
    </w:p>
    <w:p>
      <w:pPr>
        <w:pStyle w:val="Puce3"/>
        <w:tabs>
          <w:tab w:val="clear" w:pos="720"/>
        </w:tabs>
        <w:rPr/>
      </w:pPr>
      <w:r>
        <w:rPr/>
        <w:t>3.</w:t>
        <w:tab/>
        <w:t>Stärka Europeiska hälsounionen genom att utnyttja den nuvarande ramens fulla potential och inkludera hälsa och hälso- och sjukvård bland de befogenheter som delas mellan unionen och dess medlemsstater genom att ändra artikel 4 i EUF-fördraget. [#49, FRsouhait11, digital plattform, GT]</w:t>
      </w:r>
      <w:r>
        <w:rPr>
          <w:rStyle w:val="Ancredenotedefin"/>
          <w:rStyle w:val="Ancredenotedefin"/>
        </w:rPr>
        <w:endnoteReference w:id="8"/>
      </w:r>
      <w:r>
        <w:rPr/>
        <w:t>.</w:t>
      </w:r>
    </w:p>
    <w:p>
      <w:pPr>
        <w:pStyle w:val="Puce3"/>
        <w:tabs>
          <w:tab w:val="clear" w:pos="720"/>
        </w:tabs>
        <w:rPr/>
      </w:pPr>
      <w:r>
        <w:rPr/>
        <w:t>4.</w:t>
        <w:tab/>
        <w:t>Se till att alla har tillgång till befintliga behandlingar i det första EU-land där de finns tillgängliga, i detta syfte förbättra det gränsöverskridande samarbetet, särskilt när det gäller sällsynta sjukdomar, cancer, hjärt- och kärlsjukdomar och högspecialiserade behandlingar, såsom organtransplantationer och behandling av allvarliga brännskador. Ett europeiskt nätverk för organtransplantation och donation bör inrättas för alla europeiska patienter som behöver transplantation. [plenary och GT]</w:t>
      </w:r>
    </w:p>
    <w:p>
      <w:pPr>
        <w:pStyle w:val="Puce3"/>
        <w:tabs>
          <w:tab w:val="clear" w:pos="720"/>
        </w:tabs>
        <w:rPr/>
      </w:pPr>
      <w:r>
        <w:rPr/>
        <w:t>5.</w:t>
        <w:tab/>
        <w:t>Säkerställa överkomlig vård genom större investeringar i hälso- och sjukvård, särskilt tandvård, inklusive profylax, och se till att alla inom 15–20 år har tillgång till tandvård till ett överkomligt pris. [#48, GT]</w:t>
      </w:r>
    </w:p>
    <w:p>
      <w:pPr>
        <w:pStyle w:val="Puce3"/>
        <w:tabs>
          <w:tab w:val="clear" w:pos="720"/>
        </w:tabs>
        <w:rPr/>
      </w:pPr>
      <w:r>
        <w:rPr/>
        <w:t>6.</w:t>
        <w:tab/>
        <w:t>Säkerställa att behandlingar och läkemedel i hela unionen håller samma kvalitet och har en rimlig lokal kostnad, bland annat genom att ta itu med den nuvarande fragmenteringen av den inre marknaden. [#40, NL3, arbetsgruppen, plenarsammanträdet]</w:t>
      </w:r>
    </w:p>
    <w:p>
      <w:pPr>
        <w:pStyle w:val="Puce3"/>
        <w:tabs>
          <w:tab w:val="clear" w:pos="720"/>
        </w:tabs>
        <w:rPr/>
      </w:pPr>
      <w:r>
        <w:rPr/>
        <w:t>7.</w:t>
        <w:tab/>
        <w:t>Bekämpa otrygghet i hälsa genom att uppmuntra till gratis tandvård för barn, låginkomstgrupper och andra utsatta grupper, t.ex. personer med funktionsnedsättning. Studera också hälsokonsekvenserna av dåliga bostäder. [#48, GT]</w:t>
      </w:r>
    </w:p>
    <w:p>
      <w:pPr>
        <w:pStyle w:val="Puce3"/>
        <w:tabs>
          <w:tab w:val="clear" w:pos="720"/>
        </w:tabs>
        <w:rPr/>
      </w:pPr>
      <w:r>
        <w:rPr/>
        <w:t>8.</w:t>
        <w:tab/>
        <w:t>Ta hänsyn till den internationella dimensionen av hälsa och erkänna att läkemedel bör vara allmänt tillgängliga, även i de fattigaste länderna.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58">
            <wp:simplePos x="0" y="0"/>
            <wp:positionH relativeFrom="column">
              <wp:posOffset>44450</wp:posOffset>
            </wp:positionH>
            <wp:positionV relativeFrom="paragraph">
              <wp:posOffset>43180</wp:posOffset>
            </wp:positionV>
            <wp:extent cx="913765" cy="913765"/>
            <wp:effectExtent l="0" t="0" r="0" b="0"/>
            <wp:wrapSquare wrapText="largest"/>
            <wp:docPr id="63" name="Bild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En starkare ekonomi, social rättvisa och sysselsättning</w:t>
      </w:r>
    </w:p>
    <w:p>
      <w:pPr>
        <w:pStyle w:val="P68B1DB1Normal15"/>
        <w:rPr/>
      </w:pPr>
      <w:r>
        <w:rPr/>
        <w:t>Inledning</w:t>
      </w:r>
    </w:p>
    <w:p>
      <w:pPr>
        <w:pStyle w:val="Normal"/>
        <w:rPr/>
      </w:pPr>
      <w:r>
        <w:rPr/>
        <w:t>Vi lever under exceptionella omständigheter och Europeiska unionen kommer att bedömas utifrån sina ansträngningar att komma starkare från de nuvarande kriserna, med en mer hållbar, inkluderande, konkurrenskraftig och motståndskraftig tillväxtmodell. Rysslands invasion av Ukraina och covid-19-pandemin har förändrat EU:s ansikte. Konferensen kommer också att behöva ta itu med de sociala och ekonomiska konsekvenserna av detta krig i en redan mycket svår postpandemisk kontext. Samtidigt utgör klimatförändringarna fortfarande ett hot mot mänskligheten och kommer att få en dramatisk inverkan på ekonomin och våra samhällen. Det framgår tydligt av de mottagna rekommendationerna att medborgarna efterlyser kraftfullare EU-åtgärder. Olösta gränsöverskridande utmaningar, såsom ojämlikhet, konkurrenskraft, hälsa, klimatförändringar, migration, digitalisering eller rättvis beskattning, kräver lämpliga europeiska lösningar. Det framgår också tydligt av rekommendationerna och diskussionerna att vi behöver en övergripande strategi för att säkerställa större välbefinnande för EU-medborgarna i olika aspekter av deras liv. Vissa delar av denna strategi ingår i den befintliga politiken och kan uppnås genom att man fullt ut utnyttjar den befintliga institutionella ramen på europeisk och nationell nivå. andra kommer att kräva ny politik och i vissa fall fördragsändringar. Ny politik och fördragsändringar bör dock ses som ett sätt att förbättra välbefinnandet och inte som mål i sig. Det är både möjligt och nödvändigt att omdefiniera unionen för att garantera dess strategiska oberoende, dess hållbara tillväxt, förbättrade levnads- och arbetsvillkor och mänskliga framsteg, utan att uttömma eller förstöra vår planets resurser, inom ramen för ett förnyat socialt kontrakt. Dessa rekommendationer syftar till att uppnå dessa mål. Förslagen nedan bör läsas med beaktande av att medborgarna i hela Europa har lämnat en rad synpunkter och rekommendationer. Det är denna mångfald av åsikter som är en av Europas ojämförbara tillgångar.</w:t>
      </w:r>
    </w:p>
    <w:p>
      <w:pPr>
        <w:pStyle w:val="Normal"/>
        <w:rPr/>
      </w:pPr>
      <w:r>
        <w:rPr/>
      </w:r>
      <w:r>
        <w:br w:type="page"/>
      </w:r>
    </w:p>
    <w:p>
      <w:pPr>
        <w:pStyle w:val="Titre3"/>
        <w:numPr>
          <w:ilvl w:val="2"/>
          <w:numId w:val="2"/>
        </w:numPr>
        <w:rPr/>
      </w:pPr>
      <w:bookmarkStart w:id="58" w:name="__RefHeading___Toc298290_1346298689"/>
      <w:bookmarkEnd w:id="58"/>
      <w:r>
        <w:rPr/>
        <w:t>11. Förslag: Hållbar tillväxt och innovation</w:t>
      </w:r>
    </w:p>
    <w:p>
      <w:pPr>
        <w:pStyle w:val="P68B1DB1Normal15"/>
        <w:rPr/>
      </w:pPr>
      <w:r>
        <w:rPr/>
        <w:t>Mål: Vi föreslår att EU stöder övergången till en hållbar och motståndskraftig tillväxtmodell, med beaktande av den gröna och digitala omställningen med en stark social dimension i den europeiska planeringsterminen och som ger medborgarna, fackföreningarna och företagen egenmakt. Konventionella makroekonomiska indikatorer och BNP skulle kunna kompletteras med nya indikatorer som svarar mot nya europeiska prioriteringar, såsom den europeiska gröna given eller den europeiska pelaren för sociala rättigheter, och för att bättre återspegla den gröna och digitala omställningen och människors välbefinnande. Detta skulle kunna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9"/>
      </w:r>
      <w:r>
        <w:rPr/>
        <w:t>:</w:t>
      </w:r>
    </w:p>
    <w:p>
      <w:pPr>
        <w:pStyle w:val="Puce3"/>
        <w:rPr/>
      </w:pPr>
      <w:r>
        <w:rPr/>
        <w:t>1.</w:t>
        <w:tab/>
        <w:t>Främja miljövänligare produktionsprocesser av företag, hjälpa företag att hitta de bästa lösningarna och ge positiva och negativa incitament. (PCE 11 och 12) och öka den lokala produktionen och konsumtionen (diskussioner).</w:t>
      </w:r>
    </w:p>
    <w:p>
      <w:pPr>
        <w:pStyle w:val="Puce3"/>
        <w:tabs>
          <w:tab w:val="clear" w:pos="720"/>
        </w:tabs>
        <w:rPr/>
      </w:pPr>
      <w:r>
        <w:rPr/>
        <w:t>2.</w:t>
        <w:tab/>
        <w:t>Arbeta för en mer hållbar och cirkulär ekonomi genom att ta itu med problemet med planerat åldrande och garantera rätten till ersättning (PCE 14).</w:t>
      </w:r>
    </w:p>
    <w:p>
      <w:pPr>
        <w:pStyle w:val="Puce3"/>
        <w:tabs>
          <w:tab w:val="clear" w:pos="720"/>
        </w:tabs>
        <w:rPr/>
      </w:pPr>
      <w:r>
        <w:rPr/>
        <w:t>3.</w:t>
        <w:tab/>
        <w:t>Undersöka den ekonomiska styrningen i unionen och den europeiska planeringsterminen för att säkerställa att den gröna och digitala omställningen, social rättvisa och sociala framsteg går hand i hand med ekonomisk konkurrenskraft, utan att bortse från den europeiska planeringsterminens ekonomiska och budgetmässiga karaktär. Dessutom finns det ett behov av att på ett bättre sätt involvera arbetsmarknadens parter och lokala och regionala myndigheter i genomförandet av den europeiska planeringsterminen för att förbättra dess tillämpning och ansvarsskyldighet (e-plattform, diskussioner).</w:t>
      </w:r>
    </w:p>
    <w:p>
      <w:pPr>
        <w:pStyle w:val="Puce3"/>
        <w:tabs>
          <w:tab w:val="clear" w:pos="720"/>
        </w:tabs>
        <w:rPr/>
      </w:pPr>
      <w:r>
        <w:rPr/>
        <w:t>4.</w:t>
        <w:tab/>
        <w:t>Bekämpa användningen av engångsförpackningar/plastbehållare (PCE 12).</w:t>
      </w:r>
    </w:p>
    <w:p>
      <w:pPr>
        <w:pStyle w:val="Puce3"/>
        <w:tabs>
          <w:tab w:val="clear" w:pos="720"/>
        </w:tabs>
        <w:rPr/>
      </w:pPr>
      <w:r>
        <w:rPr/>
        <w:t>5.</w:t>
        <w:tab/>
        <w:t>Utvidga användningen av europeisk teknik och göra den till ett genomförbart alternativ till utländsk teknik (diskussioner).</w:t>
      </w:r>
    </w:p>
    <w:p>
      <w:pPr>
        <w:pStyle w:val="Puce3"/>
        <w:tabs>
          <w:tab w:val="clear" w:pos="720"/>
        </w:tabs>
        <w:rPr/>
      </w:pPr>
      <w:r>
        <w:rPr/>
        <w:t>6.</w:t>
        <w:tab/>
        <w:t>Främja forskning om nya material och ny teknik samt innovativ användning av befintliga material, samtidigt som dubbelarbete undviks (PCE 9, NL 1).</w:t>
      </w:r>
    </w:p>
    <w:p>
      <w:pPr>
        <w:pStyle w:val="Puce3"/>
        <w:tabs>
          <w:tab w:val="clear" w:pos="720"/>
        </w:tabs>
        <w:rPr/>
      </w:pPr>
      <w:r>
        <w:rPr/>
        <w:t>7.</w:t>
        <w:tab/>
        <w:t>Beakta hållbarhet, överkomlighet och tillgång till energi, med beaktande av energifattigdom och beroende av tredjeländer, genom att öka andelen hållbart producerad energi (CEP 10, LT 3, IT 1.1).</w:t>
      </w:r>
    </w:p>
    <w:p>
      <w:pPr>
        <w:pStyle w:val="Puce3"/>
        <w:tabs>
          <w:tab w:val="clear" w:pos="720"/>
        </w:tabs>
        <w:rPr/>
      </w:pPr>
      <w:r>
        <w:rPr/>
        <w:t>8.</w:t>
        <w:tab/>
        <w:t>Öka medvetenheten bland företag och medborgare om att anta ett mer hållbart beteende och säkerställa en rättvis omställning baserad på social dialog och arbetstillfällen av hög kvalitet (CEP 12 och onlineplattform).</w:t>
      </w:r>
    </w:p>
    <w:p>
      <w:pPr>
        <w:pStyle w:val="Puce3"/>
        <w:tabs>
          <w:tab w:val="clear" w:pos="720"/>
        </w:tabs>
        <w:rPr/>
      </w:pPr>
      <w:r>
        <w:rPr/>
        <w:t>9.</w:t>
        <w:tab/>
        <w:t>Inkludera ambitiösa sociala normer, arbets- och hälsonormer, inklusive hälsa och säkerhet på arbetsplatsen, i nya EU-handelsavtal.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Förslag: Stärka unionens konkurrenskraft och ytterligare fördjupa den inre marknaden</w:t>
      </w:r>
    </w:p>
    <w:p>
      <w:pPr>
        <w:pStyle w:val="Normal"/>
        <w:rPr/>
      </w:pPr>
      <w:r>
        <w:rPr/>
        <w:t>Mål: Vi föreslår att konkurrenskraften och motståndskraften hos EU:s ekonomi, inre marknad och industri stärks och att man tar itu med strategiska beroenden. Vi måste främja en entreprenörskultur i EU, där innovativa företag av alla storlekar, särskilt mikroföretag, små och medelstora företag och nystartade företag, uppmuntras och kan blomstra för att bidra till mer motståndskraftiga och inkluderande samhällen. En stark och livskraftig marknadsekonomi behövs för att underlätta visionen om ett mer socialt Europa. Detta skulle kunna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0"/>
      </w:r>
      <w:r>
        <w:rPr/>
        <w:t>:</w:t>
      </w:r>
    </w:p>
    <w:p>
      <w:pPr>
        <w:pStyle w:val="Puce3"/>
        <w:tabs>
          <w:tab w:val="clear" w:pos="720"/>
        </w:tabs>
        <w:rPr/>
      </w:pPr>
      <w:r>
        <w:rPr/>
        <w:t>1.</w:t>
        <w:tab/>
        <w:t>Utveckla en tydlig vision av den europeiska ekonomin och bygga vidare på Europas styrkor, kvalitet och mångfald, samtidigt som hänsyn tas till ekonomiska och andra skillnader mellan medlemsstaterna, och främja samarbete och konkurrens mellan företagen. (NL 1 och 2)</w:t>
      </w:r>
    </w:p>
    <w:p>
      <w:pPr>
        <w:pStyle w:val="Puce3"/>
        <w:tabs>
          <w:tab w:val="clear" w:pos="720"/>
        </w:tabs>
        <w:rPr/>
      </w:pPr>
      <w:r>
        <w:rPr/>
        <w:t>2.</w:t>
        <w:tab/>
        <w:t>Konsolidera vad som har gjorts när det gäller den gemensamma valutan och sammankopplingen av betalningssystem och telekommunikation. (Det är 4.a.2)</w:t>
      </w:r>
    </w:p>
    <w:p>
      <w:pPr>
        <w:pStyle w:val="Puce3"/>
        <w:tabs>
          <w:tab w:val="clear" w:pos="720"/>
        </w:tabs>
        <w:rPr/>
      </w:pPr>
      <w:r>
        <w:rPr/>
        <w:t>3.</w:t>
        <w:tab/>
        <w:t>Minska standardiseringen av produkterna och erkänna lokala och regionala särdrag när det gäller kultur och produktion (respekt för produktionstraditioner). (DET ÄR 2.2)</w:t>
      </w:r>
    </w:p>
    <w:p>
      <w:pPr>
        <w:pStyle w:val="Puce3"/>
        <w:tabs>
          <w:tab w:val="clear" w:pos="720"/>
        </w:tabs>
        <w:rPr/>
      </w:pPr>
      <w:r>
        <w:rPr/>
        <w:t>4.</w:t>
        <w:tab/>
        <w:t>Stärka den sociala och ekonomiska konvergensen uppåt på den inre marknaden, komplettera befintliga initiativ såsom bankunionen och kapitalmarknadsunionen och genomföra en framåtblickande reform av vår ekonomiska och monetära union (diskussioner).</w:t>
      </w:r>
    </w:p>
    <w:p>
      <w:pPr>
        <w:pStyle w:val="Puce3"/>
        <w:tabs>
          <w:tab w:val="clear" w:pos="720"/>
        </w:tabs>
        <w:rPr/>
      </w:pPr>
      <w:r>
        <w:rPr/>
        <w:t>5.</w:t>
        <w:tab/>
        <w:t>Främja politik för en stark industriell bas och innovation inom viktig möjliggörande teknik samt en framåtblickande klimatpolitik, i kombination med industriell konkurrenskraft med en stark social dimension, som bygger på social dialog och välfungerande relationer mellan arbetsmarknadens parter (diskussioner).</w:t>
      </w:r>
    </w:p>
    <w:p>
      <w:pPr>
        <w:pStyle w:val="Puce3"/>
        <w:tabs>
          <w:tab w:val="clear" w:pos="720"/>
        </w:tabs>
        <w:rPr/>
      </w:pPr>
      <w:r>
        <w:rPr/>
        <w:t>6.</w:t>
        <w:tab/>
        <w:t>I alla nya initiativ ägna särskild uppmärksamhet åt små och medelstora företag, som utgör ryggraden i vår ekonomi. Principen om att ”tänka små och medelstora företag först” måste respekteras i alla EU:s lagstiftningsförslag, och testet för små och medelstora företag bör stärkas i kommissionens konsekvensbedömningar, i linje med tydliga principer, samtidigt som sociala och miljömässiga normer och konsumenträttigheter (diskussioner) respekteras fullt ut.</w:t>
      </w:r>
    </w:p>
    <w:p>
      <w:pPr>
        <w:pStyle w:val="Puce3"/>
        <w:tabs>
          <w:tab w:val="clear" w:pos="720"/>
        </w:tabs>
        <w:rPr/>
      </w:pPr>
      <w:r>
        <w:rPr/>
        <w:t>7.</w:t>
        <w:tab/>
        <w:t>Se till att små och medelstora företag deltar i finansieringsansökningar, anbudsinfordringar och nätverk, med minsta möjliga administrativa ansträngning. Tillgång till finansiering för små och medelstora företag med högriskinnovationsprojekt bör vidareutvecklas av enheter som Europeiska innovationsrådet och Europeiska investeringsbanken (diskussioner).</w:t>
      </w:r>
    </w:p>
    <w:p>
      <w:pPr>
        <w:pStyle w:val="Puce3"/>
        <w:tabs>
          <w:tab w:val="clear" w:pos="720"/>
        </w:tabs>
        <w:rPr/>
      </w:pPr>
      <w:r>
        <w:rPr/>
        <w:t>8.</w:t>
        <w:tab/>
        <w:t>Skapa en bättre ram för investeringar i forskning och innovation för att bygga mer hållbara och mer hållbara affärsmodeller för biologisk mångfald (CEP 10, 11 och 14). fokus på teknik och innovation som drivkrafter för tillväxt. (DET ÄR 1.3)</w:t>
      </w:r>
    </w:p>
    <w:p>
      <w:pPr>
        <w:pStyle w:val="Puce3"/>
        <w:tabs>
          <w:tab w:val="clear" w:pos="720"/>
        </w:tabs>
        <w:rPr/>
      </w:pPr>
      <w:r>
        <w:rPr/>
        <w:t>9.</w:t>
        <w:tab/>
        <w:t>Främja kollektiva ekonomiska resultat genom en självständig och konkurrenskraftig industri. (FR3)</w:t>
      </w:r>
    </w:p>
    <w:p>
      <w:pPr>
        <w:pStyle w:val="Puce3"/>
        <w:tabs>
          <w:tab w:val="clear" w:pos="720"/>
        </w:tabs>
        <w:rPr/>
      </w:pPr>
      <w:r>
        <w:rPr/>
        <w:t>10.</w:t>
        <w:tab/>
        <w:t>Identifiera och utveckla strategiska sektorer, inklusive rymdteknik, robotteknik och AI. (Sv 3 &amp; 9)</w:t>
      </w:r>
    </w:p>
    <w:p>
      <w:pPr>
        <w:pStyle w:val="Puce3"/>
        <w:tabs>
          <w:tab w:val="clear" w:pos="720"/>
        </w:tabs>
        <w:rPr/>
      </w:pPr>
      <w:r>
        <w:rPr/>
        <w:t>11.</w:t>
        <w:tab/>
        <w:t>Investera i turism och kulturekonomi och värdera de många små resmålen i Europa. (DEN 1.2)</w:t>
      </w:r>
    </w:p>
    <w:p>
      <w:pPr>
        <w:pStyle w:val="Puce3"/>
        <w:tabs>
          <w:tab w:val="clear" w:pos="720"/>
        </w:tabs>
        <w:rPr/>
      </w:pPr>
      <w:r>
        <w:rPr/>
        <w:t>12.</w:t>
        <w:tab/>
        <w:t>Säkerställa försörjningstryggheten genom att diversifiera insatsvaror/råmaterialkällor och öka tillverkningen av viktiga varor i Europa, t.ex. hälsa, livsmedel, energi, försvar och transport. (SV 9, LT 1, DET 1.4)</w:t>
      </w:r>
    </w:p>
    <w:p>
      <w:pPr>
        <w:pStyle w:val="Puce3"/>
        <w:tabs>
          <w:tab w:val="clear" w:pos="720"/>
        </w:tabs>
        <w:rPr/>
      </w:pPr>
      <w:r>
        <w:rPr/>
        <w:t>13.</w:t>
        <w:tab/>
        <w:t>Främja digitaliseringen av europeiska företag, till exempel genom en särskild resultattavla som gör det möjligt för företag att jämföra sin digitaliseringsgrad, med det övergripande målet att öka deras konkurrenskraft. (FRÅN 2.1)</w:t>
      </w:r>
    </w:p>
    <w:p>
      <w:pPr>
        <w:pStyle w:val="Puce3"/>
        <w:tabs>
          <w:tab w:val="clear" w:pos="720"/>
        </w:tabs>
        <w:rPr/>
      </w:pPr>
      <w:r>
        <w:rPr/>
        <w:t>14.</w:t>
        <w:tab/>
        <w:t>Främja digital sammanhållning i syfte att bidra till ekonomisk, social och territoriell sammanhållning enligt definitionen i fördraget om Europeiska unionens funktionssätt (diskussioner).</w:t>
      </w:r>
    </w:p>
    <w:p>
      <w:pPr>
        <w:pStyle w:val="Puce3"/>
        <w:tabs>
          <w:tab w:val="clear" w:pos="720"/>
        </w:tabs>
        <w:rPr/>
      </w:pPr>
      <w:r>
        <w:rPr/>
        <w:t>15.</w:t>
        <w:tab/>
        <w:t>Stärka det gränsöverskridande samarbetet för att stärka sammanhållningen och motståndskraften inom och utanför regionerna genom att uppmuntra den europeiska gränsöverskridande mekanismen och liknande verktyg (diskussioner).</w:t>
      </w:r>
    </w:p>
    <w:p>
      <w:pPr>
        <w:pStyle w:val="Puce3"/>
        <w:tabs>
          <w:tab w:val="clear" w:pos="720"/>
        </w:tabs>
        <w:rPr/>
      </w:pPr>
      <w:r>
        <w:rPr/>
        <w:t>16.</w:t>
        <w:tab/>
        <w:t>Stärka och främja gränsöverskridande utbildningsmöjligheter för att förbättra den europeiska arbetskraftens kompetens och öka konkurrenskraften, samtidigt som medborgarnas färdigheter på det ekonomiska området stärks. (DE 2.2, LT7). Främja handeln mellan arbetstagare i Europa genom ett europeiskt sysselsättningscentrum. (IT 6.1) uppmuntra ungdomar att studera vetenskapliga ämnen. (DET ÄR 1.5)</w:t>
      </w:r>
    </w:p>
    <w:p>
      <w:pPr>
        <w:pStyle w:val="Puce3"/>
        <w:tabs>
          <w:tab w:val="clear" w:pos="720"/>
        </w:tabs>
        <w:rPr/>
      </w:pPr>
      <w:r>
        <w:rPr/>
        <w:t>17.</w:t>
        <w:tab/>
        <w:t>Minska byråkratin (tillstånd, certifieringar) där det inte är nödvändigt. (DET ÄR 2.1)</w:t>
      </w:r>
    </w:p>
    <w:p>
      <w:pPr>
        <w:pStyle w:val="Puce3"/>
        <w:tabs>
          <w:tab w:val="clear" w:pos="720"/>
        </w:tabs>
        <w:rPr/>
      </w:pPr>
      <w:r>
        <w:rPr/>
        <w:t>18.</w:t>
        <w:tab/>
        <w:t>Bekämpning av varumärkesförfalskning och illojal konkurrens. (DET ÄR 2.4)</w:t>
      </w:r>
    </w:p>
    <w:p>
      <w:pPr>
        <w:pStyle w:val="Puce3"/>
        <w:tabs>
          <w:tab w:val="clear" w:pos="720"/>
        </w:tabs>
        <w:rPr/>
      </w:pPr>
      <w:r>
        <w:rPr/>
        <w:t>19.</w:t>
        <w:tab/>
        <w:t>Säkerställa ett större deltagande av nystartade företag och små och medelstora företag i innovationsprojekt, eftersom detta stärker deras innovationsstyrka, konkurrenskraft och nätverkande (e-plattform, diskussioner).</w:t>
      </w:r>
    </w:p>
    <w:p>
      <w:pPr>
        <w:pStyle w:val="Puce3"/>
        <w:tabs>
          <w:tab w:val="clear" w:pos="720"/>
        </w:tabs>
        <w:rPr/>
      </w:pPr>
      <w:r>
        <w:rPr/>
        <w:t>20.</w:t>
        <w:tab/>
        <w:t>Konsolidering och skydd av den inre marknaden bör fortsätta att prioriteras. åtgärder och initiativ som vidtas på nationell nivå och unionsnivå bör inte påverka den inre marknaden och bör bidra till den fria rörligheten för personer, varor, tjänster och kapital (diskussioner).</w:t>
      </w:r>
    </w:p>
    <w:p>
      <w:pPr>
        <w:pStyle w:val="Puce3"/>
        <w:tabs>
          <w:tab w:val="clear" w:pos="720"/>
        </w:tabs>
        <w:rPr/>
      </w:pPr>
      <w:r>
        <w:rPr/>
        <w:t>21.</w:t>
        <w:tab/>
        <w:t>Nya EU-politiska initiativ bör bli föremål för en ”konkurrenskraftskontroll” för att analysera deras inverkan på företagen och deras företagsklimat (kostnad för ekonomisk verksamhet, innovationskapacitet, internationell konkurrenskraft, lika villkor osv.). Denna övervakning är i linje med Parisavtalet och målen för hållbar utveckling, inklusive jämställdhet, och undergräver inte skyddet av mänskliga rättigheter, sociala rättigheter och arbetstagarrättigheter eller miljö- och konsumentskyddsnormer. I detta syfte föreslår vi också att det inrättas ett europeiskt rådgivande organ för konkurrenskraft för att övervaka hur konkurrenskraftsövervakningen genomförs och, i synnerhet, för att bedöma lagstiftningens kumulativa effekter samt lägga fram förslag för att förbättra de lämpliga ramvillkoren för EU-företagens konkurrenskraft. Detta organ bör inkludera det organiserade civila samhället och arbetsmarknadens parter i sin styrning.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Förslag: Arbetsmarknader för alla</w:t>
      </w:r>
    </w:p>
    <w:p>
      <w:pPr>
        <w:pStyle w:val="P68B1DB1Normal15"/>
        <w:rPr/>
      </w:pPr>
      <w:r>
        <w:rPr/>
        <w:t>Mål: Vi föreslår att arbetsmarknaderna ska fungera bättre för att säkerställa rättvisare arbetsvillkor och främja jämställdhet och sysselsättning, särskilt för ungdomar och utsatta grupper. EU, medlemsstaterna och arbetsmarknadens parter måste arbeta för att få slut på arbetstagarnas fattigdom, stärka rättigheterna för plattformsarbetare, förbjuda oavlönad praktik och säkerställa rättvis arbetskraftsrörlighet i unionen. Vi måste främja social dialog och kollektivförhandlingar. Vi måste säkerställa ett fullständigt genomförande av den europeiska pelaren för sociala rättigheter, inbegripet dess relevanta överordnade mål för 2030, på europeisk, nationell, regional och lokal nivå på områdena ”lika möjligheter och tillgång till arbetsmarknaden” och ”rättvisa arbetsvillkor”, samtidigt som vi respekterar befogenheterna och principerna om subsidiaritet och proportionalitet, och inkludera ett protokoll om sociala framsteg i fördragen. I samband med detta är det nödvändigt att respektera nationella traditioner och arbetsmarknadsparternas självständighet och att samarbeta med det civila samhället. Detta skulle kunna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1"/>
      </w:r>
      <w:r>
        <w:rPr/>
        <w:t>:</w:t>
      </w:r>
    </w:p>
    <w:p>
      <w:pPr>
        <w:pStyle w:val="Puce3"/>
        <w:tabs>
          <w:tab w:val="clear" w:pos="720"/>
        </w:tabs>
        <w:rPr/>
      </w:pPr>
      <w:r>
        <w:rPr/>
        <w:t>1.</w:t>
        <w:tab/>
        <w:t>Se till att lagstadgade minimilöner garanterar varje arbetstagare en anständig och liknande livskvalitet i alla medlemsstater. Tydliga kriterier (t.ex. levnadskostnad, inflation, en nivå över fattigdomsgränsen, genomsnittslöner och medianlöner på nationell nivå) bör fastställas som ska beaktas vid fastställandet av minimilönen. De lagstadgade minimilönernas nivåer bör ses över regelbundet mot bakgrund av dessa kriterier för att säkerställa att de är tillräckliga. Särskild uppmärksamhet bör ägnas åt ett effektivt genomförande av dessa regler och övervakning av förbättringen av levnadsstandarden. Samtidigt bör kollektiva förhandlingar stärkas och främjas i hela unionen (PCE 1 och 30; 4.2; onlineplattform).</w:t>
      </w:r>
    </w:p>
    <w:p>
      <w:pPr>
        <w:pStyle w:val="Puce3"/>
        <w:tabs>
          <w:tab w:val="clear" w:pos="720"/>
        </w:tabs>
        <w:rPr/>
      </w:pPr>
      <w:r>
        <w:rPr/>
        <w:t>2.</w:t>
        <w:tab/>
        <w:t>Utvärdera och ytterligare stärka genomförandet av arbetstidsdirektivet (direktiv 2003/88/EG) och annan relevant lagstiftning som säkerställer en sund balans mellan arbete och privatliv, samtidigt som man överväger ny nationell politik på detta område (CEP 2).</w:t>
      </w:r>
    </w:p>
    <w:p>
      <w:pPr>
        <w:pStyle w:val="Puce3"/>
        <w:tabs>
          <w:tab w:val="clear" w:pos="720"/>
        </w:tabs>
        <w:rPr/>
      </w:pPr>
      <w:r>
        <w:rPr/>
        <w:t>3.</w:t>
        <w:tab/>
        <w:t>Införa eller stärka befintlig lagstiftning om ”smart arbete” och uppmuntra företag att främja detta nya sätt att arbeta. (PCE 7) Unionen bör garantera rätten att inte vara uppkopplad, göra mer för att ta itu med den digitala klyftan på arbetsplatsen och bedöma hälso-, arbetstids- och prestationskonsekvenserna av distansarbete. Det finns ett behov av att säkerställa en rättvis digitalisering baserad på mänskliga rättigheter, förbättrade arbetsvillkor och kollektiva förhandlingar (diskussioner).</w:t>
      </w:r>
    </w:p>
    <w:p>
      <w:pPr>
        <w:pStyle w:val="Puce3"/>
        <w:tabs>
          <w:tab w:val="clear" w:pos="720"/>
        </w:tabs>
        <w:rPr/>
      </w:pPr>
      <w:r>
        <w:rPr/>
        <w:t>4.</w:t>
        <w:tab/>
        <w:t>Integrering av sysselsättningspolitiken på EU-nivå, där aktiv arbetsmarknadspolitik förblir central och alltmer samordnad (IT 6.2), medan medlemsstaterna fokuserar på ytterligare reforminsatser för att skapa gynnsamma förutsättningar för skapande av arbetstillfällen av god kvalitet (diskussioner).</w:t>
      </w:r>
    </w:p>
    <w:p>
      <w:pPr>
        <w:pStyle w:val="Puce3"/>
        <w:tabs>
          <w:tab w:val="clear" w:pos="720"/>
        </w:tabs>
        <w:rPr/>
      </w:pPr>
      <w:r>
        <w:rPr/>
        <w:t>5.</w:t>
        <w:tab/>
        <w:t>Vidta åtgärder för att säkerställa att de sociala rättigheterna skyddas fullt ut och har företräde framför ekonomiska friheter i händelse av konflikter, bland annat genom att införa ett protokoll om sociala framsteg i fördragen (onlineplattform, diskussioner).</w:t>
      </w:r>
    </w:p>
    <w:p>
      <w:pPr>
        <w:pStyle w:val="Puce3"/>
        <w:tabs>
          <w:tab w:val="clear" w:pos="720"/>
        </w:tabs>
        <w:rPr/>
      </w:pPr>
      <w:r>
        <w:rPr/>
        <w:t>6.</w:t>
        <w:tab/>
        <w:t>Säkerställa jämställdhet, i linje med EU:s jämställdhetsstrategi 2020–2025. Unionen bör fortsätta att mäta jämställdhet genom ett jämställdhetsindex (attityder, löneklyftor, sysselsättning, ledarskap osv.), övervaka strategin årligen, vara öppen för uppnådda resultat, uppmuntra utbyte av sakkunskap och bästa praxis och inrätta en möjlig direkt mekanism för medborgarnas återkoppling (t.ex. en ombudsman) (ECP 28, 5.a.1. Det finns ett behov av att ta itu med löneskillnaderna mellan könen och införa kvoter för högre chefstjänster. Kvinnliga företagare bör få ökat stöd i företagsklimatet, liksom kvinnor inom vetenskap, teknik, ingenjörsvetenskap och matematik (diskussioner).</w:t>
      </w:r>
    </w:p>
    <w:p>
      <w:pPr>
        <w:pStyle w:val="Puce3"/>
        <w:tabs>
          <w:tab w:val="clear" w:pos="720"/>
        </w:tabs>
        <w:rPr/>
      </w:pPr>
      <w:r>
        <w:rPr/>
        <w:t>7.</w:t>
        <w:tab/>
        <w:t>Främja ungdomssysselsättning, bland annat genom ekonomiskt stöd till företag, men också genom att ge ytterligare stöd till arbetsgivare och arbetstagare (NL 4) och stöd till unga företagare och unga egenföretagare, till exempel genom utbildningsverktyg och kurser (diskussioner).</w:t>
      </w:r>
    </w:p>
    <w:p>
      <w:pPr>
        <w:pStyle w:val="Puce3"/>
        <w:tabs>
          <w:tab w:val="clear" w:pos="720"/>
        </w:tabs>
        <w:rPr/>
      </w:pPr>
      <w:r>
        <w:rPr/>
        <w:t>8.</w:t>
        <w:tab/>
        <w:t>Främja sysselsättningen för missgynnade grupper (NL 4), särskilt för personer med funktionsnedsättning (onlineplattform).</w:t>
      </w:r>
    </w:p>
    <w:p>
      <w:pPr>
        <w:pStyle w:val="Puce3"/>
        <w:tabs>
          <w:tab w:val="clear" w:pos="720"/>
        </w:tabs>
        <w:rPr/>
      </w:pPr>
      <w:r>
        <w:rPr/>
        <w:t>9.</w:t>
        <w:tab/>
        <w:t>Främja sysselsättning och social rörlighet så att människor har alla möjligheter till personlig utveckling och självbestämmande. (IT 5.a.4 och IT 6.1) Det kan finnas en långsiktig strategi för att se till att alla i vårt samhälle har rätt kompetens för att hitta ett jobb och öka sin talang, särskilt den yngre generationen (diskussioner). Det är viktigt att investera i färdigheter som är anpassade till förändrade behov på arbetsmarknaden och att främja livslångt lärande, bland annat genom ett utbytesprogram i alla skeden av livet, och att garantera rätten till livslångt lärande och rätten till utbildning. (FR 6; I detta syfte är det nödvändigt att stärka samarbetet mellan företag, fackföreningar och tillhandahållare av yrkesutbildningstjänster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Förslag: Starkare socialpolitik</w:t>
      </w:r>
    </w:p>
    <w:p>
      <w:pPr>
        <w:pStyle w:val="Normal"/>
        <w:rPr/>
      </w:pPr>
      <w:r>
        <w:rPr/>
        <w:t>Mål: Vi föreslår att minska ojämlikheten, bekämpa social utestängning och fattigdom. Vi måste införa en övergripande strategi för fattigdomsbekämpning som bland annat skulle kunna omfatta en förstärkning av barngarantin och ungdomsgarantin, införande av minimilöner, en gemensam europeisk ram för minimiinkomstsystem och anständigt subventionerat boende. Vi måste säkerställa ett fullständigt genomförande av den europeiska pelaren för sociala rättigheter, inbegripet dess relevanta överordnade mål för 2030, på europeisk, nationell, regional och lokal nivå på områdena socialt skydd och social integration, med respekt för respektive befogenheter och subsidiaritets- och proportionalitetsprinciperna, och inkludera ett protokoll om sociala framsteg i fördragen. Detta skulle kunna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2"/>
      </w:r>
      <w:r>
        <w:rPr/>
        <w:t>:</w:t>
      </w:r>
    </w:p>
    <w:p>
      <w:pPr>
        <w:pStyle w:val="Puce3"/>
        <w:tabs>
          <w:tab w:val="clear" w:pos="720"/>
        </w:tabs>
        <w:rPr/>
      </w:pPr>
      <w:r>
        <w:rPr/>
        <w:t>1.</w:t>
        <w:tab/>
        <w:t>Stärka unionens befogenheter på socialpolitikens område och föreslå harmoniserad unionsomfattande lagstiftning för att främja socialpolitiken och säkerställa lika rättigheter, inbegripet hälso- och sjukvårdsrättigheter, med beaktande av antagna förordningar och minimikrav inom hela territoriet. (CEP 19 &amp; 21) EU skulle kunna stödja och komplettera medlemsstaternas politik, bland annat genom att föreslå en gemensam ram för att säkerställa en minimiinkomst så att ingen hamnar på efterkälken. Dessa åtgärder bör genomföras som en del av det fullständiga genomförandet av den europeiska pelaren för sociala rättigheter och dess handlingsplan (diskussioner).</w:t>
      </w:r>
    </w:p>
    <w:p>
      <w:pPr>
        <w:pStyle w:val="Puce3"/>
        <w:tabs>
          <w:tab w:val="clear" w:pos="720"/>
        </w:tabs>
        <w:rPr/>
      </w:pPr>
      <w:r>
        <w:rPr/>
        <w:t>2.</w:t>
        <w:tab/>
        <w:t>Kompromissa inte om sociala rättigheter (folkhälsa, offentlig utbildning, arbetsmarknadspolitik). (Den 4.a.1)</w:t>
      </w:r>
    </w:p>
    <w:p>
      <w:pPr>
        <w:pStyle w:val="Puce3"/>
        <w:tabs>
          <w:tab w:val="clear" w:pos="720"/>
        </w:tabs>
        <w:rPr/>
      </w:pPr>
      <w:r>
        <w:rPr/>
        <w:t>3.</w:t>
        <w:tab/>
        <w:t>Främja social och hälsorelaterad forskning i EU, i enlighet med prioriterade områden som anses vara av allmänt intresse och som godkänts av medlemsstaterna, och sörja för lämplig finansiering. Detta skulle delvis kunna uppnås genom att stärka samarbetet mellan expertområden, länder och studiecentrum (universitet osv.) (CEP 20).</w:t>
      </w:r>
    </w:p>
    <w:p>
      <w:pPr>
        <w:pStyle w:val="Puce3"/>
        <w:tabs>
          <w:tab w:val="clear" w:pos="720"/>
        </w:tabs>
        <w:rPr/>
      </w:pPr>
      <w:r>
        <w:rPr/>
        <w:t>4.</w:t>
        <w:tab/>
        <w:t>Ge alla personer under 16 år tillgång till hälso- och sjukvård i hela EU om dessa tjänster inte är tillgängliga i det nationella sammanhanget (diskussioner).</w:t>
      </w:r>
    </w:p>
    <w:p>
      <w:pPr>
        <w:pStyle w:val="Puce3"/>
        <w:tabs>
          <w:tab w:val="clear" w:pos="720"/>
        </w:tabs>
        <w:rPr/>
      </w:pPr>
      <w:r>
        <w:rPr/>
        <w:t>5.</w:t>
        <w:tab/>
        <w:t>Se till att EU, tillsammans med arbetsmarknadens parter och nationella regeringar, stöder riktad tillgång till anständigt subventionerat boende för medborgarna i enlighet med deras särskilda behov. de ekonomiska insatserna bör delas mellan privata givare, husägare, bostadstagare, medlemsstaternas regeringar på central och lokal nivå samt Europeiska unionen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Förslag: Demografisk övergång</w:t>
      </w:r>
    </w:p>
    <w:p>
      <w:pPr>
        <w:pStyle w:val="P68B1DB1Normal15"/>
        <w:rPr/>
      </w:pPr>
      <w:r>
        <w:rPr/>
        <w:t>Mål: vi föreslår att man tar itu med de utmaningar som följer av den demografiska omställningen som en viktig del av Europas övergripande motståndskraft, särskilt låga födelsetal och den ständigt åldrande befolkningen, och ger stöd till människor under hela deras liv. Detta bör vara en omfattande åtgärd som riktar sig till alla generationer, från barn och ungdomar till familjer, befolkningen i arbetsför ålder, äldre som fortfarande är redo att arbeta och dem som är pensionerade eller i behov av vård. Detta skulle kunna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3"/>
      </w:r>
      <w:r>
        <w:rPr/>
        <w:t>:</w:t>
      </w:r>
    </w:p>
    <w:p>
      <w:pPr>
        <w:pStyle w:val="Puce3"/>
        <w:tabs>
          <w:tab w:val="clear" w:pos="720"/>
        </w:tabs>
        <w:rPr/>
      </w:pPr>
      <w:r>
        <w:rPr/>
        <w:t>1.</w:t>
        <w:tab/>
        <w:t>Säkerställa högkvalitativ, överkomlig och tillgänglig barnomsorg i hela EU, så att mödrar och pappor tryggt kan förena arbete och familjeliv. När så är lämpligt kan detta omfatta barnomsorgsmöjligheter på eller i närheten av arbetsplatsen. I vissa medlemsstater finns också barnomsorg över natten, vilket bör fungera som ett exempel. Dessutom skulle dessa åtgärder kunna åtföljas av stödåtgärder såsom reducerade mervärdesskattesatser på utrustning som behövs för barn. Det är viktigt att förebygga barnfattigdom och social utestängning. (CEP 22–26) Stärka barngarantin genom att säkerställa tillgång för barn i behov av tjänster som utbildning och barnomsorg, hälso- och sjukvård, kost och bostäder skulle kunna vara ett instrument för att uppnå detta (e-plattform, diskussioner).</w:t>
      </w:r>
    </w:p>
    <w:p>
      <w:pPr>
        <w:pStyle w:val="Puce3"/>
        <w:tabs>
          <w:tab w:val="clear" w:pos="720"/>
        </w:tabs>
        <w:rPr/>
      </w:pPr>
      <w:r>
        <w:rPr/>
        <w:t>2.</w:t>
        <w:tab/>
        <w:t>Inrätta särskilt stöd för och skydd av arbete för ungdomar. Åtgärder som riktar sig till befolkningen i arbetsför ålder bör omfatta tillgång till kunskap för mödrar och pappor när de återvänder till arbetet (CEP 22). En förstärkning av ungdomsgarantin skulle kunna vara ett instrument för att förbättra tillgången till ett högkvalitativt erbjudande om sysselsättning, fortbildning, lärlingsutbildning eller praktik för ungdomar under 30 år. (diskussioner)</w:t>
      </w:r>
    </w:p>
    <w:p>
      <w:pPr>
        <w:pStyle w:val="Puce3"/>
        <w:tabs>
          <w:tab w:val="clear" w:pos="720"/>
        </w:tabs>
        <w:rPr/>
      </w:pPr>
      <w:r>
        <w:rPr/>
        <w:t>3.</w:t>
        <w:tab/>
        <w:t>Främja rätten till fri rörlighet för utbildning inom unionen, särskilt genom ömsesidigt erkännande av examensbevis, betyg, meriter och kvalifikationer. (diskussioner)</w:t>
      </w:r>
    </w:p>
    <w:p>
      <w:pPr>
        <w:pStyle w:val="Puce3"/>
        <w:tabs>
          <w:tab w:val="clear" w:pos="720"/>
        </w:tabs>
        <w:rPr/>
      </w:pPr>
      <w:r>
        <w:rPr/>
        <w:t>4.</w:t>
        <w:tab/>
        <w:t>Förbättra lagstiftningen och dess genomförande för att ge stöd till familjer i alla medlemsstater, t.ex. när det gäller föräldraledighet, barnafödselbidrag och barnomsorgsbidrag. (PCE 26 och IT 5.a.1) Bostäder spelar en avgörande roll för att stödja familjer och bör behandlas (onlineplattform, diskussioner).</w:t>
      </w:r>
    </w:p>
    <w:p>
      <w:pPr>
        <w:pStyle w:val="Puce3"/>
        <w:tabs>
          <w:tab w:val="clear" w:pos="720"/>
        </w:tabs>
        <w:rPr/>
      </w:pPr>
      <w:r>
        <w:rPr/>
        <w:t>5.</w:t>
        <w:tab/>
        <w:t>Vidta åtgärder för att se till att alla familjer har samma familjerättigheter i alla medlemsstater. Detta bör omfatta rätten till äktenskap och adoption. (PCE 27)</w:t>
      </w:r>
    </w:p>
    <w:p>
      <w:pPr>
        <w:pStyle w:val="Puce3"/>
        <w:tabs>
          <w:tab w:val="clear" w:pos="720"/>
        </w:tabs>
        <w:rPr/>
      </w:pPr>
      <w:r>
        <w:rPr/>
        <w:t>6.</w:t>
        <w:tab/>
        <w:t>Främja en flexibel pensionsålder med hänsyn till äldre personers särskilda situation. Vid fastställandet av pensionsåldern är det nödvändigt att differentiera efter yrket och därför ta hänsyn till ett särskilt krävande arbete, både psykiskt och fysiskt. (PCE 21 och IT 5.a.1)</w:t>
      </w:r>
    </w:p>
    <w:p>
      <w:pPr>
        <w:pStyle w:val="Puce3"/>
        <w:tabs>
          <w:tab w:val="clear" w:pos="720"/>
        </w:tabs>
        <w:rPr/>
      </w:pPr>
      <w:r>
        <w:rPr/>
        <w:t>7.</w:t>
        <w:tab/>
        <w:t>Förebygga fattigdom bland äldre genom att införa minimipensioner. Dessa miniminivåer bör ta hänsyn till levnadsstandarden, fattigdomsgränsen och köpkraften i den berörda medlemsstaten. (PCE 21)</w:t>
      </w:r>
    </w:p>
    <w:p>
      <w:pPr>
        <w:pStyle w:val="Puce3"/>
        <w:tabs>
          <w:tab w:val="clear" w:pos="720"/>
        </w:tabs>
        <w:rPr/>
      </w:pPr>
      <w:r>
        <w:rPr/>
        <w:t>8.</w:t>
        <w:tab/>
        <w:t>Säkerställa lämpligt socialt bistånd och hälso- och sjukvård för äldre. I detta sammanhang är det viktigt att fokusera på såväl samhällsomsorg som boendevård. På samma sätt måste hänsyn tas till både vårdtagare och vårdgivare i åtgärderna. (PCE 23)</w:t>
      </w:r>
    </w:p>
    <w:p>
      <w:pPr>
        <w:pStyle w:val="Puce3"/>
        <w:tabs>
          <w:tab w:val="clear" w:pos="720"/>
        </w:tabs>
        <w:rPr/>
      </w:pPr>
      <w:r>
        <w:rPr/>
        <w:t>9.</w:t>
        <w:tab/>
        <w:t>Säkerställa en hållbar utveckling och demografisk motståndskraft i eftersläpande regioner för att göra dem mer dynamiska och attraktiva, bland annat genom sammanhållningspolitiken. (onlineplattform och diskussioner)</w:t>
      </w:r>
    </w:p>
    <w:p>
      <w:pPr>
        <w:pStyle w:val="Puce3"/>
        <w:tabs>
          <w:tab w:val="clear" w:pos="720"/>
        </w:tabs>
        <w:rPr/>
      </w:pPr>
      <w:r>
        <w:rPr/>
        <w:t>10.</w:t>
        <w:tab/>
        <w:t>Vidta samordnade åtgärder på europeisk nivå för att samla in uppgifter uppdelade efter faktorer såsom kön och analysera demografiska trender, utbyta bästa praxis och kunskap och hjälpa medlemsstaterna att utveckla och genomföra lämplig politik, bland annat genom att inrätta ett EU-organ som är specialiserat på detta område. (onlineplattform och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Förslag: Skatte- och finanspolitik</w:t>
      </w:r>
    </w:p>
    <w:p>
      <w:pPr>
        <w:pStyle w:val="P68B1DB1Normal15"/>
        <w:rPr/>
      </w:pPr>
      <w:r>
        <w:rPr/>
        <w:t>Mål: vi föreslår att EU uppmuntrar framåtblickande investeringar med fokus på den gröna och digitala omställningen med en stark social och jämställdhetsdimension, med beaktande av exemplen på Next Generation EU och det europeiska instrumentet för tillfälligt stöd för att minska risken för arbetslöshet i nödsituationer (SURE). Unionen måste ta hänsyn till de sociala och ekonomiska konsekvenserna av kriget mot Ukraina och kopplingen mellan dess ekonomiska styrning och det nya geopolitiska sammanhanget, genom att stärka sin egen budget med nya egna medel. Medborgarna vill att beskattningen ska vända sig bort från medborgare och små och medelstora företag och rikta sig mot skattebedrägerier, stora förorenare och digitala jättar, samtidigt som EU vill att EU ska stödja medlemsstaternas och de lokala myndigheternas förmåga att finansiera sig själva och använda EU-medel. Detta mål bör uppnås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4"/>
      </w:r>
      <w:r>
        <w:rPr/>
        <w:t>:</w:t>
      </w:r>
    </w:p>
    <w:p>
      <w:pPr>
        <w:pStyle w:val="Puce3"/>
        <w:tabs>
          <w:tab w:val="clear" w:pos="720"/>
        </w:tabs>
        <w:rPr/>
      </w:pPr>
      <w:r>
        <w:rPr/>
        <w:t>1.</w:t>
        <w:tab/>
        <w:t>Harmonisera och samordna skattepolitiken inom EU:s medlemsstater för att förhindra skatteundandragande och skatteflykt, undvika skatteparadis inom EU och inrikta sig på omlokalisering inom Europa, bland annat genom att se till att skattebeslut kan fattas med kvalificerad majoritet i Europeiska unionens råd. Å andra sidan finns det rekommendationer från medborgarpaneler om att beskattning faller inom olika länders behörighetsområde, som har sina egna mål och omständigheter. (PCE 13 och 31, IT 4.b.3, NL 2.3)</w:t>
      </w:r>
    </w:p>
    <w:p>
      <w:pPr>
        <w:pStyle w:val="Puce3"/>
        <w:tabs>
          <w:tab w:val="clear" w:pos="720"/>
        </w:tabs>
        <w:rPr/>
      </w:pPr>
      <w:r>
        <w:rPr/>
        <w:t>2.</w:t>
        <w:tab/>
        <w:t>Främja samarbete mellan EU:s medlemsstater för att se till att alla EU-företag betalar sin skäliga andel av skatterna, införa en gemensam bolagsskattebas (CCTB) eller en lägsta effektiv skattesats. (NL 3)</w:t>
      </w:r>
    </w:p>
    <w:p>
      <w:pPr>
        <w:pStyle w:val="Puce3"/>
        <w:tabs>
          <w:tab w:val="clear" w:pos="720"/>
        </w:tabs>
        <w:rPr/>
      </w:pPr>
      <w:r>
        <w:rPr/>
        <w:t>3.</w:t>
        <w:tab/>
        <w:t>Se till att företag betalar skatt där vinsten görs. (PCE 13)</w:t>
      </w:r>
    </w:p>
    <w:p>
      <w:pPr>
        <w:pStyle w:val="Puce3"/>
        <w:tabs>
          <w:tab w:val="clear" w:pos="720"/>
        </w:tabs>
        <w:rPr/>
      </w:pPr>
      <w:r>
        <w:rPr/>
        <w:t>4.</w:t>
        <w:tab/>
        <w:t>Se till att skattepolitiken stöder den europeiska industrin och förhindrar att arbetstillfällen går förlorade i Europa. (PCE 13 och 31)</w:t>
      </w:r>
    </w:p>
    <w:p>
      <w:pPr>
        <w:pStyle w:val="Puce3"/>
        <w:tabs>
          <w:tab w:val="clear" w:pos="720"/>
        </w:tabs>
        <w:rPr/>
      </w:pPr>
      <w:r>
        <w:rPr/>
        <w:t>5.</w:t>
        <w:tab/>
        <w:t>Mer i detalj undersöka möjligheten till gemensam upplåning på unionsnivå, i syfte att skapa gynnsammare lånevillkor, samtidigt som en ansvarsfull finanspolitik upprätthålls på medlemsstatsnivå. (SVENSKA)</w:t>
      </w:r>
    </w:p>
    <w:p>
      <w:pPr>
        <w:pStyle w:val="Puce3"/>
        <w:tabs>
          <w:tab w:val="clear" w:pos="720"/>
        </w:tabs>
        <w:rPr/>
      </w:pPr>
      <w:r>
        <w:rPr/>
        <w:t>6.</w:t>
        <w:tab/>
        <w:t>Stärka övervakningen av utnyttjandet och användningen av unionsmedel, även på lokal och kommunal nivå.(LT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2">
            <wp:simplePos x="0" y="0"/>
            <wp:positionH relativeFrom="column">
              <wp:posOffset>14605</wp:posOffset>
            </wp:positionH>
            <wp:positionV relativeFrom="paragraph">
              <wp:posOffset>8890</wp:posOffset>
            </wp:positionV>
            <wp:extent cx="913765" cy="913765"/>
            <wp:effectExtent l="0" t="0" r="0" b="0"/>
            <wp:wrapSquare wrapText="largest"/>
            <wp:docPr id="64" name="Bild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EU i världen”</w:t>
      </w:r>
    </w:p>
    <w:p>
      <w:pPr>
        <w:pStyle w:val="Titre3"/>
        <w:numPr>
          <w:ilvl w:val="2"/>
          <w:numId w:val="2"/>
        </w:numPr>
        <w:rPr/>
      </w:pPr>
      <w:bookmarkStart w:id="65" w:name="__RefHeading___Toc298304_1346298689"/>
      <w:bookmarkEnd w:id="65"/>
      <w:r>
        <w:rPr/>
        <w:t>17. Förslag: Minska EU:s beroende av utländska aktörer inom strategiska sektorer ur ekonomisk synvinkel</w:t>
      </w:r>
    </w:p>
    <w:p>
      <w:pPr>
        <w:pStyle w:val="P68B1DB1Normal15"/>
        <w:rPr/>
      </w:pPr>
      <w:r>
        <w:rPr/>
        <w:t>Mål: Vi föreslår att EU vidtar åtgärder för att stärka sitt oberoende inom viktiga strategiska sektorer som jordbruksprodukter, strategiska ekonomiska varor, halvledare, medicinska produkter, innovativ digital och miljöteknik samt energi,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Främjande av forskning, utveckling och innovation samt samarbete mellan offentliga och privata partner på detta område.</w:t>
      </w:r>
    </w:p>
    <w:p>
      <w:pPr>
        <w:pStyle w:val="Puce3"/>
        <w:tabs>
          <w:tab w:val="clear" w:pos="720"/>
        </w:tabs>
        <w:rPr/>
      </w:pPr>
      <w:r>
        <w:rPr/>
        <w:t>2.</w:t>
        <w:tab/>
        <w:t>Upprätthålla en ambitiös agenda för handelsförhandlingar som kan bidra till att stärka försörjningskedjornas motståndskraft och diversifiering, särskilt när det gäller råvaror, samtidigt som handelns fördelar fördelas mer rättvist och med fler partner, vilket begränsar vår exponering och vårt beroende av ett litet antal leverantörer som kan utgöra en risk</w:t>
      </w:r>
      <w:r>
        <w:rPr>
          <w:rStyle w:val="Ancredenotedefin"/>
          <w:rStyle w:val="Ancredenotedefin"/>
        </w:rPr>
        <w:endnoteReference w:id="15"/>
      </w:r>
      <w:r>
        <w:rPr/>
        <w:t>.</w:t>
      </w:r>
    </w:p>
    <w:p>
      <w:pPr>
        <w:pStyle w:val="Puce3"/>
        <w:tabs>
          <w:tab w:val="clear" w:pos="720"/>
        </w:tabs>
        <w:rPr/>
      </w:pPr>
      <w:r>
        <w:rPr/>
        <w:t>3.</w:t>
        <w:tab/>
        <w:t>Ökad motståndskraft i EU:s leveranskedjor genom att främja investeringar i strategiska sektorer i unionen, lagra kritisk produktion och utrustning och diversifiera försörjningskällorna för råvaror av avgörande betydelse.</w:t>
      </w:r>
    </w:p>
    <w:p>
      <w:pPr>
        <w:pStyle w:val="Puce3"/>
        <w:tabs>
          <w:tab w:val="clear" w:pos="720"/>
        </w:tabs>
        <w:rPr/>
      </w:pPr>
      <w:r>
        <w:rPr/>
        <w:t>4.</w:t>
        <w:tab/>
        <w:t>Nya investeringar i fullbordandet av den inre marknaden och skapandet av lika villkor för att göra produktion och inköp av dessa produkter mer attraktiva i Europeiska unionen.</w:t>
      </w:r>
    </w:p>
    <w:p>
      <w:pPr>
        <w:pStyle w:val="Puce3"/>
        <w:tabs>
          <w:tab w:val="clear" w:pos="720"/>
        </w:tabs>
        <w:rPr/>
      </w:pPr>
      <w:r>
        <w:rPr/>
        <w:t>5.</w:t>
        <w:tab/>
        <w:t>Stöd för att göra dessa produkter tillgängliga och överkomliga för europeiska konsumenter och bidra till att minska externa beroenden, t.ex. genom struktur- och regionalpolitik, skattelättnader, subventioner, infrastruktur- och forskningsinvesteringar, stärka konkurrenskraften hos små och medelstora företag samt utbildningsprogram för att bibehålla motsvarande kompetens och arbetstillfällen i Europa, som är relevanta för att säkerställa grundläggande behov</w:t>
      </w:r>
      <w:r>
        <w:rPr>
          <w:rStyle w:val="Ancredenotedefin"/>
          <w:rStyle w:val="Ancredenotedefin"/>
        </w:rPr>
        <w:endnoteReference w:id="16"/>
      </w:r>
      <w:r>
        <w:rPr/>
        <w:t>.</w:t>
      </w:r>
    </w:p>
    <w:p>
      <w:pPr>
        <w:pStyle w:val="Puce3"/>
        <w:tabs>
          <w:tab w:val="clear" w:pos="720"/>
        </w:tabs>
        <w:rPr/>
      </w:pPr>
      <w:r>
        <w:rPr/>
        <w:t>6.</w:t>
        <w:tab/>
        <w:t>Ett europeiskt program för att stödja små lokala producenter i strategiska sektorer i alla</w:t>
      </w:r>
      <w:r>
        <w:rPr>
          <w:rStyle w:val="Ancredenotedefin"/>
          <w:rStyle w:val="Ancredenotedefin"/>
        </w:rPr>
        <w:endnoteReference w:id="17"/>
      </w:r>
      <w:r>
        <w:rPr/>
        <w:t>medlemsstater, med större användning av EU:s program och finansieringsinstrument, t.ex. InvestEU.</w:t>
      </w:r>
    </w:p>
    <w:p>
      <w:pPr>
        <w:pStyle w:val="Puce3"/>
        <w:tabs>
          <w:tab w:val="clear" w:pos="720"/>
        </w:tabs>
        <w:rPr/>
      </w:pPr>
      <w:r>
        <w:rPr/>
        <w:t>7.</w:t>
        <w:tab/>
        <w:t>Bättre samarbete mellan medlemsstaterna för att hantera riskhanteringen i leveranskedjan.</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Förslag: Minska EU:s beroende av utländska energiaktörer</w:t>
      </w:r>
    </w:p>
    <w:p>
      <w:pPr>
        <w:pStyle w:val="P68B1DB1Normal15"/>
        <w:rPr/>
      </w:pPr>
      <w:r>
        <w:rPr/>
        <w:t>Mål: Vi föreslår att EU uppnår större självständighet när det gäller energiproduktion och energiförsörjning inom ramen för den pågående ekologiska omställningen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Antagandet av en strategi för att göra den mer självständig i sin energiproduktion. Ett europeiskt organ bör integrera befintliga europeiska energiorgan, samordna utvecklingen av förnybar energi och främja kunskapsutbyte</w:t>
      </w:r>
      <w:r>
        <w:rPr>
          <w:rStyle w:val="Ancredenotedefin"/>
          <w:rStyle w:val="Ancredenotedefin"/>
        </w:rPr>
        <w:endnoteReference w:id="19"/>
      </w:r>
      <w:r>
        <w:rPr/>
        <w:t>.</w:t>
      </w:r>
    </w:p>
    <w:p>
      <w:pPr>
        <w:pStyle w:val="Puce3"/>
        <w:tabs>
          <w:tab w:val="clear" w:pos="720"/>
        </w:tabs>
        <w:rPr/>
      </w:pPr>
      <w:r>
        <w:rPr/>
        <w:t>2.</w:t>
        <w:tab/>
        <w:t>Aktivt stöd till projekt för kollektivtrafik och energieffektivitet, ett europeiskt järnvägsnät för godstransporter med hög hastighet, utbyggnad av ren och förnybar energiförsörjning (inklusive solenergi och vindkraft), alternativ teknik (t.ex. vätgas eller energiåtervinning av avfall) och övergången i stadsområden från en enda bilkultur till en kultur av kollektivtrafik, delning av elbilar och cykling</w:t>
      </w:r>
      <w:r>
        <w:rPr>
          <w:rStyle w:val="Ancredenotedefin"/>
          <w:rStyle w:val="Ancredenotedefin"/>
        </w:rPr>
        <w:endnoteReference w:id="20"/>
      </w:r>
      <w:r>
        <w:rPr/>
        <w:t>.</w:t>
      </w:r>
    </w:p>
    <w:p>
      <w:pPr>
        <w:pStyle w:val="Puce3"/>
        <w:tabs>
          <w:tab w:val="clear" w:pos="720"/>
        </w:tabs>
        <w:rPr/>
      </w:pPr>
      <w:r>
        <w:rPr/>
        <w:t>3.</w:t>
        <w:tab/>
        <w:t>Säkerställa en rättvis och rättvis omställning, särskilt genom att stödja utsatta medborgare, som står inför de största utmaningarna i omställningen till klimatneutralitet och som redan lider av högre energipriser på grund av energiberoende och den senaste tredubblingen av energipriserna.</w:t>
      </w:r>
    </w:p>
    <w:p>
      <w:pPr>
        <w:pStyle w:val="Normal"/>
        <w:rPr/>
      </w:pPr>
      <w:r>
        <w:rPr/>
      </w:r>
    </w:p>
    <w:p>
      <w:pPr>
        <w:pStyle w:val="Puce3"/>
        <w:tabs>
          <w:tab w:val="clear" w:pos="720"/>
        </w:tabs>
        <w:rPr/>
      </w:pPr>
      <w:r>
        <w:rPr/>
        <w:t>4.</w:t>
        <w:tab/>
        <w:t>Ökat samarbete för att bedöma användningen av kärnenergi i samband med den pågående gröna omställningen till förnybar energi i Europa och undersöka de kollektiva frågor som den skulle kunna lösa eller skapa, eftersom den fortfarande används av många medlemsstater</w:t>
      </w:r>
      <w:r>
        <w:rPr>
          <w:rStyle w:val="Ancredenotedefin"/>
          <w:rStyle w:val="Ancredenotedefin"/>
        </w:rPr>
        <w:endnoteReference w:id="21"/>
      </w:r>
      <w:r>
        <w:rPr/>
        <w:t>.</w:t>
      </w:r>
    </w:p>
    <w:p>
      <w:pPr>
        <w:pStyle w:val="Puce3"/>
        <w:tabs>
          <w:tab w:val="clear" w:pos="720"/>
        </w:tabs>
        <w:rPr/>
      </w:pPr>
      <w:r>
        <w:rPr/>
        <w:t>5.</w:t>
        <w:tab/>
        <w:t>Samarbete med internationella partner för att förbinda dem att uppnå mer ambitiösa klimatmål i olika internationella forum, däribland G7 och G20.</w:t>
      </w:r>
    </w:p>
    <w:p>
      <w:pPr>
        <w:pStyle w:val="Puce3"/>
        <w:tabs>
          <w:tab w:val="clear" w:pos="720"/>
        </w:tabs>
        <w:rPr/>
      </w:pPr>
      <w:r>
        <w:rPr/>
        <w:t>6.</w:t>
        <w:tab/>
        <w:t>Koppla utrikeshandeln till klimatförändringspolitiska åtgärder (t.ex. genom att lansera ett paket med investeringsåtgärder för klimatvänlig teknik och klimatinnovationer, inbegripet finansieringsprogram)</w:t>
      </w:r>
      <w:r>
        <w:rPr>
          <w:rStyle w:val="Ancredenotedefin"/>
          <w:rStyle w:val="Ancredenotedefin"/>
        </w:rPr>
        <w:endnoteReference w:id="22"/>
      </w:r>
      <w:r>
        <w:rPr/>
        <w:t>.</w:t>
      </w:r>
    </w:p>
    <w:p>
      <w:pPr>
        <w:pStyle w:val="Puce3"/>
        <w:tabs>
          <w:tab w:val="clear" w:pos="720"/>
        </w:tabs>
        <w:rPr/>
      </w:pPr>
      <w:r>
        <w:rPr/>
        <w:t>7.</w:t>
        <w:tab/>
        <w:t>Gemensamma inköp av importerad energi och partnerskap för hållbar energi i syfte att minska Europas beroende av energiimport, särskilt på området för gas och olja, och för att utveckla EU:s inhemska energikällor.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Förslag: Fastställande av standarder inom och utanför EU i handels- och investeringsförbindelserna</w:t>
      </w:r>
    </w:p>
    <w:p>
      <w:pPr>
        <w:pStyle w:val="P68B1DB1Normal15"/>
        <w:rPr/>
      </w:pPr>
      <w:r>
        <w:rPr/>
        <w:t>Mål: Vi föreslår att EU stärker den etiska dimensionen i sina handels- och investeringsförbindelser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Bevarandet och reformen av vår regelbaserade multilaterala internationella handelsarkitektur och partnerskap med likasinnade demokratier.</w:t>
      </w:r>
    </w:p>
    <w:p>
      <w:pPr>
        <w:pStyle w:val="Puce3"/>
        <w:tabs>
          <w:tab w:val="clear" w:pos="720"/>
        </w:tabs>
        <w:rPr/>
      </w:pPr>
      <w:r>
        <w:rPr/>
        <w:t>2.</w:t>
        <w:tab/>
        <w:t>Effektiv och proportionell EU-lagstiftning för att säkerställa att normerna för anständigt arbete tillämpas fullt ut i de globala värdekedjorna, inbegripet i EU:s produktions- och leveransprocesser, och att importerade varor uppfyller kvalitativa etiska standarder, hållbar utveckling och människorättsnormer, inbegripet arbetstagar- och fackliga rättigheter, genom att erbjuda certifiering av produkter i linje med denna EU-lagstiftning</w:t>
      </w:r>
      <w:r>
        <w:rPr>
          <w:rStyle w:val="Ancredenotedefin"/>
          <w:rStyle w:val="Ancredenotedefin"/>
        </w:rPr>
        <w:endnoteReference w:id="23"/>
      </w:r>
      <w:r>
        <w:rPr/>
        <w:t xml:space="preserve"> och delta i en EU-omfattande dialogprocess som syftar till att informera och utbilda om de miljömässiga och etiska effekterna av strategiska förändringar i den internationella handeln.</w:t>
      </w:r>
    </w:p>
    <w:p>
      <w:pPr>
        <w:pStyle w:val="Normal"/>
        <w:rPr/>
      </w:pPr>
      <w:r>
        <w:rPr/>
      </w:r>
    </w:p>
    <w:p>
      <w:pPr>
        <w:pStyle w:val="Puce3"/>
        <w:tabs>
          <w:tab w:val="clear" w:pos="720"/>
        </w:tabs>
        <w:rPr/>
      </w:pPr>
      <w:r>
        <w:rPr/>
        <w:t>3.</w:t>
        <w:tab/>
        <w:t>Restriktioner för import och försäljning av produkter från länder som tillåter tvångsarbete och barnarbete, en regelbundet uppdaterad svart lista över företag och konsumenternas medvetenhet om barnarbete genom information som offentliggörs via officiella EU-kanaler</w:t>
      </w:r>
      <w:r>
        <w:rPr>
          <w:rStyle w:val="Ancredenotedefin"/>
          <w:rStyle w:val="Ancredenotedefin"/>
        </w:rPr>
        <w:endnoteReference w:id="24"/>
      </w:r>
      <w:r>
        <w:rPr/>
        <w:t>.</w:t>
      </w:r>
    </w:p>
    <w:p>
      <w:pPr>
        <w:pStyle w:val="Puce3"/>
        <w:tabs>
          <w:tab w:val="clear" w:pos="720"/>
        </w:tabs>
        <w:rPr/>
      </w:pPr>
      <w:r>
        <w:rPr/>
        <w:t>4.</w:t>
        <w:tab/>
        <w:t>Övervakning och verkställighet av verkställbara kapitel om handel och hållbar utveckling i EU:s frihandelsavtal, inbegripet möjligheten till en sanktionsbaserad sista utväg.</w:t>
      </w:r>
    </w:p>
    <w:p>
      <w:pPr>
        <w:pStyle w:val="Puce3"/>
        <w:tabs>
          <w:tab w:val="clear" w:pos="720"/>
        </w:tabs>
        <w:rPr/>
      </w:pPr>
      <w:r>
        <w:rPr/>
        <w:t>5.</w:t>
        <w:tab/>
        <w:t>Reformen av EU:s allmänna preferenssystem för att inkludera strikta tvärvillkorsbestämmelser och effektiva och lämpliga förfaranden för övervakning, rapportering och dialog för att förbättra den inverkan som det allmänna preferenssystemet kan ha på handel, mänskliga rättigheter och utveckling i partnerländerna, med möjlighet att dra tillbaka handelsförmåner vid bristande efterlevnad.</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Förslag: Fastställande av standarder inom och utanför EU för miljöpolitiken</w:t>
      </w:r>
    </w:p>
    <w:p>
      <w:pPr>
        <w:pStyle w:val="P68B1DB1Normal15"/>
        <w:rPr/>
      </w:pPr>
      <w:r>
        <w:rPr/>
        <w:t>Mål: Vi föreslår att EU stärker miljödimensionen i sina handelsförbindelser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Harmonisering och förstärkning av miljömärkning och obligatorisk märkning av en europeisk indikator för miljöpåverkan (ecoscore) för alla konsumentprodukter. Miljöpoängen skulle beräknas på grundval av utsläpp från produktion och transport samt innehållets skadlighet, på grundval av en förteckning över farliga produkter. Ecoscore bör förvaltas och övervakas av en europeisk myndighet</w:t>
      </w:r>
      <w:r>
        <w:rPr>
          <w:rStyle w:val="Ancredenotedefin"/>
          <w:rStyle w:val="Ancredenotedefin"/>
        </w:rPr>
        <w:endnoteReference w:id="25"/>
      </w:r>
      <w:r>
        <w:rPr/>
        <w:t>.</w:t>
      </w:r>
    </w:p>
    <w:p>
      <w:pPr>
        <w:pStyle w:val="Puce3"/>
        <w:tabs>
          <w:tab w:val="clear" w:pos="720"/>
        </w:tabs>
        <w:rPr/>
      </w:pPr>
      <w:r>
        <w:rPr/>
        <w:t>2.</w:t>
        <w:tab/>
        <w:t>Högre miljönormer för export av avfall samt strängare kontroller och sanktioner för att stoppa olaglig export. Unionen bör uppmuntra medlemsstaterna att återvinna sitt eget avfall och använda det för att producera energi</w:t>
      </w:r>
      <w:r>
        <w:rPr>
          <w:rStyle w:val="Ancredenotedefin"/>
          <w:rStyle w:val="Ancredenotedefin"/>
        </w:rPr>
        <w:endnoteReference w:id="26"/>
      </w:r>
      <w:r>
        <w:rPr/>
        <w:t>.</w:t>
      </w:r>
    </w:p>
    <w:p>
      <w:pPr>
        <w:pStyle w:val="Puce3"/>
        <w:tabs>
          <w:tab w:val="clear" w:pos="720"/>
        </w:tabs>
        <w:rPr/>
      </w:pPr>
      <w:r>
        <w:rPr/>
        <w:t>3.</w:t>
        <w:tab/>
        <w:t>Definitionen av ett mål att eliminera förorenande förpackningar genom att främja mindre förorenande förpackningar eller miljövänligare förpackningar</w:t>
      </w:r>
      <w:r>
        <w:rPr>
          <w:rStyle w:val="Ancredenotedefin"/>
          <w:rStyle w:val="Ancredenotedefin"/>
        </w:rPr>
        <w:endnoteReference w:id="27"/>
      </w:r>
      <w:r>
        <w:rPr/>
        <w:t xml:space="preserve"> och upprätta partnerskap med utvecklingsländer, stödja deras infrastruktur och överväga ömsesidigt fördelaktiga handelsavtal för att hjälpa dem i deras övergång till gröna energikällor</w:t>
      </w:r>
      <w:r>
        <w:rPr>
          <w:rStyle w:val="Ancredenotedefin"/>
          <w:rStyle w:val="Ancredenotedefin"/>
        </w:rPr>
        <w:endnoteReference w:id="28"/>
      </w:r>
      <w:r>
        <w:rPr/>
        <w:t>.</w:t>
      </w:r>
    </w:p>
    <w:p>
      <w:pPr>
        <w:pStyle w:val="Puce3"/>
        <w:tabs>
          <w:tab w:val="clear" w:pos="720"/>
        </w:tabs>
        <w:rPr/>
      </w:pPr>
      <w:r>
        <w:rPr/>
        <w:t>4.</w:t>
        <w:tab/>
        <w:t>Möjligheten att belöna länder med höga hållbarhetsstandarder genom att ge ytterligare tillträde till EU:s marknad för sina varaktiga varor och tjänster, antingen ensidigt genom det allmänna preferenssystemet GSP+ eller bilateralt genom förhandlade handelsavtal eller multilateralt genom initiativ inom Världshandelsorganisationen.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Förslag: Beslutsfattande och sammanhållning inom unionen</w:t>
      </w:r>
    </w:p>
    <w:p>
      <w:pPr>
        <w:pStyle w:val="P68B1DB1Normal15"/>
        <w:rPr/>
      </w:pPr>
      <w:r>
        <w:rPr/>
        <w:t>Mål: Vi föreslår att EU förbättrar sin kapacitet att fatta snabba och effektiva beslut inom ramen för den gemensamma utrikes- och säkerhetspolitiken (Gusp) genom att tala med en röst och agera som en verkligt global aktör, för att få en positiv roll i världen och genom att göra skillnad när det gäller att hantera alla kriser, bland annat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Genom att se till att frågor som för närvarande fattas med enhällighet, särskilt på området för den gemensamma utrikes- och säkerhetspolitiken, normalt tas med kvalificerad majoritet</w:t>
      </w:r>
      <w:r>
        <w:rPr>
          <w:rStyle w:val="Ancredenotedefin"/>
          <w:rStyle w:val="Ancredenotedefin"/>
        </w:rPr>
        <w:endnoteReference w:id="29"/>
      </w:r>
      <w:r>
        <w:rPr/>
        <w:t>.</w:t>
      </w:r>
    </w:p>
    <w:p>
      <w:pPr>
        <w:pStyle w:val="Puce3"/>
        <w:tabs>
          <w:tab w:val="clear" w:pos="720"/>
        </w:tabs>
        <w:rPr/>
      </w:pPr>
      <w:r>
        <w:rPr/>
        <w:t>2.</w:t>
        <w:tab/>
        <w:t>Att basera samarbetet på säkerhets- och försvarspolitiken på den nyligen godkända strategiska kompassen och använda den europeiska fredsfaciliteten</w:t>
      </w:r>
      <w:r>
        <w:rPr>
          <w:rStyle w:val="Ancredenotedefin"/>
          <w:rStyle w:val="Ancredenotedefin"/>
        </w:rPr>
        <w:endnoteReference w:id="30"/>
      </w:r>
      <w:r>
        <w:rPr/>
        <w:t>.</w:t>
      </w:r>
    </w:p>
    <w:p>
      <w:pPr>
        <w:pStyle w:val="Puce3"/>
        <w:tabs>
          <w:tab w:val="clear" w:pos="720"/>
        </w:tabs>
        <w:rPr/>
      </w:pPr>
      <w:r>
        <w:rPr/>
        <w:t>3.</w:t>
        <w:tab/>
        <w:t>Stärka den höga representantens roll när det gäller att se till att EU talar med en röst</w:t>
      </w:r>
      <w:r>
        <w:rPr>
          <w:rStyle w:val="Ancredenotedefin"/>
          <w:rStyle w:val="Ancredenotedefin"/>
        </w:rPr>
        <w:endnoteReference w:id="31"/>
      </w:r>
      <w:r>
        <w:rPr/>
        <w:t>.</w:t>
      </w:r>
    </w:p>
    <w:p>
      <w:pPr>
        <w:pStyle w:val="Puce3"/>
        <w:tabs>
          <w:tab w:val="clear" w:pos="720"/>
        </w:tabs>
        <w:rPr/>
      </w:pPr>
      <w:r>
        <w:rPr/>
        <w:t>4.</w:t>
        <w:tab/>
        <w:t>Enas om en stark vision och en gemensam strategi för att befästa EU:s enighet och beslutskapacitet för att förbereda unionen för ytterligare utvidgningar</w:t>
      </w:r>
      <w:r>
        <w:rPr>
          <w:rStyle w:val="Ancredenotedefin"/>
          <w:rStyle w:val="Ancredenotedefin"/>
        </w:rPr>
        <w:endnoteReference w:id="32"/>
      </w:r>
      <w:r>
        <w:rPr/>
        <w:t>.</w:t>
      </w:r>
    </w:p>
    <w:p>
      <w:pPr>
        <w:pStyle w:val="Puce3"/>
        <w:tabs>
          <w:tab w:val="clear" w:pos="720"/>
        </w:tabs>
        <w:rPr/>
      </w:pPr>
      <w:r>
        <w:rPr/>
        <w:t>5.</w:t>
        <w:tab/>
        <w:t>Genom att snabbt ratificera nyligen ingångna handelsavtal, utan att avstå från lämpliga överväganden och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Förslag: Öppenhet och insyn i EU och dess förbindelser med medborgarna</w:t>
      </w:r>
    </w:p>
    <w:p>
      <w:pPr>
        <w:pStyle w:val="P68B1DB1Normal15"/>
        <w:rPr/>
      </w:pPr>
      <w:r>
        <w:rPr/>
        <w:t>Mål: vi föreslår att EU, särskilt i sina åtgärder på internationell nivå, inbegripet handelsförhandlingar, ökar sin tillgänglighet för medborgarna genom att förbättra information, utbildning, medborgardeltagande och öppenhet, särskilt genom att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Stärka kontakterna med medborgarna och de lokala institutionerna för att förbättra insynen, nå medborgarna och bättre kommunicera och kommunicera med dem om konkreta EU-initiativ på internationell nivå</w:t>
      </w:r>
      <w:r>
        <w:rPr>
          <w:rStyle w:val="Ancredenotedefin"/>
          <w:rStyle w:val="Ancredenotedefin"/>
        </w:rPr>
        <w:endnoteReference w:id="33"/>
      </w:r>
      <w:r>
        <w:rPr/>
        <w:t>.</w:t>
      </w:r>
    </w:p>
    <w:p>
      <w:pPr>
        <w:pStyle w:val="Puce3"/>
        <w:tabs>
          <w:tab w:val="clear" w:pos="720"/>
        </w:tabs>
        <w:rPr/>
      </w:pPr>
      <w:r>
        <w:rPr/>
        <w:t>2.</w:t>
        <w:tab/>
        <w:t>Ökat deltagande av medborgarna i EU:s internationella politik och evenemang med direkt medborgardeltagande, t.ex. konferensen om Europas framtid, som anordnas på nationell, lokal och europeisk nivå</w:t>
      </w:r>
      <w:r>
        <w:rPr>
          <w:rStyle w:val="Ancredenotedefin"/>
          <w:rStyle w:val="Ancredenotedefin"/>
        </w:rPr>
        <w:endnoteReference w:id="34"/>
      </w:r>
      <w:r>
        <w:rPr/>
        <w:t xml:space="preserve"> och med aktivt deltagande av det organiserade civila samhället</w:t>
      </w:r>
      <w:r>
        <w:rPr>
          <w:rStyle w:val="Ancredenotedefin"/>
          <w:rStyle w:val="Ancredenotedefin"/>
        </w:rPr>
        <w:endnoteReference w:id="35"/>
      </w:r>
      <w:r>
        <w:rPr/>
        <w:t>.</w:t>
      </w:r>
    </w:p>
    <w:p>
      <w:pPr>
        <w:pStyle w:val="Puce3"/>
        <w:tabs>
          <w:tab w:val="clear" w:pos="720"/>
        </w:tabs>
        <w:rPr/>
      </w:pPr>
      <w:r>
        <w:rPr/>
        <w:t>3.</w:t>
        <w:tab/>
        <w:t>Fullt stöd från alla berörda parter till medborgare som väljer att delta i det organiserade civila samhällets organisationer, vilket har varit fallet med covid-19 och Ukraina.</w:t>
      </w:r>
    </w:p>
    <w:p>
      <w:pPr>
        <w:pStyle w:val="Puce3"/>
        <w:tabs>
          <w:tab w:val="clear" w:pos="720"/>
        </w:tabs>
        <w:rPr/>
      </w:pPr>
      <w:r>
        <w:rPr/>
        <w:t>4.</w:t>
        <w:tab/>
        <w:t>Tilldelning av en särskild budget för utveckling av utbildningsprogram om EU:s funktionssätt och dess värden, som den skulle kunna föreslå medlemsstaterna om de så önskar, så att de kan integrera dem i sina läroplaner (primär-, sekundär- och universitetsutbildningar). Dessutom skulle en särskild kurs om unionen och dess funktion kunna erbjudas studenter som vill studera i ett annat europeiskt land genom Erasmusprogrammet. Studenter som väljer denna kurs skulle prioriteras för att dra nytta av Erasmusprogrammen.</w:t>
      </w:r>
    </w:p>
    <w:p>
      <w:pPr>
        <w:pStyle w:val="Puce3"/>
        <w:tabs>
          <w:tab w:val="clear" w:pos="720"/>
        </w:tabs>
        <w:rPr/>
      </w:pPr>
      <w:r>
        <w:rPr/>
        <w:t>5.</w:t>
        <w:tab/>
        <w:t>Förbättra EU:s mediestrategi genom ökad synlighet i sociala medier och aktiv marknadsföring av dess innehåll, främja innovation genom att förbättra tillgängligheten till EU:s närvaro på sociala medier</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Förslag: EU som världsledande inom fred och säkerhet</w:t>
      </w:r>
    </w:p>
    <w:p>
      <w:pPr>
        <w:pStyle w:val="P68B1DB1Normal15"/>
        <w:rPr/>
      </w:pPr>
      <w:r>
        <w:rPr/>
        <w:t>Mål: vi föreslår att EU fortsätter att agera för att främja dialog och säkerställa fred och en regelbaserad internationell ordning, stärka multilateralismen och bygga vidare på EU:s långvariga fredsinitiativ som bidrog till Nobelpriset 2012, samtidigt som den stärker sin gemensamma säkerhet genom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Gemensamma väpnade styrkor, som används för självförsvarsändamål och som är avsedda att förhindra aggressiva militära åtgärder av något slag, som har kapacitet att ge bistånd i kristider, även i händelse av en naturkatastrof. Utanför de europeiska gränserna skulle de kunna sättas in under exceptionella omständigheter, helst under ett rättsligt mandat från FN:s säkerhetsråd och därför i enlighet med internationell rätt</w:t>
      </w:r>
      <w:r>
        <w:rPr>
          <w:rStyle w:val="Ancredenotedefin"/>
          <w:rStyle w:val="Ancredenotedefin"/>
        </w:rPr>
        <w:endnoteReference w:id="39"/>
      </w:r>
      <w:r>
        <w:rPr/>
        <w:t>, utan att konkurrera med Nato eller duplicera Nato och respektera de olika nationella förbindelserna med Nato. i detta avseende bör en bedömning av EU:s förbindelser med Nato göras inom ramen för debatten om EU:s strategiska oberoende.</w:t>
      </w:r>
    </w:p>
    <w:p>
      <w:pPr>
        <w:pStyle w:val="Normal"/>
        <w:rPr/>
      </w:pPr>
      <w:r>
        <w:rPr/>
      </w:r>
    </w:p>
    <w:p>
      <w:pPr>
        <w:pStyle w:val="Puce3"/>
        <w:tabs>
          <w:tab w:val="clear" w:pos="720"/>
        </w:tabs>
        <w:rPr/>
      </w:pPr>
      <w:r>
        <w:rPr/>
        <w:t>2.</w:t>
        <w:tab/>
        <w:t>En ledande roll i uppbyggnaden av den globala säkerhetsordningen efter kriget i Ukraina, baserad på EU:s nyligen antagna strategiska kompass.</w:t>
      </w:r>
    </w:p>
    <w:p>
      <w:pPr>
        <w:pStyle w:val="Puce3"/>
        <w:tabs>
          <w:tab w:val="clear" w:pos="720"/>
        </w:tabs>
        <w:rPr/>
      </w:pPr>
      <w:r>
        <w:rPr/>
        <w:t>3.</w:t>
        <w:tab/>
        <w:t>Skyddet av dess strategiska forskning och kapacitet inom prioriterade sektorer såsom rymdsektorn, cybersäkerhet, den medicinska sektorn och miljön</w:t>
      </w:r>
      <w:r>
        <w:rPr>
          <w:rStyle w:val="Ancredenotedefin"/>
          <w:rStyle w:val="Ancredenotedefin"/>
        </w:rPr>
        <w:endnoteReference w:id="40"/>
      </w:r>
      <w:r>
        <w:rPr/>
        <w:t>.</w:t>
      </w:r>
    </w:p>
    <w:p>
      <w:pPr>
        <w:pStyle w:val="Puce3"/>
        <w:tabs>
          <w:tab w:val="clear" w:pos="720"/>
        </w:tabs>
        <w:rPr/>
      </w:pPr>
      <w:r>
        <w:rPr/>
        <w:t>4.</w:t>
        <w:tab/>
        <w:t>Förstärkning av den operativa kapacitet som krävs för att säkerställa effektiviteten i klausulen om ömsesidigt bistånd i artikel 42.7 i fördraget om Europeiska unionen, som garanterar ett adekvat EU-skydd för alla medlemsstater som attackeras av ett tredjeland.</w:t>
      </w:r>
    </w:p>
    <w:p>
      <w:pPr>
        <w:pStyle w:val="Puce3"/>
        <w:tabs>
          <w:tab w:val="clear" w:pos="720"/>
        </w:tabs>
        <w:rPr/>
      </w:pPr>
      <w:r>
        <w:rPr/>
        <w:t>5.</w:t>
        <w:tab/>
        <w:t>En reflektion över hur man kan bekämpa desinformation och propaganda på ett objektivt och sakligt sätt.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Förslag: EU som en ledande global aktör när det gäller att bygga relationer</w:t>
      </w:r>
    </w:p>
    <w:p>
      <w:pPr>
        <w:pStyle w:val="P68B1DB1Normal15"/>
        <w:rPr/>
      </w:pPr>
      <w:r>
        <w:rPr/>
        <w:t>Mål: Vi föreslår att EU i sina förbindelser med tredjeländer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Utnyttja sin kollektiva politiska och ekonomiska tyngd i större utsträckning, tala med en röst och agera på ett enhetligt sätt, utan att vissa medlemsstater delar unionen med olämpliga bilaterala interventioner</w:t>
      </w:r>
      <w:r>
        <w:rPr>
          <w:rStyle w:val="Ancredenotedefin"/>
          <w:rStyle w:val="Ancredenotedefin"/>
        </w:rPr>
        <w:endnoteReference w:id="41"/>
      </w:r>
      <w:r>
        <w:rPr/>
        <w:t>.</w:t>
      </w:r>
    </w:p>
    <w:p>
      <w:pPr>
        <w:pStyle w:val="Puce3"/>
        <w:tabs>
          <w:tab w:val="clear" w:pos="720"/>
        </w:tabs>
        <w:rPr/>
      </w:pPr>
      <w:r>
        <w:rPr/>
        <w:t>2.</w:t>
        <w:tab/>
        <w:t>Stärker sin förmåga att sanktionera stater, regeringar, enheter, grupper eller organisationer samt personer som inte följer dess grundläggande principer, avtal och lagar och säkerställer att befintliga sanktioner snabbt genomförs och verkställs. Sanktioner mot tredjeländer bör stå i proportion till de åtgärder som utlöste dem, vara effektiva och tillämpas i tid</w:t>
      </w:r>
      <w:r>
        <w:rPr>
          <w:rStyle w:val="Ancredenotedefin"/>
          <w:rStyle w:val="Ancredenotedefin"/>
        </w:rPr>
        <w:endnoteReference w:id="42"/>
      </w:r>
      <w:r>
        <w:rPr/>
        <w:t>.</w:t>
      </w:r>
    </w:p>
    <w:p>
      <w:pPr>
        <w:pStyle w:val="Puce3"/>
        <w:tabs>
          <w:tab w:val="clear" w:pos="720"/>
        </w:tabs>
        <w:rPr/>
      </w:pPr>
      <w:r>
        <w:rPr/>
        <w:t>3.</w:t>
        <w:tab/>
        <w:t>Främjar hållbar och regelbaserad handel samtidigt som nya handels- och investeringsmöjligheter öppnas för europeiska företag. Bilaterala handels- och investeringsavtal är av avgörande betydelse för att främja den europeiska konkurrenskraften, men standarder och regler behövs för att säkerställa lika villkor. EU måste förbli en aktiv och pålitlig partner när det gäller att förhandla om, ingå och genomföra handelsavtal som också fastställer höga hållbarhetsstandarder.</w:t>
      </w:r>
    </w:p>
    <w:p>
      <w:pPr>
        <w:pStyle w:val="Puce3"/>
        <w:tabs>
          <w:tab w:val="clear" w:pos="720"/>
        </w:tabs>
        <w:rPr/>
      </w:pPr>
      <w:r>
        <w:rPr/>
        <w:t>4.</w:t>
        <w:tab/>
        <w:t>Ingick de viktigaste internationella samarbetsavtalen genom att företräda Europeiska unionen i stället för enskilda länder</w:t>
      </w:r>
      <w:r>
        <w:rPr>
          <w:rStyle w:val="Ancredenotedefin"/>
          <w:rStyle w:val="Ancredenotedefin"/>
        </w:rPr>
        <w:endnoteReference w:id="43"/>
      </w:r>
      <w:r>
        <w:rPr/>
        <w:t>.</w:t>
      </w:r>
    </w:p>
    <w:p>
      <w:pPr>
        <w:pStyle w:val="Puce3"/>
        <w:tabs>
          <w:tab w:val="clear" w:pos="720"/>
        </w:tabs>
        <w:rPr/>
      </w:pPr>
      <w:r>
        <w:rPr/>
        <w:t>5.</w:t>
        <w:tab/>
        <w:t>Reformera EU:s handels- och investeringspolitik för att blåsa nytt liv i den globala multilateralismen, i syfte att skapa anständiga arbetstillfällen och skydda grundläggande mänskliga rättigheter, inbegripet arbetstagarnas rättigheter och fackliga rättigheter, bevara miljön och den biologiska mångfalden och respektera Parisavtalet om klimatförändringar, säkerställa offentliga tjänster av god kvalitet och stärka Europas industriella bas. EU bör bidra till en nystart för den globala multilateralismen genom djupgående reformer som bygger på demokrati och fred, solidaritet och respekt för mänskliga rättigheter, sociala och miljömässiga rättigheter och en stärkt roll för ILO.</w:t>
      </w:r>
    </w:p>
    <w:p>
      <w:pPr>
        <w:pStyle w:val="Puce3"/>
        <w:tabs>
          <w:tab w:val="clear" w:pos="720"/>
        </w:tabs>
        <w:rPr/>
      </w:pPr>
      <w:r>
        <w:rPr/>
        <w:t>6.</w:t>
        <w:tab/>
        <w:t>Omfattar kampen mot människohandel och irreguljär invandring samt samarbete vid eventuella återvändandeinsatser i samarbets- och investeringsavtal med tredjeländer.</w:t>
      </w:r>
    </w:p>
    <w:p>
      <w:pPr>
        <w:pStyle w:val="Puce3"/>
        <w:tabs>
          <w:tab w:val="clear" w:pos="720"/>
        </w:tabs>
        <w:rPr/>
      </w:pPr>
      <w:r>
        <w:rPr/>
        <w:t>7.</w:t>
        <w:tab/>
        <w:t>Utveckla partnerskap med utvecklingsländer för att stödja deras infrastruktur och överväga ömsesidigt fördelaktiga handelsavtal för att hjälpa dem i deras övergång till gröna energikällor</w:t>
      </w:r>
      <w:r>
        <w:rPr>
          <w:rStyle w:val="Ancredenotedefin"/>
          <w:rStyle w:val="Ancredenotedefin"/>
        </w:rPr>
        <w:endnoteReference w:id="44"/>
      </w:r>
      <w:r>
        <w:rPr/>
        <w:t>.</w:t>
      </w:r>
    </w:p>
    <w:p>
      <w:pPr>
        <w:pStyle w:val="Puce3"/>
        <w:tabs>
          <w:tab w:val="clear" w:pos="720"/>
        </w:tabs>
        <w:rPr/>
      </w:pPr>
      <w:r>
        <w:rPr/>
        <w:t>8.</w:t>
        <w:tab/>
        <w:t>Utvecklar en mer effektiv och enad politik för autokratiska och hybrida regimer och utvecklar partnerskap med det civila samhällets organisationer i dessa länder.</w:t>
      </w:r>
    </w:p>
    <w:p>
      <w:pPr>
        <w:pStyle w:val="Puce3"/>
        <w:tabs>
          <w:tab w:val="clear" w:pos="720"/>
        </w:tabs>
        <w:rPr/>
      </w:pPr>
      <w:r>
        <w:rPr/>
        <w:t>9.</w:t>
        <w:tab/>
        <w:t>Öka resurserna för EU:s valobservatörsuppdrag.</w:t>
      </w:r>
    </w:p>
    <w:p>
      <w:pPr>
        <w:pStyle w:val="Puce3"/>
        <w:tabs>
          <w:tab w:val="clear" w:pos="720"/>
        </w:tabs>
        <w:rPr/>
      </w:pPr>
      <w:r>
        <w:rPr/>
        <w:t>10.</w:t>
        <w:tab/>
        <w:t>Erbjuder trovärdiga utsikter till anslutning till kandidatländer och potentiella kandidatländer för att främja fred och stabilitet i Europa och skapa välstånd för miljontals européer</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LÄGG MÄRKE TILL: Flera medlemmar i arbetsgruppen anser att förslagen ”Att minska EU:s beroende av utländska aktörer på energiområdet” och ”EU:s öppenhet och dess förbindelser med medborgarna” i synnerhet faller under andra arbetsgrupper. Några ledamöter ville nämna, förutom omröstning med kvalificerad majoritet, alternativ till enhällighet i rådet, såsom variabel geometri, klausuler om icke-deltagande och fördjupat samarbete. Vissa medlemmar i arbetsgruppen efterlyste att termen ”hållbar” snarare än ”etisk” skulle användas i förslaget om att definiera standarder inom och utanför EU i handels- och investeringsförbindelser. Det finns meningsskiljaktigheter om huruvida anslutningen av nya medlemsstater bör fortsätta att kräva enhällig överenskommelse mellan alla nuvarande medlemsstater. En rad olika åsikter framkom om den önskvärda graden av gemensamma väpnade styrkor. Två ledamöter hänvisade till utsikterna till en irländsk enighet om Nordirland skulle rösta i denna riktning i enlighet med bestämmelserna i långfredagsavtalet och behovet av att unionen är beredd på en sådan händelse.</w:t>
      </w:r>
    </w:p>
    <w:p>
      <w:pPr>
        <w:pStyle w:val="Normal"/>
        <w:rPr/>
      </w:pPr>
      <w:r>
        <w:rPr/>
      </w:r>
      <w:r>
        <w:br w:type="page"/>
      </w:r>
    </w:p>
    <w:p>
      <w:pPr>
        <w:pStyle w:val="Normal"/>
        <w:rPr/>
      </w:pPr>
      <w:r>
        <w:rPr/>
        <w:drawing>
          <wp:anchor behindDoc="0" distT="0" distB="0" distL="0" distR="0" simplePos="0" locked="0" layoutInCell="1" allowOverlap="1" relativeHeight="27">
            <wp:simplePos x="0" y="0"/>
            <wp:positionH relativeFrom="column">
              <wp:posOffset>19050</wp:posOffset>
            </wp:positionH>
            <wp:positionV relativeFrom="paragraph">
              <wp:posOffset>17145</wp:posOffset>
            </wp:positionV>
            <wp:extent cx="913765" cy="913765"/>
            <wp:effectExtent l="0" t="0" r="0" b="0"/>
            <wp:wrapSquare wrapText="largest"/>
            <wp:docPr id="65" name="Bild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Värderingar och rättigheter, rättsstatsprincipen, säkerhet</w:t>
      </w:r>
    </w:p>
    <w:p>
      <w:pPr>
        <w:pStyle w:val="Titre3"/>
        <w:numPr>
          <w:ilvl w:val="2"/>
          <w:numId w:val="2"/>
        </w:numPr>
        <w:rPr/>
      </w:pPr>
      <w:bookmarkStart w:id="74" w:name="__RefHeading___Toc298322_1346298689"/>
      <w:bookmarkEnd w:id="74"/>
      <w:r>
        <w:rPr/>
        <w:t>25. Förslag: Rättsstatsprincipen, demokratiska värderingar och europeisk identitet</w:t>
      </w:r>
    </w:p>
    <w:p>
      <w:pPr>
        <w:pStyle w:val="P68B1DB1Normal15"/>
        <w:rPr/>
      </w:pPr>
      <w:r>
        <w:rPr/>
        <w:t>Mål: Systematiskt upprätthålla rättsstatsprincipen i alla medlemsstater, inbegripet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46"/>
      </w:r>
      <w:r>
        <w:rPr/>
        <w:t>:</w:t>
      </w:r>
    </w:p>
    <w:p>
      <w:pPr>
        <w:pStyle w:val="Puce3"/>
        <w:tabs>
          <w:tab w:val="clear" w:pos="720"/>
        </w:tabs>
        <w:rPr/>
      </w:pPr>
      <w:r>
        <w:rPr/>
        <w:t>1.</w:t>
        <w:tab/>
        <w:t>Säkerställa att de värden och principer som fastställs i EU-fördragen och Europeiska unionens stadga om de grundläggande rättigheterna är icke förhandlingsbara och oåterkalleliga och utgör nödvändiga villkor för medlemskap och anslutning till unionen. EU:s värden måste respekteras fullt ut i alla medlemsstater. de bör också fungera som en internationell standard och representera en attraktionspol genom diplomati och dialog. Utvidgningen av unionen bör inte undergräva EU:s regelverk när det gäller grundläggande värden och medborgerliga rättigheter</w:t>
      </w:r>
      <w:r>
        <w:rPr>
          <w:rStyle w:val="Ancredenotedefin"/>
          <w:rStyle w:val="Ancredenotedefin"/>
        </w:rPr>
        <w:endnoteReference w:id="47"/>
      </w:r>
      <w:r>
        <w:rPr/>
        <w:t>.</w:t>
      </w:r>
    </w:p>
    <w:p>
      <w:pPr>
        <w:pStyle w:val="Puce3"/>
        <w:tabs>
          <w:tab w:val="clear" w:pos="720"/>
        </w:tabs>
        <w:rPr/>
      </w:pPr>
      <w:r>
        <w:rPr/>
        <w:t>2.</w:t>
        <w:tab/>
        <w:t>Genom att göra de europeiska värderingarna till en konkret verklighet för EU-medborgarna, särskilt genom ett mer interaktivt och direkt deltagande, bör det europeiska medborgarskapet stärkas, till exempel genom en ställning som unionsmedborgare med medborgarnas rättigheter och friheter, samt en stadga för europeiska gränsöverskridande föreningar och ideella organisationer. På samma sätt bör europeiska värden främjas genom en ”integrationsportfölj” som omfattar utbildningselement och informationsmaterial för medborgarna. Slutligen bör en europeisk offentlig sfär för audiovisuella medier och onlinemedier skapas genom nya EU-investeringar, förbättring av befintliga medieplattformar och ökat stöd till de mer än 500 europeiska kontaktkontor som finns på lokal nivå</w:t>
      </w:r>
      <w:r>
        <w:rPr>
          <w:rStyle w:val="Ancredenotedefin"/>
          <w:rStyle w:val="Ancredenotedefin"/>
        </w:rPr>
        <w:endnoteReference w:id="48"/>
      </w:r>
      <w:r>
        <w:rPr/>
        <w:t xml:space="preserve">. </w:t>
      </w:r>
    </w:p>
    <w:p>
      <w:pPr>
        <w:pStyle w:val="Puce3"/>
        <w:tabs>
          <w:tab w:val="clear" w:pos="720"/>
        </w:tabs>
        <w:rPr/>
      </w:pPr>
      <w:r>
        <w:rPr/>
        <w:t>3.</w:t>
        <w:tab/>
        <w:t>Europeiska unionens stadga om de grundläggande rättigheterna bör vara universellt tillämplig. Dessutom bör årliga konferenser om rättsstatsprincipen anordnas (efter kommissionens rapport om rättsstatsprincipen) och sammanför delegationer från alla medlemsstater, bestående av medborgare, tjänstemän, parlamentariker, lokala myndigheter, arbetsmarknadens parter och det civila samhället, utvalda på ett slumpmässigt och varierat sätt. Det är också viktigt att ytterligare stödja organisationer, inklusive organisationer i det civila samhället, som främjar rättsstatsprincipen på fältet</w:t>
      </w:r>
      <w:r>
        <w:rPr>
          <w:rStyle w:val="Ancredenotedefin"/>
          <w:rStyle w:val="Ancredenotedefin"/>
        </w:rPr>
        <w:endnoteReference w:id="49"/>
      </w:r>
      <w:r>
        <w:rPr/>
        <w:t>.</w:t>
      </w:r>
    </w:p>
    <w:p>
      <w:pPr>
        <w:pStyle w:val="Puce3"/>
        <w:tabs>
          <w:tab w:val="clear" w:pos="720"/>
        </w:tabs>
        <w:rPr/>
      </w:pPr>
      <w:r>
        <w:rPr/>
        <w:t>4.</w:t>
        <w:tab/>
        <w:t>Genom att effektivt tillämpa den s.k. tvärvillkorsförordningen, bedöma tillämpningsområdet för den förordningen och andra rättsstatsinstrument samt överväga att utvidga deras tillämpningsområde till nya områden, oavsett deras relevans för unionens budget. Alla nödvändiga rättsmedel, inbegripet ändringar av fördragen, bör övervägas för att bestraffa överträdelser av rättsstatsprincipen</w:t>
      </w:r>
      <w:r>
        <w:rPr>
          <w:rStyle w:val="Ancredenotedefin"/>
          <w:rStyle w:val="Ancredenotedefin"/>
        </w:rPr>
        <w:endnoteReference w:id="50"/>
      </w:r>
      <w:r>
        <w:rPr/>
        <w:t>.</w:t>
      </w:r>
    </w:p>
    <w:p>
      <w:pPr>
        <w:pStyle w:val="Puce3"/>
        <w:tabs>
          <w:tab w:val="clear" w:pos="720"/>
        </w:tabs>
        <w:rPr/>
      </w:pPr>
      <w:r>
        <w:rPr/>
        <w:t>5.</w:t>
        <w:tab/>
        <w:t>Främja utbildnings- och medieprogram som sätter unionens värden i centrum för integrationsprocessen för migranter och uppmuntrar till samverkan mellan unionsmedborgare och migranter, i syfte att möjliggöra en framgångsrik integrering i unionens samhällen och öka medvetenheten om migrationsfrågor bland unionsmedborgarna.</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Förslag: Dataskydd</w:t>
      </w:r>
    </w:p>
    <w:p>
      <w:pPr>
        <w:pStyle w:val="Corpsdetexte"/>
        <w:rPr/>
      </w:pPr>
      <w:r>
        <w:rPr/>
      </w:r>
    </w:p>
    <w:p>
      <w:pPr>
        <w:pStyle w:val="P68B1DB1Normal15"/>
        <w:rPr/>
      </w:pPr>
      <w:r>
        <w:rPr/>
        <w:t>Mål: säkerställa en mer skyddande och bättre politik för databehandling för medborgarna, särskilt följande: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52"/>
      </w:r>
      <w:r>
        <w:rPr/>
        <w:t>:</w:t>
      </w:r>
    </w:p>
    <w:p>
      <w:pPr>
        <w:pStyle w:val="Puce3"/>
        <w:tabs>
          <w:tab w:val="clear" w:pos="720"/>
        </w:tabs>
        <w:rPr/>
      </w:pPr>
      <w:r>
        <w:rPr/>
        <w:t>1.</w:t>
        <w:tab/>
        <w:t>Genom att fullt ut genomföra och se över befintlig dataskyddslagstiftning för att bedöma behovet av förstärkta verkställighetsmekanismer för enheter som behandlar personuppgifter, som för närvarande omfattas av befogenheter för oberoende nationella dataskyddsmyndigheter som respekterar subsidiaritetsprincipen. Dessa enheter bör bestraffas strängare än vid den nuvarande tillämpningen av reglerna, i proportion till deras årsomsättning (upp till 4 %) eller till och med genom ett förbud mot deras verksamhet, och bör bli föremål för en oberoende årlig revision</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Genom att ge större effekt åt principen om inbyggt integritetsskydd eller som standard, till exempel genom att utvärdera och utveckla formulär för datasamtycke som är lätta att förstå, koncisa och intuitiva, och tydligt ange vad som behövs och vad som inte är det. Användare måste kunna ge eller återkalla sitt samtycke till behandling av uppgifter på ett enkelt, snabbt och permanent sätt.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Bedöma och införa tydligare och mer skyddande regler för behandling av uppgifter om minderåriga, eventuellt i EU:s allmänna dataskyddsförordning, särskilt genom att skapa en särskild kategori för känsliga uppgifter om minderåriga och harmonisera minimiåldern för samtycke i medlemsstaterna. Även om det mesta av genomförandet av reglerna för integritet och medvetenhet även fortsättningsvis bör omfattas av medlemsstaternas behörighet, särskilt genom ökade investeringar och resurser på nationell nivå, bör unionen också spela en viktigare roll, till exempel genom att skapa europeisk kompetens inom medborgarutbildning om dataskydd</w:t>
      </w:r>
      <w:r>
        <w:rPr>
          <w:rStyle w:val="Ancredenotedefin"/>
          <w:rStyle w:val="Ancredenotedefin"/>
        </w:rPr>
        <w:endnoteReference w:id="57"/>
      </w:r>
      <w:r>
        <w:rPr/>
        <w:t>.</w:t>
      </w:r>
    </w:p>
    <w:p>
      <w:pPr>
        <w:pStyle w:val="Puce3"/>
        <w:tabs>
          <w:tab w:val="clear" w:pos="720"/>
        </w:tabs>
        <w:rPr/>
      </w:pPr>
      <w:r>
        <w:rPr/>
        <w:t>4.</w:t>
        <w:tab/>
        <w:t>Bättre efterlevnad av de behörighetskriterier som gäller för europeiska och nationella dataskyddsmyndigheter, när det gäller kvalifikationer och lämplighet, för att säkerställa största möjliga oberoende för medlemmarna.</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Förslag: Media, falska nyheter, desinformation, faktakontroll, cybersäkerhet</w:t>
      </w:r>
    </w:p>
    <w:p>
      <w:pPr>
        <w:pStyle w:val="P68B1DB1Normal15"/>
        <w:rPr/>
      </w:pPr>
      <w:r>
        <w:rPr/>
        <w:t>Mål: Bekämpa desinformation genom ökat främjande av mediernas oberoende och mångfald och mediekompetens, särskilt följande: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60"/>
      </w:r>
      <w:r>
        <w:rPr/>
        <w:t>:</w:t>
      </w:r>
    </w:p>
    <w:p>
      <w:pPr>
        <w:pStyle w:val="Puce3"/>
        <w:tabs>
          <w:tab w:val="clear" w:pos="720"/>
        </w:tabs>
        <w:rPr/>
      </w:pPr>
      <w:r>
        <w:rPr/>
        <w:t>1.</w:t>
        <w:tab/>
        <w:t>Införa lagstiftning för att bekämpa hot mot mediernas oberoende genom miniminormer som är tillämpliga i hela unionen, inbegripet en översyn av medieaffärsmodellen för att säkerställa integriteten och oberoendet på den europeiska mediemarknaden</w:t>
      </w:r>
      <w:r>
        <w:rPr>
          <w:rStyle w:val="Ancredenotedefin"/>
          <w:rStyle w:val="Ancredenotedefin"/>
        </w:rPr>
        <w:endnoteReference w:id="61"/>
      </w:r>
      <w:r>
        <w:rPr/>
        <w:t>.</w:t>
      </w:r>
    </w:p>
    <w:p>
      <w:pPr>
        <w:pStyle w:val="Puce3"/>
        <w:tabs>
          <w:tab w:val="clear" w:pos="720"/>
        </w:tabs>
        <w:rPr/>
      </w:pPr>
      <w:r>
        <w:rPr/>
        <w:t>2.</w:t>
        <w:tab/>
        <w:t>Strikt tillämpning av EU:s konkurrensregler inom mediesektorn för att förhindra att stora mediemonopol skapas och för att säkerställa mediepluralism och oberoende från oönskad inblandning från politiska, affärsmässiga och/eller utländska länder. Kvalitetsjournalistik, med erkända och höga standarder för etik och självreglering, bör också uppmuntras</w:t>
      </w:r>
      <w:r>
        <w:rPr>
          <w:rStyle w:val="Ancredenotedefin"/>
          <w:rStyle w:val="Ancredenotedefin"/>
        </w:rPr>
        <w:endnoteReference w:id="62"/>
      </w:r>
      <w:r>
        <w:rPr/>
        <w:t>.</w:t>
      </w:r>
    </w:p>
    <w:p>
      <w:pPr>
        <w:pStyle w:val="Puce3"/>
        <w:tabs>
          <w:tab w:val="clear" w:pos="720"/>
        </w:tabs>
        <w:rPr/>
      </w:pPr>
      <w:r>
        <w:rPr/>
        <w:t>3.</w:t>
        <w:tab/>
        <w:t xml:space="preserve">Inrätta ett EU-organ för att bekämpa riktad desinformation och inblandning, förbättra situationsuppfattningen och stärka faktakontrollorganisationer och oberoende medier. ”Nödnummer” och webbplatser, såsom Europa direkt, som gör det möjligt för medborgare och nationella medier att begära och ta emot verifierad information om EU:s strategier och politik bör också stödjas ytterligare och främjas mer aktivt.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Uppmuntra mediekompetens och allmänhetens medvetenhet om desinformation och oavsiktlig spridning av nyheter, bland annat genom obligatorisk skolutbildning. Medlemsstaterna bör också uppmuntras att avsätta tillräckliga mänskliga och ekonomiska resurser för detta ändamål. </w:t>
      </w:r>
      <w:r>
        <w:rPr>
          <w:rStyle w:val="Ancredenotedefin"/>
          <w:rStyle w:val="Ancredenotedefin"/>
        </w:rPr>
        <w:endnoteReference w:id="65"/>
      </w:r>
    </w:p>
    <w:p>
      <w:pPr>
        <w:pStyle w:val="Puce3"/>
        <w:tabs>
          <w:tab w:val="clear" w:pos="720"/>
        </w:tabs>
        <w:rPr/>
      </w:pPr>
      <w:r>
        <w:rPr/>
        <w:t>5.</w:t>
        <w:tab/>
        <w:t>På grundval av befintliga initiativ, såsom uppförandekoden mot desinformation och Europeiska observatoriet för digitala medier (EDMO), ålägga onlineplattformar att offentliggöra tydlig information om de algoritmer de använder (med användarens val att samtycka till eller inte) och riskerna för desinformation som användarna utsätts för, samtidigt som rätten till yttrandefrihet och rätten till integritet bevaras.</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Förslag: Media, falska nyheter, desinformation, faktakontroll, cybersäkerhet (bis)</w:t>
      </w:r>
    </w:p>
    <w:p>
      <w:pPr>
        <w:pStyle w:val="P68B1DB1Normal15"/>
        <w:rPr/>
      </w:pPr>
      <w:r>
        <w:rPr/>
        <w:t>Mål: stärka unionens roll i hanteringen av cybersäkerhetshot, särskilt följande: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 xml:space="preserve">Stärka Europeiska unionens cybersäkerhetsbyrå (Enisa) för att bättre skydda enskilda, organisationer och institutioner mot it-säkerhetsöverträdelser och användning av artificiell intelligens för kriminella ändamål. Samtidigt bör konfidentialiteten och skyddet av personuppgifter bevaras.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Förbättra samordningen av nationella cybersäkerhetsmyndigheter och göra ytterligare ansträngningar för att säkerställa ett effektivt genomförande av unionsreglerna på nationell nivå.</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Förslag: Bekämpning av diskriminering, jämlikhet och livskvalitet</w:t>
      </w:r>
    </w:p>
    <w:p>
      <w:pPr>
        <w:pStyle w:val="P68B1DB1Normal15"/>
        <w:rPr/>
      </w:pPr>
      <w:r>
        <w:rPr/>
        <w:t>MÅL: Vidta åtgärder för att harmonisera levnadsvillkoren i hela unionen och förbättra medborgarnas socioekonomiska livskvalitet,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72"/>
      </w:r>
      <w:r>
        <w:rPr/>
        <w:t>:</w:t>
      </w:r>
    </w:p>
    <w:p>
      <w:pPr>
        <w:pStyle w:val="Puce3"/>
        <w:tabs>
          <w:tab w:val="clear" w:pos="720"/>
        </w:tabs>
        <w:rPr/>
      </w:pPr>
      <w:r>
        <w:rPr/>
        <w:t>1.</w:t>
        <w:tab/>
        <w:t>Utveckla transparenta indikatorer för livskvalitet, inbegripet ekonomiska, sociala och rättsstatliga kriterier, i samråd med experter och arbetsmarknadens parter, i syfte att fastställa en tydlig och realistisk tidsplan för att höja de sociala standarderna och fastställa en gemensam socioekonomisk struktur i unionen, bland annat genom genomförandet av den europeiska pelaren för sociala rättigheter. Dessa åtgärder bör integreras i ramen för ekonomisk styrning och den europeiska planeringsterminen</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Öka och underlätta direkta offentliga investeringar i hälsa, utbildning, fysisk infrastruktur och vård av äldre och personer med funktionsnedsättning. Ytterligare investeringar bör också syfta till att säkerställa en tillfredsställande balans mellan arbete och privatliv för medborgarna. Dessa investeringar bör genomföras på ett helt öppet sätt för att övervaka hela processen</w:t>
      </w:r>
      <w:r>
        <w:rPr>
          <w:rStyle w:val="Ancredenotedefin"/>
          <w:rStyle w:val="Ancredenotedefin"/>
        </w:rPr>
        <w:endnoteReference w:id="75"/>
      </w:r>
      <w:r>
        <w:rPr/>
        <w:t>.</w:t>
      </w:r>
    </w:p>
    <w:p>
      <w:pPr>
        <w:pStyle w:val="Puce3"/>
        <w:tabs>
          <w:tab w:val="clear" w:pos="720"/>
        </w:tabs>
        <w:rPr/>
      </w:pPr>
      <w:r>
        <w:rPr/>
        <w:t>3.</w:t>
        <w:tab/>
        <w:t>Uppmuntra beskattning av stora företag, bekämpa tillgången till skatteparadis och avskaffa deras existens i EU i syfte att öka de offentliga investeringarna på prioriterade områden som utbildning (studiebidrag, Erasmus) och forskning. Kampen mot skatteundandragande på EU-nivå bör också vara ett sätt att samla in medel för offentligt finansierade initiativ</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Genom att fastställa unionsomfattande kriterier för att bekämpa diskriminering på arbetsmarknaden och genom att uppmuntra privata företag att anställa personer som i allmänhet är mest utsatta för diskriminering (inbegripet ungdomar, äldre, kvinnor och personer från minoriteter), bland annat genom subventioner, och, för det andra, tillfälliga kvoter. Arbetsmarknadens parter bör vara nära delaktiga i dessa insatser. Diskriminering utanför arbetsmarknaden bör också förbjudas enligt lag, och jämlikhet bör uppmuntras</w:t>
      </w:r>
      <w:r>
        <w:rPr>
          <w:rStyle w:val="Ancredenotedefin"/>
          <w:rStyle w:val="Ancredenotedefin"/>
        </w:rPr>
        <w:endnoteReference w:id="78"/>
      </w:r>
      <w:r>
        <w:rPr/>
        <w:t>.</w:t>
      </w:r>
    </w:p>
    <w:p>
      <w:pPr>
        <w:pStyle w:val="Puce3"/>
        <w:tabs>
          <w:tab w:val="clear" w:pos="720"/>
        </w:tabs>
        <w:rPr/>
      </w:pPr>
      <w:r>
        <w:rPr/>
        <w:t>5.</w:t>
        <w:tab/>
        <w:t>Se till att det skapas och underlättas att det finns förskolor till överkomliga priser, både offentliga och privata, samt gratis barnomsorg för behövande</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Förslag: Djurs rättigheter, jordbruk</w:t>
      </w:r>
    </w:p>
    <w:p>
      <w:pPr>
        <w:pStyle w:val="P68B1DB1Normal15"/>
        <w:rPr/>
      </w:pPr>
      <w:r>
        <w:rPr/>
        <w:t>Mål: Vidta beslutsamma åtgärder för att främja och säkerställa ett mer miljövänligt och klimatvänligt jordbruk,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80"/>
      </w:r>
      <w:r>
        <w:rPr/>
        <w:t>:</w:t>
      </w:r>
    </w:p>
    <w:p>
      <w:pPr>
        <w:pStyle w:val="Puce3"/>
        <w:tabs>
          <w:tab w:val="clear" w:pos="720"/>
        </w:tabs>
        <w:rPr/>
      </w:pPr>
      <w:r>
        <w:rPr/>
        <w:t>1.</w:t>
        <w:tab/>
        <w:t>Genom att fastställa detaljerade, mätbara och tidsbundna minimikriterier för skydd av produktionsdjur, i syfte att säkerställa högre djurskyddsnormer i linje med införandet av hållbarhetsmål och på grundval av en integrerad strategi för livsmedelssystemet</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Införa ekonomiska sanktioner för negativa effekter som orsakas av jordbruksverksamhet (t.ex. utsläpp av växthusgaser, användning av bekämpningsmedel, överdriven vattenförbrukning, långväga transporter osv.) beroende på deras inverkan på miljön. Jordbruksprodukter som importeras till unionen bör också bedömas på grundval av detta, bland annat genom tullar, för att undanröja eventuella konkurrensfördelar till följd av mindre stränga miljönormer</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Minska subventionerna för massjordbruksproduktion när den inte bidrar till en hållbar omställning, och omdirigera dessa resurser till stöd för ett miljömässigt hållbart jordbruk, samtidigt som livsmedelsprodukternas överkomliga priser säkerställs.</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35">
            <wp:simplePos x="0" y="0"/>
            <wp:positionH relativeFrom="column">
              <wp:posOffset>27940</wp:posOffset>
            </wp:positionH>
            <wp:positionV relativeFrom="paragraph">
              <wp:posOffset>30480</wp:posOffset>
            </wp:positionV>
            <wp:extent cx="913765" cy="913765"/>
            <wp:effectExtent l="0" t="0" r="0" b="0"/>
            <wp:wrapSquare wrapText="largest"/>
            <wp:docPr id="66"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Digital transformation”</w:t>
      </w:r>
    </w:p>
    <w:p>
      <w:pPr>
        <w:pStyle w:val="Normal"/>
        <w:rPr/>
      </w:pPr>
      <w:r>
        <w:rPr/>
        <w:t>Europa måste ligga i framkant i världen och fastställa standarder för den digitala omvandlingen, och det måste kartlägga en europeisk väg mot ett etiskt, människocentrerat, öppet och säkert samhälle. Europa måste anta en ambitiös strategi och fullt ut utnyttja de möjligheter som digitaliseringen erbjuder, samtidigt som man hanterar de risker och utmaningar som digitaliseringen medför. Digitaliseringen berör alla delar av vårt samhälle och måste beaktas systematiskt. I detta avseende har man hänvisat till den europeiska förklaringen om digitala rättigheter och principer för det digitala decenniet och det har föreslagits att man i framtiden bör överväga ett eventuellt utarbetande av en stadga om digitala rättigheter.</w:t>
      </w:r>
    </w:p>
    <w:p>
      <w:pPr>
        <w:pStyle w:val="Normal"/>
        <w:rPr/>
      </w:pPr>
      <w:r>
        <w:rPr/>
        <w:t>Den ryska aggressionen i Ukraina bekräftar bara många aspekter som tas upp i förslagen, såsom behovet av digital suveränitet, ökad uppmärksamhet på it-försvar och skydd mot desinformation. Det visar också att samtida konflikter får konsekvenser på det digitala området och väcker nya frågor, såsom de långsiktiga konsekvenserna av missbruk av personuppgifter och den olagliga användningen av dessa uppgifter i framtiden.</w:t>
      </w:r>
    </w:p>
    <w:p>
      <w:pPr>
        <w:pStyle w:val="Normal"/>
        <w:rPr/>
      </w:pPr>
      <w:r>
        <w:rPr/>
      </w:r>
    </w:p>
    <w:p>
      <w:pPr>
        <w:pStyle w:val="Titre3"/>
        <w:numPr>
          <w:ilvl w:val="2"/>
          <w:numId w:val="2"/>
        </w:numPr>
        <w:rPr/>
      </w:pPr>
      <w:bookmarkStart w:id="81" w:name="__RefHeading___Toc298336_1346298689"/>
      <w:bookmarkEnd w:id="81"/>
      <w:r>
        <w:rPr/>
        <w:t>31. Förslag: Tillgång till digital infrastruktur</w:t>
      </w:r>
    </w:p>
    <w:p>
      <w:pPr>
        <w:pStyle w:val="Normal"/>
        <w:rPr/>
      </w:pPr>
      <w:r>
        <w:rPr/>
        <w:t>Mål: Lika tillgång till internet är en grundläggande rättighet för alla EU-medborgare. Vi föreslår att alla i Europa har faktisk tillgång till internet och digitala tjänster och att suveräniteten för EU:s digitala infrastruktur stärks genom att följande åtgärder vidtas: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86"/>
      </w:r>
      <w:r>
        <w:rPr/>
        <w:t>:</w:t>
      </w:r>
    </w:p>
    <w:p>
      <w:pPr>
        <w:pStyle w:val="Puce3"/>
        <w:tabs>
          <w:tab w:val="clear" w:pos="720"/>
        </w:tabs>
        <w:rPr/>
      </w:pPr>
      <w:r>
        <w:rPr/>
        <w:t>1.</w:t>
        <w:tab/>
        <w:t>Investeringar i högkvalitativ och innovativ europeisk digital infrastruktur (inklusive utveckling av 5G och 6G i Europa) (rekommendationerna 40 och 47 i ECP 1 och nr 1 i den nederländska nationella kontaktpunkten).</w:t>
      </w:r>
    </w:p>
    <w:p>
      <w:pPr>
        <w:pStyle w:val="Puce3"/>
        <w:tabs>
          <w:tab w:val="clear" w:pos="720"/>
        </w:tabs>
        <w:rPr/>
      </w:pPr>
      <w:r>
        <w:rPr/>
        <w:t>2.</w:t>
        <w:tab/>
        <w:t>Säkerställa snabb, överkomlig, säker och stabil internetuppkoppling i hela unionen, inbegripet roaming, med prioritet vid upprättandet av internetanslutningar i ”vita/döda zoner”, landsbygdsområden, avlägsna områden och perifera områden för att åtgärda den digitala klyftan mellan och inom medlemsstaterna och se till att ingen hamnar på efterkälken (rekommendationerna 17 och 47 i den nederländska nationella kontaktpunkten 1 och nr 1).</w:t>
      </w:r>
    </w:p>
    <w:p>
      <w:pPr>
        <w:pStyle w:val="Puce3"/>
        <w:tabs>
          <w:tab w:val="clear" w:pos="720"/>
        </w:tabs>
        <w:rPr/>
      </w:pPr>
      <w:r>
        <w:rPr/>
        <w:t>3.</w:t>
        <w:tab/>
        <w:t>Främja införandet, i offentliga och privata utrymmen, av digital och elektrisk infrastruktur som möjliggör användning av elektriska och autonoma fordon (debatt i arbetsgruppen)</w:t>
      </w:r>
      <w:r>
        <w:rPr>
          <w:rStyle w:val="Ancredenotedefin"/>
          <w:rStyle w:val="Ancredenotedefin"/>
        </w:rPr>
        <w:endnoteReference w:id="87"/>
      </w:r>
      <w:r>
        <w:rPr/>
        <w:t>.</w:t>
      </w:r>
    </w:p>
    <w:p>
      <w:pPr>
        <w:pStyle w:val="Puce3"/>
        <w:tabs>
          <w:tab w:val="clear" w:pos="720"/>
        </w:tabs>
        <w:rPr/>
      </w:pPr>
      <w:r>
        <w:rPr/>
        <w:t>4.</w:t>
        <w:tab/>
        <w:t>Vidta åtgärder för att säkerställa rättvis och öppen konkurrens och förhindra monopol, beroende av leverantörer, datakoncentration och beroende av tredjeländer av infrastruktur och tjänster, förbättra marknaderna ur ett konsumentperspektiv (CEP:s rekommendation nr 17 1).</w:t>
      </w:r>
    </w:p>
    <w:p>
      <w:pPr>
        <w:pStyle w:val="Puce3"/>
        <w:tabs>
          <w:tab w:val="clear" w:pos="720"/>
        </w:tabs>
        <w:rPr/>
      </w:pPr>
      <w:r>
        <w:rPr/>
        <w:t>5.</w:t>
        <w:tab/>
        <w:t>Prioritera barn, familjer, äldre och utsatta grupper när det gäller tillgång till Internet och it-utrustning, inklusive tillgång till utbildning, offentliga tjänster och hälso- och sjukvård (CEP 1 rekommendation 17 och diskussion i arbetsgruppen).</w:t>
      </w:r>
    </w:p>
    <w:p>
      <w:pPr>
        <w:pStyle w:val="Puce3"/>
        <w:tabs>
          <w:tab w:val="clear" w:pos="720"/>
        </w:tabs>
        <w:rPr/>
      </w:pPr>
      <w:r>
        <w:rPr/>
        <w:t>6.</w:t>
        <w:tab/>
        <w:t>Förbättra den digitala tillgången, med fullständig tillgänglighet, till viktiga offentliga och privata tjänster för medborgare och företag, t.ex. när det gäller administrativa förfaranden, och säkerställa tillgång till och stöd i samband med dessa tjänster för alla, t.ex. genom stödtjänster (debatt i arbetsgruppen, flerspråkig digital plattform).</w:t>
      </w:r>
    </w:p>
    <w:p>
      <w:pPr>
        <w:pStyle w:val="Puce3"/>
        <w:tabs>
          <w:tab w:val="clear" w:pos="720"/>
        </w:tabs>
        <w:rPr/>
      </w:pPr>
      <w:r>
        <w:rPr/>
        <w:t>7.</w:t>
        <w:tab/>
        <w:t>Harmonisera digitala standarder av hög kvalitet och förbättra säker datarörlighet för att underlätta gränsöverskridande interoperabilitet (debatt i arbetsgruppen, flerspråkig digital plattform).</w:t>
      </w:r>
    </w:p>
    <w:p>
      <w:pPr>
        <w:pStyle w:val="Puce3"/>
        <w:tabs>
          <w:tab w:val="clear" w:pos="720"/>
        </w:tabs>
        <w:rPr/>
      </w:pPr>
      <w:r>
        <w:rPr/>
        <w:t>8.</w:t>
        <w:tab/>
        <w:t>Reflektera över den digitala infrastrukturens och digitaliseringens miljöpåverkan för att göra den digitala omvandlingen hållbar och gå mot ett grönt digitalt samhälle (debatt i arbetsgruppen, flerspråkig digital plattform).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Förslag: Digitala kunskaper och färdigheter som stärker människor</w:t>
      </w:r>
    </w:p>
    <w:p>
      <w:pPr>
        <w:pStyle w:val="P68B1DB1Normal15"/>
        <w:rPr/>
      </w:pPr>
      <w:r>
        <w:rPr/>
        <w:t>Mål: Vi föreslår att EU ser till att alla EU-medborgare kan dra nytta av digitaliseringen genom att ge dem möjlighet att förvärva nödvändiga digitala färdigheter och möjligheter genom att genomföra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88"/>
      </w:r>
      <w:r>
        <w:rPr/>
        <w:t>:</w:t>
      </w:r>
    </w:p>
    <w:p>
      <w:pPr>
        <w:pStyle w:val="Puce3"/>
        <w:tabs>
          <w:tab w:val="clear" w:pos="720"/>
        </w:tabs>
        <w:rPr/>
      </w:pPr>
      <w:r>
        <w:rPr/>
        <w:t>1.</w:t>
        <w:tab/>
        <w:t>Säkerställa tillgång till utbildning, inbegripet skolor, formella och icke-formella läroplaner, till livslånga digitala färdigheter och kunskaper, på grundval av befintliga initiativ på europeisk nivå, med särskild uppmärksamhet på inkluderingen av personer som tillhör utsatta grupper och äldre, samt stärka barns digitala färdigheter på ett sätt som är förenligt med deras korrekta utveckling och bekämpning av digitala ojämlikheter, inbegripet den digitala klyftan mellan män och kvinnor (ECP:s rekommendation nr 8, rekommendation 5.2 från den italienska nationella kontaktpunkten och debatten i arbetsgruppen).</w:t>
      </w:r>
    </w:p>
    <w:p>
      <w:pPr>
        <w:pStyle w:val="Puce3"/>
        <w:tabs>
          <w:tab w:val="clear" w:pos="720"/>
        </w:tabs>
        <w:rPr/>
      </w:pPr>
      <w:r>
        <w:rPr/>
        <w:t>2.</w:t>
        <w:tab/>
        <w:t>Säkerställa en sund användning av internet genom att uppmuntra medlemsstaterna att utveckla utbildning i digitala färdigheter för alla åldersgrupper med harmoniserade program och innehåll på europeisk nivå, t.ex. risker och möjligheter på internet, användarnas rättigheter på nätet och netiquette (CEP 1 rekommendation 47 och debatt i arbetsgruppen).</w:t>
      </w:r>
    </w:p>
    <w:p>
      <w:pPr>
        <w:pStyle w:val="Puce3"/>
        <w:tabs>
          <w:tab w:val="clear" w:pos="720"/>
        </w:tabs>
        <w:rPr/>
      </w:pPr>
      <w:r>
        <w:rPr/>
        <w:t>3.</w:t>
        <w:tab/>
        <w:t>Vidta alla nödvändiga åtgärder för att säkerställa att digitaliseringen av samhället inte utesluter äldre människor och att tekniken är tillgänglig för dem genom att uppmuntra relevanta program och initiativ, t.ex. kurser som är anpassade till deras behov. Samtidigt bör man se till att samhällsviktiga tjänster också är tillgängliga personligen och på ett icke-digitalt sätt (CEP:s rekommendationer 34 och 47).</w:t>
      </w:r>
    </w:p>
    <w:p>
      <w:pPr>
        <w:pStyle w:val="Puce3"/>
        <w:tabs>
          <w:tab w:val="clear" w:pos="720"/>
        </w:tabs>
        <w:rPr/>
      </w:pPr>
      <w:r>
        <w:rPr/>
        <w:t>4.</w:t>
        <w:tab/>
        <w:t>I skolorna införa en europeisk certifiering av digitala färdigheter som kommer att förbereda ungdomar för den framtida arbetsmarknaden (CEP:s rekommendation 8 1).</w:t>
      </w:r>
    </w:p>
    <w:p>
      <w:pPr>
        <w:pStyle w:val="Puce3"/>
        <w:tabs>
          <w:tab w:val="clear" w:pos="720"/>
        </w:tabs>
        <w:rPr/>
      </w:pPr>
      <w:r>
        <w:rPr/>
        <w:t>5.</w:t>
        <w:tab/>
        <w:t>Genomföra samordnade utbildningsinitiativ på unionsnivå för omskolning och kompetenshöjning av arbetstagare för att förbli konkurrenskraftiga på arbetsmarknaden, särskilt med tanke på de färdigheter och kvalifikationer som behövs i små och medelstora företag samt i syfte att utbilda digitala specialister (CEP:s rekommendation 8 och debatt i arbetsgruppen).</w:t>
      </w:r>
    </w:p>
    <w:p>
      <w:pPr>
        <w:pStyle w:val="Puce3"/>
        <w:tabs>
          <w:tab w:val="clear" w:pos="720"/>
        </w:tabs>
        <w:rPr/>
      </w:pPr>
      <w:r>
        <w:rPr/>
        <w:t>6.</w:t>
        <w:tab/>
        <w:t>Offentliggöra befintliga digitala plattformar som kopplar samman medborgarna med arbetsgivarna och hjälper dem att hitta jobb i EU, t.ex. Eures (CEP:s rekommendation nr 8 1).</w:t>
      </w:r>
    </w:p>
    <w:p>
      <w:pPr>
        <w:pStyle w:val="Puce3"/>
        <w:tabs>
          <w:tab w:val="clear" w:pos="720"/>
        </w:tabs>
        <w:rPr/>
      </w:pPr>
      <w:r>
        <w:rPr/>
        <w:t>7.</w:t>
        <w:tab/>
        <w:t>Öka investeringarna och insatserna för att stimulera digitaliseringen av utbildningen, inklusive högre utbildning (debatt i arbetsgruppen/den flerspråkiga digitala plattformen).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Förslag: Ett säkert och tillförlitligt digitalt samhälle – cybersäkerhet och desinformation</w:t>
      </w:r>
    </w:p>
    <w:p>
      <w:pPr>
        <w:pStyle w:val="P68B1DB1Normal15"/>
        <w:rPr/>
      </w:pPr>
      <w:r>
        <w:rPr/>
        <w:t>Mål: för att skapa ett säkert, motståndskraftigt och tillförlitligt digitalt samhälle föreslår vi att EU säkerställer ett effektivt och snabbt genomförande av befintlig lagstiftning och har större befogenheter att stärka cybersäkerheten, bekämpa olagligt innehåll och it-brottslighet, ta itu med och ta itu med konsekvenserna av cyberhot från icke-statliga aktörer och auktoritära stater och bekämpa desinformation genom att genomföra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89"/>
      </w:r>
      <w:r>
        <w:rPr/>
        <w:t>:</w:t>
      </w:r>
    </w:p>
    <w:p>
      <w:pPr>
        <w:pStyle w:val="Puce3"/>
        <w:tabs>
          <w:tab w:val="clear" w:pos="720"/>
        </w:tabs>
        <w:rPr/>
      </w:pPr>
      <w:r>
        <w:rPr/>
        <w:t>1.</w:t>
        <w:tab/>
        <w:t>Stärka kapaciteten hos Europol/Europeiska it-brottscentrumet när det gäller finansiella och mänskliga resurser för att möjliggöra en mer proaktiv strategi för it-brottslighet och stärka den gemensamma europeiska cyberförsvarskapaciteten mot storskaliga attacker, bland annat genom bättre samarbete (ECP:s rekommendation nr 39, rekommendation 2.6 från den nederländska nationella kontaktpunkten och nationella kontaktpunkter 1 i Nederländernas nationella kontaktpunkter och debatt i arbetsgruppen).</w:t>
      </w:r>
    </w:p>
    <w:p>
      <w:pPr>
        <w:pStyle w:val="Puce3"/>
        <w:tabs>
          <w:tab w:val="clear" w:pos="720"/>
        </w:tabs>
        <w:rPr/>
      </w:pPr>
      <w:r>
        <w:rPr/>
        <w:t>2.</w:t>
        <w:tab/>
        <w:t>Vidta nödvändiga åtgärder för att förbereda sig för storskaliga attacker och avbrott i tjänsterna och för att snabbt kunna övervinna dem, till exempel genom att se till att det finns motståndskraftig infrastruktur och alternativa kommunikationskanaler (debatt i arbetsgruppen).</w:t>
      </w:r>
    </w:p>
    <w:p>
      <w:pPr>
        <w:pStyle w:val="Puce3"/>
        <w:tabs>
          <w:tab w:val="clear" w:pos="720"/>
        </w:tabs>
        <w:rPr/>
      </w:pPr>
      <w:r>
        <w:rPr/>
        <w:t>3.</w:t>
        <w:tab/>
        <w:t>Säkerställa liknande sanktioner och deras snabba och effektiva efterlevnad i medlemsstaterna vid it-brottslighet genom förbättrad samordning av lokala, regionala och nationella cybersäkerhetscentrum och cybersäkerhetsmyndigheter (CEP:s rekommendation nr 39 1).</w:t>
      </w:r>
    </w:p>
    <w:p>
      <w:pPr>
        <w:pStyle w:val="Puce3"/>
        <w:tabs>
          <w:tab w:val="clear" w:pos="720"/>
        </w:tabs>
        <w:rPr/>
      </w:pPr>
      <w:r>
        <w:rPr/>
        <w:t>4.</w:t>
        <w:tab/>
        <w:t>Förbättra digital kunskap och kritiskt tänkande som ett sätt att bekämpa desinformation, hot på nätet och hatpropaganda samt riggade gränssnitt och förmånliga priser (debatt i arbetsgruppen).</w:t>
      </w:r>
    </w:p>
    <w:p>
      <w:pPr>
        <w:pStyle w:val="Puce3"/>
        <w:tabs>
          <w:tab w:val="clear" w:pos="720"/>
        </w:tabs>
        <w:rPr/>
      </w:pPr>
      <w:r>
        <w:rPr/>
        <w:t>5.</w:t>
        <w:tab/>
        <w:t>Ta itu med desinformation genom att anta lagstiftning och riktlinjer som säkerställer att onlineplattformar och sociala medieföretag tar itu med sina desinformationssårbarheter och tillämpar transparensåtgärder, t.ex. algoritmer baserade på artificiell intelligens som kan belysa tillförlitligheten hos information om sociala medier och nya medier, genom att förse användaren med verifierade informationskällor. När algoritmer används bör den slutliga kontrollen i beslutsprocesser vara människans ansvar (CEP 1 Rekommendation 46 och diskussion i arbetsgruppen).</w:t>
      </w:r>
    </w:p>
    <w:p>
      <w:pPr>
        <w:pStyle w:val="Puce3"/>
        <w:tabs>
          <w:tab w:val="clear" w:pos="720"/>
        </w:tabs>
        <w:rPr/>
      </w:pPr>
      <w:r>
        <w:rPr/>
        <w:t>6.</w:t>
        <w:tab/>
        <w:t>Stödja digitala plattformar som bidrar till mediepluralism och tillhandahåller resurser och initiativ för att bedöma tillförlitligheten och opartiskheten hos information från traditionella medier (television, tryckerier, radio) och andra medier med full respekt för principen om mediefrihet och för att ge medborgarna information om informationskvaliteten (CEP:s rekommendation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Förslag: Ett säkert och tillförlitligt digitalt samhälle – dataskydd</w:t>
      </w:r>
    </w:p>
    <w:p>
      <w:pPr>
        <w:pStyle w:val="P68B1DB1Normal15"/>
        <w:rPr/>
      </w:pPr>
      <w:r>
        <w:rPr/>
        <w:t>Mål: Vi stöder människors datasuveränitet, bättre medvetenhet och effektivare genomförande och efterlevnad av befintliga dataskyddsregler (GDPR) för att stärka människors kontroll över sina uppgifter och begränsa missbruk av uppgifter genom att genomföra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90"/>
      </w:r>
      <w:r>
        <w:rPr/>
        <w:t>:</w:t>
      </w:r>
    </w:p>
    <w:p>
      <w:pPr>
        <w:pStyle w:val="Puce3"/>
        <w:tabs>
          <w:tab w:val="clear" w:pos="720"/>
        </w:tabs>
        <w:rPr/>
      </w:pPr>
      <w:r>
        <w:rPr/>
        <w:t>1.</w:t>
        <w:tab/>
        <w:t>Bättre förklara dataskyddsreglerna, öka insynen och förbättra kommunikationen genom att ta fram riktlinjer för texter om informerat samtycke som använder ett enkelt, tydligt och begripligt språk, inklusive en mer visuell presentation för att samtycka till användningen av uppgifter, åtfölja dem med en informationskampanj, samt se till att registeransvariga har nödvändig kompetens och ge råd till dem som behöver hjälp (rekommendationerna 42 och 45 i den nederländska nationella kontaktpunkten 1 och nr 2).</w:t>
      </w:r>
    </w:p>
    <w:p>
      <w:pPr>
        <w:pStyle w:val="Puce3"/>
        <w:tabs>
          <w:tab w:val="clear" w:pos="720"/>
        </w:tabs>
        <w:rPr/>
      </w:pPr>
      <w:r>
        <w:rPr/>
        <w:t>2.</w:t>
        <w:tab/>
        <w:t>Säkerställa efterlevnaden av det befintliga förbudet mot standardgodkännande för vidareutnyttjande eller vidareförsäljning av uppgifter (CEP:s rekommendation nr 42 1).</w:t>
      </w:r>
    </w:p>
    <w:p>
      <w:pPr>
        <w:pStyle w:val="Puce3"/>
        <w:tabs>
          <w:tab w:val="clear" w:pos="720"/>
        </w:tabs>
        <w:rPr/>
      </w:pPr>
      <w:r>
        <w:rPr/>
        <w:t>3.</w:t>
        <w:tab/>
        <w:t>Se till att förfrågningar från användare om slutlig radering av uppgifter beviljas inom en angiven tidsram (CEP:s rekommendation nr 42).</w:t>
      </w:r>
    </w:p>
    <w:p>
      <w:pPr>
        <w:pStyle w:val="Puce3"/>
        <w:tabs>
          <w:tab w:val="clear" w:pos="720"/>
        </w:tabs>
        <w:rPr/>
      </w:pPr>
      <w:r>
        <w:rPr/>
        <w:t>4.</w:t>
        <w:tab/>
        <w:t>Ge användarna tydlig och kortfattad information om hur uppgifterna kommer att användas och av vem (CEP:s rekommendation nr 42 1)</w:t>
      </w:r>
    </w:p>
    <w:p>
      <w:pPr>
        <w:pStyle w:val="Puce3"/>
        <w:tabs>
          <w:tab w:val="clear" w:pos="720"/>
        </w:tabs>
        <w:rPr/>
      </w:pPr>
      <w:r>
        <w:rPr/>
        <w:t>5.</w:t>
        <w:tab/>
        <w:t>Se till att icke-europeiska företag följer EU:s dataskyddsregler (CEP 1 Rekommendationer 42 och 43).</w:t>
      </w:r>
    </w:p>
    <w:p>
      <w:pPr>
        <w:pStyle w:val="Puce3"/>
        <w:tabs>
          <w:tab w:val="clear" w:pos="720"/>
        </w:tabs>
        <w:rPr/>
      </w:pPr>
      <w:r>
        <w:rPr/>
        <w:t>6.</w:t>
        <w:tab/>
        <w:t>Att uppmuntra inrättandet av ett certifieringssystem på EU-nivå som intygar efterlevnaden av den allmänna dataskyddsförordningen på ett tillgängligt, tydligt och enkelt sätt, är synligt på webbplatser och plattformar och bör utfärdas av en oberoende certifierare på europeisk nivå. Detta bör inte innebära en oproportionerlig börda för små och medelstora företag (CEP 1 rekommendation 44 och diskussion i arbetsgruppen).</w:t>
      </w:r>
    </w:p>
    <w:p>
      <w:pPr>
        <w:pStyle w:val="Puce3"/>
        <w:tabs>
          <w:tab w:val="clear" w:pos="720"/>
        </w:tabs>
        <w:rPr/>
      </w:pPr>
      <w:r>
        <w:rPr/>
        <w:t>7.</w:t>
        <w:tab/>
        <w:t>Säkerställa effektivt och snabbt stöd till medborgare som stöter på svårigheter att motsätta sig behandlingen av deras uppgifter eller återkalla deras samtycke. På EU-nivå är det därför nödvändigt att bättre definiera inkräktande beteende och utveckla vägledande principer och mekanismer som gör det möjligt för medborgarna att motsätta sig behandlingen av sina uppgifter och få deras radering samt att identifiera och bestraffa bedragare (CEP:s rekommendation 43 och debatt i arbetsgruppen).</w:t>
      </w:r>
    </w:p>
    <w:p>
      <w:pPr>
        <w:pStyle w:val="Puce3"/>
        <w:tabs>
          <w:tab w:val="clear" w:pos="720"/>
        </w:tabs>
        <w:rPr/>
      </w:pPr>
      <w:r>
        <w:rPr/>
        <w:t>8.</w:t>
        <w:tab/>
        <w:t>Föreskriva påföljder, inklusive böter som står i proportion till företagens omsättning och begränsningar av deras verksamhet, t.ex. tillfälliga eller slutgiltiga förbud mot oönskad uppgiftsbehandling, och bistå Europeiska datatillsynsmannen och nationella organ med att se till att de genomförs (CEP 1 rekommendationerna 42 och 43 och debatten i arbetsgruppen).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Förslag: Digital innovation för att stärka den sociala och hållbara ekonomin</w:t>
      </w:r>
    </w:p>
    <w:p>
      <w:pPr>
        <w:pStyle w:val="Normal"/>
        <w:rPr/>
      </w:pPr>
      <w:r>
        <w:rPr/>
        <w:t>Mål: Vi föreslår att EU främjar digitaliseringsåtgärder som stärker ekonomin och den inre marknaden på ett rättvist och hållbart sätt, gör Europa mer konkurrenskraftigt inom teknik och innovation, förbättrar den digitala inre marknaden för företag av alla storlekar och placerar Europa i den globala fronten för digital omvandling och människocentrerad digitalisering, med tillämpning av följande åtgärder: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91"/>
      </w:r>
      <w:r>
        <w:rPr/>
        <w:t>:</w:t>
      </w:r>
    </w:p>
    <w:p>
      <w:pPr>
        <w:pStyle w:val="Puce3"/>
        <w:tabs>
          <w:tab w:val="clear" w:pos="720"/>
        </w:tabs>
        <w:rPr/>
      </w:pPr>
      <w:r>
        <w:rPr/>
        <w:t>1.</w:t>
        <w:tab/>
        <w:t>Införa lagstiftning eller stärka befintlig lagstiftning om ”mobilt arbete” (humancentrerat), med beaktande av dess inverkan på arbetstagarnas fysiska och psykiska hälsa, till exempel genom att garantera rätten att inte vara uppkopplad. En ”human-centrerad” strategi förutsätter principen om ”mänsklig kontroll” (PCE 1 rekommendation nr 7 och debatt i arbetsgruppen)</w:t>
      </w:r>
      <w:r>
        <w:rPr>
          <w:rStyle w:val="Ancredenotedefin"/>
          <w:rStyle w:val="Ancredenotedefin"/>
        </w:rPr>
        <w:endnoteReference w:id="92"/>
      </w:r>
      <w:r>
        <w:rPr/>
        <w:t>.</w:t>
      </w:r>
    </w:p>
    <w:p>
      <w:pPr>
        <w:pStyle w:val="Puce3"/>
        <w:tabs>
          <w:tab w:val="clear" w:pos="720"/>
        </w:tabs>
        <w:rPr/>
      </w:pPr>
      <w:r>
        <w:rPr/>
        <w:t>2.</w:t>
        <w:tab/>
        <w:t>Lagstiftning på EU-nivå för att uppmuntra företag att vara socialt ansvarsfulla och upprätthålla ”mobila arbetstillfällen av hög kvalitet” i Europa, och på så sätt undvika att dessa arbetstillfällen flyttas till länder till lägre kostnader. Incitament kan vara av ekonomisk karaktär och/eller påverka företagets image och bör ta hänsyn till internationellt erkända miljö-, samhälls- och styrningskriterier. I detta syfte bör unionen inrätta en arbetsgrupp bestående av experter från alla berörda parter för att se över och stärka denna lagstiftning (CEP:s rekommendation 7).</w:t>
      </w:r>
    </w:p>
    <w:p>
      <w:pPr>
        <w:pStyle w:val="Puce3"/>
        <w:tabs>
          <w:tab w:val="clear" w:pos="720"/>
        </w:tabs>
        <w:rPr/>
      </w:pPr>
      <w:r>
        <w:rPr/>
        <w:t>3.</w:t>
        <w:tab/>
        <w:t>Säkerställa mänsklig kontroll över beslutsprocesser med hjälp av artificiell intelligens på arbetsplatsen och insyn i de algoritmer som används, ta hänsyn till de skadliga effekterna av gränslös digital övervakning på arbetsplatsen, informera och samråda med arbetstagare innan digital teknik införs som påverkar arbetsvillkoren. se till att nya anställningsformer, t.ex. plattformsarbete, överensstämmer med arbetstagarnas rättigheter och ger lämpliga arbetsvillkor (debatt i arbetsgruppen).</w:t>
      </w:r>
    </w:p>
    <w:p>
      <w:pPr>
        <w:pStyle w:val="Puce3"/>
        <w:tabs>
          <w:tab w:val="clear" w:pos="720"/>
        </w:tabs>
        <w:rPr/>
      </w:pPr>
      <w:r>
        <w:rPr/>
        <w:t>4.</w:t>
        <w:tab/>
        <w:t>Ta initiativ för att stödja distansarbete, till exempel genom att skapa kontorsutrymmen med snabb och tillförlitlig tillgång till internet, organisera digital utbildning och tillhandahålla resurser för ergonomisk utrustning för arbete hemma (CEP 1 Rekommendation 17 och diskussion i arbetsgruppen).</w:t>
      </w:r>
    </w:p>
    <w:p>
      <w:pPr>
        <w:pStyle w:val="Puce3"/>
        <w:tabs>
          <w:tab w:val="clear" w:pos="720"/>
        </w:tabs>
        <w:rPr/>
      </w:pPr>
      <w:r>
        <w:rPr/>
        <w:t>5.</w:t>
        <w:tab/>
        <w:t>Inrätta en offentligt tillgänglig digital resultattavla, som skapar ett rangordningssystem som visar och jämför den nuvarande digitaliseringsnivån för EU-företag.</w:t>
      </w:r>
    </w:p>
    <w:p>
      <w:pPr>
        <w:pStyle w:val="Puce3"/>
        <w:tabs>
          <w:tab w:val="clear" w:pos="720"/>
        </w:tabs>
        <w:rPr/>
      </w:pPr>
      <w:r>
        <w:rPr/>
        <w:t>6.</w:t>
        <w:tab/>
        <w:t>Bygga upp en stark och konkurrenskraftig digital ekonomi och dela fördelarna med digital omvandling på ett rättvist sätt i hela Europa genom att fokusera på teknik och innovation som drivkrafter för tillväxt, uppmuntra banbrytande forskning och ge utrymme för innovationsekosystem i alla regioner genom att förbättra små och medelstora företags och nystartade företags verksamhetsmiljö och rättvis tillgång till finansiering och undanröja rättsliga eller andra bördor som hindrar gränsöverskridande verksamhet (italienska nationella kontaktpunkternas rekommendation 1.3, WG-debatt och flerspråkig digital plattform). Bygga upp en datainfrastruktur baserad på europeiska värden. tillämpa principerna om ”digital prioritering” och ”en enda överföring av information” och underlätta digital och säker tillgång till data för innovation och företag, uppmuntra digitaliseringen av offentliga tjänster (debatt i arbetsgruppen och flerspråkig digital plattform). Dra full nytta av potentialen hos tillförlitlig och ansvarsfull användning av artificiell intelligens och utnyttja potentialen hos blockkedjeteknik och molntjänster genom att fastställa skyddsåtgärder och standarder som säkerställer transparens och interoperabilitet, skapar förtroende, underlättar användningen och eliminerar diskriminerande eller partiska algoritmer (debatt i arbetsgruppen och flerspråkig digital plattform).</w:t>
      </w:r>
    </w:p>
    <w:p>
      <w:pPr>
        <w:pStyle w:val="Puce3"/>
        <w:tabs>
          <w:tab w:val="clear" w:pos="720"/>
        </w:tabs>
        <w:rPr/>
      </w:pPr>
      <w:r>
        <w:rPr/>
        <w:t>9.</w:t>
        <w:tab/>
        <w:t>Främja fri programvara, dess användning i utbildning och fri tillgång till offentligt finansierad forskning och programvara (debatt i arbetsgruppen och flerspråkig digital plattform).</w:t>
      </w:r>
    </w:p>
    <w:p>
      <w:pPr>
        <w:pStyle w:val="Puce3"/>
        <w:tabs>
          <w:tab w:val="clear" w:pos="720"/>
        </w:tabs>
        <w:rPr/>
      </w:pPr>
      <w:r>
        <w:rPr/>
        <w:t>10.</w:t>
        <w:tab/>
        <w:t>Införa en gemensam europeisk digital identitet för att underlätta gränsöverskridande digitala transaktioner och tjänster, genom en ram av europeiska standarder och vägledande principer som ger nödvändiga skyddsåtgärder (debatt i arbetsgruppen och flerspråkig digital plattform).</w:t>
      </w:r>
    </w:p>
    <w:p>
      <w:pPr>
        <w:pStyle w:val="Puce3"/>
        <w:tabs>
          <w:tab w:val="clear" w:pos="720"/>
        </w:tabs>
        <w:rPr/>
      </w:pPr>
      <w:r>
        <w:rPr/>
        <w:t>11.</w:t>
        <w:tab/>
        <w:t>Bedöma om det skulle vara möjligt att digitalisera information om konsument- och livsmedelsprodukter genom en standardiserad europeisk tillämpning som skulle ge mer användarvänlig tillgång till information och tillhandahålla ytterligare produkt- och produktionskedjeinformation (CEP:s rekommendation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Bild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Europeisk demokrati”</w:t>
      </w:r>
    </w:p>
    <w:p>
      <w:pPr>
        <w:pStyle w:val="Titre3"/>
        <w:numPr>
          <w:ilvl w:val="2"/>
          <w:numId w:val="2"/>
        </w:numPr>
        <w:rPr/>
      </w:pPr>
      <w:bookmarkStart w:id="87" w:name="__RefHeading___Toc298348_1346298689"/>
      <w:bookmarkEnd w:id="87"/>
      <w:r>
        <w:rPr/>
        <w:t>36. Förslag: Information till medborgarna, deltagande och ungdomar</w:t>
      </w:r>
    </w:p>
    <w:p>
      <w:pPr>
        <w:pStyle w:val="P68B1DB1Normal15"/>
        <w:rPr/>
      </w:pPr>
      <w:r>
        <w:rPr/>
        <w:t>Mål: Öka ungdomars deltagande och delaktighet i demokratin på EU-nivå för att skapa en ”fullständig medborgarupplevelse” för européerna, se till att deras åsikter beaktas, även utanför valperioderna, och att deras deltagande är verkligt. Det är därför nödvändigt att fastställa vilken form av deltagande som är lämpligast för varje tema, till exempel: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Utveckla nya mekanismer för medborgarnas deltagande och göra befintliga mekanismer mer effektiva, i linje med EU:s regelverk, samtidigt som kommunikationen om alla dessa mekanismer förbättras. Helst bör all information om deltagarutrymmen sammanfattas</w:t>
      </w:r>
      <w:r>
        <w:rPr>
          <w:rStyle w:val="Ancredenotedefin"/>
          <w:rStyle w:val="Ancredenotedefin"/>
        </w:rPr>
        <w:endnoteReference w:id="93"/>
      </w:r>
      <w:r>
        <w:rPr/>
        <w:t xml:space="preserve"> på en fullständig officiell webbplats med olika funktioner</w:t>
      </w:r>
      <w:r>
        <w:rPr>
          <w:rStyle w:val="Ancredenotedefin"/>
          <w:rStyle w:val="Ancredenotedefin"/>
        </w:rPr>
        <w:endnoteReference w:id="94"/>
      </w:r>
      <w:r>
        <w:rPr/>
        <w:t>. En mekanism för övervakning av politiska och lagstiftningsmässiga initiativ till följd av deltagandedemokrati bör utvecklas</w:t>
      </w:r>
      <w:r>
        <w:rPr>
          <w:rStyle w:val="Ancredenotedefin"/>
          <w:rStyle w:val="Ancredenotedefin"/>
        </w:rPr>
        <w:endnoteReference w:id="95"/>
      </w:r>
      <w:r>
        <w:rPr/>
        <w:t>. Deltagandemekanismer bör alla vända sig till hela befolkningen för att nå en mängd olika målgrupper. Uppmärksamhet bör ägnas åt moderatorernas innehåll, ämnen och färdigheter. Dessa mekanismer bör bygga på en analys av effekterna av åtgärderna i fråga, särskilt för kvinnor och utsatta personer</w:t>
      </w:r>
      <w:r>
        <w:rPr>
          <w:rStyle w:val="Ancredenotedefin"/>
          <w:rStyle w:val="Ancredenotedefin"/>
        </w:rPr>
        <w:endnoteReference w:id="96"/>
      </w:r>
      <w:r>
        <w:rPr/>
        <w:t>.</w:t>
      </w:r>
    </w:p>
    <w:p>
      <w:pPr>
        <w:pStyle w:val="Puce3"/>
        <w:tabs>
          <w:tab w:val="clear" w:pos="720"/>
        </w:tabs>
        <w:rPr/>
      </w:pPr>
      <w:r>
        <w:rPr/>
        <w:t>2.</w:t>
        <w:tab/>
        <w:t>Genom att öka frekvensen av interaktioner online och offline mellan EU-institutionerna och medborgarna på olika sätt, för att säkerställa att de kan delta i den europeiska beslutsprocessen, uttrycka sina åsikter och få feedback samt utarbeta en stadga om medborgarnas deltagande för EU-tjänstemän</w:t>
      </w:r>
      <w:r>
        <w:rPr>
          <w:rStyle w:val="Ancredenotedefin"/>
          <w:rStyle w:val="Ancredenotedefin"/>
        </w:rPr>
        <w:endnoteReference w:id="97"/>
      </w:r>
      <w:r>
        <w:rPr/>
        <w:t>.</w:t>
      </w:r>
    </w:p>
    <w:p>
      <w:pPr>
        <w:pStyle w:val="Puce3"/>
        <w:tabs>
          <w:tab w:val="clear" w:pos="720"/>
        </w:tabs>
        <w:rPr/>
      </w:pPr>
      <w:r>
        <w:rPr/>
        <w:t>3.</w:t>
        <w:tab/>
        <w:t>Föreslå en användarvänlig digital plattform där medborgarna – och i synnerhet ungdomar – kan dela med sig av sina idéer, ställa frågor till företrädare för EU-institutionerna och framföra sina åsikter om viktiga EU-frågor och lagstiftningsförslag. Det bör också finnas möjlighet att anordna onlineundersökningar på denna plattform</w:t>
      </w:r>
      <w:r>
        <w:rPr>
          <w:rStyle w:val="Ancredenotedefin"/>
          <w:rStyle w:val="Ancredenotedefin"/>
        </w:rPr>
        <w:endnoteReference w:id="98"/>
      </w:r>
      <w:r>
        <w:rPr/>
        <w:t>.</w:t>
      </w:r>
    </w:p>
    <w:p>
      <w:pPr>
        <w:pStyle w:val="Puce3"/>
        <w:tabs>
          <w:tab w:val="clear" w:pos="720"/>
        </w:tabs>
        <w:rPr/>
      </w:pPr>
      <w:r>
        <w:rPr/>
        <w:t>4.</w:t>
        <w:tab/>
        <w:t>Förbättra och harmonisera befintliga mekanismer på europeisk, nationell och lokal nivå för att göra dem säkrare, mer tillgängliga, synligare och mer inkluderande</w:t>
      </w:r>
      <w:r>
        <w:rPr>
          <w:rStyle w:val="Ancredenotedefin"/>
          <w:rStyle w:val="Ancredenotedefin"/>
        </w:rPr>
        <w:endnoteReference w:id="99"/>
      </w:r>
      <w:r>
        <w:rPr/>
        <w:t>.</w:t>
      </w:r>
    </w:p>
    <w:p>
      <w:pPr>
        <w:pStyle w:val="Puce3"/>
        <w:tabs>
          <w:tab w:val="clear" w:pos="720"/>
        </w:tabs>
        <w:rPr/>
      </w:pPr>
      <w:r>
        <w:rPr/>
        <w:t>5.</w:t>
        <w:tab/>
        <w:t>Involvera det civila samhällets organisationer, regionala och lokala myndigheter och befintliga organ, t.ex. Europeiska ekonomiska och sociala kommittén (EESK) och Regionkommittén (</w:t>
      </w:r>
      <w:r>
        <w:rPr>
          <w:rStyle w:val="Ancredenotedefin"/>
          <w:rStyle w:val="Ancredenotedefin"/>
        </w:rPr>
        <w:endnoteReference w:id="100"/>
      </w:r>
      <w:r>
        <w:rPr/>
        <w:t>ReK), i medborgardeltagandeprocessen</w:t>
      </w:r>
      <w:r>
        <w:rPr>
          <w:rStyle w:val="Ancredenotedefin"/>
          <w:rStyle w:val="Ancredenotedefin"/>
        </w:rPr>
        <w:endnoteReference w:id="101"/>
      </w:r>
      <w:r>
        <w:rPr/>
        <w:t>.</w:t>
      </w:r>
    </w:p>
    <w:p>
      <w:pPr>
        <w:pStyle w:val="Puce3"/>
        <w:tabs>
          <w:tab w:val="clear" w:pos="720"/>
        </w:tabs>
        <w:rPr/>
      </w:pPr>
      <w:r>
        <w:rPr/>
        <w:t>6.</w:t>
        <w:tab/>
        <w:t>Genom att skapa ett system med lokala EU-rådgivare för att föra EU-institutionerna närmare EU:s medborgare</w:t>
      </w:r>
      <w:r>
        <w:rPr>
          <w:rStyle w:val="Ancredenotedefin"/>
          <w:rStyle w:val="Ancredenotedefin"/>
        </w:rPr>
        <w:endnoteReference w:id="102"/>
      </w:r>
      <w:r>
        <w:rPr/>
        <w:t>.</w:t>
      </w:r>
    </w:p>
    <w:p>
      <w:pPr>
        <w:pStyle w:val="Puce3"/>
        <w:tabs>
          <w:tab w:val="clear" w:pos="720"/>
        </w:tabs>
        <w:rPr/>
      </w:pPr>
      <w:r>
        <w:rPr/>
        <w:t>7.</w:t>
        <w:tab/>
        <w:t>Att regelbundet sammanföra medborgarförsamlingar på en rättsligt bindande grund i EU-lagstiftningen. Deltagarna kommer att dras genom lottning enligt representativitetskriterier, och deltagande kommer att uppmuntras starkt. Vid behov kommer specialister att förse medlemmarna i församlingen med information som är relevant för deras överläggningar. Om institutionerna inte tar hänsyn till slutsatserna från dessa möten måste de motivera sitt beslut</w:t>
      </w:r>
      <w:r>
        <w:rPr>
          <w:rStyle w:val="Ancredenotedefin"/>
          <w:rStyle w:val="Ancredenotedefin"/>
        </w:rPr>
        <w:endnoteReference w:id="103"/>
      </w:r>
      <w:r>
        <w:rPr/>
        <w:t>. Det är viktigt att valda företrädare samråder med medborgarna och det civila samhället innan de fattar politiska beslut och tar hänsyn till deras bidrag. Europeiska unionen bygger på representativ demokrati: i valet till Europaparlamentet sänder medborgarna ett tydligt budskap till sina företrädare och talar indirekt om EU:s politik</w:t>
      </w:r>
      <w:r>
        <w:rPr>
          <w:rStyle w:val="Ancredenotedefin"/>
          <w:rStyle w:val="Ancredenotedefin"/>
        </w:rPr>
        <w:endnoteReference w:id="104"/>
      </w:r>
      <w:r>
        <w:rPr/>
        <w:t>.</w:t>
      </w:r>
    </w:p>
    <w:p>
      <w:pPr>
        <w:pStyle w:val="Puce3"/>
        <w:tabs>
          <w:tab w:val="clear" w:pos="720"/>
        </w:tabs>
        <w:rPr/>
      </w:pPr>
      <w:r>
        <w:rPr/>
        <w:t>8.</w:t>
        <w:tab/>
        <w:t>Ge ökat ekonomiskt eller annat strukturellt stöd till det civila samhället, särskilt ungdomar, och lokala myndigheter för att inrätta lokala ungdomsråd</w:t>
      </w:r>
      <w:r>
        <w:rPr>
          <w:rStyle w:val="Ancredenotedefin"/>
          <w:rStyle w:val="Ancredenotedefin"/>
        </w:rPr>
        <w:endnoteReference w:id="105"/>
      </w:r>
      <w:r>
        <w:rPr/>
        <w:t>. det civila samhällets och arbetsmarknadens parters deltagande skulle kunna utgöra en fullständig pelare i den europeiska handlingsplanen för demokrati, och en särskild strategi skulle kunna ägnas åt det civila samhället</w:t>
      </w:r>
      <w:r>
        <w:rPr>
          <w:rStyle w:val="Ancredenotedefin"/>
          <w:rStyle w:val="Ancredenotedefin"/>
        </w:rPr>
        <w:endnoteReference w:id="106"/>
      </w:r>
      <w:r>
        <w:rPr/>
        <w:t>.</w:t>
      </w:r>
    </w:p>
    <w:p>
      <w:pPr>
        <w:pStyle w:val="Puce3"/>
        <w:tabs>
          <w:tab w:val="clear" w:pos="720"/>
        </w:tabs>
        <w:rPr/>
      </w:pPr>
      <w:r>
        <w:rPr/>
        <w:t>9.</w:t>
        <w:tab/>
        <w:t>Införa en ”ungdomskontroll” av lagstiftningen, som skulle omfatta en konsekvensbedömning och en mekanism för samråd med ungdomsrepresentanter, där lagstiftningen sannolikt kommer att påverka ungdomar</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Genom att stärka samarbetet mellan EU:s lagstiftare och det civila samhällets organisationer för att dra nytta av deras kopplingar mellan beslutsfattare och medborgare</w:t>
      </w:r>
      <w:r>
        <w:rPr>
          <w:rStyle w:val="Ancredenotedefin"/>
          <w:rStyle w:val="Ancredenotedefin"/>
        </w:rPr>
        <w:endnoteReference w:id="108"/>
      </w:r>
      <w:r>
        <w:rPr/>
        <w:t>.</w:t>
      </w:r>
    </w:p>
    <w:p>
      <w:pPr>
        <w:pStyle w:val="Puce3"/>
        <w:tabs>
          <w:tab w:val="clear" w:pos="720"/>
        </w:tabs>
        <w:rPr/>
      </w:pPr>
      <w:r>
        <w:rPr/>
        <w:t>11.</w:t>
        <w:tab/>
        <w:t>Sammanfattning av punkterna om medborgarnas deltagande i en europeisk stadga om medborgarnas bidrag till EU-frågor.</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Förslag: Information till medborgare, deltagande och ungdomar a)</w:t>
      </w:r>
    </w:p>
    <w:p>
      <w:pPr>
        <w:pStyle w:val="P68B1DB1Normal15"/>
        <w:rPr/>
      </w:pPr>
      <w:r>
        <w:rPr/>
        <w:t>Mål: Göra Europeiska unionen mer begriplig och tillgänglig. stärka den gemensamma europeiska identiteten,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Garantera en miniminivå av utbildning om Europeiska unionen, särskilt dess demokratiska processer, utan att försumma den europeiska integrationens historia och det europeiska medborgarskapet. Människor i alla åldrar bör kunna dra nytta av dessa program, som bör utformas på ett attraktivt och åldersanpassat sätt, t.ex. utveckling av särskilda utbildningsprogram och material för barn, skolor</w:t>
      </w:r>
      <w:r>
        <w:rPr>
          <w:rStyle w:val="Ancredenotedefin"/>
          <w:rStyle w:val="Ancredenotedefin"/>
        </w:rPr>
        <w:endnoteReference w:id="110"/>
      </w:r>
      <w:r>
        <w:rPr/>
        <w:t xml:space="preserve"> och organisationer i det civila samhället som är verksamma inom icke-formell utbildning</w:t>
      </w:r>
      <w:r>
        <w:rPr>
          <w:rStyle w:val="Ancredenotedefin"/>
          <w:rStyle w:val="Ancredenotedefin"/>
        </w:rPr>
        <w:endnoteReference w:id="111"/>
      </w:r>
      <w:r>
        <w:rPr/>
        <w:t>.</w:t>
      </w:r>
    </w:p>
    <w:p>
      <w:pPr>
        <w:pStyle w:val="Puce3"/>
        <w:tabs>
          <w:tab w:val="clear" w:pos="720"/>
        </w:tabs>
        <w:rPr/>
      </w:pPr>
      <w:r>
        <w:rPr/>
        <w:t>2.</w:t>
        <w:tab/>
        <w:t>Se till att alla medborgare har enkel tillgång till tillförlitlig information om unionen. EU-institutionerna bör använda ett mer tillgängligt språk och undvika att använda byråkratisk jargong i sin kommunikation, samtidigt som kvaliteten och den tekniska nivån på den information som ges bibehålls, och anpassa informationen till de olika kommunikationskanalerna och mottagarprofilerna.</w:t>
      </w:r>
      <w:r>
        <w:rPr>
          <w:rStyle w:val="Ancredenotedefin"/>
          <w:rStyle w:val="Ancredenotedefin"/>
        </w:rPr>
        <w:endnoteReference w:id="112"/>
      </w:r>
      <w:r>
        <w:rPr/>
        <w:t xml:space="preserve"> De bör till exempel överväga att skapa en mobilapplikation med information om EU:s politik på ett tydligt språk</w:t>
      </w:r>
      <w:r>
        <w:rPr>
          <w:rStyle w:val="Ancredenotedefin"/>
          <w:rStyle w:val="Ancredenotedefin"/>
        </w:rPr>
        <w:endnoteReference w:id="113"/>
      </w:r>
      <w:r>
        <w:rPr/>
        <w:t>. Särskilda insatser bör göras för att nå ut till ungdomar på sociala nätverk, men också genom ungdomsrörelser och olika ”ambassadörer” (organisationer och enskilda) som förklarar</w:t>
      </w:r>
      <w:r>
        <w:rPr>
          <w:rStyle w:val="Ancredenotedefin"/>
          <w:rStyle w:val="Ancredenotedefin"/>
        </w:rPr>
        <w:endnoteReference w:id="114"/>
      </w:r>
      <w:r>
        <w:rPr/>
        <w:t xml:space="preserve"> det europeiska projektet</w:t>
      </w:r>
      <w:r>
        <w:rPr>
          <w:rStyle w:val="Ancredenotedefin"/>
          <w:rStyle w:val="Ancredenotedefin"/>
        </w:rPr>
        <w:endnoteReference w:id="115"/>
      </w:r>
      <w:r>
        <w:rPr/>
        <w:t>.</w:t>
      </w:r>
    </w:p>
    <w:p>
      <w:pPr>
        <w:pStyle w:val="Puce3"/>
        <w:tabs>
          <w:tab w:val="clear" w:pos="720"/>
        </w:tabs>
        <w:rPr/>
      </w:pPr>
      <w:r>
        <w:rPr/>
        <w:t>3.</w:t>
        <w:tab/>
        <w:t>Ökad användning av artificiell intelligens och maskinöversättningsteknik för att övervinna språkbarriären och</w:t>
      </w:r>
      <w:r>
        <w:rPr>
          <w:rStyle w:val="Ancredenotedefin"/>
          <w:rStyle w:val="Ancredenotedefin"/>
        </w:rPr>
        <w:endnoteReference w:id="116"/>
      </w:r>
      <w:r>
        <w:rPr/>
        <w:t xml:space="preserve"> </w:t>
      </w:r>
      <w:r>
        <w:rPr>
          <w:rStyle w:val="Ancredenotedefin"/>
          <w:rStyle w:val="Ancredenotedefin"/>
        </w:rPr>
        <w:endnoteReference w:id="117"/>
      </w:r>
      <w:r>
        <w:rPr/>
        <w:t>se till att alla digitala verktyg är tillgängliga för personer med funktionsnedsättning</w:t>
      </w:r>
      <w:r>
        <w:rPr>
          <w:rStyle w:val="Ancredenotedefin"/>
          <w:rStyle w:val="Ancredenotedefin"/>
        </w:rPr>
        <w:endnoteReference w:id="118"/>
      </w:r>
      <w:r>
        <w:rPr/>
        <w:t xml:space="preserve"> och är lätta att använda.</w:t>
      </w:r>
    </w:p>
    <w:p>
      <w:pPr>
        <w:pStyle w:val="Puce3"/>
        <w:tabs>
          <w:tab w:val="clear" w:pos="720"/>
        </w:tabs>
        <w:rPr/>
      </w:pPr>
      <w:r>
        <w:rPr/>
        <w:t>4.</w:t>
        <w:tab/>
        <w:t>Genom att försvara och stödja mediernas frihet, mångfald och oberoende och genom att uppmuntra medierna, inbegripet offentliga programföretag, offentliga nyhetsbyråer och europeiska medier, att mer regelbundet täcka EU-frågorna, samtidigt som deras frihet och oberoende respekteras, så att sådan täckning är regelbunden och omfattande i alla unionens medlemsstater</w:t>
      </w:r>
      <w:r>
        <w:rPr>
          <w:rStyle w:val="Ancredenotedefin"/>
          <w:rStyle w:val="Ancredenotedefin"/>
        </w:rPr>
        <w:endnoteReference w:id="119"/>
      </w:r>
      <w:r>
        <w:rPr/>
        <w:t>, öka insatserna för att bekämpa desinformation och utländsk inblandning samt skydda journalister</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Genom att föra Europa närmare medborgarna genom att stärka</w:t>
      </w:r>
      <w:r>
        <w:rPr>
          <w:rStyle w:val="Ancredenotedefin"/>
          <w:rStyle w:val="Ancredenotedefin"/>
        </w:rPr>
        <w:endnoteReference w:id="121"/>
      </w:r>
      <w:r>
        <w:rPr/>
        <w:t xml:space="preserve"> kontaktpunkter och specialiserade nav (Europahusen) på lokal nivå, som skulle erbjuda resurser, information och råd till medborgarna i EU-frågor, lyssna på deras oro och diskutera med sammanslutningar för att bidra till att föra medborgarnas åsikter till EU-nivå</w:t>
      </w:r>
      <w:r>
        <w:rPr>
          <w:rStyle w:val="Ancredenotedefin"/>
          <w:rStyle w:val="Ancredenotedefin"/>
        </w:rPr>
        <w:endnoteReference w:id="122"/>
      </w:r>
      <w:r>
        <w:rPr/>
        <w:t>.</w:t>
      </w:r>
    </w:p>
    <w:p>
      <w:pPr>
        <w:pStyle w:val="Puce3"/>
        <w:tabs>
          <w:tab w:val="clear" w:pos="720"/>
        </w:tabs>
        <w:rPr/>
      </w:pPr>
      <w:r>
        <w:rPr/>
        <w:t>6.</w:t>
        <w:tab/>
        <w:t>Genom att vidta nya åtgärder för att stärka en gemensam identitet bland européerna, till exempel genom en EU-fond som skulle uppmuntra interaktioner online och offline (t.ex. utbytesprogram, paneler eller möten) av varierande varaktighet mellan EU-medborgarna, anordna europeiska idrottsevenemang, inrätta gemensamma lag eller göra den 9 maj (Europadagen) till en extra semester</w:t>
      </w:r>
      <w:r>
        <w:rPr>
          <w:rStyle w:val="Ancredenotedefin"/>
          <w:rStyle w:val="Ancredenotedefin"/>
        </w:rPr>
        <w:endnoteReference w:id="123"/>
      </w:r>
      <w:r>
        <w:rPr/>
        <w:t xml:space="preserve"> för alla EU-medborgare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Förslag: Demokrati och val</w:t>
      </w:r>
    </w:p>
    <w:p>
      <w:pPr>
        <w:pStyle w:val="Normal"/>
        <w:rPr/>
      </w:pPr>
      <w:r>
        <w:rPr/>
        <w:t>Mål: Stärka den europeiska demokratin genom att stärka dess grundvalar, uppmuntra medborgarna att delta i val till Europaparlamentet, främja gränsöverskridande debatter om EU-frågor och säkerställa en stark koppling mellan medborgarna och deras valda företrädare,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Säkerställa skyddet av de europeiska värden som fastställs i fördragen, inbegripet rättsstatsprincipen och en robust social modell</w:t>
      </w:r>
      <w:r>
        <w:rPr>
          <w:rStyle w:val="Ancredenotedefin"/>
          <w:rStyle w:val="Ancredenotedefin"/>
        </w:rPr>
        <w:endnoteReference w:id="125"/>
      </w:r>
      <w:r>
        <w:rPr/>
        <w:t>, som utgör kärnan i den europeiska demokratin. I sina förbindelser med resten av världen bör unionen prioritera gemensamma demokratiska värden i gränsländerna. Det är först efter att ha uppnått detta mål som hon kan bli ambassadör för vår demokratiska modell i länder som har kapacitet och vilja att göra det, genom diplomati och dialog</w:t>
      </w:r>
      <w:r>
        <w:rPr>
          <w:rStyle w:val="Ancredenotedefin"/>
          <w:rStyle w:val="Ancredenotedefin"/>
        </w:rPr>
        <w:endnoteReference w:id="126"/>
      </w:r>
      <w:r>
        <w:rPr/>
        <w:t>.</w:t>
      </w:r>
    </w:p>
    <w:p>
      <w:pPr>
        <w:pStyle w:val="Puce3"/>
        <w:tabs>
          <w:tab w:val="clear" w:pos="720"/>
        </w:tabs>
        <w:rPr/>
      </w:pPr>
      <w:r>
        <w:rPr/>
        <w:t>2.</w:t>
        <w:tab/>
        <w:t>Genom att införa möjligheten att anordna en folkomröstning i hela unionen, på Europaparlamentets initiativ, i undantagsfall, om ett ämne visar sig vara särskilt viktigt för alla EU-medborgare</w:t>
      </w:r>
      <w:r>
        <w:rPr>
          <w:rStyle w:val="Ancredenotedefin"/>
          <w:rStyle w:val="Ancredenotedefin"/>
        </w:rPr>
        <w:endnoteReference w:id="127"/>
      </w:r>
      <w:r>
        <w:rPr/>
        <w:t>.</w:t>
      </w:r>
    </w:p>
    <w:p>
      <w:pPr>
        <w:pStyle w:val="Puce3"/>
        <w:tabs>
          <w:tab w:val="clear" w:pos="720"/>
        </w:tabs>
        <w:rPr/>
      </w:pPr>
      <w:r>
        <w:rPr/>
        <w:t>3.</w:t>
        <w:tab/>
        <w:t>Genom att ändra unionens vallagstiftning för att harmonisera arrangemangen för val till Europaparlamentet (t.ex. majoritetsålder, valdatum, krav som är tillämpliga på valdistrikt, kandidater, politiska partier och deras finansiering) samt genom att gå mot alleuropeiska eller transnationella listor med</w:t>
      </w:r>
      <w:r>
        <w:rPr>
          <w:rStyle w:val="Ancredenotedebasdepage"/>
          <w:rStyle w:val="Ancredenotedebasdepage"/>
        </w:rPr>
        <w:footnoteReference w:id="11"/>
      </w:r>
      <w:r>
        <w:rPr/>
        <w:t xml:space="preserve"> kandidater från olika medlemsstater, efter att ha beaktat medlemsstaternas medborgares</w:t>
      </w:r>
      <w:r>
        <w:rPr>
          <w:rStyle w:val="Ancredenotedefin"/>
          <w:rStyle w:val="Ancredenotedefin"/>
        </w:rPr>
        <w:endnoteReference w:id="128"/>
      </w:r>
      <w:r>
        <w:rPr/>
        <w:t xml:space="preserve"> åsikter i denna fråga</w:t>
      </w:r>
      <w:r>
        <w:rPr>
          <w:rStyle w:val="Ancredenotedefin"/>
          <w:rStyle w:val="Ancredenotedefin"/>
        </w:rPr>
        <w:endnoteReference w:id="129"/>
      </w:r>
      <w:r>
        <w:rPr/>
        <w:t>.</w:t>
      </w:r>
    </w:p>
    <w:p>
      <w:pPr>
        <w:pStyle w:val="Alineanegatifpuce"/>
        <w:numPr>
          <w:ilvl w:val="0"/>
          <w:numId w:val="3"/>
        </w:numPr>
        <w:rPr/>
      </w:pPr>
      <w:r>
        <w:rPr/>
        <w:t xml:space="preserve"> </w:t>
      </w:r>
      <w:r>
        <w:rPr/>
        <w:t>Vissa ledamöter av Europaparlamentet bör väljas från alleuropeiska listor, medan de andra skulle väljas på medlemsstatsnivå</w:t>
      </w:r>
      <w:r>
        <w:rPr>
          <w:rStyle w:val="Ancredenotedefin"/>
          <w:rStyle w:val="Ancredenotedefin"/>
        </w:rPr>
        <w:endnoteReference w:id="130"/>
      </w:r>
      <w:r>
        <w:rPr/>
        <w:t>.</w:t>
      </w:r>
    </w:p>
    <w:p>
      <w:pPr>
        <w:pStyle w:val="Alineanegatifpuce"/>
        <w:numPr>
          <w:ilvl w:val="0"/>
          <w:numId w:val="3"/>
        </w:numPr>
        <w:rPr/>
      </w:pPr>
      <w:r>
        <w:rPr/>
        <w:t xml:space="preserve"> </w:t>
      </w:r>
      <w:r>
        <w:rPr/>
        <w:t>Syftet med reformen bör också vara att underlätta digital röstning</w:t>
      </w:r>
      <w:r>
        <w:rPr>
          <w:rStyle w:val="Ancredenotedefin"/>
          <w:rStyle w:val="Ancredenotedefin"/>
        </w:rPr>
        <w:endnoteReference w:id="131"/>
      </w:r>
      <w:r>
        <w:rPr/>
        <w:t xml:space="preserve"> och garantera verklig rätt för personer med funktionsnedsättning att rösta</w:t>
      </w:r>
      <w:r>
        <w:rPr>
          <w:rStyle w:val="Ancredenotedefin"/>
          <w:rStyle w:val="Ancredenotedefin"/>
        </w:rPr>
        <w:endnoteReference w:id="132"/>
      </w:r>
      <w:r>
        <w:rPr/>
        <w:t>.</w:t>
      </w:r>
    </w:p>
    <w:p>
      <w:pPr>
        <w:pStyle w:val="Puce3"/>
        <w:tabs>
          <w:tab w:val="clear" w:pos="720"/>
        </w:tabs>
        <w:rPr/>
      </w:pPr>
      <w:r>
        <w:rPr/>
        <w:t>4.</w:t>
        <w:tab/>
        <w:t>Stärka banden mellan medborgarna och deras valda företrädare, med beaktande av nationella särdrag: medborgarna vill känna att parlamentsledamöterna och de nationella parlamentarikerna står dem nära och svarar på deras oro med specifika åtgärder</w:t>
      </w:r>
      <w:r>
        <w:rPr>
          <w:rStyle w:val="Ancredenotedefin"/>
          <w:rStyle w:val="Ancredenotedefin"/>
        </w:rPr>
        <w:endnoteReference w:id="133"/>
      </w:r>
      <w:r>
        <w:rPr/>
        <w:t>. Detta är ett universellt problem och människor i alla åldrar bör engagera sig</w:t>
      </w:r>
      <w:r>
        <w:rPr>
          <w:rStyle w:val="Ancredenotedefin"/>
          <w:rStyle w:val="Ancredenotedefin"/>
        </w:rPr>
        <w:endnoteReference w:id="134"/>
      </w:r>
      <w:r>
        <w:rPr/>
        <w:t>.</w:t>
      </w:r>
    </w:p>
    <w:p>
      <w:pPr>
        <w:pStyle w:val="Alineanegatifpuce"/>
        <w:numPr>
          <w:ilvl w:val="0"/>
          <w:numId w:val="3"/>
        </w:numPr>
        <w:rPr/>
      </w:pPr>
      <w:r>
        <w:rPr/>
        <w:t xml:space="preserve"> </w:t>
      </w:r>
      <w:r>
        <w:rPr/>
        <w:t>EU-medborgarna bör få större tyngd i valet av kommissionens ordförande. Detta mål skulle kunna uppnås genom direktval av kommissionens ordförande</w:t>
      </w:r>
      <w:r>
        <w:rPr>
          <w:rStyle w:val="Ancredenotedefin"/>
          <w:rStyle w:val="Ancredenotedefin"/>
        </w:rPr>
        <w:endnoteReference w:id="135"/>
      </w:r>
      <w:r>
        <w:rPr/>
        <w:t xml:space="preserve"> eller genom systemet med topplistade kandidater</w:t>
      </w:r>
      <w:r>
        <w:rPr>
          <w:rStyle w:val="Ancredenotedebasdepage"/>
          <w:rStyle w:val="Ancredenotedebasdepage"/>
        </w:rPr>
        <w:footnoteReference w:id="12"/>
      </w:r>
      <w:r>
        <w:rPr/>
        <w:t>.</w:t>
      </w:r>
    </w:p>
    <w:p>
      <w:pPr>
        <w:pStyle w:val="Alineanegatifpuce"/>
        <w:numPr>
          <w:ilvl w:val="0"/>
          <w:numId w:val="3"/>
        </w:numPr>
        <w:rPr/>
      </w:pPr>
      <w:r>
        <w:rPr/>
        <w:t xml:space="preserve"> </w:t>
      </w:r>
      <w:r>
        <w:rPr/>
        <w:t>Europaparlamentet bör ha rätt att ta initiativ till lagstiftning för att föreslå</w:t>
      </w:r>
      <w:r>
        <w:rPr>
          <w:rStyle w:val="Ancredenotedefin"/>
          <w:rStyle w:val="Ancredenotedefin"/>
        </w:rPr>
        <w:endnoteReference w:id="136"/>
      </w:r>
      <w:r>
        <w:rPr/>
        <w:t xml:space="preserve"> diskussionsämnen och sedan anta de texter som krävs för att följa upp de rekommendationer som följer av överläggningarna</w:t>
      </w:r>
      <w:r>
        <w:rPr>
          <w:rStyle w:val="Ancredenotedefin"/>
          <w:rStyle w:val="Ancredenotedefin"/>
        </w:rPr>
        <w:endnoteReference w:id="137"/>
      </w:r>
      <w:r>
        <w:rPr/>
        <w:t>.</w:t>
      </w:r>
    </w:p>
    <w:p>
      <w:pPr>
        <w:pStyle w:val="Alineanegatifpuce"/>
        <w:numPr>
          <w:ilvl w:val="0"/>
          <w:numId w:val="3"/>
        </w:numPr>
        <w:rPr/>
      </w:pPr>
      <w:r>
        <w:rPr/>
        <w:t xml:space="preserve"> </w:t>
      </w:r>
      <w:r>
        <w:rPr/>
        <w:t>Europaparlamentet bör besluta om EU:s budget, vilket parlamenten gör på nationell nivå</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Politiska partier, det civila samhällets organisationer och fackföreningar bör vara mer dynamiska och tillgängliga, så att medborgarna engagerar sig och investerar mer i den europeiska demokratin</w:t>
      </w:r>
      <w:r>
        <w:rPr>
          <w:rStyle w:val="Ancredenotedefin"/>
          <w:rStyle w:val="Ancredenotedefin"/>
        </w:rPr>
        <w:endnoteReference w:id="139"/>
      </w:r>
      <w:r>
        <w:rPr/>
        <w:t>. Detta skulle också främja inkluderingen av europeiska frågor i offentliga debatter som anordnas av politiska partier, organisationer i det civila samhället och arbetsmarknadens parter, både inför valet till Europaparlamentet eller inför nationella, regionala eller lokala val</w:t>
      </w:r>
      <w:r>
        <w:rPr>
          <w:rStyle w:val="Ancredenotedefin"/>
          <w:rStyle w:val="Ancredenotedefin"/>
        </w:rPr>
        <w:endnoteReference w:id="140"/>
      </w:r>
      <w:r>
        <w:rPr/>
        <w:t>.</w:t>
      </w:r>
    </w:p>
    <w:p>
      <w:pPr>
        <w:pStyle w:val="Puce3"/>
        <w:tabs>
          <w:tab w:val="clear" w:pos="720"/>
        </w:tabs>
        <w:rPr/>
      </w:pPr>
      <w:r>
        <w:rPr/>
        <w:t>5.</w:t>
        <w:tab/>
        <w:t>Demokrati förkroppsligas i institutioner och samhället i allmänhet, även på arbetsplatsen, tack vare arbetsmarknadens parter</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Förslag: Unionens beslutsprocess</w:t>
      </w:r>
    </w:p>
    <w:p>
      <w:pPr>
        <w:pStyle w:val="P68B1DB1Normal15"/>
        <w:rPr/>
      </w:pPr>
      <w:r>
        <w:rPr/>
        <w:t>Mål: Förbättra unionens beslutsprocess för att säkerställa dess handlingsförmåga, samtidigt som hänsyn tas till varje medlemsstats intressen och säkerställa en öppen och begriplig process för medborgarna,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Se över reglerna för beslutsfattande och omröstning i EU-institutionerna. Frågan om enhälliga omröstningar förtjänar särskild uppmärksamhet, eftersom det gör alla överenskommelser mycket svåra. Rättvisa i viktningen av röster bör säkerställas för att skydda de små ländernas intressen</w:t>
      </w:r>
      <w:r>
        <w:rPr>
          <w:rStyle w:val="Ancredenotedefin"/>
          <w:rStyle w:val="Ancredenotedefin"/>
        </w:rPr>
        <w:endnoteReference w:id="142"/>
      </w:r>
      <w:r>
        <w:rPr/>
        <w:t>.</w:t>
      </w:r>
    </w:p>
    <w:p>
      <w:pPr>
        <w:pStyle w:val="Alineanegatifpuce"/>
        <w:numPr>
          <w:ilvl w:val="0"/>
          <w:numId w:val="3"/>
        </w:numPr>
        <w:rPr/>
      </w:pPr>
      <w:r>
        <w:rPr/>
        <w:t xml:space="preserve"> </w:t>
      </w:r>
      <w:r>
        <w:rPr/>
        <w:t>Alla beslut som för närvarande fattas enhälligt bör i framtiden antas med kvalificerad majoritet. De enda undantagen bör vara nya medlemsstaters tillträde till Europeiska unionen och den ändring av unionens grundläggande principer som fastställs i artikel 2 i fördraget om Europeiska unionen och i Europeiska unionens stadga om de grundläggande rättigheterna</w:t>
      </w:r>
      <w:r>
        <w:rPr>
          <w:rStyle w:val="Ancredenotedefin"/>
          <w:rStyle w:val="Ancredenotedefin"/>
        </w:rPr>
        <w:endnoteReference w:id="143"/>
      </w:r>
      <w:r>
        <w:rPr/>
        <w:t>.</w:t>
      </w:r>
    </w:p>
    <w:p>
      <w:pPr>
        <w:pStyle w:val="Puce3"/>
        <w:tabs>
          <w:tab w:val="clear" w:pos="720"/>
        </w:tabs>
        <w:rPr/>
      </w:pPr>
      <w:r>
        <w:rPr/>
        <w:t>2.</w:t>
        <w:tab/>
        <w:t>Säkerställa insyn i beslutsprocessen, göra det möjligt för oberoende medborgarobservatörer att noga övervaka denna process, tillämpa en bredare rätt till tillgång till handlingar</w:t>
      </w:r>
      <w:r>
        <w:rPr>
          <w:rStyle w:val="Ancredenotedefin"/>
          <w:rStyle w:val="Ancredenotedefin"/>
        </w:rPr>
        <w:endnoteReference w:id="144"/>
      </w:r>
      <w:r>
        <w:rPr/>
        <w:t xml:space="preserve"> och upprätta närmare förbindelser och en förstärkt dialog mellan medborgarna och EU-institutionerna på denna grund</w:t>
      </w:r>
      <w:r>
        <w:rPr>
          <w:rStyle w:val="Ancredenotedefin"/>
          <w:rStyle w:val="Ancredenotedefin"/>
        </w:rPr>
        <w:endnoteReference w:id="145"/>
      </w:r>
      <w:r>
        <w:rPr/>
        <w:t>.</w:t>
      </w:r>
    </w:p>
    <w:p>
      <w:pPr>
        <w:pStyle w:val="Alineanegatifpuce"/>
        <w:numPr>
          <w:ilvl w:val="0"/>
          <w:numId w:val="3"/>
        </w:numPr>
        <w:rPr/>
      </w:pPr>
      <w:r>
        <w:rPr/>
        <w:t xml:space="preserve"> </w:t>
      </w:r>
      <w:r>
        <w:rPr/>
        <w:t>Unionen måste förbättra insynen i sin beslutsprocess och sina institutioner. Rådets och Europaparlamentets sammanträden, inklusive omröstningar, bör t.ex. spridas online på samma sätt. Detta skulle göra det möjligt för intresserade medborgare att övervaka EU:s beslutsfattande och tvinga beslutsfattare att rapportera om sina åtgärder</w:t>
      </w:r>
      <w:r>
        <w:rPr>
          <w:rStyle w:val="Ancredenotedefin"/>
          <w:rStyle w:val="Ancredenotedefin"/>
        </w:rPr>
        <w:endnoteReference w:id="146"/>
      </w:r>
      <w:r>
        <w:rPr/>
        <w:t>. Europaparlamentets undersökningsrätt bör också stärkas.</w:t>
      </w:r>
      <w:r>
        <w:rPr>
          <w:rStyle w:val="Ancredenotedefin"/>
          <w:rStyle w:val="Ancredenotedefin"/>
        </w:rPr>
        <w:endnoteReference w:id="147"/>
      </w:r>
      <w:r>
        <w:rPr/>
        <w:t xml:space="preserve"> Arbetsgruppens ändringsförslag nr 44A.</w:t>
      </w:r>
    </w:p>
    <w:p>
      <w:pPr>
        <w:pStyle w:val="Alineanegatifpuce"/>
        <w:numPr>
          <w:ilvl w:val="0"/>
          <w:numId w:val="3"/>
        </w:numPr>
        <w:rPr/>
      </w:pPr>
      <w:r>
        <w:rPr/>
        <w:t xml:space="preserve"> </w:t>
      </w:r>
      <w:r>
        <w:rPr/>
        <w:t>Unionens beslutsprocess bör vidareutvecklas så att fler nationella, regionala och lokala företrädare, arbetsmarknadens parter och det civila samhällets organisationer involveras</w:t>
      </w:r>
      <w:r>
        <w:rPr>
          <w:rStyle w:val="Ancredenotedefin"/>
          <w:rStyle w:val="Ancredenotedefin"/>
        </w:rPr>
        <w:endnoteReference w:id="148"/>
      </w:r>
      <w:r>
        <w:rPr/>
        <w:t>. Det interparlamentariska samarbetet och dialogen bör stärkas. Europaparlamentet bör också involvera de nationella parlamenten närmare i det europeiska lagstiftningsförfarandet, till exempel genom att bjuda in dem till utfrågningar</w:t>
      </w:r>
      <w:r>
        <w:rPr>
          <w:rStyle w:val="Ancredenotedefin"/>
          <w:rStyle w:val="Ancredenotedefin"/>
        </w:rPr>
        <w:endnoteReference w:id="149"/>
      </w:r>
      <w:r>
        <w:rPr/>
        <w:t>. Dessutom skulle det vara lämpligt att i högre grad involvera de lokala och regionala myndigheterna och ReK för att bättre ta hänsyn till deras erfarenheter av att genomföra EU-lagstiftningen</w:t>
      </w:r>
      <w:r>
        <w:rPr>
          <w:rStyle w:val="Ancredenotedefin"/>
          <w:rStyle w:val="Ancredenotedefin"/>
        </w:rPr>
        <w:endnoteReference w:id="150"/>
      </w:r>
      <w:r>
        <w:rPr/>
        <w:t>.</w:t>
      </w:r>
    </w:p>
    <w:p>
      <w:pPr>
        <w:pStyle w:val="Puce3"/>
        <w:tabs>
          <w:tab w:val="clear" w:pos="720"/>
        </w:tabs>
        <w:rPr/>
      </w:pPr>
      <w:r>
        <w:rPr/>
        <w:t>3.</w:t>
        <w:tab/>
        <w:t>Genom att överväga att ändra namnen på EU-institutionerna för att klargöra var och ens roll och roll i unionens beslutsprocess i medborgarnas ögon</w:t>
      </w:r>
      <w:r>
        <w:rPr>
          <w:rStyle w:val="Ancredenotedefin"/>
          <w:rStyle w:val="Ancredenotedefin"/>
        </w:rPr>
        <w:endnoteReference w:id="151"/>
      </w:r>
      <w:r>
        <w:rPr/>
        <w:t>.</w:t>
      </w:r>
    </w:p>
    <w:p>
      <w:pPr>
        <w:pStyle w:val="Alineanegatifpuce"/>
        <w:numPr>
          <w:ilvl w:val="0"/>
          <w:numId w:val="3"/>
        </w:numPr>
        <w:rPr/>
      </w:pPr>
      <w:r>
        <w:rPr/>
        <w:t xml:space="preserve"> </w:t>
      </w:r>
      <w:r>
        <w:rPr/>
        <w:t>EU:s beslutsprocess bör bygga på en tydligare och mer begriplig struktur som liknar nationella system</w:t>
      </w:r>
      <w:r>
        <w:rPr>
          <w:rStyle w:val="Ancredenotedefin"/>
          <w:rStyle w:val="Ancredenotedefin"/>
        </w:rPr>
        <w:endnoteReference w:id="152"/>
      </w:r>
      <w:r>
        <w:rPr/>
        <w:t xml:space="preserve"> och uttryckligen anger fördelningen av befogenheter mellan EU-institutionerna och medlemsstaterna</w:t>
      </w:r>
      <w:r>
        <w:rPr>
          <w:rStyle w:val="Ancredenotedefin"/>
          <w:rStyle w:val="Ancredenotedefin"/>
        </w:rPr>
        <w:endnoteReference w:id="153"/>
      </w:r>
      <w:r>
        <w:rPr/>
        <w:t>.</w:t>
      </w:r>
    </w:p>
    <w:p>
      <w:pPr>
        <w:pStyle w:val="Alineanegatifpuce"/>
        <w:numPr>
          <w:ilvl w:val="0"/>
          <w:numId w:val="3"/>
        </w:numPr>
        <w:rPr/>
      </w:pPr>
      <w:r>
        <w:rPr/>
        <w:t xml:space="preserve"> </w:t>
      </w:r>
      <w:r>
        <w:rPr/>
        <w:t>Europeiska unionens råd skulle till exempel kunna döpas om till ”unionens Senat” och Europeiska kommissionens verkställande kommission</w:t>
      </w:r>
      <w:r>
        <w:rPr>
          <w:rStyle w:val="Ancredenotedefin"/>
          <w:rStyle w:val="Ancredenotedefin"/>
        </w:rPr>
        <w:endnoteReference w:id="154"/>
      </w:r>
      <w:r>
        <w:rPr/>
        <w:t>.</w:t>
      </w:r>
    </w:p>
    <w:p>
      <w:pPr>
        <w:pStyle w:val="Puce3"/>
        <w:tabs>
          <w:tab w:val="clear" w:pos="720"/>
        </w:tabs>
        <w:rPr/>
      </w:pPr>
      <w:r>
        <w:rPr/>
        <w:t>4.</w:t>
        <w:tab/>
        <w:t>Stärka unionens förmåga att uppnå resultat på viktiga områden</w:t>
      </w:r>
      <w:r>
        <w:rPr>
          <w:rStyle w:val="Ancredenotedefin"/>
          <w:rStyle w:val="Ancredenotedefin"/>
        </w:rPr>
        <w:endnoteReference w:id="155"/>
      </w:r>
      <w:r>
        <w:rPr/>
        <w:t>.</w:t>
      </w:r>
    </w:p>
    <w:p>
      <w:pPr>
        <w:pStyle w:val="Puce3"/>
        <w:tabs>
          <w:tab w:val="clear" w:pos="720"/>
        </w:tabs>
        <w:rPr/>
      </w:pPr>
      <w:r>
        <w:rPr/>
        <w:t>5.</w:t>
        <w:tab/>
        <w:t>Säkerställa mekanismer för social dialog och samråd med medborgarna i alla skeden av unionens beslutsprocess, från konsekvensbedömningen till utformningen och genomförandet av åtgärderna</w:t>
      </w:r>
      <w:r>
        <w:rPr>
          <w:rStyle w:val="Ancredenotedefin"/>
          <w:rStyle w:val="Ancredenotedefin"/>
        </w:rPr>
        <w:endnoteReference w:id="156"/>
      </w:r>
      <w:r>
        <w:rPr/>
        <w:t>.</w:t>
      </w:r>
    </w:p>
    <w:p>
      <w:pPr>
        <w:pStyle w:val="Puce3"/>
        <w:tabs>
          <w:tab w:val="clear" w:pos="720"/>
        </w:tabs>
        <w:rPr/>
      </w:pPr>
      <w:r>
        <w:rPr/>
        <w:t>6.</w:t>
        <w:tab/>
        <w:t>Reformera Europeiska unionens funktionssätt, bland annat genom att involvera arbetsmarknadens parter och det civila samhällets organisationer närmare. De befintliga strukturerna måste stärkas så att beslutsprocessen bättre återspeglar de europeiska medborgarnas behov och förväntningar, som är centrala för den europeiska demokratin. I detta sammanhang måste EESK skaffa sig medel för att spela en viktigare institutionell roll, nämligen att garantera och underlätta deltagandedemokratins verksamhet, t.ex. en strukturerad dialog med det civila samhällets organisationer och medborgarpaneler. Ett dynamiskt civilt samhälle är avgörande för unionens demokratiska liv</w:t>
      </w:r>
      <w:r>
        <w:rPr>
          <w:rStyle w:val="Ancredenotedefin"/>
          <w:rStyle w:val="Ancredenotedefin"/>
        </w:rPr>
        <w:endnoteReference w:id="157"/>
      </w:r>
      <w:r>
        <w:rPr/>
        <w:t>.</w:t>
      </w:r>
    </w:p>
    <w:p>
      <w:pPr>
        <w:pStyle w:val="Puce3"/>
        <w:tabs>
          <w:tab w:val="clear" w:pos="720"/>
        </w:tabs>
        <w:rPr/>
      </w:pPr>
      <w:r>
        <w:rPr/>
        <w:t>7.</w:t>
        <w:tab/>
        <w:t>Genom att återuppta debatten om konstitutionen, om det är relevant, för att tydligt definiera våra värderingar. En konstitution skulle kunna skapa större precision, mobilisera medborgarna och komma överens om reglerna för beslutsprocessen</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Förslag: Subsidiaritetsprincipen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Aktiv subsidiaritet och flernivåstyre är centrala principer för att Europeiska unionen ska kunna verka på ett demokratiskt och ansvarsfullt sätt</w:t>
      </w:r>
      <w:r>
        <w:rPr>
          <w:rStyle w:val="Ancredenotedefin"/>
          <w:rStyle w:val="Ancredenotedefin"/>
        </w:rPr>
        <w:endnoteReference w:id="159"/>
      </w:r>
      <w:r>
        <w:rPr/>
        <w:t>.</w:t>
      </w:r>
    </w:p>
    <w:p>
      <w:pPr>
        <w:pStyle w:val="Puce3"/>
        <w:tabs>
          <w:tab w:val="clear" w:pos="720"/>
        </w:tabs>
        <w:rPr/>
      </w:pPr>
      <w:r>
        <w:rPr/>
        <w:t>2.</w:t>
        <w:tab/>
        <w:t>EU måste se över den mekanism genom vilken de nationella parlamenten undersöker huruvida EU:s lagstiftningsförslag inkräktar på nationella befogenheter eller inte. de nationella parlamenten bör kunna föreslå lagstiftningsinitiativ för EU-institutionerna. Dessa mekanismer bör utvidgas till att omfatta alla regionala parlament med lagstiftningsbefogenheter</w:t>
      </w:r>
      <w:r>
        <w:rPr>
          <w:rStyle w:val="Ancredenotedefin"/>
          <w:rStyle w:val="Ancredenotedefin"/>
        </w:rPr>
        <w:endnoteReference w:id="160"/>
      </w:r>
      <w:r>
        <w:rPr/>
        <w:t>.</w:t>
      </w:r>
    </w:p>
    <w:p>
      <w:pPr>
        <w:pStyle w:val="Puce3"/>
        <w:tabs>
          <w:tab w:val="clear" w:pos="720"/>
        </w:tabs>
        <w:rPr/>
      </w:pPr>
      <w:r>
        <w:rPr/>
        <w:t>3.</w:t>
        <w:tab/>
        <w:t>ReK bör reformeras för att öppna lämpliga kanaler för dialog med regioner, städer och kommuner. Den bör spela en viktigare roll</w:t>
      </w:r>
      <w:r>
        <w:rPr>
          <w:rStyle w:val="Ancredenotedefin"/>
          <w:rStyle w:val="Ancredenotedefin"/>
        </w:rPr>
        <w:endnoteReference w:id="161"/>
      </w:r>
      <w:r>
        <w:rPr/>
        <w:t xml:space="preserve"> i den institutionella strukturen när det gäller frågor med territoriella konsekvenser</w:t>
      </w:r>
      <w:r>
        <w:rPr>
          <w:rStyle w:val="Ancredenotedefin"/>
          <w:rStyle w:val="Ancredenotedefin"/>
        </w:rPr>
        <w:endnoteReference w:id="162"/>
      </w:r>
      <w:r>
        <w:rPr/>
        <w:t>.</w:t>
      </w:r>
    </w:p>
    <w:p>
      <w:pPr>
        <w:pStyle w:val="Normal"/>
        <w:rPr/>
      </w:pPr>
      <w:r>
        <w:rPr/>
      </w:r>
    </w:p>
    <w:p>
      <w:pPr>
        <w:pStyle w:val="Puce3"/>
        <w:tabs>
          <w:tab w:val="clear" w:pos="720"/>
        </w:tabs>
        <w:rPr/>
      </w:pPr>
      <w:r>
        <w:rPr/>
        <w:t>4.</w:t>
        <w:tab/>
        <w:t>En systematisk användning av en gemensam definition av subsidiaritet, som stöds av alla EU-institutioner, skulle tydligare kunna definiera på vilken nivå (europeiska, nationella eller regionala) beslut bör fattas</w:t>
      </w:r>
      <w:r>
        <w:rPr>
          <w:rStyle w:val="Ancredenotedefin"/>
          <w:rStyle w:val="Ancredenotedefin"/>
        </w:rPr>
        <w:endnoteReference w:id="163"/>
      </w:r>
      <w:r>
        <w:rPr/>
        <w:t>.</w:t>
      </w:r>
    </w:p>
    <w:p>
      <w:pPr>
        <w:pStyle w:val="Puce3"/>
        <w:tabs>
          <w:tab w:val="clear" w:pos="720"/>
        </w:tabs>
        <w:rPr/>
      </w:pPr>
      <w:r>
        <w:rPr/>
        <w:t>5.</w:t>
        <w:tab/>
        <w:t>Arbetsmarknadens parter och det civila samhällets organisationer, som är centrala för den europeiska demokratin, måste involveras bättre i beslutsprocessen. Ett dynamiskt samhälle är avgörande för unionens demokratiska liv.</w:t>
      </w:r>
      <w:r>
        <w:rPr>
          <w:rStyle w:val="Ancredenotedefin"/>
          <w:rStyle w:val="Ancredenotedefin"/>
        </w:rPr>
        <w:endnoteReference w:id="164"/>
      </w:r>
    </w:p>
    <w:p>
      <w:pPr>
        <w:pStyle w:val="Puce3"/>
        <w:tabs>
          <w:tab w:val="clear" w:pos="720"/>
        </w:tabs>
        <w:rPr/>
      </w:pPr>
      <w:r>
        <w:rPr/>
        <w:t>6.</w:t>
        <w:tab/>
        <w:t>Vi uppmanar EU-institutionerna att genomföra slutsatserna från denna arbetsgrupp och göra dem effektiva. Detta skulle kunna ske genom de befintliga bestämmelserna i Lissabonfördraget och vid behov genom att kräva att ett europeiskt konvent inleds</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6">
            <wp:simplePos x="0" y="0"/>
            <wp:positionH relativeFrom="column">
              <wp:posOffset>19050</wp:posOffset>
            </wp:positionH>
            <wp:positionV relativeFrom="paragraph">
              <wp:posOffset>21590</wp:posOffset>
            </wp:positionV>
            <wp:extent cx="913765" cy="913765"/>
            <wp:effectExtent l="0" t="0" r="0" b="0"/>
            <wp:wrapSquare wrapText="largest"/>
            <wp:docPr id="68" name="Bild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Migration”</w:t>
      </w:r>
    </w:p>
    <w:p>
      <w:pPr>
        <w:pStyle w:val="Titre3"/>
        <w:numPr>
          <w:ilvl w:val="2"/>
          <w:numId w:val="2"/>
        </w:numPr>
        <w:rPr/>
      </w:pPr>
      <w:bookmarkStart w:id="93" w:name="__RefHeading___Toc298360_1346298689"/>
      <w:bookmarkEnd w:id="93"/>
      <w:r>
        <w:rPr/>
        <w:t>41. Förslag: Laglig migration</w:t>
      </w:r>
    </w:p>
    <w:p>
      <w:pPr>
        <w:pStyle w:val="P68B1DB1Normal15"/>
        <w:rPr/>
      </w:pPr>
      <w:r>
        <w:rPr/>
        <w:t>Mål: Stärka EU:s roll i laglig migration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66"/>
      </w:r>
      <w:r>
        <w:rPr/>
        <w:t>:</w:t>
      </w:r>
    </w:p>
    <w:p>
      <w:pPr>
        <w:pStyle w:val="Puce3"/>
        <w:tabs>
          <w:tab w:val="clear" w:pos="720"/>
        </w:tabs>
        <w:rPr/>
      </w:pPr>
      <w:r>
        <w:rPr/>
        <w:t>1.</w:t>
        <w:tab/>
        <w:t>Inleda en kommunikationskampanj på EU-nivå för att se till att Eures (det europeiska nätverket för arbetsförmedlingar), EU:s invandringsportal och verktyget för europeisk kompetensprofilering för tredjelandsmedborgare är mer kända för EU-medborgarna och används oftare av EU-företag när de rekryterar (rekommendation 6).</w:t>
      </w:r>
    </w:p>
    <w:p>
      <w:pPr>
        <w:pStyle w:val="Puce3"/>
        <w:tabs>
          <w:tab w:val="clear" w:pos="720"/>
        </w:tabs>
        <w:rPr/>
      </w:pPr>
      <w:r>
        <w:rPr/>
        <w:t>2.</w:t>
        <w:tab/>
        <w:t>Inrättande av en europeisk enhet för migranters tillträde till EU:s arbetsmarknad eller, om detta inte är möjligt, en utvidgning av befogenheterna för det europeiska nätverket för arbetsförmedlingar (Eures), t.ex. genom att förbättra partnerskapsprojekt för talanger (rekommendation nr 7 och diskussion i arbetsgruppen), med möjlighet att möta kompetensutbud och efterfrågan online i avreselandet på grundval av utvärderingskriterier (rekommendation nr 9 och debatt i arbetsgruppen). Unionen bör uppmuntra medlemsstaterna att förenkla processen för mottagande och integration av lagliga migranter och deras tillträde till unionens arbetsmarknad genom att förbättra interoperabiliteten mellan de olika berörda förvaltningarna (debatten i arbetsgruppen).</w:t>
      </w:r>
    </w:p>
    <w:p>
      <w:pPr>
        <w:pStyle w:val="Puce3"/>
        <w:tabs>
          <w:tab w:val="clear" w:pos="720"/>
        </w:tabs>
        <w:rPr/>
      </w:pPr>
      <w:r>
        <w:rPr/>
        <w:t>3.</w:t>
        <w:tab/>
        <w:t>Förbättra blåkortsdirektivets funktion och genomförande för att locka till sig den kompetens som EU:s ekonomi behöver (rekommendation nr 7 och debatt i arbetsgruppen), med vederbörlig hänsyn till risken för kompetensflykt (enligt åtgärd 1 i förslag 42).</w:t>
      </w:r>
    </w:p>
    <w:p>
      <w:pPr>
        <w:pStyle w:val="Puce3"/>
        <w:tabs>
          <w:tab w:val="clear" w:pos="720"/>
        </w:tabs>
        <w:rPr/>
      </w:pPr>
      <w:r>
        <w:rPr/>
        <w:t>4.</w:t>
        <w:tab/>
        <w:t>Främja konvergens uppåt i arbetsvillkoren på ett harmoniskt sätt i hela unionen för att ta itu med ojämlikhet i arbetsvillkor, säkerställa en effektiv EU-politik för arbetskraftsinvandring och försvara arbetstagarnas rättigheter. I detta sammanhang stärka fackföreningarnas roll på nationell och transnationell nivå (rekommendation nr 28 och debatt i arbetsgruppen) i samarbete med arbetsgivarorganisationer (debatt i kammaren).</w:t>
      </w:r>
    </w:p>
    <w:p>
      <w:pPr>
        <w:pStyle w:val="Puce3"/>
        <w:tabs>
          <w:tab w:val="clear" w:pos="720"/>
        </w:tabs>
        <w:rPr/>
      </w:pPr>
      <w:r>
        <w:rPr/>
        <w:t>5.</w:t>
        <w:tab/>
        <w:t>Intensifiera insatserna för att informera och utbilda medlemsstaternas medborgare i migrations- och integrationsfrågor (rekommendation 30, LT-panelens rekommendation 9 och arbetsgruppens debatt).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Förslag: Irreguljär migration</w:t>
      </w:r>
    </w:p>
    <w:p>
      <w:pPr>
        <w:pStyle w:val="P68B1DB1Normal15"/>
        <w:rPr/>
      </w:pPr>
      <w:r>
        <w:rPr/>
        <w:t>Mål: Stärka unionens roll i kampen mot alla former av irreguljär migration och stärka skyddet av Europeiska unionens yttre gränser, samtidigt som de mänskliga rättigheterna respekteras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67"/>
      </w:r>
      <w:r>
        <w:rPr/>
        <w:t>:</w:t>
      </w:r>
    </w:p>
    <w:p>
      <w:pPr>
        <w:pStyle w:val="Puce3"/>
        <w:tabs>
          <w:tab w:val="clear" w:pos="720"/>
        </w:tabs>
        <w:rPr/>
      </w:pPr>
      <w:r>
        <w:rPr/>
        <w:t>1.</w:t>
        <w:tab/>
        <w:t>Aktivt delta, till exempel genom partnerskapsavtal, i den ekonomiska och sociala utvecklingen i länder utanför Europeiska unionen och från vilka det finns en stor tillströmning av migranter, för att ta itu med de bakomliggande orsakerna till migration, inklusive klimatförändringarna. Dessa åtgärder bör vara öppna och ge konkreta resultat med mätbara effekter, som tydligt bör meddelas EU-medborgarna (rekommendation 27, NL:s rekommendation 3 och debatt i arbetsgruppen).</w:t>
      </w:r>
    </w:p>
    <w:p>
      <w:pPr>
        <w:pStyle w:val="Puce3"/>
        <w:tabs>
          <w:tab w:val="clear" w:pos="720"/>
        </w:tabs>
        <w:rPr/>
      </w:pPr>
      <w:r>
        <w:rPr/>
        <w:t>2.</w:t>
        <w:tab/>
        <w:t>Säkerställa skyddet av alla yttre gränser genom att förbättra Frontex öppenhet och ansvarsskyldighet och stärka dess roll (rekommendation nr 8 och debatt i arbetsgruppen) och anpassa EU-lagstiftningen för att bättre hantera de nuvarande utmaningarna med irreguljär migration, såsom människohandel, människohandel, sexuellt utnyttjande, hybridattacker som begås av stater som utnyttjar migranter och kränkningar av de mänskliga rättigheterna (rekommendation LT 10 och debatt i arbetsgruppen).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Förslag: Irreguljär migration (a)</w:t>
      </w:r>
    </w:p>
    <w:p>
      <w:pPr>
        <w:pStyle w:val="P68B1DB1Normal15"/>
        <w:rPr/>
      </w:pPr>
      <w:r>
        <w:rPr/>
        <w:t>Mål: Tillämpa gemensamma regler på ett enhetligt sätt i alla medlemsstater när det gäller första mottagande av migranter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68"/>
      </w:r>
      <w:r>
        <w:rPr/>
        <w:t>:</w:t>
      </w:r>
    </w:p>
    <w:p>
      <w:pPr>
        <w:pStyle w:val="Puce3"/>
        <w:tabs>
          <w:tab w:val="clear" w:pos="720"/>
        </w:tabs>
        <w:rPr/>
      </w:pPr>
      <w:r>
        <w:rPr/>
        <w:t>1.</w:t>
        <w:tab/>
        <w:t>Utarbeta EU-omfattande åtgärder för att garantera alla migranters säkerhet och hälsa, särskilt gravida kvinnor, barn, ensamkommande barn och alla utsatta personer (rekommendationerna 10 och 38 samt debatt i arbetsgruppen).</w:t>
      </w:r>
    </w:p>
    <w:p>
      <w:pPr>
        <w:pStyle w:val="Normal"/>
        <w:rPr/>
      </w:pPr>
      <w:r>
        <w:rPr/>
      </w:r>
    </w:p>
    <w:p>
      <w:pPr>
        <w:pStyle w:val="Puce3"/>
        <w:tabs>
          <w:tab w:val="clear" w:pos="720"/>
        </w:tabs>
        <w:rPr/>
      </w:pPr>
      <w:r>
        <w:rPr/>
        <w:t>2.</w:t>
        <w:tab/>
        <w:t>Öka EU:s ekonomiska, logistiska och operativa stöd, bland annat till lokala myndigheter, regionala beslutsfattare och organisationer i det civila samhället, för att hantera det första mottagandet, eventuellt leda till integration av flyktingar eller reguljära migranter i EU och återsändande av irreguljära migranter (rekommendation 35 och debatt i arbetsgruppen).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Förslag: Asyl, integration</w:t>
      </w:r>
    </w:p>
    <w:p>
      <w:pPr>
        <w:pStyle w:val="P68B1DB1Normal15"/>
        <w:rPr/>
      </w:pPr>
      <w:r>
        <w:rPr/>
        <w:t>Mål: Stärka unionens roll och reformera det europeiska asylsystemet på grundval av principerna om solidaritet och rättvis ansvarsfördelning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69"/>
      </w:r>
      <w:r>
        <w:rPr/>
        <w:t>:</w:t>
      </w:r>
    </w:p>
    <w:p>
      <w:pPr>
        <w:pStyle w:val="Puce3"/>
        <w:tabs>
          <w:tab w:val="clear" w:pos="720"/>
        </w:tabs>
        <w:rPr/>
      </w:pPr>
      <w:r>
        <w:rPr/>
        <w:t>1.</w:t>
        <w:tab/>
        <w:t>Anta gemensamma unionsbestämmelser om förfaranden för prövning av ansökningar om internationellt skydd i medlemsstaterna, som tillämpas enhetligt på alla asylsökande. Dessa förfaranden måste respektera den mänskliga värdigheten och internationell rätt (rekommendation 29, IT-rekommendationerna 3.8 och 4.4, s. 15 och debatt i arbetsgruppen). Eftersom mottagande av asylsökande involverar olika aktörer på nationell nivå bör unionen uppmuntra medlemsstaterna att förenkla och påskynda denna process genom att förbättra interoperabiliteten mellan de olika berörda förvaltningarna och inrätta ett enda kontor (fönster eller en enda kontaktpunkt) för asylsökande i syfte att rationalisera de nationella administrativa förfarandena (rekommendation 37 och debatt i arbetsgruppen).</w:t>
      </w:r>
    </w:p>
    <w:p>
      <w:pPr>
        <w:pStyle w:val="Puce3"/>
        <w:tabs>
          <w:tab w:val="clear" w:pos="720"/>
        </w:tabs>
        <w:rPr/>
      </w:pPr>
      <w:r>
        <w:rPr/>
        <w:t>2.</w:t>
        <w:tab/>
        <w:t>Se över Dublinsystemet för att säkerställa solidaritet och rättvis ansvarsfördelning, inbegripet fördelningen av migranter mellan medlemsstaterna. andra former av stöd skulle också kunna övervägas (rekommendationerna 33, 36, 37 och 40; LT Rekommendation nr 2. rekommendationerna IT 3.8 (s. 15) och NL 2, debatt i arbetsgruppen och debatt i kammaren).</w:t>
      </w:r>
    </w:p>
    <w:p>
      <w:pPr>
        <w:pStyle w:val="Puce3"/>
        <w:tabs>
          <w:tab w:val="clear" w:pos="720"/>
        </w:tabs>
        <w:rPr/>
      </w:pPr>
      <w:r>
        <w:rPr/>
        <w:t>3.</w:t>
        <w:tab/>
        <w:t>Stärka miniminormerna för mottagande av asylsökande i direktiv 2013/33/EU genom strängare lagstiftningsåtgärder för att förbättra mottagningsanordningar och logi (CEP:s rekommendation 31, IT-rekommendation 5.6, s. 11 och debatt i arbetsgruppen).</w:t>
      </w:r>
    </w:p>
    <w:p>
      <w:pPr>
        <w:pStyle w:val="Puce3"/>
        <w:tabs>
          <w:tab w:val="clear" w:pos="720"/>
        </w:tabs>
        <w:rPr/>
      </w:pPr>
      <w:r>
        <w:rPr/>
        <w:t>4.</w:t>
        <w:tab/>
        <w:t>Särskild uppmärksamhet bör ägnas gravida kvinnor, barn, särskilt ensamkommande barn (rekommendation nr 38 och diskussion i arbetsgruppen).</w:t>
      </w:r>
    </w:p>
    <w:p>
      <w:pPr>
        <w:pStyle w:val="Puce3"/>
        <w:tabs>
          <w:tab w:val="clear" w:pos="720"/>
        </w:tabs>
        <w:rPr/>
      </w:pPr>
      <w:r>
        <w:rPr/>
        <w:t>5.</w:t>
        <w:tab/>
        <w:t>Stärka och öka de ekonomiska och mänskliga resurserna och förvaltningskapaciteten vid Europeiska unionens asylbyrå för att samordna och hantera omplaceringen av asylsökande inom EU:s medlemsstater i syfte att uppnå en rättvis fördelning (rekommendationerna 36 och 37, LT:s rekommendation 3 och debatt i arbetsgruppen).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Förslag: Asyl, integration(a)</w:t>
      </w:r>
    </w:p>
    <w:p>
      <w:pPr>
        <w:pStyle w:val="P68B1DB1Normal15"/>
        <w:rPr/>
      </w:pPr>
      <w:r>
        <w:rPr/>
        <w:t>Mål: Förbättra integrationspolitiken i alla medlemsstater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rPr>
        <w:endnoteReference w:id="170"/>
      </w:r>
      <w:r>
        <w:rPr/>
        <w:t>:</w:t>
      </w:r>
    </w:p>
    <w:p>
      <w:pPr>
        <w:pStyle w:val="Puce3"/>
        <w:tabs>
          <w:tab w:val="clear" w:pos="720"/>
        </w:tabs>
        <w:rPr/>
      </w:pPr>
      <w:r>
        <w:rPr/>
        <w:t>1.</w:t>
        <w:tab/>
        <w:t>Unionen ska också, med deltagande av lokala och regionala myndigheter och det civila samhällets organisationer, se till att alla asylsökande och flyktingar deltar i språkkurser och integrationsverksamhet samt yrkesutbildning medan deras ansökan om bosättning granskas (rekommendation nr 32, rekommendation FR nr 13, debatt i arbetsgruppen och debatt i kammaren).</w:t>
      </w:r>
    </w:p>
    <w:p>
      <w:pPr>
        <w:pStyle w:val="Puce3"/>
        <w:tabs>
          <w:tab w:val="clear" w:pos="720"/>
        </w:tabs>
        <w:rPr/>
      </w:pPr>
      <w:r>
        <w:rPr/>
        <w:t>2.</w:t>
        <w:tab/>
        <w:t>Asylsökande med rätt kvalifikationer bör ha tillträde till arbetsmarknaden, om möjligt i syfte att stärka deras självständighet, i hela unionen (rekommendation nr 7 och debatt i arbetsgruppen).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7">
            <wp:simplePos x="0" y="0"/>
            <wp:positionH relativeFrom="column">
              <wp:posOffset>10160</wp:posOffset>
            </wp:positionH>
            <wp:positionV relativeFrom="paragraph">
              <wp:posOffset>3810</wp:posOffset>
            </wp:positionV>
            <wp:extent cx="913765" cy="913765"/>
            <wp:effectExtent l="0" t="0" r="0" b="0"/>
            <wp:wrapSquare wrapText="largest"/>
            <wp:docPr id="69" name="Bild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Utbildning, kultur, ungdom och idrott</w:t>
      </w:r>
    </w:p>
    <w:p>
      <w:pPr>
        <w:pStyle w:val="Titre3"/>
        <w:numPr>
          <w:ilvl w:val="2"/>
          <w:numId w:val="2"/>
        </w:numPr>
        <w:rPr/>
      </w:pPr>
      <w:bookmarkStart w:id="99" w:name="__RefHeading___Toc298372_1346298689"/>
      <w:bookmarkEnd w:id="99"/>
      <w:r>
        <w:rPr/>
        <w:t>46. Förslag: Utbildning</w:t>
      </w:r>
    </w:p>
    <w:p>
      <w:pPr>
        <w:pStyle w:val="P68B1DB1Normal15"/>
        <w:rPr/>
      </w:pPr>
      <w:r>
        <w:rPr/>
        <w:t>Mål: EU och dess medlemsstater bör sträva efter att senast 2025 inrätta ett inkluderande europeiskt utbildningsområde där alla medborgare har lika tillgång till livslångt lärande och utbildning av god kvalitet, inbegripet människor som bor på landsbygden och avlägsna områden. I detta syfte bör Europeiska unionen och dess medlemsstater särskilt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Samordna nivån på alla olika utbildningsprogram i Europeiska unionen genom att godta nationellt, regionalt och lokalt innehåll och skapa närmare kopplingar mellan utbildningssystemen, särskilt genom likvärdiga examensbevis</w:t>
      </w:r>
      <w:r>
        <w:rPr>
          <w:rStyle w:val="Ancredenotedefin"/>
          <w:rStyle w:val="Ancredenotedefin"/>
        </w:rPr>
        <w:endnoteReference w:id="171"/>
      </w:r>
      <w:r>
        <w:rPr/>
        <w:t>. En certifierad minimistandard för undervisning i väsentliga ämnen bör antas så tidigt som grundskolan</w:t>
      </w:r>
      <w:r>
        <w:rPr>
          <w:rStyle w:val="Ancredenotedefin"/>
          <w:rStyle w:val="Ancredenotedefin"/>
        </w:rPr>
        <w:endnoteReference w:id="172"/>
      </w:r>
      <w:r>
        <w:rPr/>
        <w:t>171. Delade befogenheter bör fastställas på utbildningsområdet, åtminstone när det gäller medborgarutbildning, och unionens utövande av denna befogenhet kan inte hindra medlemsstaterna från att utöva sina egna befogenheter. Examensbevis och yrkesutbildning bör valideras och erkännas ömsesidigt i alla unionens medlemsstater</w:t>
      </w:r>
      <w:r>
        <w:rPr>
          <w:rStyle w:val="Ancredenotedefin"/>
          <w:rStyle w:val="Ancredenotedefin"/>
        </w:rPr>
        <w:endnoteReference w:id="173"/>
      </w:r>
      <w:r>
        <w:rPr/>
        <w:t>. Europeiska unionen bör också utnyttja erkännandet av icke-formellt</w:t>
      </w:r>
      <w:r>
        <w:rPr>
          <w:rStyle w:val="Ancredenotedefin"/>
          <w:rStyle w:val="Ancredenotedefin"/>
        </w:rPr>
        <w:endnoteReference w:id="174"/>
      </w:r>
      <w:r>
        <w:rPr/>
        <w:t xml:space="preserve"> och informellt lärande och ungdomsorganisationer som erbjuder det, liksom studieperioder utomlands.</w:t>
      </w:r>
    </w:p>
    <w:p>
      <w:pPr>
        <w:pStyle w:val="Puce3"/>
        <w:tabs>
          <w:tab w:val="clear" w:pos="720"/>
        </w:tabs>
        <w:rPr/>
      </w:pPr>
      <w:r>
        <w:rPr/>
        <w:t>2.</w:t>
        <w:tab/>
        <w:t>Utveckla ett framtidssäkert livslångt lärande och utbildning i Europa – i linje med rätten till utbildning på arbetsplatsen för alla – med fokus på följande aspekter:</w:t>
        <w:br/>
        <w:t>Medborgarutbildning om demokratiska processer och EU:s värderingar och Europas historia</w:t>
      </w:r>
      <w:r>
        <w:rPr>
          <w:rStyle w:val="Ancredenotedefin"/>
          <w:rStyle w:val="Ancredenotedefin"/>
        </w:rPr>
        <w:endnoteReference w:id="175"/>
      </w:r>
      <w:r>
        <w:rPr/>
        <w:t>. Det bör göras till en gemensam modul som ska undervisas i alla medlemsstater. Kunskaperna om ekonomi bör också förbättras för att möjliggöra en bättre förståelse av den europeiska integrationsprocessen</w:t>
      </w:r>
      <w:r>
        <w:rPr>
          <w:rStyle w:val="Ancredenotedefin"/>
          <w:rStyle w:val="Ancredenotedefin"/>
        </w:rPr>
        <w:endnoteReference w:id="176"/>
      </w:r>
      <w:r>
        <w:rPr/>
        <w:t>.</w:t>
        <w:br/>
        <w:t>− Digitala färdigheter</w:t>
      </w:r>
      <w:r>
        <w:rPr>
          <w:rStyle w:val="Ancredenotedefin"/>
          <w:rStyle w:val="Ancredenotedefin"/>
        </w:rPr>
        <w:endnoteReference w:id="177"/>
      </w:r>
      <w:r>
        <w:rPr/>
        <w:t>.</w:t>
        <w:br/>
        <w:t>STIAM</w:t>
      </w:r>
      <w:r>
        <w:rPr>
          <w:rStyle w:val="Ancredenotedefin"/>
          <w:rStyle w:val="Ancredenotedefin"/>
        </w:rPr>
        <w:endnoteReference w:id="178"/>
      </w:r>
      <w:r>
        <w:rPr/>
        <w:br/>
        <w:t>− Entreprenörskap och forskning.</w:t>
        <w:br/>
        <w:t>Utveckling av kritiskt tänkande. Mediekompetensen bör förbättras för att garantera säkerheten på nätet och göra det möjligt för medborgarna i alla medlemsstater att självständigt bedöma om informationen är trovärdig och identifiera falsk information samtidigt som man utnyttjar de möjligheter som internet erbjuder. Denna utbildning bör omfatta anordnande av särskilda kurser på grundläggande utbildningsnivå och bör, på andra offentliga platser, erbjudas medborgare i alla åldrar, under överinseende av ett specialiserat organ på unionsnivå, med utnyttjande av god praxis som finns i alla medlemsstater. EU bör se till att medel som särskilt anslås till dessa verksamheter används för det avsedda ändamålet</w:t>
      </w:r>
      <w:r>
        <w:rPr>
          <w:rStyle w:val="Ancredenotedefin"/>
          <w:rStyle w:val="Ancredenotedefin"/>
        </w:rPr>
        <w:endnoteReference w:id="179"/>
      </w:r>
      <w:r>
        <w:rPr/>
        <w:t>.</w:t>
        <w:br/>
        <w:t>integrering av icke-tekniska färdigheter i alla kurser i skolans läroplaner. Icke-teknisk kompetens: ömsesidigt lyssnande, dialog, motståndskraft, förståelse, respekt och uppskattning av andra, kritiskt tänkande, självlärande samt att vara nyfiken och resultatinriktad</w:t>
      </w:r>
      <w:r>
        <w:rPr>
          <w:rStyle w:val="Ancredenotedefin"/>
          <w:rStyle w:val="Ancredenotedefin"/>
        </w:rPr>
        <w:endnoteReference w:id="180"/>
      </w:r>
      <w:r>
        <w:rPr/>
        <w:t>. Ge alla möjlighet att lära sig mer om miljömässig hållbarhet och dess kopplingar till hälsa. Biologisk mångfald bör vara ett obligatoriskt ämne i skolan. Den bör börja i skolan med specifika ämnen som behandlar alla ekologiska frågor och inkludera utflykter för att presentera relevanta verkliga exempel, alla med hjälp av ett finansieringsprogram</w:t>
      </w:r>
      <w:r>
        <w:rPr>
          <w:rStyle w:val="Ancredenotedefin"/>
          <w:rStyle w:val="Ancredenotedefin"/>
        </w:rPr>
        <w:endnoteReference w:id="181"/>
      </w:r>
      <w:r>
        <w:rPr/>
        <w:t xml:space="preserve">. </w:t>
        <w:br/>
        <w:t>Bekämpa mobbning i skolor och rasism.</w:t>
      </w:r>
    </w:p>
    <w:p>
      <w:pPr>
        <w:pStyle w:val="Puce3"/>
        <w:tabs>
          <w:tab w:val="clear" w:pos="720"/>
        </w:tabs>
        <w:rPr/>
      </w:pPr>
      <w:r>
        <w:rPr/>
        <w:t>3.</w:t>
        <w:tab/>
        <w:t>Stödja lärarutbildning</w:t>
      </w:r>
      <w:r>
        <w:rPr>
          <w:rStyle w:val="Ancredenotedefin"/>
          <w:rStyle w:val="Ancredenotedefin"/>
        </w:rPr>
        <w:endnoteReference w:id="182"/>
      </w:r>
      <w:r>
        <w:rPr/>
        <w:t>, i syfte att lära av bästa praxis och använda aktuella innovativa och kreativa undervisningsmetoder som återspeglar utvecklingen av pedagogiska metoder, inbegripet praktisk verksamhet, som också bygger på lärdomar från covid-19-pandemin och andra typer av kriser, samt främja rörlighetsmöjligheter</w:t>
      </w:r>
      <w:r>
        <w:rPr>
          <w:rStyle w:val="Ancredenotedefin"/>
          <w:rStyle w:val="Ancredenotedefin"/>
        </w:rPr>
        <w:endnoteReference w:id="183"/>
      </w:r>
      <w:r>
        <w:rPr/>
        <w:t>.</w:t>
      </w:r>
    </w:p>
    <w:p>
      <w:pPr>
        <w:pStyle w:val="Puce3"/>
        <w:tabs>
          <w:tab w:val="clear" w:pos="720"/>
        </w:tabs>
        <w:rPr/>
      </w:pPr>
      <w:r>
        <w:rPr/>
        <w:t>4.</w:t>
        <w:tab/>
        <w:t>Prioritera tillgång till utrustning och effektiv bredbandsuppkoppling för att tillgodose alla barns och familjers utbildningsbehov</w:t>
      </w:r>
      <w:r>
        <w:rPr>
          <w:rStyle w:val="Ancredenotedefin"/>
          <w:rStyle w:val="Ancredenotedefin"/>
        </w:rPr>
        <w:endnoteReference w:id="184"/>
      </w:r>
      <w:r>
        <w:rPr/>
        <w:t>.</w:t>
      </w:r>
    </w:p>
    <w:p>
      <w:pPr>
        <w:pStyle w:val="Puce3"/>
        <w:tabs>
          <w:tab w:val="clear" w:pos="720"/>
        </w:tabs>
        <w:rPr/>
      </w:pPr>
      <w:r>
        <w:rPr/>
        <w:t>5.</w:t>
        <w:tab/>
        <w:t>Inrätta en informationsplattform för utbyte av kunskaper och erfarenheter på unionsnivå genom att utbyta information om gränsöverskridande utbildningskurser i unionen, presentera exempel på bästa praxis och ge medborgarna möjlighet att lägga fram nya idéer för gränsöverskridande utbyten. Den bör tillhandahålla utbildningsmaterial om klimatförändringar, miljöfrågor och digitalisering och tillhandahålla information om befintliga specialiserade forum om huvudteman</w:t>
      </w:r>
      <w:r>
        <w:rPr>
          <w:rStyle w:val="Ancredenotedefin"/>
          <w:rStyle w:val="Ancredenotedefin"/>
        </w:rPr>
        <w:endnoteReference w:id="185"/>
      </w:r>
      <w:r>
        <w:rPr/>
        <w:t>. — Detta skulle kunna åtföljas av ett finansieringsprogram för att stödja användningen och utnyttjandet av plattformens information.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Förslag: Frågor om Europas ungdom</w:t>
      </w:r>
    </w:p>
    <w:p>
      <w:pPr>
        <w:pStyle w:val="P68B1DB1Normal15"/>
        <w:rPr/>
      </w:pPr>
      <w:r>
        <w:rPr/>
        <w:t>Mål: EU och dess medlemsstater bör fokusera på ungdomars särskilda behov i all relevant politik, inbegripet EU:s regionalpolitik, för att ge dem bästa möjliga förutsättningar för att studera och arbeta och starta ett självständigt liv, samtidigt som de engageras i demokratiska liv och beslutsprocesser, även på europeisk nivå. Ungdomsorganisationer har en nyckelroll att spela. För att uppnå detta mål föreslår vi följande: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Ge ungdomar fler möjligheter till deltagande och representation i demokratiska processer och beslutsprocesser på alla nivåer och stödja befintliga program på detta område, bland annat genom att organisera medborgarpaneler med barn (t.ex. 10–16 år) i skolorna. Europeiska företrädare skulle kunna träffa skolbarn i sina skolor för att stärka medborgarnas närhet och förståelse för Europa redan från tidig ålder</w:t>
      </w:r>
      <w:r>
        <w:rPr>
          <w:rStyle w:val="Ancredenotedefin"/>
          <w:rStyle w:val="Ancredenotedefin"/>
        </w:rPr>
        <w:endnoteReference w:id="186"/>
      </w:r>
      <w:r>
        <w:rPr/>
        <w:t>. För att alla EU:s politiska beslut ska analyseras av ungdomslinsen bör ett ”ungdomstest” på EU-nivå utarbetas för att säkerställa att alla nya politiska och lagstiftningsförslag blir föremål för en ungdomsinriktad konsekvensbedömning, inklusive ett ungdomssamråd.</w:t>
      </w:r>
    </w:p>
    <w:p>
      <w:pPr>
        <w:pStyle w:val="Puce3"/>
        <w:tabs>
          <w:tab w:val="clear" w:pos="720"/>
        </w:tabs>
        <w:rPr/>
      </w:pPr>
      <w:r>
        <w:rPr/>
        <w:t>2.</w:t>
        <w:tab/>
        <w:t>Beviljandet av rösträtt från och med 16 års ålder vid val till Europaparlamentet, tillsammans med en förstärkning av medborgarskapsutbildningen och om EU, bör diskuteras och övervägas. Nationella politiska partier bör också se till att yngre kandidater förs upp på deras listor för val till Europaparlamentet</w:t>
      </w:r>
      <w:r>
        <w:rPr>
          <w:rStyle w:val="Ancredenotedefin"/>
          <w:rStyle w:val="Ancredenotedefin"/>
        </w:rPr>
        <w:endnoteReference w:id="187"/>
      </w:r>
      <w:r>
        <w:rPr/>
        <w:t>.</w:t>
      </w:r>
    </w:p>
    <w:p>
      <w:pPr>
        <w:pStyle w:val="Puce3"/>
        <w:tabs>
          <w:tab w:val="clear" w:pos="720"/>
        </w:tabs>
        <w:rPr/>
      </w:pPr>
      <w:r>
        <w:rPr/>
        <w:t>3.</w:t>
        <w:tab/>
        <w:t>Bättre förbereda ungdomar för att komma in i arbetskraften, ge gymnasieelever (från 12 års ålder) möjlighet att delta i kvalitetsövervakningsbesök hos ideella och ideella organisationer, i nära samarbete mellan skolor, lokala myndigheter och relevanta organisationer och företag</w:t>
      </w:r>
      <w:r>
        <w:rPr>
          <w:rStyle w:val="Ancredenotedefin"/>
          <w:rStyle w:val="Ancredenotedefin"/>
        </w:rPr>
        <w:endnoteReference w:id="188"/>
      </w:r>
      <w:r>
        <w:rPr/>
        <w:t>. Dessa besök bör ses som en del av en bredare karriärvägledning inom formell utbildning så att unga människor kan få en första kontakt med arbetslivet så att de kan vägleda sina yrkesval och/eller överväga att bli företagare.</w:t>
      </w:r>
    </w:p>
    <w:p>
      <w:pPr>
        <w:pStyle w:val="Puce3"/>
        <w:tabs>
          <w:tab w:val="clear" w:pos="720"/>
        </w:tabs>
        <w:rPr/>
      </w:pPr>
      <w:r>
        <w:rPr/>
        <w:t>4.</w:t>
        <w:tab/>
        <w:t>Större EU-finansiering inom ramen för NextGenerationEU bör också avsättas för genomförandet av den förstärkta europeiska ungdomsgarantin, inbegripet ökat engagemang, ökad medvetenhet, förbättrad kvalitet på utbudet, finansiering och åtgärder från alla medlemsstaters sida och relevanta myndighetsnivåer. Eftersom ungdomsorganisationerna bättre kan identifiera ungdomars behov bör de nationella regeringarna samarbeta med ungdomsorganisationer genom en nära dialog för att säkerställa ett så effektivt genomförande av ungdomsgarantin som möjligt.</w:t>
      </w:r>
    </w:p>
    <w:p>
      <w:pPr>
        <w:pStyle w:val="Puce3"/>
        <w:tabs>
          <w:tab w:val="clear" w:pos="720"/>
        </w:tabs>
        <w:rPr/>
      </w:pPr>
      <w:r>
        <w:rPr/>
        <w:t>5.</w:t>
        <w:tab/>
        <w:t>Se till att praktikplatser och jobb för ungdomar uppfyller kvalitetsnormerna, särskilt när det gäller löner, genom att avskaffa minimilöner för ungdomar och andra diskriminerande bestämmelser i ungdomsspecifik arbetsrätt, och genom ett rättsligt instrument förbjuda oavlönad praktik på arbetsmarknaden och utanför formell utbildning</w:t>
      </w:r>
      <w:r>
        <w:rPr>
          <w:rStyle w:val="Ancredenotedefin"/>
          <w:rStyle w:val="Ancredenotedefin"/>
        </w:rPr>
        <w:endnoteReference w:id="189"/>
      </w:r>
      <w:r>
        <w:rPr/>
        <w:t>.</w:t>
      </w:r>
    </w:p>
    <w:p>
      <w:pPr>
        <w:pStyle w:val="Puce3"/>
        <w:tabs>
          <w:tab w:val="clear" w:pos="720"/>
        </w:tabs>
        <w:rPr/>
      </w:pPr>
      <w:r>
        <w:rPr/>
        <w:t>6.</w:t>
        <w:tab/>
        <w:t>Säkerställa en rimlig levnadsstandard för ungdomar, inbegripet tillgång till socialt skydd och bostäder. Ungdomar bör ha tillgång till en nivå av socialt skydd som är likvärdig med andra åldersgruppers. Tillgången till överkomliga bostäder för ungdomar bör också underlättas, bland annat genom EU-finansiering</w:t>
      </w:r>
      <w:r>
        <w:rPr>
          <w:rStyle w:val="Ancredenotedefin"/>
          <w:rStyle w:val="Ancredenotedefin"/>
        </w:rPr>
        <w:endnoteReference w:id="190"/>
      </w:r>
      <w:r>
        <w:rPr/>
        <w:t>.</w:t>
      </w:r>
    </w:p>
    <w:p>
      <w:pPr>
        <w:pStyle w:val="Puce3"/>
        <w:tabs>
          <w:tab w:val="clear" w:pos="720"/>
        </w:tabs>
        <w:rPr/>
      </w:pPr>
      <w:r>
        <w:rPr/>
        <w:t>7.</w:t>
        <w:tab/>
        <w:t>Det behövs särskilda åtgärder för att förhindra kompetensflykt från vissa regioner och länder inom unionen på grund av otillräckliga möjligheter för ungdomar, samtidigt som Europa blir mer attraktivt för att förhindra att europeiska talanger och arbetskraft flyr till tredjeländer för att undvika att undergräva den territoriella sammanhållningen, särskilt när det gäller regioner med betydande förlust av unga talanger, bland annat genom EU-finansiering</w:t>
      </w:r>
      <w:r>
        <w:rPr>
          <w:rStyle w:val="Ancredenotedefin"/>
          <w:rStyle w:val="Ancredenotedefin"/>
        </w:rPr>
        <w:endnoteReference w:id="191"/>
      </w:r>
      <w:r>
        <w:rPr/>
        <w:t>.</w:t>
      </w:r>
    </w:p>
    <w:p>
      <w:pPr>
        <w:pStyle w:val="Puce3"/>
        <w:tabs>
          <w:tab w:val="clear" w:pos="720"/>
        </w:tabs>
        <w:rPr/>
      </w:pPr>
      <w:r>
        <w:rPr/>
        <w:t>8.</w:t>
        <w:tab/>
        <w:t>I händelse av en allvarlig kris (t.ex. hälsokris, krig) bör väl utformade planer med detaljerade scenarier vara redo att användas flexibelt för att minimera effekterna på utbildning, yrkesutbildning, övergången till arbetsmarknaden och ungdomars psykiska välbefinnande</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Förslag: Kultur och utbyten</w:t>
      </w:r>
    </w:p>
    <w:p>
      <w:pPr>
        <w:pStyle w:val="P68B1DB1Normal15"/>
        <w:rPr/>
      </w:pPr>
      <w:r>
        <w:rPr/>
        <w:t>Mål: För att främja en kultur av utbyte och främja europeisk identitet och mångfald på olika områden bör medlemsstaterna, med hjälp av Europeiska unionen,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r>
        <w:rPr>
          <w:rStyle w:val="Ancredenotedefin"/>
          <w:rStyle w:val="Ancredenotedefin"/>
          <w:b/>
        </w:rPr>
        <w:endnoteReference w:id="193"/>
      </w:r>
      <w:r>
        <w:rPr/>
        <w:t>:</w:t>
      </w:r>
    </w:p>
    <w:p>
      <w:pPr>
        <w:pStyle w:val="Puce3"/>
        <w:tabs>
          <w:tab w:val="clear" w:pos="720"/>
        </w:tabs>
        <w:rPr/>
      </w:pPr>
      <w:r>
        <w:rPr/>
        <w:t>1.</w:t>
        <w:tab/>
        <w:t>Främja europeiska utbyten på olika områden, både fysiskt och digitalt, inbegripet utbildningsutbyten, partnersamverkan, resor och yrkesmässig rörlighet (särskilt för lärare och lokalt valda tjänstemän). Sådana utbyten bör göras tillgängliga för alla i alla medlemsstater, oavsett ålder, utbildningsnivå, ursprung och ekonomiska medel</w:t>
      </w:r>
      <w:r>
        <w:rPr>
          <w:rStyle w:val="Ancredenotedefin"/>
          <w:rStyle w:val="Ancredenotedefin"/>
        </w:rPr>
        <w:endnoteReference w:id="194"/>
      </w:r>
      <w:r>
        <w:rPr/>
        <w:t>. I detta syfte bör unionen särskilt stärka befintliga utbytes- och rörlighetsprogram på unionsnivå, såsom den europeiska solidaritetskåren, Erasmus+ och DiscoverEU, säkerställa ett bredare och diversifierat deltagande i dessa program och överväga att lägga till nya inslag, såsom ett ytterligare mål för medborgartjänst som uppmuntras av frivilligarbete (för den europeiska solidaritetskåren) och ”kulturella tillgångstitlar” (för DiscoverEU). De lokala och regionala myndigheterna måste under Regionkommitténs överinseende spela en ledande roll på detta område.</w:t>
      </w:r>
    </w:p>
    <w:p>
      <w:pPr>
        <w:pStyle w:val="Puce3"/>
        <w:tabs>
          <w:tab w:val="clear" w:pos="720"/>
        </w:tabs>
        <w:rPr/>
      </w:pPr>
      <w:r>
        <w:rPr/>
        <w:t>2.</w:t>
        <w:tab/>
        <w:t>Främja flerspråkighet som en ingång till andra kulturer från tidig ålder. Regionala språk och minoritetsspråk behöver ytterligare skydd, med beaktande av Europarådets konvention om minoritetsspråk och ramkonventionen om skydd för nationella minoriteter. EU bör överväga att inrätta en institution för att främja språklig mångfald på europeisk nivå. Det bör krävas att barn från grundskolan skaffar sig färdigheter på ett annat aktivt EU-språk än sitt eget på högsta möjliga nivå. För att underlätta EU-medborgarnas förmåga att kommunicera med bredare grupper av andra européer och som en faktor för den europeiska sammanhållningen bör medlemsstaterna uppmuntra att lära sig språket i de EU-medlemsstater som gränsar direkt i gränsregioner och skaffa sig en certifierad engelskanivå</w:t>
      </w:r>
      <w:r>
        <w:rPr>
          <w:rStyle w:val="Ancredenotedefin"/>
          <w:rStyle w:val="Ancredenotedefin"/>
        </w:rPr>
        <w:endnoteReference w:id="195"/>
      </w:r>
      <w:r>
        <w:rPr/>
        <w:t>.</w:t>
      </w:r>
    </w:p>
    <w:p>
      <w:pPr>
        <w:pStyle w:val="Puce3"/>
        <w:tabs>
          <w:tab w:val="clear" w:pos="720"/>
        </w:tabs>
        <w:rPr/>
      </w:pPr>
      <w:r>
        <w:rPr/>
        <w:t>3.</w:t>
        <w:tab/>
        <w:t>Skapa möjligheter att dela europeiska kulturer, föra folk närmare varandra och främja en gemensam europeisk identitet, till exempel genom evenemang och sammankomster som involverar alla målgrupper och som äger rum på olika platser. Exempel är anordnandet av Världskonstdagarna</w:t>
      </w:r>
      <w:r>
        <w:rPr>
          <w:rStyle w:val="Ancredenotedefin"/>
          <w:rStyle w:val="Ancredenotedefin"/>
        </w:rPr>
        <w:endnoteReference w:id="196"/>
      </w:r>
      <w:r>
        <w:rPr/>
        <w:t>, en europeisk utställning med pedagogiska evenemang eller omvandlingen av Europadagen (9 maj) till en officiell europeisk helgdag för alla EU-medborgare</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Skydda det europeiska kulturarvet och den europeiska kulturen</w:t>
      </w:r>
      <w:r>
        <w:rPr>
          <w:rStyle w:val="Ancredenotedefin"/>
          <w:rStyle w:val="Ancredenotedefin"/>
        </w:rPr>
        <w:endnoteReference w:id="198"/>
      </w:r>
      <w:r>
        <w:rPr/>
        <w:t>, särskilt genom att erkänna lokala och regionala särdrag i kultur- och produktionsfrågor</w:t>
      </w:r>
      <w:r>
        <w:rPr>
          <w:rStyle w:val="Ancredenotedefin"/>
          <w:rStyle w:val="Ancredenotedefin"/>
        </w:rPr>
        <w:endnoteReference w:id="199"/>
      </w:r>
      <w:r>
        <w:rPr/>
        <w:t>, genom nya initiativ för att bevara och fira det, genom rörlighet för att uppmuntra utbyte av kulturarv och genom att främja befintliga åtgärder såsom Kreativa Europa, det nya europeiska Bauhaus, partnersamverkansprogram för städer och europeiska kulturhuvudstäder, i linje med målen för hållbar utveckling.</w:t>
      </w:r>
    </w:p>
    <w:p>
      <w:pPr>
        <w:pStyle w:val="Puce3"/>
        <w:tabs>
          <w:tab w:val="clear" w:pos="720"/>
        </w:tabs>
        <w:rPr/>
      </w:pPr>
      <w:r>
        <w:rPr/>
        <w:t>5.</w:t>
        <w:tab/>
        <w:t>Vidta åtgärder för att se till att kulturarbetare skyddas tillräckligt på EU-nivå, särskilt i framtida kriser, genom att anta en rättslig stadga på europeisk nivå.</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Förslag: Sport</w:t>
      </w:r>
    </w:p>
    <w:p>
      <w:pPr>
        <w:pStyle w:val="P68B1DB1Normal15"/>
        <w:rPr/>
      </w:pPr>
      <w:r>
        <w:rPr/>
        <w:t>Mål: Idrott är avgörande för våra samhällen – för att försvara våra värderingar, leda en hälsosam livsstil och ålder vid god hälsa, främja en utbyteskultur och fira mångfalden i det europeiska arvet. Medlemsstaterna bör därför, med hjälp av Europeiska unionen, sträva efter att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Åtgärder:</w:t>
      </w:r>
    </w:p>
    <w:p>
      <w:pPr>
        <w:pStyle w:val="Puce3"/>
        <w:tabs>
          <w:tab w:val="clear" w:pos="720"/>
        </w:tabs>
        <w:rPr/>
      </w:pPr>
      <w:r>
        <w:rPr/>
        <w:t>1.</w:t>
        <w:tab/>
        <w:t>Betona värderingar, särskilt jämställdhet, rättvisa och inkludering, som konkret kan återspeglas i utövandet av idrott under hela utbildningsresan.</w:t>
      </w:r>
    </w:p>
    <w:p>
      <w:pPr>
        <w:pStyle w:val="Puce3"/>
        <w:tabs>
          <w:tab w:val="clear" w:pos="720"/>
        </w:tabs>
        <w:rPr/>
      </w:pPr>
      <w:r>
        <w:rPr/>
        <w:t>2.</w:t>
        <w:tab/>
        <w:t>Öka medvetenheten om hälsofördelarna med idrott och fysisk aktivitet</w:t>
      </w:r>
      <w:r>
        <w:rPr>
          <w:rStyle w:val="Ancredenotedefin"/>
          <w:rStyle w:val="Ancredenotedefin"/>
        </w:rPr>
        <w:endnoteReference w:id="200"/>
      </w:r>
      <w:r>
        <w:rPr/>
        <w:t>.</w:t>
      </w:r>
    </w:p>
    <w:p>
      <w:pPr>
        <w:pStyle w:val="Puce3"/>
        <w:tabs>
          <w:tab w:val="clear" w:pos="720"/>
        </w:tabs>
        <w:rPr/>
      </w:pPr>
      <w:r>
        <w:rPr/>
        <w:t>3.</w:t>
        <w:tab/>
        <w:t>Integrera idrottsaktiviteter i utbytes- och rörlighetsprogram på EU-nivå</w:t>
      </w:r>
      <w:r>
        <w:rPr>
          <w:rStyle w:val="Ancredenotedefin"/>
          <w:rStyle w:val="Ancredenotedefin"/>
        </w:rPr>
        <w:endnoteReference w:id="201"/>
      </w:r>
      <w:r>
        <w:rPr/>
        <w:t>200.</w:t>
      </w:r>
    </w:p>
    <w:p>
      <w:pPr>
        <w:pStyle w:val="Puce3"/>
        <w:tabs>
          <w:tab w:val="clear" w:pos="720"/>
        </w:tabs>
        <w:rPr/>
      </w:pPr>
      <w:r>
        <w:rPr/>
        <w:t>4.</w:t>
        <w:tab/>
        <w:t>Förbättra den uppmärksamhet som inte bara ägnas professionell och kommersiell idrott, utan även till lokala och traditionella idrotter, som vittnar om den europeiska kulturella mångfalden, i syfte att främja kulturarvet, och stödja idrottsmästare i en icke-professionell miljö.</w:t>
      </w:r>
    </w:p>
    <w:p>
      <w:pPr>
        <w:pStyle w:val="Normal"/>
        <w:rPr/>
      </w:pPr>
      <w:r>
        <w:rPr/>
      </w:r>
    </w:p>
    <w:p>
      <w:pPr>
        <w:pStyle w:val="Puce3"/>
        <w:tabs>
          <w:tab w:val="clear" w:pos="720"/>
        </w:tabs>
        <w:rPr/>
      </w:pPr>
      <w:r>
        <w:rPr/>
        <w:t>5.</w:t>
        <w:tab/>
        <w:t>Samtidigt uppmuntra främjandet av den europeiska identiteten genom att anordna fler intereuropeiska idrottsevenemang</w:t>
      </w:r>
      <w:r>
        <w:rPr/>
        <w:commentReference w:id="0"/>
      </w:r>
      <w:r>
        <w:rPr/>
        <w:t>, inrätta EU-idrottslag eller visa europeiska flaggor eller symboler vid europeiska idrottsevenemang.</w:t>
      </w:r>
    </w:p>
    <w:p>
      <w:pPr>
        <w:pStyle w:val="Puce3"/>
        <w:tabs>
          <w:tab w:val="clear" w:pos="720"/>
        </w:tabs>
        <w:rPr/>
      </w:pPr>
      <w:r>
        <w:rPr/>
        <w:t>6.</w:t>
        <w:tab/>
        <w:t>Investera mer i kommunikation, t.ex. Europeiska idrottsveckan, så att medborgarna i hela EU kan dra nytta av de bästa möjligheterna tillsammans.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Styrelsens slutliga överväganden</w:t>
      </w:r>
    </w:p>
    <w:p>
      <w:pPr>
        <w:pStyle w:val="Normal"/>
        <w:rPr/>
      </w:pPr>
      <w:r>
        <w:rPr/>
      </w:r>
      <w:r>
        <w:br w:type="page"/>
      </w:r>
    </w:p>
    <w:p>
      <w:pPr>
        <w:pStyle w:val="Corpsdetexte"/>
        <w:rPr/>
      </w:pPr>
      <w:r>
        <w:rPr/>
        <w:t>Huvudsyftet med konferensen om Europas framtid var att se till att Europeiska unionen är redo att möta nuvarande och framtida utmaningar genom att ge medborgarna möjlighet att uttrycka sina farhågor och ambitioner och, i samarbete med företrädare för de tre institutionerna, de nationella parlamenten och andra berörda parter, ge vägledning för framtiden. För att uppnå detta mål måste konferensen vara ett medborgarinriktat arbete som bygger på en bottom-up-strategi som kan skapa ett nytt utrymme för att diskutera EU:s prioriteringar och utarbeta en översikt över vad medborgarna förväntar sig av Europeiska unionen.</w:t>
      </w:r>
    </w:p>
    <w:p>
      <w:pPr>
        <w:pStyle w:val="Corpsdetexte"/>
        <w:rPr/>
      </w:pPr>
      <w:r>
        <w:rPr/>
        <w:t>Konferensen kunde verkligen spela den rollen. EU-medborgare från alla samhällsskikt och från unionens alla hörn deltog i konferensen och lämnade rekommendationer från medborgarpanelerna och förslag för Europas framtid, i samarbete med det efterföljande plenarsammanträdet, inklusive ledamöter från Europaparlamentet, rådet och Europeiska kommissionen, samt företrädare för alla nationella parlament, Regionkommittén, regionala och lokala folkvalda företrädare, Europeiska ekonomiska och sociala kommittén, arbetsmarknadens parter och det civila samhället samt andra viktiga aktörer. De verktyg och metoder som utvecklats för denna process utgör en unik uppsättning resurser som skulle kunna ligga till grund för framtida övningar om medborgardeltagande och debattdemokrati på EU-nivå.</w:t>
      </w:r>
    </w:p>
    <w:p>
      <w:pPr>
        <w:pStyle w:val="Corpsdetexte"/>
        <w:rPr/>
      </w:pPr>
      <w:r>
        <w:rPr/>
        <w:t>Tack vare en mängd evenemang och debatter i hela EU, den interaktiva flerspråkiga digitala plattformen, europeiska och nationella medborgarpaneler och konferensens plenarförsamling har konferensen nu lagt fram en slutrapport, inklusive en översikt över det arbete som utförts på ett varaktigt sätt i år, samt de förslag som plenarförsamlingen lagt fram för Europas framtid. Det framgår mycket tydligt av dessa förslag att EU måste agera för att lyckas med den gröna och digitala omställningen, stärka Europas motståndskraft och sitt sociala kontrakt, samtidigt som man tar itu med ojämlikheter och ser till att Europeiska unionen är en rättvis, hållbar, innovativ och konkurrenskraftig ekonomi som inte lämnar någon på efterkälken.</w:t>
      </w:r>
    </w:p>
    <w:p>
      <w:pPr>
        <w:pStyle w:val="Corpsdetexte"/>
        <w:rPr/>
      </w:pPr>
      <w:r>
        <w:rPr/>
        <w:t>Utvecklingen av den geopolitiska situationen under konferensen, särskilt det ryska aggressionskriget mot Ukraina, visade också att EU måste bli mer självsäkert och spela en ledande roll på världsscenen för att främja sina värderingar och normer i en alltmer skakad värld.</w:t>
      </w:r>
    </w:p>
    <w:p>
      <w:pPr>
        <w:pStyle w:val="Corpsdetexte"/>
        <w:rPr/>
      </w:pPr>
      <w:r>
        <w:rPr/>
        <w:t>Konferensen gav tydlig vägledning på dessa områden och de tre EU-institutionerna måste nu överväga hur man ska ta itu med de farhågor, ambitioner och idéer som uttryckts. Nästa steg i denna process är att utveckla konkreta EU-åtgärder på grundval av resultatet av konferensen, i enlighet med denna slutrapport. EU-institutionerna kommer därför nu att granska denna rapport och dess uppföljning, var och en inom ramen för sina befogenheter och i enlighet med fördragen. Ett uppföljningsevenemang kommer att äga rum hösten 2022 för att informera medborgarna om hur institutionerna kommer att leva upp till sitt åtagande att se till att de lyssnas på och hålla i sina händer Europas framtid.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79">
            <wp:simplePos x="0" y="0"/>
            <wp:positionH relativeFrom="column">
              <wp:align>center</wp:align>
            </wp:positionH>
            <wp:positionV relativeFrom="paragraph">
              <wp:posOffset>635</wp:posOffset>
            </wp:positionV>
            <wp:extent cx="6120130" cy="8642350"/>
            <wp:effectExtent l="0" t="0" r="0" b="0"/>
            <wp:wrapSquare wrapText="largest"/>
            <wp:docPr id="70" name="Bild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Bilaga I – Rekommendationer från de fyra europeiska medborgarpanelerna</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2">
            <wp:simplePos x="0" y="0"/>
            <wp:positionH relativeFrom="column">
              <wp:posOffset>0</wp:posOffset>
            </wp:positionH>
            <wp:positionV relativeFrom="paragraph">
              <wp:posOffset>126365</wp:posOffset>
            </wp:positionV>
            <wp:extent cx="4378325" cy="5307330"/>
            <wp:effectExtent l="0" t="0" r="0" b="0"/>
            <wp:wrapTopAndBottom/>
            <wp:docPr id="71" name="Bild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83">
                <wp:simplePos x="0" y="0"/>
                <wp:positionH relativeFrom="column">
                  <wp:posOffset>128270</wp:posOffset>
                </wp:positionH>
                <wp:positionV relativeFrom="paragraph">
                  <wp:posOffset>2223770</wp:posOffset>
                </wp:positionV>
                <wp:extent cx="4250690" cy="3210560"/>
                <wp:effectExtent l="0" t="0" r="0" b="0"/>
                <wp:wrapTopAndBottom/>
                <wp:docPr id="72" name="Ramverk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pPr>
                            <w:r>
                              <w:rPr/>
                              <w:t xml:space="preserve">Konferens om </w:t>
                            </w:r>
                          </w:p>
                          <w:p>
                            <w:pPr>
                              <w:pStyle w:val="P68B1DB1Normal16"/>
                              <w:rPr/>
                            </w:pPr>
                            <w:r>
                              <w:rPr/>
                              <w:t xml:space="preserve">Europas framtid </w:t>
                            </w:r>
                          </w:p>
                          <w:p>
                            <w:pPr>
                              <w:pStyle w:val="P68B1DB1Normal17"/>
                              <w:rPr/>
                            </w:pPr>
                            <w:r>
                              <w:rPr/>
                              <w:t xml:space="preserve"> </w:t>
                            </w:r>
                            <w:r>
                              <w:rPr/>
                              <w:t>Europeiska</w:t>
                            </w:r>
                            <w:r>
                              <w:rPr>
                                <w:sz w:val="32"/>
                              </w:rPr>
                              <w:t xml:space="preserve">medborgarpanelen 1: En starkare ekonomi, social rättvisa och sysselsättning/utbildning, kultur, ungdom och idrott/digital omvandling </w:t>
                            </w:r>
                          </w:p>
                          <w:p>
                            <w:pPr>
                              <w:pStyle w:val="P68B1DB1Normal17"/>
                              <w:rPr/>
                            </w:pPr>
                            <w:r>
                              <w:rPr/>
                              <w:t xml:space="preserve"> </w:t>
                            </w:r>
                          </w:p>
                          <w:p>
                            <w:pPr>
                              <w:pStyle w:val="P68B1DB1Normal17"/>
                              <w:rPr/>
                            </w:pPr>
                            <w:r>
                              <w:rPr/>
                              <w:t>Rekommendationer</w:t>
                            </w:r>
                          </w:p>
                          <w:p>
                            <w:pPr>
                              <w:pStyle w:val="P68B1DB1Normal17"/>
                              <w:rPr/>
                            </w:pPr>
                            <w:r>
                              <w:rPr/>
                              <w:t xml:space="preserve"> </w:t>
                            </w:r>
                            <w:r>
                              <w:rPr/>
                              <w:t>Foton © Europeiska unionen,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amverk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pPr>
                      <w:r>
                        <w:rPr/>
                        <w:t xml:space="preserve">Konferens om </w:t>
                      </w:r>
                    </w:p>
                    <w:p>
                      <w:pPr>
                        <w:pStyle w:val="P68B1DB1Normal16"/>
                        <w:rPr/>
                      </w:pPr>
                      <w:r>
                        <w:rPr/>
                        <w:t xml:space="preserve">Europas framtid </w:t>
                      </w:r>
                    </w:p>
                    <w:p>
                      <w:pPr>
                        <w:pStyle w:val="P68B1DB1Normal17"/>
                        <w:rPr/>
                      </w:pPr>
                      <w:r>
                        <w:rPr/>
                        <w:t xml:space="preserve"> </w:t>
                      </w:r>
                      <w:r>
                        <w:rPr/>
                        <w:t>Europeiska</w:t>
                      </w:r>
                      <w:r>
                        <w:rPr>
                          <w:sz w:val="32"/>
                        </w:rPr>
                        <w:t xml:space="preserve">medborgarpanelen 1: En starkare ekonomi, social rättvisa och sysselsättning/utbildning, kultur, ungdom och idrott/digital omvandling </w:t>
                      </w:r>
                    </w:p>
                    <w:p>
                      <w:pPr>
                        <w:pStyle w:val="P68B1DB1Normal17"/>
                        <w:rPr/>
                      </w:pPr>
                      <w:r>
                        <w:rPr/>
                        <w:t xml:space="preserve"> </w:t>
                      </w:r>
                    </w:p>
                    <w:p>
                      <w:pPr>
                        <w:pStyle w:val="P68B1DB1Normal17"/>
                        <w:rPr/>
                      </w:pPr>
                      <w:r>
                        <w:rPr/>
                        <w:t>Rekommendationer</w:t>
                      </w:r>
                    </w:p>
                    <w:p>
                      <w:pPr>
                        <w:pStyle w:val="P68B1DB1Normal17"/>
                        <w:rPr/>
                      </w:pPr>
                      <w:r>
                        <w:rPr/>
                        <w:t xml:space="preserve"> </w:t>
                      </w:r>
                      <w:r>
                        <w:rPr/>
                        <w:t>Foton © Europeiska unionen,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Europeiska medborgarpanelen 1: En starkare ekonomi, social rättvisa och sysselsättning/utbildning, kultur, ungdom och idrott/digital omvandling </w:t>
      </w:r>
    </w:p>
    <w:p>
      <w:pPr>
        <w:pStyle w:val="P68B1DB1Normal18"/>
        <w:widowControl w:val="false"/>
        <w:spacing w:lineRule="exact" w:line="468"/>
        <w:ind w:left="425" w:right="0" w:hanging="0"/>
        <w:jc w:val="left"/>
        <w:rPr/>
      </w:pPr>
      <w:r>
        <w:rPr>
          <w:b/>
          <w:color w:val="1C4587"/>
        </w:rPr>
        <w:t>REKOMMENDATIONER ANTAGNA AV PANELEN (SKA LÄGGAS FRAM FÖR PLENARSAMMANTRÄDET)</w:t>
      </w:r>
      <w:r>
        <w:rPr>
          <w:color w:val="000000"/>
        </w:rPr>
        <w:t xml:space="preserve"> </w:t>
      </w:r>
    </w:p>
    <w:p>
      <w:pPr>
        <w:pStyle w:val="Titre3"/>
        <w:numPr>
          <w:ilvl w:val="2"/>
          <w:numId w:val="2"/>
        </w:numPr>
        <w:rPr/>
      </w:pPr>
      <w:bookmarkStart w:id="106" w:name="__RefHeading___Toc297145_1346298689"/>
      <w:bookmarkEnd w:id="106"/>
      <w:r>
        <w:rPr/>
        <w:t xml:space="preserve">Axel 1: Arbeta i Europa </w:t>
      </w:r>
    </w:p>
    <w:p>
      <w:pPr>
        <w:pStyle w:val="Titre4"/>
        <w:numPr>
          <w:ilvl w:val="3"/>
          <w:numId w:val="2"/>
        </w:numPr>
        <w:rPr/>
      </w:pPr>
      <w:bookmarkStart w:id="107" w:name="__RefHeading___Toc297147_1346298689"/>
      <w:bookmarkEnd w:id="107"/>
      <w:r>
        <w:rPr/>
        <w:t xml:space="preserve">Delaxel 1.1 Arbetsmarknad </w:t>
      </w:r>
    </w:p>
    <w:p>
      <w:pPr>
        <w:pStyle w:val="P68B1DB1Normal15"/>
        <w:rPr/>
      </w:pPr>
      <w:r>
        <w:rPr/>
        <w:t xml:space="preserve">1. Vi rekommenderar att en minimilön införs för att garantera en liknande livskvalitet i alla medlemsstater. Vi är medvetna om de pågående insatserna enligt EU-direktivet COM(2020) 682 för att harmonisera livsstilen. Minimilönen måste garantera en lägsta nettoinkomst för att uppnå ett väsentligt mål: alla behövande bör ha en högre inkomst. Minimilönen bör ta hänsyn till följande aspekter: </w:t>
      </w:r>
    </w:p>
    <w:p>
      <w:pPr>
        <w:pStyle w:val="P68B1DB1Normal15"/>
        <w:rPr/>
      </w:pPr>
      <w:r>
        <w:rPr/>
        <w:t xml:space="preserve">● </w:t>
      </w:r>
      <w:r>
        <w:rPr/>
        <w:t xml:space="preserve">EU bör se till att det genomförs effektivt, eftersom alla medlemsstater för närvarande inte tillämpar arbetstagarnas skydd på ett korrekt sätt. </w:t>
      </w:r>
    </w:p>
    <w:p>
      <w:pPr>
        <w:pStyle w:val="P68B1DB1Normal15"/>
        <w:rPr/>
      </w:pPr>
      <w:r>
        <w:rPr/>
        <w:t xml:space="preserve">● </w:t>
      </w:r>
      <w:r>
        <w:rPr/>
        <w:t xml:space="preserve">särskild uppmärksamhet bör ägnas åt att övervaka förbättringen av levnadsstandarden. </w:t>
      </w:r>
    </w:p>
    <w:p>
      <w:pPr>
        <w:pStyle w:val="Normal"/>
        <w:rPr/>
      </w:pPr>
      <w:r>
        <w:rPr>
          <w:b/>
        </w:rPr>
        <w:t xml:space="preserve">● </w:t>
      </w:r>
      <w:r>
        <w:rPr>
          <w:b/>
        </w:rPr>
        <w:t>minimilönen måste ta hänsyn till köpkraften i olika länder. Ett periodiskt översynsförfarande är nödvändigt för att anpassa det till förändringar i levnadskostnaderna (t.ex. för att ta hänsyn till inflationen).</w:t>
      </w:r>
      <w:r>
        <w:rPr/>
        <w:t xml:space="preserve"> </w:t>
      </w:r>
    </w:p>
    <w:p>
      <w:pPr>
        <w:pStyle w:val="Normal"/>
        <w:rPr/>
      </w:pPr>
      <w:r>
        <w:rPr/>
        <w:t xml:space="preserve"> </w:t>
      </w:r>
    </w:p>
    <w:p>
      <w:pPr>
        <w:pStyle w:val="Normal"/>
        <w:rPr/>
      </w:pPr>
      <w:r>
        <w:rPr/>
        <w:t xml:space="preserve">Vi gör denna rekommendation eftersom en minimilön stärker den sociala rättvisan på arbetsmarknaden och förbättrar de konkreta levnadsvillkoren för arbetstagare i alla medlemsstater, vilket är särskilt viktigt i samband med en snabbt föränderlig arbetsmiljö, till exempel på grund av digitaliseringen. </w:t>
      </w:r>
    </w:p>
    <w:p>
      <w:pPr>
        <w:pStyle w:val="Normal"/>
        <w:rPr/>
      </w:pPr>
      <w:r>
        <w:rPr/>
        <w:t xml:space="preserve"> </w:t>
      </w:r>
    </w:p>
    <w:p>
      <w:pPr>
        <w:pStyle w:val="P68B1DB1Normal15"/>
        <w:rPr/>
      </w:pPr>
      <w:r>
        <w:rPr/>
        <w:t xml:space="preserve">2. Det finns redan en EU-rättsakt (EU:s direktiv 2003/88/EG om arbetstid), men det räcker inte för att säkerställa en sund balans mellan arbete och privatliv. Som ett första steg rekommenderar vi att man ser över den befintliga ramen för att se till att den anpassas till rådande omständigheter. För det andra bör EU införa en striktare övervakningsmekanism för att säkerställa dess genomförande i alla medlemsstater. Särskild uppmärksamhet bör ägnas de olika sektorerna med olika nivåer av stress och belastning, både psykiskt och fysiskt. Samtidigt är andra sektorer beroende av större flexibilitet från de anställdas sida för att anpassa sig till företagens specifika behov. </w:t>
      </w:r>
    </w:p>
    <w:p>
      <w:pPr>
        <w:pStyle w:val="Normal"/>
        <w:rPr/>
      </w:pPr>
      <w:r>
        <w:rPr/>
        <w:t xml:space="preserve">Vi gör denna rekommendation på grund av vikten av en bättre balans mellan arbete och privatliv. En bättre balans mellan arbete och privatliv stärker den sociala sammanhållningen och bidrar till att skapa lika villkor för arbetstagarna. Dessutom har det en positiv inverkan på arbetstagarnas individuella välbefinnande. </w:t>
      </w:r>
    </w:p>
    <w:p>
      <w:pPr>
        <w:pStyle w:val="Normal"/>
        <w:rPr/>
      </w:pPr>
      <w:r>
        <w:rPr/>
        <w:t xml:space="preserve"> </w:t>
      </w:r>
    </w:p>
    <w:p>
      <w:pPr>
        <w:pStyle w:val="Titre4"/>
        <w:numPr>
          <w:ilvl w:val="3"/>
          <w:numId w:val="2"/>
        </w:numPr>
        <w:rPr/>
      </w:pPr>
      <w:bookmarkStart w:id="108" w:name="__RefHeading___Toc297151_1346298689"/>
      <w:bookmarkEnd w:id="108"/>
      <w:r>
        <w:rPr/>
        <w:t xml:space="preserve">Delaxel 1.2 Ungdom och sysselsättning </w:t>
      </w:r>
    </w:p>
    <w:p>
      <w:pPr>
        <w:pStyle w:val="Normal"/>
        <w:rPr/>
      </w:pPr>
      <w:r>
        <w:rPr/>
        <w:t xml:space="preserve"> </w:t>
      </w:r>
    </w:p>
    <w:p>
      <w:pPr>
        <w:pStyle w:val="P68B1DB1Normal15"/>
        <w:rPr/>
      </w:pPr>
      <w:r>
        <w:rPr/>
        <w:t xml:space="preserve">3. Vi rekommenderar att nivån på alla olika utbildningsprogram i EU harmoniseras och att det nationella innehållet accepteras. Därför rekommenderar vi att alla yrkesexamen valideras och erkänns ömsesidigt i alla EU:s medlemsstater. </w:t>
      </w:r>
    </w:p>
    <w:p>
      <w:pPr>
        <w:pStyle w:val="Normal"/>
        <w:rPr/>
      </w:pPr>
      <w:r>
        <w:rPr/>
        <w:t xml:space="preserve"> </w:t>
      </w:r>
    </w:p>
    <w:p>
      <w:pPr>
        <w:pStyle w:val="Normal"/>
        <w:rPr/>
      </w:pPr>
      <w:r>
        <w:rPr/>
        <w:t xml:space="preserve">Vi gör denna rekommendation eftersom vi vill underlätta rörligheten för den europeiska arbetskraften och minska de administrativa bördorna. </w:t>
      </w:r>
    </w:p>
    <w:p>
      <w:pPr>
        <w:pStyle w:val="Normal"/>
        <w:rPr/>
      </w:pPr>
      <w:r>
        <w:rPr/>
      </w:r>
    </w:p>
    <w:p>
      <w:pPr>
        <w:pStyle w:val="P68B1DB1Normal15"/>
        <w:rPr/>
      </w:pPr>
      <w:r>
        <w:rPr/>
        <w:t xml:space="preserve">4. Vi rekommenderar att gymnasieelever (från 12 års ålder) får en överblick över sin framtida arbetsmarknad genom att ge dem möjlighet att delta i olika kvalitetsövervakningsbesök hos ideella och ideella organisationer. Vi föreslår att uppmuntra företag att välkomna studenter till observationspraktik genom att bevilja dem bidrag. I avlägsna områden med färre möjligheter måste lokala skolor, myndigheter, organisationer och företag ha ett nära samarbete för att se till att dessa observationsbesök också finns tillgängliga. </w:t>
      </w:r>
    </w:p>
    <w:p>
      <w:pPr>
        <w:pStyle w:val="Normal"/>
        <w:rPr/>
      </w:pPr>
      <w:r>
        <w:rPr/>
        <w:t xml:space="preserve"> </w:t>
      </w:r>
    </w:p>
    <w:p>
      <w:pPr>
        <w:pStyle w:val="Normal"/>
        <w:rPr/>
      </w:pPr>
      <w:r>
        <w:rPr/>
        <w:t xml:space="preserve">Vi gör denna rekommendation eftersom vi vill att ungdomar ska få en uppfattning om de olika möjligheter som erbjuds på arbetsmarknaden så att de bättre kan välja sina studier och sitt framtida arbete och förstå vikten av att välja rätt utbildning. Det skulle också lära dem en känsla av ansvar och respekt för arbetsmarknaden och hjälpa dem att integreras på arbetsmarknaden och ge fördelar för alla. </w:t>
      </w:r>
    </w:p>
    <w:p>
      <w:pPr>
        <w:pStyle w:val="Normal"/>
        <w:rPr/>
      </w:pPr>
      <w:r>
        <w:rPr/>
        <w:t xml:space="preserve"> </w:t>
      </w:r>
    </w:p>
    <w:p>
      <w:pPr>
        <w:pStyle w:val="P68B1DB1Normal15"/>
        <w:rPr/>
      </w:pPr>
      <w:r>
        <w:rPr/>
        <w:t xml:space="preserve">5. Vi rekommenderar att man integrerar praktiken av icke-tekniska färdigheter i alla läroplanskurser. Med icke-tekniska färdigheter menar vi: ömsesidigt lyssnande, dialog, motståndskraft, förståelse, respekt och uppskattning av andra, kritiskt tänkande, självlärande och att vara nyfiken och resultatinriktad. Lärarna bör utbildas i överföringen av dessa färdigheter genom ett nära samarbete med socialarbetare och/eller psykologer. Andra förslag till genomförande: anordnande av utbytesprogram mellan skolor, deltagande i idrotts- och kulturevenemang mellan skolor osv. </w:t>
      </w:r>
    </w:p>
    <w:p>
      <w:pPr>
        <w:pStyle w:val="Normal"/>
        <w:rPr/>
      </w:pPr>
      <w:r>
        <w:rPr/>
        <w:t xml:space="preserve"> </w:t>
      </w:r>
    </w:p>
    <w:p>
      <w:pPr>
        <w:pStyle w:val="Normal"/>
        <w:rPr/>
      </w:pPr>
      <w:r>
        <w:rPr/>
        <w:t xml:space="preserve">Vi gör denna rekommendation eftersom icke-tekniska färdigheter är nödvändiga grundläggande färdigheter som går förlorade i den digitala tidsåldern och som våra ungdomar absolut kommer att behöva i sina framtida liv. Det är därför vi insisterar på att integrera dessa färdigheter i skolans läroplaner för att hjälpa ungdomar att vara motståndskraftiga och undvika eller övervinna psykiska problem som de kan uppleva i sina framtida liv. Sociala färdigheter stärker relationer mellan människor och hjälper därför människor att hitta sin plats i samhället. </w:t>
      </w:r>
    </w:p>
    <w:p>
      <w:pPr>
        <w:pStyle w:val="Normal"/>
        <w:rPr/>
      </w:pPr>
      <w:r>
        <w:rPr/>
        <w:t xml:space="preserve"> </w:t>
      </w:r>
    </w:p>
    <w:p>
      <w:pPr>
        <w:pStyle w:val="P68B1DB1Normal15"/>
        <w:rPr/>
      </w:pPr>
      <w:r>
        <w:rPr/>
        <w:t xml:space="preserve">6. I händelse av en allvarlig kris (hälsokris, krig osv.) rekommenderar vi att väl utformade planer med detaljerade scenarier är redo att användas flexibelt för att minimera effekterna på våra ungdomars utbildning, yrkesutbildning och mentala välbefinnande osv. en ökning av kostnaderna för utbildning, en obligatorisk förlängning av studierna, omöjligheten att slutföra praktikplatser, en ökning av psykiska hälsoproblem. Dessa planer måste genomföras på ett sådant sätt att effekterna på ungdomarna och deras övergång till arbetsmarknaden minimeras. </w:t>
      </w:r>
    </w:p>
    <w:p>
      <w:pPr>
        <w:pStyle w:val="Normal"/>
        <w:rPr/>
      </w:pPr>
      <w:r>
        <w:rPr/>
        <w:t xml:space="preserve"> </w:t>
      </w:r>
    </w:p>
    <w:p>
      <w:pPr>
        <w:pStyle w:val="Normal"/>
        <w:rPr/>
      </w:pPr>
      <w:r>
        <w:rPr/>
        <w:t xml:space="preserve">Vi gör denna rekommendation eftersom ungdomar är mycket sårbara i kristider. </w:t>
      </w:r>
    </w:p>
    <w:p>
      <w:pPr>
        <w:pStyle w:val="Normal"/>
        <w:rPr/>
      </w:pPr>
      <w:r>
        <w:rPr/>
        <w:t xml:space="preserve"> </w:t>
      </w:r>
    </w:p>
    <w:p>
      <w:pPr>
        <w:pStyle w:val="Titre4"/>
        <w:numPr>
          <w:ilvl w:val="3"/>
          <w:numId w:val="2"/>
        </w:numPr>
        <w:rPr/>
      </w:pPr>
      <w:bookmarkStart w:id="109" w:name="__RefHeading___Toc297153_1346298689"/>
      <w:bookmarkEnd w:id="109"/>
      <w:r>
        <w:rPr/>
        <w:t xml:space="preserve">Delaxel 1.3 Digital omvandling på arbetsplatsen </w:t>
      </w:r>
    </w:p>
    <w:p>
      <w:pPr>
        <w:pStyle w:val="Normal"/>
        <w:rPr/>
      </w:pPr>
      <w:r>
        <w:rPr/>
        <w:t xml:space="preserve"> </w:t>
      </w:r>
    </w:p>
    <w:p>
      <w:pPr>
        <w:pStyle w:val="P68B1DB1Normal15"/>
        <w:rPr/>
      </w:pPr>
      <w:r>
        <w:rPr/>
        <w:t xml:space="preserve">7. Vi rekommenderar att EU inför eller stärker befintlig lagstiftning om smart arbete, dvs. online- och distansarbete, t.ex. hemma eller från en annan uppkopplad webbplats. Vi rekommenderar också att EU lagstiftar för att uppmuntra företag att vara socialt ansvarsfulla och upprätthålla högkvalitativa mobila arbetstillfällen i EU. Incitament kan vara av ekonomisk karaktär och/eller spela roll för företagens image och bör ta hänsyn till internationellt erkända miljö-, samhälls- och bolagsstyrningskriterier. I detta syfte bör EU inrätta en arbetsgrupp bestående av experter från alla berörda parter för att se över och stärka denna lagstiftning. </w:t>
      </w:r>
    </w:p>
    <w:p>
      <w:pPr>
        <w:pStyle w:val="Normal"/>
        <w:rPr/>
      </w:pPr>
      <w:r>
        <w:rPr/>
        <w:t xml:space="preserve"> </w:t>
      </w:r>
    </w:p>
    <w:p>
      <w:pPr>
        <w:pStyle w:val="Normal"/>
        <w:rPr/>
      </w:pPr>
      <w:r>
        <w:rPr/>
        <w:t xml:space="preserve">Vi gör denna rekommendation eftersom vi måste främja högkvalitativa mobila arbetstillfällen och undvika att de flyttas till tredjeländer med lägre kostnader. Covid-19-pandemin och den globala ekonomiska utvecklingen understryker hur brådskande det är att skydda arbetstillfällen i EU och reglera mobilt arbete. </w:t>
      </w:r>
    </w:p>
    <w:p>
      <w:pPr>
        <w:pStyle w:val="Normal"/>
        <w:rPr/>
      </w:pPr>
      <w:r>
        <w:rPr/>
        <w:t xml:space="preserve"> </w:t>
      </w:r>
    </w:p>
    <w:p>
      <w:pPr>
        <w:pStyle w:val="P68B1DB1Normal15"/>
        <w:rPr/>
      </w:pPr>
      <w:r>
        <w:rPr/>
        <w:t xml:space="preserve">8. Vi rekommenderar att EU garanterar rätten till digital utbildning för alla EU-medborgare. I synnerhet skulle ungdomars digitala färdigheter kunna förbättras genom införandet av ett EU-intyg i skolorna, som skulle förbereda dem för den framtida arbetsmarknaden. Vi rekommenderar också särskild utbildning på EU-nivå för omskolning och kompetenshöjning av arbetstagare så att de förblir konkurrenskraftiga på arbetsmarknaden. Slutligen rekommenderar vi att EU ökar medvetenheten om befintliga digitala plattformar som kopplar samman medborgarna med arbetsgivarna och hjälper dem att hitta jobb i EU, t.ex. Eures. </w:t>
      </w:r>
    </w:p>
    <w:p>
      <w:pPr>
        <w:pStyle w:val="Normal"/>
        <w:rPr/>
      </w:pPr>
      <w:r>
        <w:rPr/>
        <w:t xml:space="preserve"> </w:t>
      </w:r>
    </w:p>
    <w:p>
      <w:pPr>
        <w:pStyle w:val="Normal"/>
        <w:rPr/>
      </w:pPr>
      <w:r>
        <w:rPr/>
        <w:t xml:space="preserve">Vi gör denna rekommendation eftersom certifierade digitala färdigheter är avgörande för tillträdet till arbetsmarknaden och för att arbetstagarna ska kunna omskola sig och förbli konkurrenskraftiga. </w:t>
      </w:r>
    </w:p>
    <w:p>
      <w:pPr>
        <w:pStyle w:val="Normal"/>
        <w:rPr/>
      </w:pPr>
      <w:r>
        <w:rPr/>
        <w:t xml:space="preserve"> </w:t>
      </w:r>
    </w:p>
    <w:p>
      <w:pPr>
        <w:pStyle w:val="Titre3"/>
        <w:numPr>
          <w:ilvl w:val="2"/>
          <w:numId w:val="2"/>
        </w:numPr>
        <w:rPr/>
      </w:pPr>
      <w:bookmarkStart w:id="110" w:name="__RefHeading___Toc297155_1346298689"/>
      <w:bookmarkEnd w:id="110"/>
      <w:r>
        <w:rPr/>
        <w:t xml:space="preserve">Axel 2 En framtidsinriktad ekonomi </w:t>
      </w:r>
    </w:p>
    <w:p>
      <w:pPr>
        <w:pStyle w:val="Normal"/>
        <w:rPr/>
      </w:pPr>
      <w:r>
        <w:rPr/>
        <w:t xml:space="preserve"> </w:t>
      </w:r>
    </w:p>
    <w:p>
      <w:pPr>
        <w:pStyle w:val="Titre4"/>
        <w:numPr>
          <w:ilvl w:val="3"/>
          <w:numId w:val="2"/>
        </w:numPr>
        <w:rPr/>
      </w:pPr>
      <w:bookmarkStart w:id="111" w:name="__RefHeading___Toc297157_1346298689"/>
      <w:bookmarkEnd w:id="111"/>
      <w:r>
        <w:rPr/>
        <w:t xml:space="preserve">Delaxel 2.1 Innovation och europeisk konkurrenskraft </w:t>
      </w:r>
    </w:p>
    <w:p>
      <w:pPr>
        <w:pStyle w:val="Normal"/>
        <w:rPr/>
      </w:pPr>
      <w:r>
        <w:rPr/>
        <w:t xml:space="preserve"> </w:t>
      </w:r>
    </w:p>
    <w:p>
      <w:pPr>
        <w:pStyle w:val="P68B1DB1Normal15"/>
        <w:rPr/>
      </w:pPr>
      <w:r>
        <w:rPr/>
        <w:t xml:space="preserve">9. Vi rekommenderar att EU skapar möjligheter till investeringar i forskning och innovation för olika enheter (universitet, företag, forskningsinstitut osv.) i syfte att utveckla </w:t>
      </w:r>
    </w:p>
    <w:p>
      <w:pPr>
        <w:pStyle w:val="P68B1DB1Normal15"/>
        <w:rPr/>
      </w:pPr>
      <w:r>
        <w:rPr/>
        <w:t xml:space="preserve">● </w:t>
      </w:r>
      <w:r>
        <w:rPr/>
        <w:t xml:space="preserve">nya, mer hållbara och biologiskt diversifierade material för att ersätta de material som för närvarande används. </w:t>
      </w:r>
    </w:p>
    <w:p>
      <w:pPr>
        <w:pStyle w:val="P68B1DB1Normal15"/>
        <w:rPr/>
      </w:pPr>
      <w:r>
        <w:rPr/>
        <w:t xml:space="preserve">● </w:t>
      </w:r>
      <w:r>
        <w:rPr/>
        <w:t xml:space="preserve">innovativ användning av befintliga material (som bland annat bygger på återvinning och banbrytande teknik med lägst miljöpåverkan). </w:t>
      </w:r>
    </w:p>
    <w:p>
      <w:pPr>
        <w:pStyle w:val="Normal"/>
        <w:rPr/>
      </w:pPr>
      <w:r>
        <w:rPr>
          <w:b/>
        </w:rPr>
        <w:t>Vi rekommenderar att detta är ett permanent och långsiktigt åtagande från EU:s sida (åtminstone fram till 2050).</w:t>
      </w:r>
      <w:r>
        <w:rPr/>
        <w:t xml:space="preserve"> </w:t>
      </w:r>
    </w:p>
    <w:p>
      <w:pPr>
        <w:pStyle w:val="Normal"/>
        <w:rPr/>
      </w:pPr>
      <w:r>
        <w:rPr/>
        <w:t xml:space="preserve"> </w:t>
      </w:r>
    </w:p>
    <w:p>
      <w:pPr>
        <w:pStyle w:val="Normal"/>
        <w:rPr/>
      </w:pPr>
      <w:r>
        <w:rPr/>
        <w:t xml:space="preserve">Vi gör denna rekommendation eftersom vi lever på en planet med begränsade resurser. Om vi ska ha en framtid måste vi skydda klimatet och leta efter alternativ som respekterar planeten. Vi vill också att EU ska bli en ledande aktör på detta område, med en stark konkurrensfördel på den internationella arenan. Rekommendationen syftar till att ge innovativa resultat som kan tillämpas i stor skala och som kan genomföras i olika områden och länder. Det skulle också ha en positiv inverkan på ekonomin och arbetsmarknaden genom att skapa nya sysselsättningsmöjligheter på området hållbar innovation. Det skulle kunna bidra till kampen mot sociala orättvisor i den utsträckning som de nuvarande produktionsmedlen, baserade på exploatering, skulle ersättas av andra, mer etiska. </w:t>
      </w:r>
    </w:p>
    <w:p>
      <w:pPr>
        <w:pStyle w:val="Normal"/>
        <w:rPr/>
      </w:pPr>
      <w:r>
        <w:rPr/>
        <w:t xml:space="preserve"> </w:t>
      </w:r>
    </w:p>
    <w:p>
      <w:pPr>
        <w:pStyle w:val="P68B1DB1Normal15"/>
        <w:rPr/>
      </w:pPr>
      <w:r>
        <w:rPr/>
        <w:t xml:space="preserve">10. Vi rekommenderar att EU kontinuerligt på lång sikt åtar sig att avsevärt öka sin andel av hållbart producerad energi genom att använda ett brett spektrum av förnybara energikällor med lägst miljöpåverkan (baserat på en omfattande livscykelanalys). Dessutom bör EU investera i att förbättra och upprätthålla kvaliteten på elinfrastrukturen och elnätet. Vi rekommenderar också att energitillgång och överkomliga priser erkänns som en grundläggande rättighet för medborgarna. </w:t>
      </w:r>
    </w:p>
    <w:p>
      <w:pPr>
        <w:pStyle w:val="P68B1DB1Normal15"/>
        <w:rPr/>
      </w:pPr>
      <w:r>
        <w:rPr/>
        <w:t xml:space="preserve"> </w:t>
      </w:r>
    </w:p>
    <w:p>
      <w:pPr>
        <w:pStyle w:val="Normal"/>
        <w:rPr/>
      </w:pPr>
      <w:r>
        <w:rPr/>
        <w:t xml:space="preserve">Vi gör denna rekommendation av följande skäl: </w:t>
      </w:r>
    </w:p>
    <w:p>
      <w:pPr>
        <w:pStyle w:val="Normal"/>
        <w:rPr/>
      </w:pPr>
      <w:r>
        <w:rPr/>
        <w:t xml:space="preserve">● </w:t>
      </w:r>
      <w:r>
        <w:rPr/>
        <w:t xml:space="preserve">diversifiering av energikällor (inklusive solenergi, vind, vätgas, havsvatten eller någon annan framtida hållbar metod) skulle göra EU mer energiberoende. </w:t>
      </w:r>
    </w:p>
    <w:p>
      <w:pPr>
        <w:pStyle w:val="Normal"/>
        <w:rPr/>
      </w:pPr>
      <w:r>
        <w:rPr/>
        <w:t xml:space="preserve">● </w:t>
      </w:r>
      <w:r>
        <w:rPr/>
        <w:t xml:space="preserve">det skulle minska elkostnaderna för EU-medborgarna. </w:t>
      </w:r>
    </w:p>
    <w:p>
      <w:pPr>
        <w:pStyle w:val="Normal"/>
        <w:rPr/>
      </w:pPr>
      <w:r>
        <w:rPr/>
        <w:t xml:space="preserve">● </w:t>
      </w:r>
      <w:r>
        <w:rPr/>
        <w:t xml:space="preserve">det skulle skapa arbetstillfällen och omstrukturera energimarknaden (särskilt i regioner som hittills har förlitat sig på fossila bränslen). </w:t>
      </w:r>
    </w:p>
    <w:p>
      <w:pPr>
        <w:pStyle w:val="Normal"/>
        <w:rPr/>
      </w:pPr>
      <w:r>
        <w:rPr/>
        <w:t xml:space="preserve">● </w:t>
      </w:r>
      <w:r>
        <w:rPr/>
        <w:t xml:space="preserve">det skulle kunna uppmuntra den vetenskapliga utvecklingen av innovativ energiförsörjningsteknik. </w:t>
      </w:r>
    </w:p>
    <w:p>
      <w:pPr>
        <w:pStyle w:val="Normal"/>
        <w:rPr/>
      </w:pPr>
      <w:r>
        <w:rPr/>
        <w:t xml:space="preserve">● </w:t>
      </w:r>
      <w:r>
        <w:rPr/>
        <w:t xml:space="preserve">kvaliteten på elinfrastrukturen och elnätet är lika viktig som energikällorna, eftersom den möjliggör en smidig, effektiv och prisvärd energidistribution och energiöverföring. </w:t>
      </w:r>
    </w:p>
    <w:p>
      <w:pPr>
        <w:pStyle w:val="Normal"/>
        <w:rPr/>
      </w:pPr>
      <w:r>
        <w:rPr/>
        <w:t xml:space="preserve"> </w:t>
      </w:r>
    </w:p>
    <w:p>
      <w:pPr>
        <w:pStyle w:val="P68B1DB1Normal15"/>
        <w:rPr/>
      </w:pPr>
      <w:r>
        <w:rPr/>
        <w:t xml:space="preserve">11. Vi rekommenderar att EU aktivt främjar miljövänligare produktionsprocesser genom att subventionera eller på annat sätt belöna företag som investerar i att minska miljökostnaderna för sin produktion. Vi efterlyser också en insats för att växa postindustriella platser och skapa skyddade grönområden runt befintliga platser. Företagen bör vara skyldiga att finansiera dessa insatser, åtminstone delvis, med egna pengar. </w:t>
      </w:r>
    </w:p>
    <w:p>
      <w:pPr>
        <w:pStyle w:val="Normal"/>
        <w:rPr/>
      </w:pPr>
      <w:r>
        <w:rPr/>
        <w:t xml:space="preserve"> </w:t>
      </w:r>
    </w:p>
    <w:p>
      <w:pPr>
        <w:pStyle w:val="Normal"/>
        <w:rPr/>
      </w:pPr>
      <w:r>
        <w:rPr/>
        <w:t xml:space="preserve">Vi gör denna rekommendation eftersom produktionsprocesser är en viktig del av försörjningskedjan. Att göra dem mer miljövänliga kan avsevärt minska vår påverkan på klimatet. Vi anser att företag och industrier bör hållas ansvariga för hur de tillverkar sina produkter (inklusive åtgärder för återodling och miljöskydd). Miljöanpassningsprocesserna förbereder också företagen för framtiden och stärker deras motståndskraft (som skyddar arbetstillfällen). </w:t>
      </w:r>
    </w:p>
    <w:p>
      <w:pPr>
        <w:pStyle w:val="Normal"/>
        <w:rPr/>
      </w:pPr>
      <w:r>
        <w:rPr/>
      </w:r>
    </w:p>
    <w:p>
      <w:pPr>
        <w:pStyle w:val="Titre4"/>
        <w:numPr>
          <w:ilvl w:val="3"/>
          <w:numId w:val="2"/>
        </w:numPr>
        <w:rPr/>
      </w:pPr>
      <w:bookmarkStart w:id="112" w:name="__RefHeading___Toc297159_1346298689"/>
      <w:bookmarkEnd w:id="112"/>
      <w:r>
        <w:rPr/>
        <w:t xml:space="preserve">Delaxel 2.2 Hållbar ekonomi/delaxel 2.3 Beskattning </w:t>
      </w:r>
    </w:p>
    <w:p>
      <w:pPr>
        <w:pStyle w:val="Normal"/>
        <w:rPr/>
      </w:pPr>
      <w:r>
        <w:rPr/>
        <w:t xml:space="preserve"> </w:t>
      </w:r>
    </w:p>
    <w:p>
      <w:pPr>
        <w:pStyle w:val="P68B1DB1Normal15"/>
        <w:rPr/>
      </w:pPr>
      <w:r>
        <w:rPr/>
        <w:t xml:space="preserve">12. Vi rekommenderar att man överger plastförpackningar och generaliserar återanvändbara förpackningar. Incitament bör ges till konsumenter och företag, så att det inte är dyrare för en konsument att köpa bulkprodukter (”i bulk” på engelska eller ”sfuso” på italienska) än förpackade produkter. Företag som bidrar till denna övergång bör dra nytta av skatteförmåner och andra bör betala mer skatt. Produkter som inte kan återanvändas bör vara återvinningsbara och/eller biologiskt nedbrytbara. Det är nödvändigt att inrätta en offentlig institution eller ett tillsynsorgan med ansvar för att övervaka, fastställa reglerna och sprida dem till alla. Det rekommenderas att utbilda och kommunicera – bland annat via sociala medier – om dessa åtgärder och nå ut till både företag och konsumenter för att ändra sitt långsiktiga beteende. Företag (t.ex. byggföretag) bör uppmuntras och hjälpas att hitta de bästa lösningarna för sitt avfall. </w:t>
      </w:r>
    </w:p>
    <w:p>
      <w:pPr>
        <w:pStyle w:val="Normal"/>
        <w:rPr/>
      </w:pPr>
      <w:r>
        <w:rPr/>
        <w:t xml:space="preserve"> </w:t>
      </w:r>
    </w:p>
    <w:p>
      <w:pPr>
        <w:pStyle w:val="Normal"/>
        <w:rPr/>
      </w:pPr>
      <w:r>
        <w:rPr/>
        <w:t xml:space="preserve">Vi gör denna rekommendation, eftersom vi alla måste vara ansvariga för våra handlingar. Därför måste vi ompröva alla produktionsprocesser. Återvinning kräver mycket resurser (vatten, energi) och kan därför inte vara den enda lösningen, vilket är anledningen till att vi erbjuder oss att sälja produkterna i bulk. Återvinning bör endast användas för lätt återvinningsbara material, och vi har lärt oss av det finska exemplet att det är möjligt att återvinna i stor skala. </w:t>
      </w:r>
    </w:p>
    <w:p>
      <w:pPr>
        <w:pStyle w:val="Normal"/>
        <w:rPr/>
      </w:pPr>
      <w:r>
        <w:rPr/>
      </w:r>
    </w:p>
    <w:p>
      <w:pPr>
        <w:pStyle w:val="P68B1DB1Normal15"/>
        <w:rPr/>
      </w:pPr>
      <w:r>
        <w:rPr/>
        <w:t xml:space="preserve">13. Vi rekommenderar att samma skatteregler tillämpas i hela Europa och att skattepolitiken harmoniseras i hela EU. Harmoniseringen på detta område bör ge enskilda medlemsstater utrymme att fastställa sina egna regler, samtidigt som skatteflykt undviks. Det kommer att sätta stopp för skadlig skattepraxis och skattekonkurrens. Skatter bör påföras handelstransaktioner där de äger rum: när ett företag säljer i ett land ska det betala skatt i det landet. Dessa nya regler skulle syfta till att förhindra omlokalisering och säkerställa att produktion och transaktioner äger rum mellan europeiska länder. </w:t>
      </w:r>
    </w:p>
    <w:p>
      <w:pPr>
        <w:pStyle w:val="Normal"/>
        <w:rPr/>
      </w:pPr>
      <w:r>
        <w:rPr/>
        <w:t xml:space="preserve"> </w:t>
      </w:r>
    </w:p>
    <w:p>
      <w:pPr>
        <w:pStyle w:val="Normal"/>
        <w:rPr/>
      </w:pPr>
      <w:r>
        <w:rPr/>
        <w:t xml:space="preserve">Vi gör denna rekommendation för att skydda och utveckla sysselsättningen och den ekonomiska verksamheten i Europa på ett sätt som är rättvist för alla medlemsstater. På så sätt kommer EU att ha en gemensam förståelse för skattesystemet och den absurda monopolsituationen för mycket stora företag som inte betalar tillräckligt med skatter jämfört med mindre företag kommer att upphöra. Dessutom kommer ekonomiska resurser att omdirigeras till de områden där kommersiell verksamhet äger rum. </w:t>
      </w:r>
    </w:p>
    <w:p>
      <w:pPr>
        <w:pStyle w:val="Normal"/>
        <w:rPr/>
      </w:pPr>
      <w:r>
        <w:rPr/>
        <w:t xml:space="preserve"> </w:t>
      </w:r>
    </w:p>
    <w:p>
      <w:pPr>
        <w:pStyle w:val="P68B1DB1Normal15"/>
        <w:rPr/>
      </w:pPr>
      <w:r>
        <w:rPr/>
        <w:t xml:space="preserve">14. Vi rekommenderar att man tar bort det programmerade föråldrade systemet från alla elektroniska enheter. Ändringen bör ske både individuellt och kommersiellt, för att säkerställa att enheter kan repareras och uppgraderas på lång sikt och kan behållas under lång tid. Vi rekommenderar att man främjar renoverade enheter. Regler bör kräva att företag garanterar rätten till reparation, inklusive uppgraderingar och uppdateringar av programvara, samt att återvinna alla enheter på lång sikt. Det rekommenderas också att varje företag använder standardkontakter. </w:t>
      </w:r>
    </w:p>
    <w:p>
      <w:pPr>
        <w:pStyle w:val="P68B1DB1Normal15"/>
        <w:rPr/>
      </w:pPr>
      <w:r>
        <w:rPr/>
        <w:t xml:space="preserve"> </w:t>
      </w:r>
    </w:p>
    <w:p>
      <w:pPr>
        <w:pStyle w:val="Normal"/>
        <w:rPr/>
      </w:pPr>
      <w:r>
        <w:rPr/>
        <w:t xml:space="preserve">Vi gör denna rekommendation eftersom produkter i den moderna världen tenderar att pågå i två år och vår önskan är att de har en mycket längre livslängd, ca 10 år. Detta förslag kommer att ha en positiv inverkan på klimatförändringarna och ekologin. Det kommer också att minska kostnaderna för konsumenterna och konsumtionen. </w:t>
      </w:r>
    </w:p>
    <w:p>
      <w:pPr>
        <w:pStyle w:val="Normal"/>
        <w:rPr/>
      </w:pPr>
      <w:r>
        <w:rPr/>
      </w:r>
    </w:p>
    <w:p>
      <w:pPr>
        <w:pStyle w:val="P68B1DB1Normal15"/>
        <w:rPr/>
      </w:pPr>
      <w:r>
        <w:rPr/>
        <w:t xml:space="preserve">15. Vi rekommenderar att du hjälper alla att lära sig mer om vår miljö och dess kopplingar till individuell hälsa genom utbildning. Utbildningsvägar hjälper alla att definiera sina egna personliga strategier för att integrera dessa teman i sitt dagliga liv. Denna utbildning bör börja i skolan med specifika ämnen som behandlar alla ekologiska frågor, och vi bör fortsätta att utbilda oss under hela livet (till exempel på jobbet). Det kommer att bidra till att minska avfall och skydda miljön och människors hälsa och främja lokal konsumtion av hälsosamma och obearbetade produkter från lokala producenter. De som inte gör något för att minska sitt avfall kommer att behöva få gratis utbildning på detta område. För att anpassa levnadssättet måste priserna vara rättvisa för både producenten och konsumenten. Därför föreslår vi att små, miljövänliga lokala producenter gynnas av skattebefrielse. </w:t>
      </w:r>
    </w:p>
    <w:p>
      <w:pPr>
        <w:pStyle w:val="Normal"/>
        <w:rPr/>
      </w:pPr>
      <w:r>
        <w:rPr/>
        <w:t xml:space="preserve"> </w:t>
      </w:r>
    </w:p>
    <w:p>
      <w:pPr>
        <w:pStyle w:val="Normal"/>
        <w:rPr/>
      </w:pPr>
      <w:r>
        <w:rPr/>
        <w:t xml:space="preserve">Vi gör denna rekommendation eftersom vi tror att många människor ännu inte känner sig oroade över dessa frågor. Det är därför utbildning för alla måste införas. Dessutom tenderar lokala och hälsosamma produkter att vara oöverkomliga för många människor. Vi måste se till att lokala produkter är mer tillgängliga för alla. </w:t>
      </w:r>
    </w:p>
    <w:p>
      <w:pPr>
        <w:pStyle w:val="Normal"/>
        <w:rPr/>
      </w:pPr>
      <w:r>
        <w:rPr/>
      </w:r>
    </w:p>
    <w:p>
      <w:pPr>
        <w:pStyle w:val="Titre4"/>
        <w:numPr>
          <w:ilvl w:val="3"/>
          <w:numId w:val="2"/>
        </w:numPr>
        <w:rPr/>
      </w:pPr>
      <w:bookmarkStart w:id="113" w:name="__RefHeading___Toc297161_1346298689"/>
      <w:bookmarkEnd w:id="113"/>
      <w:r>
        <w:rPr/>
        <w:t xml:space="preserve">Delaxel 2.4 Jordbruk/delaxel 2.5 Digital infrastruktur </w:t>
      </w:r>
    </w:p>
    <w:p>
      <w:pPr>
        <w:pStyle w:val="Normal"/>
        <w:rPr/>
      </w:pPr>
      <w:r>
        <w:rPr/>
        <w:t xml:space="preserve"> </w:t>
      </w:r>
    </w:p>
    <w:p>
      <w:pPr>
        <w:pStyle w:val="P68B1DB1Normal15"/>
        <w:rPr/>
      </w:pPr>
      <w:r>
        <w:rPr/>
        <w:t xml:space="preserve">16. Vi rekommenderar att man inför ett gemensamt europeiskt system för konsument- och näringsmärkning som är lätt att förstå (t.ex. allergener, ursprungsland osv.). vi rekommenderar insyn i pågående tillståndsprocesser och digitalisering av produktinformation genom en standardiserad europeisk applikation som skulle ge mer användarvänlig tillgång till information och ge ytterligare information om produkt- och produktionskedjan. Vi ser också behovet av ett verkligt oberoende organ som reglerar livsmedelsstandarder i hela EU och har lagstiftningsbefogenheter för att verkställa sanktioner. </w:t>
      </w:r>
    </w:p>
    <w:p>
      <w:pPr>
        <w:pStyle w:val="Normal"/>
        <w:rPr/>
      </w:pPr>
      <w:r>
        <w:rPr/>
        <w:t xml:space="preserve"> </w:t>
      </w:r>
    </w:p>
    <w:p>
      <w:pPr>
        <w:pStyle w:val="Normal"/>
        <w:rPr/>
      </w:pPr>
      <w:r>
        <w:rPr/>
        <w:t xml:space="preserve">Vi ger dessa rekommendationer eftersom alla EU-medborgare bör kunna förlita sig på samma livsmedelskvalitet. Livsmedelsprodukternas integritet är nödvändig för att garantera medborgarnas säkerhet. Dessa rekommendationer har utarbetats för att på ett harmoniserat sätt förbättra övervakningen av godkännandeförfarandena och insynen i livsmedelsproduktionen. </w:t>
      </w:r>
    </w:p>
    <w:p>
      <w:pPr>
        <w:pStyle w:val="Normal"/>
        <w:rPr/>
      </w:pPr>
      <w:r>
        <w:rPr/>
      </w:r>
    </w:p>
    <w:p>
      <w:pPr>
        <w:pStyle w:val="P68B1DB1Normal15"/>
        <w:rPr/>
      </w:pPr>
      <w:r>
        <w:rPr/>
        <w:t xml:space="preserve">17. Vi rekommenderar att infrastruktur ägs av staten för att förhindra uppkomsten av monopol inom sektorn för telekommunikation och internettjänster. Tillgång till Internet bör vara en rättighet. att föra in internetuppkopplingen i ”vita områden/döda zoner” (områden utan internetuppkoppling) bör prioriteras. När det gäller tillgång till internet och datorutrustning är barn och familjer en prioritering, särskilt när det gäller utbildning och särskilt i pandemitider. Ett initiativ behövs för att stödja distansarbete, till exempel genom att skapa kontorsutrymmen med tillgång till en snabb och tillförlitlig internetanslutning eller genom att organisera digital utbildning. </w:t>
      </w:r>
    </w:p>
    <w:p>
      <w:pPr>
        <w:pStyle w:val="Normal"/>
        <w:rPr/>
      </w:pPr>
      <w:r>
        <w:rPr/>
        <w:t xml:space="preserve"> </w:t>
      </w:r>
    </w:p>
    <w:p>
      <w:pPr>
        <w:pStyle w:val="Normal"/>
        <w:rPr/>
      </w:pPr>
      <w:r>
        <w:rPr/>
        <w:t xml:space="preserve">Vi gör denna rekommendation eftersom vi måste se till att den digitala omvandlingen sker rättvist. Tillgång till internet är grundläggande för demokratin och är en rättighet för alla EU-medborgare. </w:t>
      </w:r>
    </w:p>
    <w:p>
      <w:pPr>
        <w:pStyle w:val="Normal"/>
        <w:rPr/>
      </w:pPr>
      <w:r>
        <w:rPr/>
      </w:r>
    </w:p>
    <w:p>
      <w:pPr>
        <w:pStyle w:val="Normal"/>
        <w:rPr/>
      </w:pPr>
      <w:r>
        <w:rPr>
          <w:b/>
        </w:rPr>
        <w:t>18. Vi rekommenderar att man respekterar lokala insekter och skyddar dem från invasiva arter. Vi föreslår också att man främjar och försvarar skyldigheten att tillhandahålla grönområden i nya urbaniseringsprojekt. Vi kräver att biologisk mångfald ska bli ett obligatoriskt ämne i skolorna och vara föremål för skolverksamhet, till exempel praktisk verksamhet. Det är viktigt att öka allmänhetens medvetenhet om biologisk mångfald genom mediekampanjer och ”konkurrenser” som främjas i hela EU (tävlingar på lokalsamhällesnivå). Vi rekommenderar att bindande nationella mål fastställs i alla EU:s medlemsstater för återbeskogning av inhemska träd och återinförande av lokal flora</w:t>
      </w:r>
      <w:r>
        <w:rPr/>
        <w:t xml:space="preserve">. </w:t>
      </w:r>
    </w:p>
    <w:p>
      <w:pPr>
        <w:pStyle w:val="Normal"/>
        <w:rPr/>
      </w:pPr>
      <w:r>
        <w:rPr/>
        <w:t xml:space="preserve"> </w:t>
      </w:r>
    </w:p>
    <w:p>
      <w:pPr>
        <w:pStyle w:val="Normal"/>
        <w:rPr/>
      </w:pPr>
      <w:r>
        <w:rPr/>
        <w:t xml:space="preserve">Vi gör denna rekommendation eftersom biologisk mångfald är avgörande för miljön, livskvaliteten och kampen mot klimatförändringarna.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Axel 3 Ett rättvist samhälle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Delaxel 3.1 Social trygghet </w:t>
      </w:r>
    </w:p>
    <w:p>
      <w:pPr>
        <w:pStyle w:val="Normal"/>
        <w:rPr/>
      </w:pPr>
      <w:r>
        <w:rPr/>
        <w:t xml:space="preserve"> </w:t>
      </w:r>
    </w:p>
    <w:p>
      <w:pPr>
        <w:pStyle w:val="P68B1DB1Normal15"/>
        <w:rPr/>
      </w:pPr>
      <w:r>
        <w:rPr/>
        <w:t xml:space="preserve">19. Vi rekommenderar att man främjar lika rättigheter och socialpolitik, inklusive hälso- och sjukvårdspolitik, harmoniserad i hela EU, med beaktande av antagna bestämmelser och minimikrav i hela landet. </w:t>
      </w:r>
    </w:p>
    <w:p>
      <w:pPr>
        <w:pStyle w:val="Normal"/>
        <w:rPr/>
      </w:pPr>
      <w:r>
        <w:rPr/>
        <w:t xml:space="preserve"> </w:t>
      </w:r>
    </w:p>
    <w:p>
      <w:pPr>
        <w:pStyle w:val="Normal"/>
        <w:rPr/>
      </w:pPr>
      <w:r>
        <w:rPr/>
        <w:t xml:space="preserve">Vi lägger fram denna rekommendation eftersom det finns stora skillnader mellan medlemsstaterna när det gäller socialpolitiken, som måste minskas för att säkerställa ett anständigt liv för alla medborgare och ge nödvändig vård och stöd till utsatta människor av olika skäl (hälsa, ålder, sexuell läggning osv.). </w:t>
      </w:r>
    </w:p>
    <w:p>
      <w:pPr>
        <w:pStyle w:val="Normal"/>
        <w:rPr/>
      </w:pPr>
      <w:r>
        <w:rPr/>
      </w:r>
    </w:p>
    <w:p>
      <w:pPr>
        <w:pStyle w:val="P68B1DB1Normal15"/>
        <w:rPr/>
      </w:pPr>
      <w:r>
        <w:rPr/>
        <w:t xml:space="preserve">20. Vi rekommenderar att man främjar social- och hälsovårdsforskning i EU, i enlighet med prioriterade områden som anses vara av allmänt intresse och som godkänts av medlemsstaterna och tillhandahåller lämplig finansiering. Vi måste stärka samarbetet mellan kompetensområden, länder, studiecentrum (universitet osv.). </w:t>
      </w:r>
    </w:p>
    <w:p>
      <w:pPr>
        <w:pStyle w:val="Normal"/>
        <w:rPr/>
      </w:pPr>
      <w:r>
        <w:rPr/>
        <w:t xml:space="preserve"> </w:t>
      </w:r>
    </w:p>
    <w:p>
      <w:pPr>
        <w:pStyle w:val="Normal"/>
        <w:rPr/>
      </w:pPr>
      <w:r>
        <w:rPr/>
        <w:t xml:space="preserve">Vi gör denna rekommendation eftersom det finns många områden där vi behöver fördjupa och fördjupa vår kunskap. Erfarenheterna av pandemin är ett exempel på hur forskning är nödvändig för att förbättra livet, att samarbete mellan allmänheten och den privata sektorn och mellan regeringar är nödvändigt och att ekonomiskt stöd behövs. </w:t>
      </w:r>
    </w:p>
    <w:p>
      <w:pPr>
        <w:pStyle w:val="Normal"/>
        <w:rPr/>
      </w:pPr>
      <w:r>
        <w:rPr/>
      </w:r>
    </w:p>
    <w:p>
      <w:pPr>
        <w:pStyle w:val="P68B1DB1Normal15"/>
        <w:rPr/>
      </w:pPr>
      <w:r>
        <w:rPr/>
        <w:t xml:space="preserve">21. Vi rekommenderar att EU har ökad kompetens inom socialpolitiken för att harmonisera minimiregler och pensionsförmåner i hela EU och inrätta nya på grundval av en grundlig diagnos. Minimipensionen måste ligga över landets fattigdomsgräns. Pensionsåldern bör variera beroende på yrkeskategorier och bör vara lägre för mentalt och fysiskt krävande yrken. Samtidigt bör rätten till arbete garanteras för äldre som vill fortsätta arbeta på frivillig basis. </w:t>
      </w:r>
    </w:p>
    <w:p>
      <w:pPr>
        <w:pStyle w:val="Normal"/>
        <w:rPr/>
      </w:pPr>
      <w:r>
        <w:rPr/>
        <w:t xml:space="preserve"> </w:t>
      </w:r>
    </w:p>
    <w:p>
      <w:pPr>
        <w:pStyle w:val="Normal"/>
        <w:rPr/>
      </w:pPr>
      <w:r>
        <w:rPr/>
        <w:t xml:space="preserve">Vi gör denna rekommendation eftersom livslängden ökar och födelsetalen minskar. Den europeiska befolkningen åldras, varför vi måste vidta ytterligare åtgärder för att undvika risken för marginalisering av äldre och garantera dem ett anständigt liv. </w:t>
      </w:r>
    </w:p>
    <w:p>
      <w:pPr>
        <w:pStyle w:val="Normal"/>
        <w:rPr/>
      </w:pPr>
      <w:r>
        <w:rPr/>
        <w:t xml:space="preserve"> </w:t>
      </w:r>
    </w:p>
    <w:p>
      <w:pPr>
        <w:pStyle w:val="Normal"/>
        <w:rPr/>
      </w:pPr>
      <w:r>
        <w:rPr>
          <w:b/>
        </w:rPr>
        <w:t>22. Vi rekommenderar att man antar en uppsättning åtgärder för att främja en ökning av födelsetalen och för att säkerställa lämpliga barnomsorgslösningar. Dessa åtgärder bör bland annat omfatta överkomlig och tillgänglig barnomsorg (på arbetet, nattetid, sänkt moms på barnanläggningar), bostäder, anställningsstabilitet, moderskapsstöd, särskilt stöd och arbetsskydd för ungdomar och föräldrar samt stöd till mödrar och pappor i form av tillgång till kunskap vid återgång till arbete.</w:t>
      </w:r>
      <w:r>
        <w:rPr/>
        <w:t xml:space="preserve"> </w:t>
      </w:r>
    </w:p>
    <w:p>
      <w:pPr>
        <w:pStyle w:val="Normal"/>
        <w:rPr/>
      </w:pPr>
      <w:r>
        <w:rPr/>
        <w:t xml:space="preserve"> </w:t>
      </w:r>
    </w:p>
    <w:p>
      <w:pPr>
        <w:pStyle w:val="Normal"/>
        <w:rPr/>
      </w:pPr>
      <w:r>
        <w:rPr/>
        <w:t xml:space="preserve">Vi gör denna rekommendation eftersom EU kännetecknas av låga födelsetal som också bidrar till att Europas befolkning åldras och som kräver omedelbara åtgärder. Det föreslagna paketet syftar till att säkerställa att unga familjer har den stabilitet som krävs för att ta hand om barn. </w:t>
      </w:r>
    </w:p>
    <w:p>
      <w:pPr>
        <w:pStyle w:val="Normal"/>
        <w:rPr/>
      </w:pPr>
      <w:r>
        <w:rPr/>
      </w:r>
    </w:p>
    <w:p>
      <w:pPr>
        <w:pStyle w:val="P68B1DB1Normal15"/>
        <w:rPr/>
      </w:pPr>
      <w:r>
        <w:rPr/>
        <w:t xml:space="preserve">23. Vi rekommenderar att man säkerställer socialt stöd och hälso- och sjukvård för äldre i hemmet och i vårdhem. Det finns också ett behov av att förbättra stödet för dem som tar hand om äldre (nära). </w:t>
      </w:r>
    </w:p>
    <w:p>
      <w:pPr>
        <w:pStyle w:val="Normal"/>
        <w:rPr/>
      </w:pPr>
      <w:r>
        <w:rPr/>
        <w:t xml:space="preserve"> </w:t>
      </w:r>
    </w:p>
    <w:p>
      <w:pPr>
        <w:pStyle w:val="Normal"/>
        <w:rPr/>
      </w:pPr>
      <w:r>
        <w:rPr/>
        <w:t xml:space="preserve">Vi gör denna rekommendation eftersom den förväntade livslängden ökar och födelsetalen minskar. den europeiska befolkningen åldras, varför vi måste vidta ytterligare åtgärder för att undvika risken för marginalisering av äldre och garantera dem ett anständigt liv. </w:t>
      </w:r>
    </w:p>
    <w:p>
      <w:pPr>
        <w:pStyle w:val="Normal"/>
        <w:rPr/>
      </w:pPr>
      <w:r>
        <w:rPr/>
        <w:t xml:space="preserve"> </w:t>
      </w:r>
    </w:p>
    <w:p>
      <w:pPr>
        <w:pStyle w:val="P68B1DB1Normal15"/>
        <w:rPr/>
      </w:pPr>
      <w:r>
        <w:rPr/>
        <w:t xml:space="preserve">24. Vi rekommenderar att EU stöder palliativ vård och assisterad död [eutanasi] i enlighet med en konkret uppsättning regler och förordningar. </w:t>
      </w:r>
    </w:p>
    <w:p>
      <w:pPr>
        <w:pStyle w:val="Normal"/>
        <w:rPr/>
      </w:pPr>
      <w:r>
        <w:rPr/>
        <w:t xml:space="preserve"> </w:t>
      </w:r>
    </w:p>
    <w:p>
      <w:pPr>
        <w:pStyle w:val="Normal"/>
        <w:rPr/>
      </w:pPr>
      <w:r>
        <w:rPr/>
        <w:t xml:space="preserve">Vi gör denna rekommendation eftersom det skulle minska smärtan hos patienter och familjer och säkerställa ett anständigt slut på livet. </w:t>
      </w:r>
    </w:p>
    <w:p>
      <w:pPr>
        <w:pStyle w:val="Normal"/>
        <w:rPr/>
      </w:pPr>
      <w:r>
        <w:rPr/>
        <w:t xml:space="preserve"> </w:t>
      </w:r>
    </w:p>
    <w:p>
      <w:pPr>
        <w:pStyle w:val="Titre4"/>
        <w:numPr>
          <w:ilvl w:val="3"/>
          <w:numId w:val="2"/>
        </w:numPr>
        <w:rPr/>
      </w:pPr>
      <w:bookmarkStart w:id="117" w:name="__RefHeading___Toc297169_1346298689"/>
      <w:bookmarkEnd w:id="117"/>
      <w:r>
        <w:rPr/>
        <w:t xml:space="preserve">Delaxel 3.2 Jämställdhet mellan rättigheter </w:t>
      </w:r>
    </w:p>
    <w:p>
      <w:pPr>
        <w:pStyle w:val="Normal"/>
        <w:rPr/>
      </w:pPr>
      <w:r>
        <w:rPr/>
        <w:t xml:space="preserve"> </w:t>
      </w:r>
    </w:p>
    <w:p>
      <w:pPr>
        <w:pStyle w:val="P68B1DB1Normal15"/>
        <w:rPr/>
      </w:pPr>
      <w:r>
        <w:rPr/>
        <w:t xml:space="preserve">25. Vi rekommenderar att EU stöder medborgarnas riktade tillgång till anständigt subventionerat boende i enlighet med deras särskilda behov. De ekonomiska insatserna bör delas mellan privata givare, husägare, bostadstagare, medlemsstaternas regeringar på central och lokal nivå samt Europeiska unionen. Målet bör vara att underlätta byggandet/reparationen av befintliga subventionerade bostäder, bland annat genom kooperativa föreningar, hyra och inköp. Stödet bör beviljas på grundval av tydliga kriterier (t.ex. maximal areal/person som ska subventioneras, stödmottagarnas inkomster osv.). </w:t>
      </w:r>
    </w:p>
    <w:p>
      <w:pPr>
        <w:pStyle w:val="Normal"/>
        <w:rPr/>
      </w:pPr>
      <w:r>
        <w:rPr/>
        <w:t xml:space="preserve"> </w:t>
      </w:r>
    </w:p>
    <w:p>
      <w:pPr>
        <w:pStyle w:val="Normal"/>
        <w:rPr/>
      </w:pPr>
      <w:r>
        <w:rPr/>
        <w:t xml:space="preserve">Vi gör denna rekommendation eftersom en förbättrad tillgång till bostäder skulle säkerställa att EU-medborgarna åtnjuter påtagliga lika rättigheter och bidra till att minska de sociala spänningarna. EU uppmanas främst att övervaka stödmekanismen. nationella och lokala myndigheter bör göra större ansträngningar för att ta itu med bostadsproblemen. </w:t>
      </w:r>
    </w:p>
    <w:p>
      <w:pPr>
        <w:pStyle w:val="Normal"/>
        <w:rPr/>
      </w:pPr>
      <w:r>
        <w:rPr/>
      </w:r>
    </w:p>
    <w:p>
      <w:pPr>
        <w:pStyle w:val="P68B1DB1Normal15"/>
        <w:rPr/>
      </w:pPr>
      <w:r>
        <w:rPr/>
        <w:t xml:space="preserve">26. Vi rekommenderar att EU förbättrar regleringen och ett enhetligt genomförande av stödåtgärder för familjer med barn i alla medlemsstater. Dessa åtgärder ska särskilt omfatta följande: en förlängning av föräldraledighetens längd, storleken på barnafödspenningen och vårdbidraget. </w:t>
      </w:r>
    </w:p>
    <w:p>
      <w:pPr>
        <w:pStyle w:val="Normal"/>
        <w:rPr/>
      </w:pPr>
      <w:r>
        <w:rPr/>
        <w:t xml:space="preserve"> </w:t>
      </w:r>
    </w:p>
    <w:p>
      <w:pPr>
        <w:pStyle w:val="Normal"/>
        <w:rPr/>
      </w:pPr>
      <w:r>
        <w:rPr/>
        <w:t xml:space="preserve">Vi gör denna rekommendation eftersom vi anser att dessa åtgärder skulle mildra det demografiska problem som EU står inför. De skulle också förbättra jämställdheten mellan föräldrarna. </w:t>
      </w:r>
    </w:p>
    <w:p>
      <w:pPr>
        <w:pStyle w:val="Normal"/>
        <w:rPr/>
      </w:pPr>
      <w:r>
        <w:rPr/>
      </w:r>
    </w:p>
    <w:p>
      <w:pPr>
        <w:pStyle w:val="P68B1DB1Normal15"/>
        <w:rPr/>
      </w:pPr>
      <w:r>
        <w:rPr/>
        <w:t xml:space="preserve">27. Vi rekommenderar att EU vidtar åtgärder för att se till att alla familjer åtnjuter samma familjerättigheter i alla medlemsstater. Dessa rättigheter omfattar rätten till äktenskap och adoption. </w:t>
      </w:r>
    </w:p>
    <w:p>
      <w:pPr>
        <w:pStyle w:val="Normal"/>
        <w:rPr/>
      </w:pPr>
      <w:r>
        <w:rPr/>
        <w:t xml:space="preserve"> </w:t>
      </w:r>
    </w:p>
    <w:p>
      <w:pPr>
        <w:pStyle w:val="Normal"/>
        <w:rPr/>
      </w:pPr>
      <w:r>
        <w:rPr/>
        <w:t xml:space="preserve">Vi gör denna rekommendation eftersom vi anser att alla EU-medborgare bör åtnjuta lika rättigheter, inklusive familjerättigheter. Familjen är den grundläggande formen av social organisation. En lycklig familj bidrar till ett hälsosamt samhälle. Syftet med rekommendationen är att se till att alla medborgare åtnjuter familjerättigheter, oavsett kön, vuxen ålder, etniskt ursprung eller fysisk hälsa.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Delaxel 3.3 Eget kapital/delaxel 3.4 Tillgång till idrott </w:t>
      </w:r>
      <w:commentRangeEnd w:id="1"/>
      <w:r>
        <w:commentReference w:id="1"/>
      </w:r>
      <w:r>
        <w:rPr/>
      </w:r>
    </w:p>
    <w:p>
      <w:pPr>
        <w:pStyle w:val="Normal"/>
        <w:rPr/>
      </w:pPr>
      <w:r>
        <w:rPr/>
        <w:t xml:space="preserve"> </w:t>
      </w:r>
    </w:p>
    <w:p>
      <w:pPr>
        <w:pStyle w:val="P68B1DB1Normal15"/>
        <w:rPr/>
      </w:pPr>
      <w:r>
        <w:rPr/>
        <w:t xml:space="preserve">28. Vi rekommenderar att EU:s jämställdhetsstrategi 2020–2025 starkt främjas och ges hög prioritet som en brådskande fråga som effektivt hanteras av medlemsstaterna. EU bör a) fastställa indikatorer (attityder, löneklyftor, sysselsättning, ledarskap osv.), övervaka strategin på årlig basis och vara öppna för de resultat som uppnåtts. och b) inrätta en ombudsman för att få direkt återkoppling från medborgarna. </w:t>
      </w:r>
    </w:p>
    <w:p>
      <w:pPr>
        <w:pStyle w:val="Normal"/>
        <w:rPr/>
      </w:pPr>
      <w:r>
        <w:rPr/>
        <w:t xml:space="preserve"> </w:t>
      </w:r>
    </w:p>
    <w:p>
      <w:pPr>
        <w:pStyle w:val="Normal"/>
        <w:rPr/>
      </w:pPr>
      <w:r>
        <w:rPr/>
        <w:t xml:space="preserve">Vi gör denna rekommendation eftersom vi anser att könssituationen i EU är långt ifrån tillfredsställande. Det bör råda harmoni när det gäller jämställdhet och medborgerliga rättigheter på europeisk nivå för att uppnå målen om jämställdhet och medborgerliga rättigheter i alla länder, inte bara i de länder där kompromissen är starkare. Vi är engagerade i kvinnors närvaro och bidrag i maktpositioner och i alla typer av yrken, för att få en mångsidig och uppfyllande EU. Kvinnor är missgynnade i många situationer (även när de har en god utbildningsnivå/certifierad högre utbildning eller andra privilegier), så en sådan strategi är absolut nödvändig. </w:t>
      </w:r>
    </w:p>
    <w:p>
      <w:pPr>
        <w:pStyle w:val="Normal"/>
        <w:rPr/>
      </w:pPr>
      <w:r>
        <w:rPr/>
      </w:r>
    </w:p>
    <w:p>
      <w:pPr>
        <w:pStyle w:val="P68B1DB1Normal15"/>
        <w:rPr/>
      </w:pPr>
      <w:r>
        <w:rPr/>
        <w:t xml:space="preserve">29. Vi rekommenderar att EU främjar och ökar allmänhetens medvetenhet om idrott och fysisk aktivitet i alla medlemsstater på grund av deras hälsofördelar. Idrott och fysisk aktivitet bör inkluderas i socialpolitiken, politiken för psykisk och fysisk hälsa, utbildnings- och arbetsmarknadspolitiken (dvs. främja läkares förskrivning av idrott och/eller fysisk aktivitet och, i förekommande fall, säkerställa tillgång till idrottsanläggningar. 1 timmes arbete/vecka för fysisk aktivitet, etc.). </w:t>
      </w:r>
    </w:p>
    <w:p>
      <w:pPr>
        <w:pStyle w:val="Normal"/>
        <w:rPr/>
      </w:pPr>
      <w:r>
        <w:rPr/>
        <w:t xml:space="preserve"> </w:t>
      </w:r>
    </w:p>
    <w:p>
      <w:pPr>
        <w:pStyle w:val="Normal"/>
        <w:rPr/>
      </w:pPr>
      <w:r>
        <w:rPr/>
        <w:t xml:space="preserve">Vi gör denna rekommendation eftersom det är en långsiktig investering. Investeringar i idrott och fysisk aktivitet minskar kostnaderna och bördorna för hälso- och sjukvården. Till exempel skulle sport och fysisk aktivitet som ett hälsoingrepp minska behandlingstiden och göra dem mer effektiva. Denna strategi genomförs redan framgångsrikt i vissa länder som Tyskland. Idrott är ett sätt att bygga värderingar som engagemang, ansträngning, självkänsla, respekt eller kamratskap. Stillasittande livsstil är vanligare än tidigare generationer på grund av bland annat fler kontorsjobb och/eller förändringar i fritidsvanor. </w:t>
      </w:r>
    </w:p>
    <w:p>
      <w:pPr>
        <w:pStyle w:val="Normal"/>
        <w:rPr/>
      </w:pPr>
      <w:r>
        <w:rPr/>
      </w:r>
    </w:p>
    <w:p>
      <w:pPr>
        <w:pStyle w:val="P68B1DB1Normal15"/>
        <w:rPr/>
      </w:pPr>
      <w:r>
        <w:rPr/>
        <w:t xml:space="preserve">30. Vi rekommenderar att EU ålägger varje medlemsstat att ha en minimilön som definieras utifrån levnadskostnaderna på dess territorium och anses vara en skälig lön som möjliggör minimilivsvillkor, över fattigdomsgränsen. Varje medlemsstat måste övervaka den. </w:t>
      </w:r>
    </w:p>
    <w:p>
      <w:pPr>
        <w:pStyle w:val="Normal"/>
        <w:rPr/>
      </w:pPr>
      <w:r>
        <w:rPr/>
        <w:t xml:space="preserve"> </w:t>
      </w:r>
    </w:p>
    <w:p>
      <w:pPr>
        <w:pStyle w:val="Normal"/>
        <w:rPr/>
      </w:pPr>
      <w:r>
        <w:rPr/>
        <w:t xml:space="preserve">Vi gör denna rekommendation eftersom det är orättvist att inte kunna nå slutet av månaden när vi arbetar. Rättvisa löner bör bidra till livskvaliteten på social nivå. Orättvisa löner har höga kostnader för staterna (säkerhet, skatteflykt, högre sociala kostnader osv.). </w:t>
      </w:r>
    </w:p>
    <w:p>
      <w:pPr>
        <w:pStyle w:val="Normal"/>
        <w:rPr/>
      </w:pPr>
      <w:r>
        <w:rPr/>
      </w:r>
    </w:p>
    <w:p>
      <w:pPr>
        <w:pStyle w:val="P68B1DB1Normal15"/>
        <w:rPr/>
      </w:pPr>
      <w:r>
        <w:rPr/>
        <w:t xml:space="preserve">31. Vi rekommenderar skatteharmonisering i medlemsstaterna på EU-nivå (för att undvika skatteparadis i EU och bekämpa omlokalisering inom Europa) samt ett skatteincitament för att motverka omlokalisering av arbetstillfällen utanför Europa. </w:t>
      </w:r>
    </w:p>
    <w:p>
      <w:pPr>
        <w:pStyle w:val="Normal"/>
        <w:rPr/>
      </w:pPr>
      <w:r>
        <w:rPr/>
        <w:t xml:space="preserve"> </w:t>
      </w:r>
    </w:p>
    <w:p>
      <w:pPr>
        <w:pStyle w:val="Normal"/>
        <w:rPr/>
      </w:pPr>
      <w:r>
        <w:rPr/>
        <w:t xml:space="preserve">Vi gör denna rekommendation eftersom vi är oroade över effekterna av omlokaliseringen av arbetstillfällen utanför Europa och anser att det skulle förhindra skattekonkurrens mellan EU:s medlemsstater. </w:t>
      </w:r>
    </w:p>
    <w:p>
      <w:pPr>
        <w:pStyle w:val="Normal"/>
        <w:rPr/>
      </w:pPr>
      <w:r>
        <w:rPr/>
      </w:r>
    </w:p>
    <w:p>
      <w:pPr>
        <w:pStyle w:val="Titre3"/>
        <w:numPr>
          <w:ilvl w:val="2"/>
          <w:numId w:val="2"/>
        </w:numPr>
        <w:rPr/>
      </w:pPr>
      <w:bookmarkStart w:id="119" w:name="__RefHeading___Toc297173_1346298689"/>
      <w:bookmarkEnd w:id="119"/>
      <w:r>
        <w:rPr/>
        <w:t xml:space="preserve">Axel 4 Lärande i Europa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Delaxel 4.1 Europeisk identitet/delaxel 4.2 Digital utbildning </w:t>
      </w:r>
      <w:commentRangeEnd w:id="2"/>
      <w:r>
        <w:commentReference w:id="2"/>
      </w:r>
      <w:r>
        <w:rPr/>
      </w:r>
    </w:p>
    <w:p>
      <w:pPr>
        <w:pStyle w:val="Normal"/>
        <w:rPr/>
      </w:pPr>
      <w:r>
        <w:rPr/>
        <w:t xml:space="preserve"> </w:t>
      </w:r>
    </w:p>
    <w:p>
      <w:pPr>
        <w:pStyle w:val="P68B1DB1Normal15"/>
        <w:rPr/>
      </w:pPr>
      <w:r>
        <w:rPr/>
        <w:t xml:space="preserve">32. Vi rekommenderar att man främjar flerspråkighet från tidig ålder, till exempel från dagis. Från och med grundskolan bör det vara obligatoriskt för barn att nå C1-nivå på ett annat aktivt EU-språk än sitt eget. </w:t>
      </w:r>
    </w:p>
    <w:p>
      <w:pPr>
        <w:pStyle w:val="Normal"/>
        <w:rPr/>
      </w:pPr>
      <w:r>
        <w:rPr/>
        <w:t xml:space="preserve"> </w:t>
      </w:r>
    </w:p>
    <w:p>
      <w:pPr>
        <w:pStyle w:val="Normal"/>
        <w:rPr/>
      </w:pPr>
      <w:r>
        <w:rPr/>
        <w:t xml:space="preserve">Vi gör denna rekommendation eftersom flerspråkighet är ett verktyg som förbinder medborgarna och en bro till andra kulturer, vilket gör andra länder och deras kulturer mer tillgängliga. Det stärker den europeiska identiteten och interkulturella utbyten. Det är viktigt att lära känna andra kulturer inom ramen för Europeiska unionen. Att kunna samtala på en bra nivå på två språk skulle därför bidra till att skapa en gemensam europeisk identitet och förståelse för andra europeiska kulturer. EU måste ha ett nära samarbete med utbildningsinstitutioner för att uppnå goda resultat inom utbildningen. Det är också nödvändigt att inrätta ett särskilt program (t.ex. digitala plattformar, utökade Erasmus±program osv.) för att enbart främja flerspråkighet. De nuvarande Europaskolorna kan fungera som förebild i detta avseende. EU bör skapa och aktivt främja fler sådana skolor. </w:t>
      </w:r>
    </w:p>
    <w:p>
      <w:pPr>
        <w:pStyle w:val="Normal"/>
        <w:rPr/>
      </w:pPr>
      <w:r>
        <w:rPr/>
      </w:r>
    </w:p>
    <w:p>
      <w:pPr>
        <w:pStyle w:val="P68B1DB1Normal15"/>
        <w:rPr/>
      </w:pPr>
      <w:r>
        <w:rPr/>
        <w:t xml:space="preserve">33. Vi rekommenderar att EU ökar medvetenheten bland ungdomar om farorna med internet och digitalisering genom att skapa ett obligatoriskt ämne i grundskolan. EU bör utveckla verktyg och skapa gemensamma utbildningsplatser för ungdomar att lära tillsammans. </w:t>
      </w:r>
    </w:p>
    <w:p>
      <w:pPr>
        <w:pStyle w:val="Normal"/>
        <w:rPr/>
      </w:pPr>
      <w:r>
        <w:rPr/>
        <w:t xml:space="preserve"> </w:t>
      </w:r>
    </w:p>
    <w:p>
      <w:pPr>
        <w:pStyle w:val="Normal"/>
        <w:rPr/>
      </w:pPr>
      <w:r>
        <w:rPr/>
        <w:t xml:space="preserve">Vi gör denna rekommendation eftersom de nuvarande initiativen eller programmen på detta område inte är tillräckliga. Dessutom är många EU-medborgare inte medvetna om befintliga EU-initiativ på dessa områden. Barn är inte tillräckligt medvetna om farorna med internet, varför vi bör göra mycket mer för att öka medvetenheten bland den yngre generationen. </w:t>
      </w:r>
    </w:p>
    <w:p>
      <w:pPr>
        <w:pStyle w:val="Normal"/>
        <w:rPr/>
      </w:pPr>
      <w:r>
        <w:rPr/>
        <w:t xml:space="preserve"> </w:t>
      </w:r>
    </w:p>
    <w:p>
      <w:pPr>
        <w:pStyle w:val="P68B1DB1Normal15"/>
        <w:rPr/>
      </w:pPr>
      <w:r>
        <w:rPr/>
        <w:t xml:space="preserve">34. Vi rekommenderar att EU arbetar för att göra tekniken mer tillgänglig för äldre genom att uppmuntra program och initiativ, till exempel i form av kurser som är anpassade till deras behov. EU bör garantera rätten att använda digital teknik för dem som vill ha den och föreslå alternativ för dem som inte vill ha den. </w:t>
      </w:r>
    </w:p>
    <w:p>
      <w:pPr>
        <w:pStyle w:val="Normal"/>
        <w:rPr/>
      </w:pPr>
      <w:r>
        <w:rPr/>
        <w:t xml:space="preserve"> </w:t>
      </w:r>
    </w:p>
    <w:p>
      <w:pPr>
        <w:pStyle w:val="Normal"/>
        <w:rPr/>
      </w:pPr>
      <w:r>
        <w:rPr/>
        <w:t xml:space="preserve">Vi gör denna rekommendation eftersom EU bör se till att äldre människor kan delta i den digitala världen och att ingen diskrimineras. Förenklade verktyg bör införas för generationer som är mindre erfarna när det gäller användning av viss teknik för att integrera dem i dagens värld. Vi rekommenderar att befintliga initiativ främjas bättre så att medborgarna blir medvetna om dem. Äldre bör inte diskrimineras i EU när det gäller användningen av it-verktyg. (Som en incident innebär detta att medborgarna ska kunna leva sina liv utan att behöva gå via ett internetnätverk). EU bör organisera och tillgängliggöra permanent kostnadsfritt stöd för äldre för att underlätta tillgången till digitala verktyg. </w:t>
      </w:r>
    </w:p>
    <w:p>
      <w:pPr>
        <w:pStyle w:val="Normal"/>
        <w:rPr/>
      </w:pPr>
      <w:r>
        <w:rPr/>
      </w:r>
    </w:p>
    <w:p>
      <w:pPr>
        <w:pStyle w:val="Titre4"/>
        <w:numPr>
          <w:ilvl w:val="3"/>
          <w:numId w:val="2"/>
        </w:numPr>
        <w:rPr/>
      </w:pPr>
      <w:bookmarkStart w:id="121" w:name="__RefHeading___Toc297177_1346298689"/>
      <w:bookmarkEnd w:id="121"/>
      <w:r>
        <w:rPr/>
        <w:t xml:space="preserve">Delaxel 4.3 Kulturutbyte/Sub-axel 4.4 Miljöutbildning </w:t>
      </w:r>
    </w:p>
    <w:p>
      <w:pPr>
        <w:pStyle w:val="Normal"/>
        <w:rPr/>
      </w:pPr>
      <w:r>
        <w:rPr/>
        <w:t xml:space="preserve"> </w:t>
      </w:r>
    </w:p>
    <w:p>
      <w:pPr>
        <w:pStyle w:val="P68B1DB1Normal15"/>
        <w:rPr/>
      </w:pPr>
      <w:r>
        <w:rPr/>
        <w:t xml:space="preserve">35. Vi rekommenderar att EU skapar en plattform där utbildningsmaterial om klimatförändringar, hållbarhet och miljöfrågor kommer att göras tillgängligt i utbildningssyfte. Sådan information bör grundas på fakta, verifieras av experter och anpassas till varje medlemsstat. Plattformen: </w:t>
      </w:r>
    </w:p>
    <w:p>
      <w:pPr>
        <w:pStyle w:val="P68B1DB1Normal15"/>
        <w:rPr/>
      </w:pPr>
      <w:r>
        <w:rPr/>
        <w:t xml:space="preserve">● </w:t>
      </w:r>
      <w:r>
        <w:rPr/>
        <w:t xml:space="preserve">bör omfatta lärdomar för olika målgrupper, t.ex. för människor som bor i stads- eller landsbygdsområden, alla åldersgrupper och tidigare kunskaper. </w:t>
      </w:r>
    </w:p>
    <w:p>
      <w:pPr>
        <w:pStyle w:val="P68B1DB1Normal15"/>
        <w:rPr/>
      </w:pPr>
      <w:r>
        <w:rPr/>
        <w:t xml:space="preserve">● </w:t>
      </w:r>
      <w:r>
        <w:rPr/>
        <w:t xml:space="preserve">måste göras tillgängliga för alla medlemsstater och vara lättillgängliga. </w:t>
      </w:r>
    </w:p>
    <w:p>
      <w:pPr>
        <w:pStyle w:val="P68B1DB1Normal15"/>
        <w:rPr/>
      </w:pPr>
      <w:r>
        <w:rPr/>
        <w:t xml:space="preserve">● </w:t>
      </w:r>
      <w:r>
        <w:rPr/>
        <w:t xml:space="preserve">bör i genomförandet inkludera en säljfrämjande plan som bör omfatta de berörda företagen. </w:t>
      </w:r>
    </w:p>
    <w:p>
      <w:pPr>
        <w:pStyle w:val="P68B1DB1Normal15"/>
        <w:rPr/>
      </w:pPr>
      <w:r>
        <w:rPr/>
        <w:t xml:space="preserve">● </w:t>
      </w:r>
      <w:r>
        <w:rPr/>
        <w:t xml:space="preserve">skulle kunna göras tillgängligt samtidigt som ett finansieringsprogram för att stödja användningen och genomförandet av den information som finns tillgänglig på plattformen. Denna finansiering bör också stödja besök på fältet för att presentera konkreta exempel. </w:t>
      </w:r>
    </w:p>
    <w:p>
      <w:pPr>
        <w:pStyle w:val="Normal"/>
        <w:rPr/>
      </w:pPr>
      <w:r>
        <w:rPr/>
        <w:t xml:space="preserve"> </w:t>
      </w:r>
    </w:p>
    <w:p>
      <w:pPr>
        <w:pStyle w:val="Normal"/>
        <w:rPr/>
      </w:pPr>
      <w:r>
        <w:rPr/>
        <w:t xml:space="preserve">Vi gör denna rekommendation eftersom människor i alla åldrar behöver tillgång till faktainformation om hur man hanterar klimatförändringar, hållbarhet och miljöfrågor. Viktiga begrepp, som det ekologiska fotavtrycket, måste förstås av alla, särskilt ungdomar, eftersom det vi lär oss följer med oss under hela livet. Dessa frågor är komplexa och desinformationen är utbredd. Vi behöver en tillförlitlig källa och EU har trovärdighet och resurser för att ta på sig denna roll. Detta är också viktigt eftersom kunskapsnivån och tillgången till trovärdig information varierar från en medlemsstat till en annan. </w:t>
      </w:r>
    </w:p>
    <w:p>
      <w:pPr>
        <w:pStyle w:val="Normal"/>
        <w:rPr/>
      </w:pPr>
      <w:r>
        <w:rPr/>
      </w:r>
    </w:p>
    <w:p>
      <w:pPr>
        <w:pStyle w:val="P68B1DB1Normal15"/>
        <w:rPr/>
      </w:pPr>
      <w:r>
        <w:rPr/>
        <w:t xml:space="preserve">36. Vi rekommenderar att EU prioriterar att se till att utbytesprogram är tillgängliga för alla (åldersgrupper, medlemsstater, utbildningsnivåer och ekonomisk kapacitet) och att möjliggöra praktik eller utbyte mellan sektorer, länder, utbildningsinstitutioner, städer och företag. EU bör ansvara för att lansera, förmedla och finansiera kulturella och sociala utbyten i hela EU, både fysiskt och digitalt. EU måste aktivt främja dessa initiativ och rikta sig till människor som ännu inte är medvetna om program för kulturellt och socialt utbyte. Konferensen om Europas framtid, där medborgarna slumpmässigt valdes ut, är det perfekta exemplet på ett europeiskt utbyte. Vi vill ha fler initiativ av detta slag, men vi vill också ha småskaliga initiativ, liksom utbyten inom idrott, musik, (sociala) praktikplatser etc. </w:t>
      </w:r>
    </w:p>
    <w:p>
      <w:pPr>
        <w:pStyle w:val="P68B1DB1Normal15"/>
        <w:rPr/>
      </w:pPr>
      <w:r>
        <w:rPr/>
        <w:t xml:space="preserve"> </w:t>
      </w:r>
    </w:p>
    <w:p>
      <w:pPr>
        <w:pStyle w:val="Normal"/>
        <w:rPr/>
      </w:pPr>
      <w:r>
        <w:rPr/>
        <w:t xml:space="preserve">Vi gör denna rekommendation eftersom det är viktigt att skapa en känsla av tillhörighet och sammanhållning och att främja tolerans för vår magnifika mångfald och perspektiv, samt utveckling av individuella färdigheter. Denna process kommer att utveckla vänskap, ömsesidig förståelse och kritiskt tänkande. Vi vill främja engagemang från alla medlemmar i våra samhällen, även de som hittills inte har deltagit i sådana initiativ. </w:t>
      </w:r>
    </w:p>
    <w:p>
      <w:pPr>
        <w:pStyle w:val="Normal"/>
        <w:rPr/>
      </w:pPr>
      <w:r>
        <w:rPr/>
      </w:r>
    </w:p>
    <w:p>
      <w:pPr>
        <w:pStyle w:val="Titre4"/>
        <w:numPr>
          <w:ilvl w:val="3"/>
          <w:numId w:val="2"/>
        </w:numPr>
        <w:rPr/>
      </w:pPr>
      <w:bookmarkStart w:id="122" w:name="__RefHeading___Toc297179_1346298689"/>
      <w:bookmarkEnd w:id="122"/>
      <w:r>
        <w:rPr/>
        <w:t xml:space="preserve">Delaxel 4.5 Kvalitet, finansiering och tillgång till utbildning/Sub-axel 4.6 Harmonisering av utbildning </w:t>
      </w:r>
    </w:p>
    <w:p>
      <w:pPr>
        <w:pStyle w:val="Normal"/>
        <w:rPr/>
      </w:pPr>
      <w:r>
        <w:rPr/>
        <w:t xml:space="preserve"> </w:t>
      </w:r>
    </w:p>
    <w:p>
      <w:pPr>
        <w:pStyle w:val="P68B1DB1Normal15"/>
        <w:rPr/>
      </w:pPr>
      <w:r>
        <w:rPr/>
        <w:t xml:space="preserve">37. Vi rekommenderar att alla medlemsstater fastställer och antar en minimistandard för certifierad utbildning i grundläggande ämnen från och med grundskolan. Målet är att se till att alla medborgare har lika tillgång till utbildning av god kvalitet som garanterar jämlikhet och jämlikhet. </w:t>
      </w:r>
    </w:p>
    <w:p>
      <w:pPr>
        <w:pStyle w:val="Normal"/>
        <w:rPr/>
      </w:pPr>
      <w:r>
        <w:rPr/>
      </w:r>
    </w:p>
    <w:p>
      <w:pPr>
        <w:pStyle w:val="Normal"/>
        <w:rPr/>
      </w:pPr>
      <w:r>
        <w:rPr/>
        <w:t xml:space="preserve">Vi gör denna rekommendation av följande skäl: </w:t>
      </w:r>
    </w:p>
    <w:p>
      <w:pPr>
        <w:pStyle w:val="Normal"/>
        <w:rPr/>
      </w:pPr>
      <w:r>
        <w:rPr/>
        <w:t xml:space="preserve">● </w:t>
      </w:r>
      <w:r>
        <w:rPr/>
        <w:t xml:space="preserve">förekomsten av en minimistandard skulle öka föräldrarnas, lärarnas och elevernas förtroende för deras utbildningssystem och samtidigt ge utrymme för initiativ och mångfald. </w:t>
      </w:r>
    </w:p>
    <w:p>
      <w:pPr>
        <w:pStyle w:val="Normal"/>
        <w:rPr/>
      </w:pPr>
      <w:r>
        <w:rPr/>
        <w:t xml:space="preserve">Om vår rekommendation genomförs kommer vi att stärka och stärka den gemensamma europeiska identiteten, främja sammanhållning, enighet och en känsla av tillhörighet. </w:t>
      </w:r>
    </w:p>
    <w:p>
      <w:pPr>
        <w:pStyle w:val="Normal"/>
        <w:rPr/>
      </w:pPr>
      <w:r>
        <w:rPr/>
        <w:t xml:space="preserve">● </w:t>
      </w:r>
      <w:r>
        <w:rPr/>
        <w:t xml:space="preserve">Genomförandet av denna rekommendation skulle stärka samarbetet och utbytet mellan skolor i hela EU, vilket skulle förbättra relationerna mellan lärare och elever och i hög grad underlätta utbytesprogram. </w:t>
      </w:r>
    </w:p>
    <w:p>
      <w:pPr>
        <w:pStyle w:val="Normal"/>
        <w:rPr/>
      </w:pPr>
      <w:r>
        <w:rPr/>
      </w:r>
    </w:p>
    <w:p>
      <w:pPr>
        <w:pStyle w:val="P68B1DB1Normal15"/>
        <w:rPr/>
      </w:pPr>
      <w:r>
        <w:rPr/>
        <w:t xml:space="preserve">38. Vi rekommenderar att engelska undervisas enligt en certifierbar standard som ett huvudämne i grundskolan i alla EU:s medlemsstater för att underlätta och stärka EU-medborgarnas förmåga att kommunicera effektivt. </w:t>
      </w:r>
    </w:p>
    <w:p>
      <w:pPr>
        <w:pStyle w:val="Normal"/>
        <w:rPr/>
      </w:pPr>
      <w:r>
        <w:rPr/>
        <w:t xml:space="preserve"> </w:t>
      </w:r>
    </w:p>
    <w:p>
      <w:pPr>
        <w:pStyle w:val="Normal"/>
        <w:rPr/>
      </w:pPr>
      <w:r>
        <w:rPr/>
        <w:t xml:space="preserve">Vi gör denna rekommendation av följande skäl: </w:t>
      </w:r>
    </w:p>
    <w:p>
      <w:pPr>
        <w:pStyle w:val="Normal"/>
        <w:rPr/>
      </w:pPr>
      <w:r>
        <w:rPr/>
        <w:t xml:space="preserve">● </w:t>
      </w:r>
      <w:r>
        <w:rPr/>
        <w:t xml:space="preserve">detta skulle möjliggöra större enighet och jämlikhet genom att stärka medborgarnas förmåga att kommunicera med varandra och stödja en starkare gemensam europeisk identitet. </w:t>
      </w:r>
    </w:p>
    <w:p>
      <w:pPr>
        <w:pStyle w:val="Normal"/>
        <w:rPr/>
      </w:pPr>
      <w:r>
        <w:rPr/>
        <w:t xml:space="preserve">● </w:t>
      </w:r>
      <w:r>
        <w:rPr/>
        <w:t xml:space="preserve">detta skulle utvidga arbetsmarknaden och göra den mer flexibel och tillgänglig, vilket skulle ge medborgarna förtroende för att arbeta och kommunicera i alla andra medlemsstater som erbjuder mer personliga och yrkesmässiga perspektiv. </w:t>
      </w:r>
    </w:p>
    <w:p>
      <w:pPr>
        <w:pStyle w:val="Normal"/>
        <w:rPr/>
      </w:pPr>
      <w:r>
        <w:rPr/>
        <w:t xml:space="preserve">● </w:t>
      </w:r>
      <w:r>
        <w:rPr/>
        <w:t xml:space="preserve">ett sådant tillvägagångssätt skulle göra det möjligt att sprida ett gemensamt europeiskt språk inom mycket kort tid. </w:t>
      </w:r>
    </w:p>
    <w:p>
      <w:pPr>
        <w:pStyle w:val="Normal"/>
        <w:rPr/>
      </w:pPr>
      <w:r>
        <w:rPr/>
        <w:t xml:space="preserve">● </w:t>
      </w:r>
      <w:r>
        <w:rPr/>
        <w:t xml:space="preserve">användningen av ett gemensamt språk påskyndar informationsutbytet, vilket skulle gynna samarbete, gemensam krishantering, humanitärt bistånd och närmande mellan Europa och européerna. </w:t>
      </w:r>
    </w:p>
    <w:p>
      <w:pPr>
        <w:pStyle w:val="Normal"/>
        <w:rPr/>
      </w:pPr>
      <w:r>
        <w:rPr/>
      </w:r>
    </w:p>
    <w:p>
      <w:pPr>
        <w:pStyle w:val="Titre3"/>
        <w:numPr>
          <w:ilvl w:val="2"/>
          <w:numId w:val="2"/>
        </w:numPr>
        <w:rPr/>
      </w:pPr>
      <w:bookmarkStart w:id="123" w:name="__RefHeading___Toc297181_1346298689"/>
      <w:bookmarkEnd w:id="123"/>
      <w:r>
        <w:rPr/>
        <w:t xml:space="preserve">Axel 5 En etisk och säker digital omvandling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Delaxel 5.1 Demokratisering av digital omvandling/delaxel 5.2 Cybersäkerhet </w:t>
      </w:r>
      <w:commentRangeEnd w:id="3"/>
      <w:r>
        <w:commentReference w:id="3"/>
      </w:r>
      <w:r>
        <w:rPr/>
      </w:r>
    </w:p>
    <w:p>
      <w:pPr>
        <w:pStyle w:val="Normal"/>
        <w:rPr/>
      </w:pPr>
      <w:r>
        <w:rPr/>
        <w:t xml:space="preserve"> </w:t>
      </w:r>
    </w:p>
    <w:p>
      <w:pPr>
        <w:pStyle w:val="P68B1DB1Normal15"/>
        <w:rPr/>
      </w:pPr>
      <w:r>
        <w:rPr/>
        <w:t xml:space="preserve">39. Vi rekommenderar att EU har större befogenheter att bekämpa olagligt innehåll och it-brottslighet. Vi rekommenderar att kapaciteten hos Europol/Europeiska it-brottscentrumet stärks, bland annat följande: </w:t>
      </w:r>
    </w:p>
    <w:p>
      <w:pPr>
        <w:pStyle w:val="P68B1DB1Normal15"/>
        <w:rPr/>
      </w:pPr>
      <w:r>
        <w:rPr/>
        <w:t xml:space="preserve">● </w:t>
      </w:r>
      <w:r>
        <w:rPr/>
        <w:t xml:space="preserve">öka de ekonomiska resurserna och personalstyrkan </w:t>
      </w:r>
    </w:p>
    <w:p>
      <w:pPr>
        <w:pStyle w:val="P68B1DB1Normal15"/>
        <w:rPr/>
      </w:pPr>
      <w:r>
        <w:rPr/>
        <w:t xml:space="preserve">● </w:t>
      </w:r>
      <w:r>
        <w:rPr/>
        <w:t xml:space="preserve">garantera liknande påföljder i varje land ● säkerställa snabb och effektiv kontroll av lagligheten </w:t>
      </w:r>
    </w:p>
    <w:p>
      <w:pPr>
        <w:pStyle w:val="Normal"/>
        <w:rPr/>
      </w:pPr>
      <w:r>
        <w:rPr/>
        <w:t xml:space="preserve"> </w:t>
      </w:r>
    </w:p>
    <w:p>
      <w:pPr>
        <w:pStyle w:val="Normal"/>
        <w:rPr/>
      </w:pPr>
      <w:r>
        <w:rPr/>
        <w:t xml:space="preserve">Vi gör denna rekommendation för att säkerställa frihet på internet, samtidigt som vi ser till att diskriminering, övergrepp och trakasserier bestraffas. Vi stöder idén om ett europeiskt offentligt organ eftersom vi inte vill överlåta regleringen av onlineplattformar till privata företag. Onlineplattformar måste ta ansvar för distribuerat innehåll, men vi vill se till att det inte är deras intressen som dominerar. Innehållsreglering och lagföring av förövare måste vara snabb och effektiv, så att de också har en avskräckande effekt på skadliga individer. </w:t>
      </w:r>
    </w:p>
    <w:p>
      <w:pPr>
        <w:pStyle w:val="Normal"/>
        <w:rPr/>
      </w:pPr>
      <w:r>
        <w:rPr/>
      </w:r>
    </w:p>
    <w:p>
      <w:pPr>
        <w:pStyle w:val="P68B1DB1Normal15"/>
        <w:rPr/>
      </w:pPr>
      <w:r>
        <w:rPr/>
        <w:t xml:space="preserve">40. Vi rekommenderar att EU investerar i innovativ och högkvalitativ digital infrastruktur (t.ex. 5G som håller på att utvecklas i Europa) för att säkerställa Europas självständighet och förhindra beroende av tredjeländer eller privata företag. EU bör också ägna särskild uppmärksamhet åt investeringar i eftersläpande regioner. </w:t>
      </w:r>
    </w:p>
    <w:p>
      <w:pPr>
        <w:pStyle w:val="Normal"/>
        <w:rPr/>
      </w:pPr>
      <w:r>
        <w:rPr/>
        <w:t xml:space="preserve"> </w:t>
      </w:r>
    </w:p>
    <w:p>
      <w:pPr>
        <w:pStyle w:val="Normal"/>
        <w:rPr/>
      </w:pPr>
      <w:r>
        <w:rPr/>
        <w:t xml:space="preserve">Vi gör denna rekommendation eftersom digital infrastruktur spelar en nyckelroll i den europeiska ekonomin och i européernas dagliga liv, vilket de underlättar. Europa behöver därför högkvalitativ digital infrastruktur. Om det är beroende av tredje part kan Europa vara sårbart för negativa influenser från privata företag eller utländska länder. Europa bör därför investera i digital infrastruktur för att förbättra sin självständighet. Det är också viktigt att säkerställa digital integration genom att se till att mindre digitalt utvecklade regioner gynnas av investeringar. </w:t>
      </w:r>
    </w:p>
    <w:p>
      <w:pPr>
        <w:pStyle w:val="Normal"/>
        <w:rPr/>
      </w:pPr>
      <w:r>
        <w:rPr/>
      </w:r>
    </w:p>
    <w:p>
      <w:pPr>
        <w:pStyle w:val="P68B1DB1Normal15"/>
        <w:rPr/>
      </w:pPr>
      <w:r>
        <w:rPr/>
        <w:t xml:space="preserve">41. Vi rekommenderar att EU främjar utbildning om falska nyheter, desinformation och nätsäkerhet i europeiska skolor. Den bör utgå från exempel på god praxis från hela EU. EU bör inrätta en organisation med särskilt ansvar för att främja detta arbete och ge rekommendationer till utbildningssystemen. Det bör också främja icke-formell utbildning samt innovativa och kreativa undervisningsmetoder (t.ex. deltagandespel). </w:t>
      </w:r>
    </w:p>
    <w:p>
      <w:pPr>
        <w:pStyle w:val="Normal"/>
        <w:rPr/>
      </w:pPr>
      <w:r>
        <w:rPr/>
      </w:r>
    </w:p>
    <w:p>
      <w:pPr>
        <w:pStyle w:val="Normal"/>
        <w:rPr/>
      </w:pPr>
      <w:r>
        <w:rPr/>
        <w:t xml:space="preserve">Vi gör denna rekommendation eftersom det är viktigt att införa kurser om online-säkerhet och digital säkerhetskultur (att bekämpa onlinebedrägerier, falska nyheter etc.) i skolan för att ge alla verktyg för att skydda sig mot hot på nätet. Det är viktigt att rikta in sig på ungdomar som är mycket utsatta för sådana hot. Skolor kan också kommunicera med föräldrar för att främja god praxis. Dessa kurser kan baseras på exempel på god praxis i Europa (t.ex. Finland), samtidigt som de anpassas till varje lands behov. </w:t>
      </w:r>
    </w:p>
    <w:p>
      <w:pPr>
        <w:pStyle w:val="Normal"/>
        <w:rPr/>
      </w:pPr>
      <w:r>
        <w:rPr/>
        <w:t xml:space="preserve"> </w:t>
      </w:r>
    </w:p>
    <w:p>
      <w:pPr>
        <w:pStyle w:val="Titre4"/>
        <w:numPr>
          <w:ilvl w:val="3"/>
          <w:numId w:val="2"/>
        </w:numPr>
        <w:rPr/>
      </w:pPr>
      <w:bookmarkStart w:id="125" w:name="__RefHeading___Toc297185_1346298689"/>
      <w:bookmarkEnd w:id="125"/>
      <w:r>
        <w:rPr/>
        <w:t xml:space="preserve">Delaxel 5.3 Dataskydd </w:t>
      </w:r>
    </w:p>
    <w:p>
      <w:pPr>
        <w:pStyle w:val="Normal"/>
        <w:rPr/>
      </w:pPr>
      <w:r>
        <w:rPr/>
        <w:t xml:space="preserve"> </w:t>
      </w:r>
    </w:p>
    <w:p>
      <w:pPr>
        <w:pStyle w:val="P68B1DB1Normal15"/>
        <w:rPr/>
      </w:pPr>
      <w:r>
        <w:rPr/>
        <w:t xml:space="preserve">42. Vi rekommenderar att ytterligare begränsa missbruk av data av ”datajättar” genom att öka efterlevnaden av den allmänna dataskyddsförordningen (den allmänna dataskyddsförordningen), skapa mer standardiserade mekanismer i hela EU och se till att även icke-europeiska företag som är verksamma i EU följer denna förordning. Denna förbättring bör ge en tydlig och kortfattad förklaring av villkoren för användningen av uppgifterna för att undvika tvetydighet och tillhandahållande av ytterligare information om hur uppgifterna kommer att användas och av vem, och för att undvika samtycke till vidareutnyttjande och vidareförsäljning av uppgifterna som standardalternativ. Det bör säkerställa att uppgifter raderas permanent på begäran av en medborgare. Den bör också öka samstämmigheten i övervakningen av efterlevnaden av reglerna när det gäller profilering av enskilda personer på grundval av deras onlineaktiviteter. Vi föreslår två typer av sanktioner: böter som står i proportion till företagets omsättning och begränsningar i företagets verksamhet. </w:t>
      </w:r>
    </w:p>
    <w:p>
      <w:pPr>
        <w:pStyle w:val="Normal"/>
        <w:rPr/>
      </w:pPr>
      <w:r>
        <w:rPr/>
        <w:t xml:space="preserve"> </w:t>
      </w:r>
    </w:p>
    <w:p>
      <w:pPr>
        <w:pStyle w:val="Normal"/>
        <w:rPr/>
      </w:pPr>
      <w:r>
        <w:rPr/>
        <w:t xml:space="preserve">Vi gör denna rekommendation eftersom transparensen för närvarande är mycket begränsad när det gäller vilken typ av uppgifter som samlas in, hur de behandlas och identiteten på dem som de säljs till. Vi måste ytterligare begränsa maktmissbruket av datajättar och se till att medborgarna samtycker till att deras uppgifter behandlas medvetet. </w:t>
      </w:r>
    </w:p>
    <w:p>
      <w:pPr>
        <w:pStyle w:val="Normal"/>
        <w:rPr/>
      </w:pPr>
      <w:r>
        <w:rPr/>
        <w:t xml:space="preserve"> </w:t>
      </w:r>
    </w:p>
    <w:p>
      <w:pPr>
        <w:pStyle w:val="P68B1DB1Normal15"/>
        <w:rPr/>
      </w:pPr>
      <w:r>
        <w:rPr/>
        <w:t xml:space="preserve">43. Vi rekommenderar att det inrättas en oberoende alleuropeisk byrå som tydligt definierar påträngande beteende (t.ex. skräppost) och utarbetar riktlinjer för hur medborgarna kan motsätta sig behandlingen av sina uppgifter och få dem att raderas, särskilt från tredje part. Byrån måste ha mandat att identifiera och bestraffa bedragare och organisationer som inte följer reglerna. Den bör inriktas på att säkerställa att enheter som är etablerade utanför EU men som är verksamma där följer EU-reglerna. Det skulle finansieras av EU-institutionerna och bestå av en gemensam styrelse bestående av oberoende organ (dvs. experter från den akademiska världen och enheter som företräder yrkesverksamma). Det borde ha ett roterande praesidium. Vi föreslår två typer av sanktioner: böter som står i proportion till företagens omsättning och begränsningar av företagens verksamhet. </w:t>
      </w:r>
    </w:p>
    <w:p>
      <w:pPr>
        <w:pStyle w:val="Normal"/>
        <w:rPr/>
      </w:pPr>
      <w:r>
        <w:rPr/>
      </w:r>
    </w:p>
    <w:p>
      <w:pPr>
        <w:pStyle w:val="Normal"/>
        <w:rPr/>
      </w:pPr>
      <w:r>
        <w:rPr/>
        <w:t xml:space="preserve">Vi gör denna rekommendation eftersom det inte finns någon central byrå med ett starkt mandat som kan hjälpa medborgarna, särskilt när de har problem och behöver hjälp, råd eller stöd. Det finns inga tydliga och bindande regler som företagen måste följa. När det gäller sanktioner tillämpas de inte eller har en försumbar inverkan på företagen. </w:t>
      </w:r>
    </w:p>
    <w:p>
      <w:pPr>
        <w:pStyle w:val="Normal"/>
        <w:rPr/>
      </w:pPr>
      <w:r>
        <w:rPr/>
        <w:t xml:space="preserve"> </w:t>
      </w:r>
    </w:p>
    <w:p>
      <w:pPr>
        <w:pStyle w:val="P68B1DB1Normal15"/>
        <w:rPr/>
      </w:pPr>
      <w:r>
        <w:rPr/>
        <w:t xml:space="preserve">44. Vi rekommenderar att man skapar ett EU-certifieringssystem som visar att dataskyddsförordningen följs på ett transparent sätt och som säkerställer att dataskyddsinformation presenteras på ett lättillgängligt, tydligt och enkelt sätt. Detta certifikat skulle vara obligatoriskt och synligt på webbplatser och plattformar. Det bör utfärdas av en oberoende certifierare på europeisk nivå, som finns eller inrättas för detta ändamål, som inte skulle vara kopplad till nationella regeringar eller den privata sektorn. </w:t>
      </w:r>
    </w:p>
    <w:p>
      <w:pPr>
        <w:pStyle w:val="Normal"/>
        <w:rPr/>
      </w:pPr>
      <w:r>
        <w:rPr/>
        <w:t xml:space="preserve"> </w:t>
      </w:r>
    </w:p>
    <w:p>
      <w:pPr>
        <w:pStyle w:val="Normal"/>
        <w:rPr/>
      </w:pPr>
      <w:r>
        <w:rPr/>
        <w:t xml:space="preserve">Vi gör denna rekommendation eftersom det för närvarande finns liten eller ingen insyn i hur data skyddas av varje företag, och användare/kunder kan inte göra välgrundade val. </w:t>
      </w:r>
    </w:p>
    <w:p>
      <w:pPr>
        <w:pStyle w:val="Normal"/>
        <w:rPr/>
      </w:pPr>
      <w:r>
        <w:rPr/>
      </w:r>
    </w:p>
    <w:p>
      <w:pPr>
        <w:pStyle w:val="P68B1DB1Normal15"/>
        <w:rPr/>
      </w:pPr>
      <w:r>
        <w:rPr/>
        <w:t xml:space="preserve">45. Vi rekommenderar att du bättre förklarar GDPR (General Data Protection Regulation) och förbättrar kommunikationen om den genom att skapa en standardtext om efterlevnad som använder enkelt och tydligt språk, förståeligt för alla. Denna text bör innehålla ett huvudbudskap och/eller grundläggande principer. Samtyckesförfarandet bör vara mer visuellt (t.ex. en begäran om uttryckligt tillstånd för telefonåtkomst genom en ansökan). Den bör åtföljas av en informationskampanj (inklusive tv) och, systematiskt, obligatoriska kurser (åtminstone för dem som arbetar med data) och råd om avsikten hos dem som behöver hjälp. </w:t>
      </w:r>
    </w:p>
    <w:p>
      <w:pPr>
        <w:pStyle w:val="Normal"/>
        <w:rPr/>
      </w:pPr>
      <w:r>
        <w:rPr/>
        <w:t xml:space="preserve"> </w:t>
      </w:r>
    </w:p>
    <w:p>
      <w:pPr>
        <w:pStyle w:val="Normal"/>
        <w:rPr/>
      </w:pPr>
      <w:r>
        <w:rPr/>
        <w:t xml:space="preserve">Vi gör denna rekommendation eftersom ordalydelsen i GDPR för närvarande är för vag och för teknisk och mängden information är överväldigande och inte tillgänglig för alla. Kommunikationen är inte heller likartad mellan olika länder och utesluter ofta olika grupper, främst äldre och personer födda före digital teknik. </w:t>
      </w:r>
    </w:p>
    <w:p>
      <w:pPr>
        <w:pStyle w:val="Normal"/>
        <w:rPr/>
      </w:pPr>
      <w:r>
        <w:rPr/>
      </w:r>
    </w:p>
    <w:p>
      <w:pPr>
        <w:pStyle w:val="Titre4"/>
        <w:numPr>
          <w:ilvl w:val="3"/>
          <w:numId w:val="2"/>
        </w:numPr>
        <w:rPr/>
      </w:pPr>
      <w:bookmarkStart w:id="126" w:name="__RefHeading___Toc297187_1346298689"/>
      <w:bookmarkEnd w:id="126"/>
      <w:r>
        <w:rPr/>
        <w:t xml:space="preserve">Delaxel 5.4 Digital omvandling och hälsa </w:t>
      </w:r>
    </w:p>
    <w:p>
      <w:pPr>
        <w:pStyle w:val="Normal"/>
        <w:rPr/>
      </w:pPr>
      <w:r>
        <w:rPr/>
        <w:t xml:space="preserve"> </w:t>
      </w:r>
    </w:p>
    <w:p>
      <w:pPr>
        <w:pStyle w:val="P68B1DB1Normal15"/>
        <w:rPr/>
      </w:pPr>
      <w:r>
        <w:rPr/>
        <w:t xml:space="preserve">46. Vi rekommenderar att EU tar itu med problemet med ”falsk information” på två sätt: </w:t>
      </w:r>
    </w:p>
    <w:p>
      <w:pPr>
        <w:pStyle w:val="P68B1DB1Normal15"/>
        <w:rPr/>
      </w:pPr>
      <w:r>
        <w:rPr/>
        <w:t xml:space="preserve">● </w:t>
      </w:r>
      <w:r>
        <w:rPr/>
        <w:t xml:space="preserve">lagstiftning som gör det möjligt för sociala medieföretag att införa algoritmer för maskininlärning som kan belysa tillförlitligheten hos information på sociala medier och nya medier, vilket ger användaren kontrollerade informationskällor. Vi rekommenderar att algoritmer kontrolleras av experter för att säkerställa att de fungerar korrekt. </w:t>
      </w:r>
    </w:p>
    <w:p>
      <w:pPr>
        <w:pStyle w:val="P68B1DB1Normal15"/>
        <w:rPr/>
      </w:pPr>
      <w:r>
        <w:rPr/>
        <w:t xml:space="preserve">● </w:t>
      </w:r>
      <w:r>
        <w:rPr/>
        <w:t xml:space="preserve">inrättandet av en digital plattform för att tilldela information från traditionella medier (t.ex. tv, tryck, radio) en poäng, oberoende av politiska och ekonomiska intressen, och som informerar medborgarna om informationens kvalitet utan att tillämpa någon form av censur. Denna plattform bör vara föremål för offentlig granskning och respektera de högsta standarderna för öppenhet, och EU bör se till att de medel som tilldelas den används för det avsedda ändamålet. </w:t>
      </w:r>
    </w:p>
    <w:p>
      <w:pPr>
        <w:pStyle w:val="Normal"/>
        <w:rPr/>
      </w:pPr>
      <w:r>
        <w:rPr/>
        <w:t xml:space="preserve"> </w:t>
      </w:r>
    </w:p>
    <w:p>
      <w:pPr>
        <w:pStyle w:val="Normal"/>
        <w:rPr/>
      </w:pPr>
      <w:r>
        <w:rPr/>
        <w:t xml:space="preserve">Vi gör denna rekommendation eftersom olika typer av medier berörs och vi tror att sanktioner eller avlägsnande av innehåll kan leda till censur och undergräva yttrande- och pressfriheten. Vi rekommenderar att experter kontrollerar och kontrollerar att algoritmen fungerar korrekt för att säkerställa att den fungerar korrekt. Slutligen rekommenderar vi att plattformen är opolitisk och oberoende för att säkerställa öppenhet och yttrandefrihet. Eftersom det är omöjligt att helt bli av med falsk information, kommer att göra dessa verktyg tillgängliga för medborgarna att bidra till att minska deras effekter i Europa. </w:t>
      </w:r>
    </w:p>
    <w:p>
      <w:pPr>
        <w:pStyle w:val="Normal"/>
        <w:rPr/>
      </w:pPr>
      <w:r>
        <w:rPr/>
        <w:t xml:space="preserve"> </w:t>
      </w:r>
    </w:p>
    <w:p>
      <w:pPr>
        <w:pStyle w:val="P68B1DB1Normal15"/>
        <w:rPr/>
      </w:pPr>
      <w:r>
        <w:rPr/>
        <w:t xml:space="preserve">47. Vi rekommenderar att EU vidtar olika åtgärder för att säkerställa en sund användning av internet: </w:t>
      </w:r>
    </w:p>
    <w:p>
      <w:pPr>
        <w:pStyle w:val="P68B1DB1Normal15"/>
        <w:rPr/>
      </w:pPr>
      <w:r>
        <w:rPr/>
        <w:t xml:space="preserve">● </w:t>
      </w:r>
      <w:r>
        <w:rPr/>
        <w:t xml:space="preserve">Först och främst måste EU ta itu med bristen på infrastruktur och utrustning som hindrar medborgarna från att få tillgång till internet. </w:t>
      </w:r>
    </w:p>
    <w:p>
      <w:pPr>
        <w:pStyle w:val="P68B1DB1Normal15"/>
        <w:rPr/>
      </w:pPr>
      <w:r>
        <w:rPr/>
        <w:t xml:space="preserve">● </w:t>
      </w:r>
      <w:r>
        <w:rPr/>
        <w:t xml:space="preserve">Därefter rekommenderar vi att EU uppmuntrar medlemsstaterna att införa utbildning på Internet och dess risker för alla åldersgrupper. Detta skulle kunna ske genom att man inför kurser i skolor för barn och ungdomar och skapar olika läroplaner och läroplaner för att nå vuxna och äldre medborgare. Innehållet i dessa kurser bör fastställas på europeisk nivå av en grupp oberoende experter. </w:t>
      </w:r>
    </w:p>
    <w:p>
      <w:pPr>
        <w:pStyle w:val="P68B1DB1Normal15"/>
        <w:rPr/>
      </w:pPr>
      <w:r>
        <w:rPr/>
        <w:t xml:space="preserve">● </w:t>
      </w:r>
      <w:r>
        <w:rPr/>
        <w:t xml:space="preserve">Slutligen uppmanar vi EU att vidta alla nödvändiga åtgärder för att säkerställa att digitaliseringen av samhället inte utesluter äldre människor och för att se till att grundläggande tjänster också är tillgängliga personligen. </w:t>
      </w:r>
    </w:p>
    <w:p>
      <w:pPr>
        <w:pStyle w:val="Normal"/>
        <w:rPr/>
      </w:pPr>
      <w:r>
        <w:rPr/>
      </w:r>
    </w:p>
    <w:p>
      <w:pPr>
        <w:pStyle w:val="P68B1DB1Normal15"/>
        <w:rPr/>
      </w:pPr>
      <w:r>
        <w:rPr/>
        <w:t xml:space="preserve">● </w:t>
      </w:r>
      <w:r>
        <w:rPr/>
        <w:t xml:space="preserve">EU bör se till att medel som särskilt anslås till dessa verksamheter används för det avsedda ändamålet. </w:t>
      </w:r>
    </w:p>
    <w:p>
      <w:pPr>
        <w:pStyle w:val="Normal"/>
        <w:rPr/>
      </w:pPr>
      <w:r>
        <w:rPr/>
        <w:t xml:space="preserve"> </w:t>
      </w:r>
    </w:p>
    <w:p>
      <w:pPr>
        <w:pStyle w:val="Normal"/>
        <w:rPr/>
      </w:pPr>
      <w:r>
        <w:rPr/>
        <w:t xml:space="preserve">Vi gör denna rekommendation på grund av bristen på infrastruktur och utrustning (t.ex. utrustning) på vissa platser i Europa och behovet av att säkerställa anslutningen innan medborgarna utbildas, eftersom vi vet att internettillgången är begränsad i vissa regioner och för vissa profiler. Vi rekommenderar att kurser organiseras för att hjälpa barn att förvärva digitala färdigheter, tillhandahålla ytterligare program för att hjälpa äldre att digitalisera och vidta nödvändiga åtgärder för att säkerställa att den digitala omvandlingen inte undergräver äldre människors rättigheter. </w:t>
      </w:r>
    </w:p>
    <w:p>
      <w:pPr>
        <w:pStyle w:val="Normal"/>
        <w:rPr/>
      </w:pPr>
      <w:r>
        <w:rPr/>
      </w:r>
    </w:p>
    <w:p>
      <w:pPr>
        <w:pStyle w:val="P68B1DB1Normal15"/>
        <w:rPr/>
      </w:pPr>
      <w:r>
        <w:rPr/>
        <w:t xml:space="preserve">48. Vi rekommenderar att EU främjar medborgarnas utbildning i varje medlemsstat för att stärka kritiskt tänkande, skepsis och faktakontroll och lära dem att självständigt bedöma om informationen är tillförlitlig eller inte. Denna utbildning bör omfatta anordnande av särskilda kurser på grundläggande utbildningsnivå och bör erbjudas, på andra offentliga platser, till medborgare i alla åldrar som vill dra nytta av den. EU bör se till att medel som särskilt anslås till dessa verksamheter används för det avsedda ändamålet. </w:t>
      </w:r>
    </w:p>
    <w:p>
      <w:pPr>
        <w:pStyle w:val="Normal"/>
        <w:rPr/>
      </w:pPr>
      <w:r>
        <w:rPr/>
        <w:t xml:space="preserve"> </w:t>
      </w:r>
    </w:p>
    <w:p>
      <w:pPr>
        <w:pStyle w:val="Normal"/>
        <w:rPr/>
      </w:pPr>
      <w:r>
        <w:rPr/>
        <w:t xml:space="preserve">Vi gör denna rekommendation eftersom vi tror att det är omöjligt att helt bli av med falsk information. Denna utbildning kommer att hjälpa medborgarna att känna igen dem själva. Till följd av detta kommer effekterna av falsk information på samhället och på medborgarna att minskas. Det skulle också ge medborgarna större möjligheter till åtgärder, snarare än att förlita sig på institutioner för att få tillförlitlig information. </w:t>
      </w:r>
    </w:p>
    <w:p>
      <w:pPr>
        <w:pStyle w:val="Normal"/>
        <w:rPr/>
      </w:pPr>
      <w:r>
        <w:rPr/>
        <w:t xml:space="preserve"> </w:t>
      </w:r>
    </w:p>
    <w:p>
      <w:pPr>
        <w:pStyle w:val="Titre3"/>
        <w:numPr>
          <w:ilvl w:val="2"/>
          <w:numId w:val="2"/>
        </w:numPr>
        <w:rPr/>
      </w:pPr>
      <w:bookmarkStart w:id="127" w:name="__RefHeading___Toc297189_1346298689"/>
      <w:bookmarkEnd w:id="127"/>
      <w:r>
        <w:rPr/>
        <w:t xml:space="preserve">Bilaga: ANDRA REKOMMENDATIONER FRÅN PANELEN SOM INTE ANTAGITS </w:t>
      </w:r>
    </w:p>
    <w:p>
      <w:pPr>
        <w:pStyle w:val="Normal"/>
        <w:rPr/>
      </w:pPr>
      <w:r>
        <w:rPr/>
        <w:t xml:space="preserve"> </w:t>
      </w:r>
    </w:p>
    <w:p>
      <w:pPr>
        <w:pStyle w:val="Titre4"/>
        <w:numPr>
          <w:ilvl w:val="3"/>
          <w:numId w:val="2"/>
        </w:numPr>
        <w:rPr/>
      </w:pPr>
      <w:bookmarkStart w:id="128" w:name="__RefHeading___Toc297191_1346298689"/>
      <w:bookmarkEnd w:id="128"/>
      <w:r>
        <w:rPr/>
        <w:t xml:space="preserve">Axel 3 Ett rättvist samhälle </w:t>
      </w:r>
    </w:p>
    <w:p>
      <w:pPr>
        <w:pStyle w:val="Normal"/>
        <w:rPr/>
      </w:pPr>
      <w:r>
        <w:rPr/>
        <w:t xml:space="preserve"> </w:t>
      </w:r>
    </w:p>
    <w:p>
      <w:pPr>
        <w:pStyle w:val="Normal"/>
        <w:rPr/>
      </w:pPr>
      <w:r>
        <w:rPr/>
        <w:t xml:space="preserve">Delaxel 3.2 Jämställdhet mellan rättigheter </w:t>
      </w:r>
    </w:p>
    <w:p>
      <w:pPr>
        <w:pStyle w:val="Normal"/>
        <w:rPr/>
      </w:pPr>
      <w:r>
        <w:rPr/>
        <w:t xml:space="preserve"> </w:t>
      </w:r>
    </w:p>
    <w:p>
      <w:pPr>
        <w:pStyle w:val="P68B1DB1Normal15"/>
        <w:rPr/>
      </w:pPr>
      <w:r>
        <w:rPr/>
        <w:t xml:space="preserve">Vi rekommenderar att EU inrättar en mekanism för att övervaka och respektera minoriteters rättigheter (t.ex. en portal eller ett kontor där människor kan lämna in klagomål). </w:t>
      </w:r>
    </w:p>
    <w:p>
      <w:pPr>
        <w:pStyle w:val="Normal"/>
        <w:rPr/>
      </w:pPr>
      <w:r>
        <w:rPr/>
        <w:t xml:space="preserve"> </w:t>
      </w:r>
    </w:p>
    <w:p>
      <w:pPr>
        <w:pStyle w:val="Normal"/>
        <w:rPr/>
      </w:pPr>
      <w:r>
        <w:rPr/>
        <w:t xml:space="preserve">Vi gör denna rekommendation eftersom vi tror att varje individ kan uttrycka sin åsikt och har rätt att söka och ta emot hjälp. Ett sådant kontor är nödvändigt för att minska spänningarna mellan minoriteter och majoriteten. </w:t>
      </w:r>
    </w:p>
    <w:p>
      <w:pPr>
        <w:pStyle w:val="Normal"/>
        <w:rPr/>
      </w:pPr>
      <w:r>
        <w:rPr/>
      </w:r>
    </w:p>
    <w:p>
      <w:pPr>
        <w:pStyle w:val="Normal"/>
        <w:rPr/>
      </w:pPr>
      <w:r>
        <w:rPr/>
        <w:t xml:space="preserve">Delaxel 3.3 Eget kapital/delaxel 3.4 Tillgång till idrott </w:t>
      </w:r>
    </w:p>
    <w:p>
      <w:pPr>
        <w:pStyle w:val="Normal"/>
        <w:rPr/>
      </w:pPr>
      <w:r>
        <w:rPr/>
        <w:t xml:space="preserve"> </w:t>
      </w:r>
    </w:p>
    <w:p>
      <w:pPr>
        <w:pStyle w:val="P68B1DB1Normal15"/>
        <w:rPr/>
      </w:pPr>
      <w:r>
        <w:rPr/>
        <w:t xml:space="preserve">Vi rekommenderar att EU ökar medvetenheten om fysisk aktivitet genom ”rollmodellering”, med deltagande av offentliga personer (däribland bör evenemang som anordnas av parlamentet omfatta någon form av fysisk aktivitet eller rörelse under några sekunder, t.ex. sträckning, promenader eller hopp). </w:t>
      </w:r>
    </w:p>
    <w:p>
      <w:pPr>
        <w:pStyle w:val="Normal"/>
        <w:rPr/>
      </w:pPr>
      <w:r>
        <w:rPr/>
        <w:t xml:space="preserve"> </w:t>
      </w:r>
    </w:p>
    <w:p>
      <w:pPr>
        <w:pStyle w:val="Normal"/>
        <w:rPr/>
      </w:pPr>
      <w:r>
        <w:rPr/>
        <w:t xml:space="preserve">Vi gör denna rekommendation eftersom mobiliseringen av offentliga personer för fysisk aktivitet kommer att öka allmänhetens medvetenhet. </w:t>
      </w:r>
    </w:p>
    <w:p>
      <w:pPr>
        <w:pStyle w:val="Normal"/>
        <w:rPr/>
      </w:pPr>
      <w:r>
        <w:rPr/>
      </w:r>
    </w:p>
    <w:p>
      <w:pPr>
        <w:pStyle w:val="Titre4"/>
        <w:numPr>
          <w:ilvl w:val="3"/>
          <w:numId w:val="2"/>
        </w:numPr>
        <w:rPr/>
      </w:pPr>
      <w:bookmarkStart w:id="129" w:name="__RefHeading___Toc297193_1346298689"/>
      <w:bookmarkEnd w:id="129"/>
      <w:r>
        <w:rPr/>
        <w:t xml:space="preserve">Axel 5 En etisk och säker digital omvandling </w:t>
      </w:r>
    </w:p>
    <w:p>
      <w:pPr>
        <w:pStyle w:val="Normal"/>
        <w:rPr/>
      </w:pPr>
      <w:r>
        <w:rPr/>
        <w:t xml:space="preserve"> </w:t>
      </w:r>
    </w:p>
    <w:p>
      <w:pPr>
        <w:pStyle w:val="Normal"/>
        <w:rPr/>
      </w:pPr>
      <w:r>
        <w:rPr/>
        <w:t xml:space="preserve">Delaxel 5.3 Dataskydd </w:t>
      </w:r>
    </w:p>
    <w:p>
      <w:pPr>
        <w:pStyle w:val="Normal"/>
        <w:rPr/>
      </w:pPr>
      <w:r>
        <w:rPr/>
        <w:t xml:space="preserve"> </w:t>
      </w:r>
    </w:p>
    <w:p>
      <w:pPr>
        <w:pStyle w:val="P68B1DB1Normal15"/>
        <w:rPr/>
      </w:pPr>
      <w:r>
        <w:rPr/>
        <w:t xml:space="preserve">Vi rekommenderar att man skapar ett webb-ID som lagrar personuppgifter och känsliga uppgifter, men som endast gör det tillgängligt för myndigheter och polis. Onlineplattformar och säljare kommer att använda den onlinekod som är kopplad till den webbidentifieraren och de uppgifter som krävs för en viss aktivitet. Standardinställningen för datadelning med denna identifierare bör inte godkännas. Uppgifterna bör endast vidarebefordras till de direkt berörda parterna och inte till en tredje part. Om uppgifterna vidarebefordras till en tredje part bör en medborgare enkelt kunna invända mot dem. Uppgifterna bör endast vara tillgängliga under en begränsad tidsperiod eller för en viss transaktion. Tillståndet att använda uppgifterna bör vara tidsbegränsat eller tydligt definiera vad företagen kan göra med dessa uppgifter. </w:t>
      </w:r>
    </w:p>
    <w:p>
      <w:pPr>
        <w:pStyle w:val="Normal"/>
        <w:rPr/>
      </w:pPr>
      <w:r>
        <w:rPr/>
        <w:t xml:space="preserve"> </w:t>
      </w:r>
    </w:p>
    <w:p>
      <w:pPr>
        <w:pStyle w:val="Normal"/>
        <w:rPr/>
      </w:pPr>
      <w:r>
        <w:rPr/>
        <w:t xml:space="preserve">Vi gör denna rekommendation eftersom företag för närvarande kan samla in alla uppgifter, inklusive personuppgifter och känsliga uppgifter, och använda dem för många ändamål utan att avslöja exakt hur och varför. Så operatörer får mer information än de egentligen behöver för att förse oss med tjänster och kan sedan sälja eller återanvända andra data utan vårt samtycke. Samtidigt kommer detta att säkerställa internetanvändarnas ansvarsskyldighet samtidigt som deras relativa anonymitet bevaras. </w:t>
      </w:r>
      <w:r>
        <w:br w:type="page"/>
      </w:r>
    </w:p>
    <w:p>
      <w:pPr>
        <w:pStyle w:val="Titre2"/>
        <w:numPr>
          <w:ilvl w:val="1"/>
          <w:numId w:val="2"/>
        </w:numPr>
        <w:rPr/>
      </w:pPr>
      <w:bookmarkStart w:id="130" w:name="__RefHeading___Toc297195_1346298689"/>
      <w:bookmarkEnd w:id="130"/>
      <w:r>
        <w:rPr/>
        <w:t xml:space="preserve">Europeiska medborgarpanelen 2: ”Europeisk demokrati, värderingar och rättigheter, rättsstatsprincipen, säkerhet </w:t>
      </w:r>
    </w:p>
    <w:p>
      <w:pPr>
        <w:pStyle w:val="Normal"/>
        <w:rPr/>
      </w:pPr>
      <w:r>
        <w:rPr/>
      </w:r>
    </w:p>
    <w:p>
      <w:pPr>
        <w:pStyle w:val="Normal"/>
        <w:rPr/>
      </w:pPr>
      <w:r>
        <w:rPr/>
        <w:t xml:space="preserve">REKOMMENDATIONER ANTAGNA AV PANELEN (SKA LÄGGAS FRAM FÖR PLENARSAMMANTRÄDET) </w:t>
      </w:r>
    </w:p>
    <w:p>
      <w:pPr>
        <w:pStyle w:val="Normal"/>
        <w:rPr/>
      </w:pPr>
      <w:r>
        <w:rPr/>
        <w:t xml:space="preserve"> </w:t>
      </w:r>
    </w:p>
    <w:p>
      <w:pPr>
        <w:pStyle w:val="Titre3"/>
        <w:numPr>
          <w:ilvl w:val="2"/>
          <w:numId w:val="2"/>
        </w:numPr>
        <w:rPr/>
      </w:pPr>
      <w:bookmarkStart w:id="131" w:name="__RefHeading___Toc297197_1346298689"/>
      <w:bookmarkEnd w:id="131"/>
      <w:r>
        <w:rPr/>
        <w:t xml:space="preserve">Axel 1: Garantera rättigheter och icke-diskriminering </w:t>
      </w:r>
    </w:p>
    <w:p>
      <w:pPr>
        <w:pStyle w:val="Normal"/>
        <w:rPr/>
      </w:pPr>
      <w:r>
        <w:rPr/>
        <w:t xml:space="preserve"> </w:t>
      </w:r>
    </w:p>
    <w:p>
      <w:pPr>
        <w:pStyle w:val="Titre4"/>
        <w:numPr>
          <w:ilvl w:val="3"/>
          <w:numId w:val="2"/>
        </w:numPr>
        <w:rPr/>
      </w:pPr>
      <w:bookmarkStart w:id="132" w:name="__RefHeading___Toc297199_1346298689"/>
      <w:bookmarkEnd w:id="132"/>
      <w:r>
        <w:rPr/>
        <w:t xml:space="preserve">Delaxel 1.1 Icke-diskriminering/delaxel 1.2 Jämställdhet </w:t>
      </w:r>
    </w:p>
    <w:p>
      <w:pPr>
        <w:pStyle w:val="Normal"/>
        <w:rPr/>
      </w:pPr>
      <w:r>
        <w:rPr/>
        <w:t xml:space="preserve"> </w:t>
      </w:r>
    </w:p>
    <w:p>
      <w:pPr>
        <w:pStyle w:val="P68B1DB1Normal15"/>
        <w:rPr/>
      </w:pPr>
      <w:r>
        <w:rPr/>
        <w:t xml:space="preserve">1. ”Vi rekommenderar att EU inkluderar kriterier för att bekämpa diskriminering på arbetsmarknaden (kvoter för ungdomar, äldre, kvinnor och minoriteter). Om företagen uppfyller dessa kriterier kommer de att få subventioner eller skattelättnader.” </w:t>
      </w:r>
    </w:p>
    <w:p>
      <w:pPr>
        <w:pStyle w:val="P68B1DB1Normal15"/>
        <w:rPr/>
      </w:pPr>
      <w:r>
        <w:rPr/>
        <w:t xml:space="preserve">Vi rekommenderar att öka medvetenheten bland anställda om följande frågor: </w:t>
      </w:r>
    </w:p>
    <w:p>
      <w:pPr>
        <w:pStyle w:val="P68B1DB1Normal15"/>
        <w:rPr/>
      </w:pPr>
      <w:r>
        <w:rPr/>
        <w:t xml:space="preserve">● </w:t>
      </w:r>
      <w:r>
        <w:rPr/>
        <w:t xml:space="preserve">överstatliga och nationella institutioner (t.ex. fackföreningar). </w:t>
      </w:r>
    </w:p>
    <w:p>
      <w:pPr>
        <w:pStyle w:val="P68B1DB1Normal15"/>
        <w:rPr/>
      </w:pPr>
      <w:r>
        <w:rPr/>
        <w:t xml:space="preserve">● </w:t>
      </w:r>
      <w:r>
        <w:rPr/>
        <w:t xml:space="preserve">mekanismer för att se till att företagen följer gällande regler om icke-diskriminering på arbetsplatsen. </w:t>
      </w:r>
    </w:p>
    <w:p>
      <w:pPr>
        <w:pStyle w:val="P68B1DB1Normal15"/>
        <w:rPr/>
      </w:pPr>
      <w:r>
        <w:rPr/>
        <w:t xml:space="preserve">● </w:t>
      </w:r>
      <w:r>
        <w:rPr/>
        <w:t xml:space="preserve">kvalifikationsprogram för sociala grupper som utsätts för diskriminering på arbetsmarknaden (ungdomar, äldre, kvinnor, minoriteter). </w:t>
      </w:r>
    </w:p>
    <w:p>
      <w:pPr>
        <w:pStyle w:val="Normal"/>
        <w:rPr/>
      </w:pPr>
      <w:r>
        <w:rPr/>
        <w:t xml:space="preserve"> </w:t>
      </w:r>
    </w:p>
    <w:p>
      <w:pPr>
        <w:pStyle w:val="P68B1DB1Normal15"/>
        <w:rPr/>
      </w:pPr>
      <w:r>
        <w:rPr/>
        <w:t xml:space="preserve">Vi rekommenderar att EU-lagstiftning antas i två steg. För det första bör stöd beviljas för anställning av arbetstagare från vissa kategorier som kan komma att diskrimineras. För det andra bör det enligt lagstiftningsakten krävas att arbetsgivarna anställer dessa grupper under en minimiperiod. </w:t>
      </w:r>
    </w:p>
    <w:p>
      <w:pPr>
        <w:pStyle w:val="Normal"/>
        <w:rPr/>
      </w:pPr>
      <w:r>
        <w:rPr/>
        <w:t xml:space="preserve"> </w:t>
      </w:r>
    </w:p>
    <w:p>
      <w:pPr>
        <w:pStyle w:val="Normal"/>
        <w:rPr/>
      </w:pPr>
      <w:r>
        <w:rPr/>
        <w:t xml:space="preserve">EU är faktiskt ansvarigt för att upprätthålla en balans mellan den fria marknadens intressen och skyddet av utsatta grupper som måste skyddas rättsligt. Heterogena grupper är önskvärda för företag eftersom de erbjuder olika kvalifikationer. Subventioner är ett ytterligare incitament som ska ges till företagen. </w:t>
      </w:r>
    </w:p>
    <w:p>
      <w:pPr>
        <w:pStyle w:val="Normal"/>
        <w:rPr/>
      </w:pPr>
      <w:r>
        <w:rPr/>
        <w:t xml:space="preserve"> </w:t>
      </w:r>
    </w:p>
    <w:p>
      <w:pPr>
        <w:pStyle w:val="P68B1DB1Normal15"/>
        <w:rPr/>
      </w:pPr>
      <w:r>
        <w:rPr/>
        <w:t xml:space="preserve">2. ”Vi rekommenderar att EU inrättar ett incitamentsprogram som underlättar skapandet av förskolor och lekplatser till överkomliga priser i stora och små företag. Gemensamma faciliteter är också en livskraftig lösning för småföretagen att dra nytta av subventionen. </w:t>
      </w:r>
    </w:p>
    <w:p>
      <w:pPr>
        <w:pStyle w:val="P68B1DB1Normal15"/>
        <w:rPr/>
      </w:pPr>
      <w:r>
        <w:rPr/>
        <w:t xml:space="preserve">Vi rekommenderar att EU ålägger företag att inrätta daghem i proportion till antalet anställda. </w:t>
      </w:r>
    </w:p>
    <w:p>
      <w:pPr>
        <w:pStyle w:val="Normal"/>
        <w:rPr/>
      </w:pPr>
      <w:r>
        <w:rPr/>
        <w:t xml:space="preserve"> </w:t>
      </w:r>
    </w:p>
    <w:p>
      <w:pPr>
        <w:pStyle w:val="Normal"/>
        <w:rPr/>
      </w:pPr>
      <w:r>
        <w:rPr/>
        <w:t xml:space="preserve">Vi rekommenderar detta eftersom möjligheten att förena familjeliv och arbetsliv förbättrar arbetsprestationerna, minskar arbetslösheten och placerar föräldrar, särskilt kvinnor, i en position som gör det möjligt för dem att fortsätta sin karriär. Med fokus på den sociala dimensionen säkerställer den föreslagna lösningen barns säkerhet och minskar föräldrarnas oro. </w:t>
      </w:r>
    </w:p>
    <w:p>
      <w:pPr>
        <w:pStyle w:val="Normal"/>
        <w:rPr/>
      </w:pPr>
      <w:r>
        <w:rPr/>
      </w:r>
    </w:p>
    <w:p>
      <w:pPr>
        <w:pStyle w:val="Titre4"/>
        <w:numPr>
          <w:ilvl w:val="3"/>
          <w:numId w:val="2"/>
        </w:numPr>
        <w:rPr/>
      </w:pPr>
      <w:bookmarkStart w:id="133" w:name="__RefHeading___Toc297201_1346298689"/>
      <w:bookmarkEnd w:id="133"/>
      <w:r>
        <w:rPr/>
        <w:t xml:space="preserve">Delaxel 1.3: Skydd av de mänskliga rättigheterna och naturens och djurens rättigheter </w:t>
      </w:r>
    </w:p>
    <w:p>
      <w:pPr>
        <w:pStyle w:val="Normal"/>
        <w:rPr/>
      </w:pPr>
      <w:r>
        <w:rPr/>
        <w:t xml:space="preserve"> </w:t>
      </w:r>
    </w:p>
    <w:p>
      <w:pPr>
        <w:pStyle w:val="P68B1DB1Normal15"/>
        <w:rPr/>
      </w:pPr>
      <w:r>
        <w:rPr/>
        <w:t xml:space="preserve">3. ”Vi rekommenderar att djurens välbefinnande och hållbarhet bevaras genom att direktiv 98/58/EG om skydd av djur på jordbruksföretag ändras. Mer detaljerade minimikriterier måste fastställas. De måste vara korrekta, mätbara och tidsbegränsade. Minimikriterierna måste fastställas på ett sådant sätt att de leder till högre djurskyddsstandarder och samtidigt möjliggör en övergång till ett hållbart klimat, miljö och ekologiskt jordbruk. </w:t>
      </w:r>
    </w:p>
    <w:p>
      <w:pPr>
        <w:pStyle w:val="Normal"/>
        <w:rPr/>
      </w:pPr>
      <w:r>
        <w:rPr/>
        <w:t xml:space="preserve"> </w:t>
      </w:r>
    </w:p>
    <w:p>
      <w:pPr>
        <w:pStyle w:val="Normal"/>
        <w:rPr/>
      </w:pPr>
      <w:r>
        <w:rPr/>
        <w:t xml:space="preserve">Som medborgare anser vi att det är viktigt att ha strängare miniminormer som harmoniseras i EU för djurhållning. Vi är medvetna om att omställningen kan innebära problem inom vissa jordbrukssektorer som får stöd och för dem som håller på att övergå till ekologiskt och hållbart jordbruk. Vi anser dock att det är mycket viktigt att se till att denna övergång sker. </w:t>
      </w:r>
    </w:p>
    <w:p>
      <w:pPr>
        <w:pStyle w:val="Normal"/>
        <w:rPr/>
      </w:pPr>
      <w:r>
        <w:rPr/>
        <w:t xml:space="preserve"> </w:t>
      </w:r>
    </w:p>
    <w:p>
      <w:pPr>
        <w:pStyle w:val="P68B1DB1Normal15"/>
        <w:rPr/>
      </w:pPr>
      <w:r>
        <w:rPr/>
        <w:t xml:space="preserve">4. Vi rekommenderar att man främjar ett mer miljövänligt och klimatvänligt jordbruk i Europa och runt om i världen genom att till exempel beskatta alla negativa utsläpp, bekämpningsmedel och extrem vattenanvändning, beroende på deras inverkan på miljön. Tullar på alla jordbruksprodukter som importeras till unionen måste undanröja konkurrensfördelarna för tredjeländer som inte uppfyller samma normer som unionen. För att främja ett djurvänligt jordbruk rekommenderar vi att man beskattar utsläpp som orsakas av transport av djur över långa sträckor. </w:t>
      </w:r>
    </w:p>
    <w:p>
      <w:pPr>
        <w:pStyle w:val="Normal"/>
        <w:rPr/>
      </w:pPr>
      <w:r>
        <w:rPr/>
        <w:t xml:space="preserve"> </w:t>
      </w:r>
    </w:p>
    <w:p>
      <w:pPr>
        <w:pStyle w:val="Normal"/>
        <w:rPr/>
      </w:pPr>
      <w:r>
        <w:rPr/>
        <w:t xml:space="preserve">Genom att inrätta ett sådant system anser vi att det är möjligt att stödja omställningen till ett klimatvänligt och miljövänligt jordbruk. </w:t>
      </w:r>
    </w:p>
    <w:p>
      <w:pPr>
        <w:pStyle w:val="Normal"/>
        <w:rPr/>
      </w:pPr>
      <w:r>
        <w:rPr/>
        <w:t xml:space="preserve"> </w:t>
      </w:r>
    </w:p>
    <w:p>
      <w:pPr>
        <w:pStyle w:val="P68B1DB1Normal15"/>
        <w:rPr/>
      </w:pPr>
      <w:r>
        <w:rPr/>
        <w:t xml:space="preserve">5. Medan många falska nyheter har cirkulerat på senare tid rekommenderar vi att främja mer oberoende, objektiv och balanserad mediebevakning genom att ta följande steg: 1. utarbeta ett EU-direktiv om miniminormer för mediernas oberoende, 2. att på unionsnivå främja utvecklingen av mediekompetens för alla medborgare.” </w:t>
      </w:r>
    </w:p>
    <w:p>
      <w:pPr>
        <w:pStyle w:val="Normal"/>
        <w:rPr/>
      </w:pPr>
      <w:r>
        <w:rPr/>
        <w:t xml:space="preserve"> </w:t>
      </w:r>
    </w:p>
    <w:p>
      <w:pPr>
        <w:pStyle w:val="Normal"/>
        <w:rPr/>
      </w:pPr>
      <w:r>
        <w:rPr/>
        <w:t xml:space="preserve">EU måste utarbeta ett direktiv för att garantera mediernas oberoende och yttrandefrihet. </w:t>
      </w:r>
    </w:p>
    <w:p>
      <w:pPr>
        <w:pStyle w:val="Normal"/>
        <w:rPr/>
      </w:pPr>
      <w:r>
        <w:rPr/>
        <w:t xml:space="preserve"> </w:t>
      </w:r>
    </w:p>
    <w:p>
      <w:pPr>
        <w:pStyle w:val="Normal"/>
        <w:rPr/>
      </w:pPr>
      <w:r>
        <w:rPr>
          <w:b/>
        </w:rPr>
        <w:t>6. Vi rekommenderar att vi slutar subventionera massjordbruksproduktion om det inte leder till en omställning till klimat, ekologiskt och hållbart jordbruk. Istället rekommenderar vi att man omdirigerar bidrag för att stödja en hållbar omställning.</w:t>
      </w:r>
      <w:r>
        <w:rPr/>
        <w:t xml:space="preserve"> </w:t>
      </w:r>
    </w:p>
    <w:p>
      <w:pPr>
        <w:pStyle w:val="Normal"/>
        <w:rPr/>
      </w:pPr>
      <w:r>
        <w:rPr/>
        <w:t xml:space="preserve"> </w:t>
      </w:r>
    </w:p>
    <w:p>
      <w:pPr>
        <w:pStyle w:val="Normal"/>
        <w:rPr/>
      </w:pPr>
      <w:r>
        <w:rPr/>
        <w:t xml:space="preserve">I stället för att subventionera jordbrukssektorn för massuppfödning bör subventionerna omdirigeras till gårdar som håller på att övergå för att uppfylla de nya miniminormerna för djurens välbefinnande. </w:t>
      </w:r>
    </w:p>
    <w:p>
      <w:pPr>
        <w:pStyle w:val="Normal"/>
        <w:rPr/>
      </w:pPr>
      <w:r>
        <w:rPr/>
        <w:t xml:space="preserve"> </w:t>
      </w:r>
    </w:p>
    <w:p>
      <w:pPr>
        <w:pStyle w:val="Titre4"/>
        <w:numPr>
          <w:ilvl w:val="3"/>
          <w:numId w:val="2"/>
        </w:numPr>
        <w:rPr/>
      </w:pPr>
      <w:bookmarkStart w:id="134" w:name="__RefHeading___Toc297203_1346298689"/>
      <w:bookmarkEnd w:id="134"/>
      <w:r>
        <w:rPr/>
        <w:t xml:space="preserve">Delaxel 1.4 Rätt till privatliv </w:t>
      </w:r>
    </w:p>
    <w:p>
      <w:pPr>
        <w:pStyle w:val="Normal"/>
        <w:rPr/>
      </w:pPr>
      <w:r>
        <w:rPr/>
        <w:t xml:space="preserve"> </w:t>
      </w:r>
    </w:p>
    <w:p>
      <w:pPr>
        <w:pStyle w:val="P68B1DB1Normal15"/>
        <w:rPr/>
      </w:pPr>
      <w:r>
        <w:rPr/>
        <w:t xml:space="preserve">7. ”Vi rekommenderar att enheter som behandlar personuppgifter bemyndigas på EU-nivå. Dessa enheter måste också bli föremål för en oberoende, extern årlig revision av dataskyddet. Dessa enheter kommer att straffas för överträdelser av uppgiftsskyddet i proportion till deras årsomsättning, på ett striktare sätt än enligt den nuvarande förordningen. Godkännandet bör återkallas efter två på varandra följande överträdelser och omedelbart efter en allvarlig överträdelse. </w:t>
      </w:r>
    </w:p>
    <w:p>
      <w:pPr>
        <w:pStyle w:val="Normal"/>
        <w:rPr/>
      </w:pPr>
      <w:r>
        <w:rPr/>
        <w:t xml:space="preserve"> </w:t>
      </w:r>
    </w:p>
    <w:p>
      <w:pPr>
        <w:pStyle w:val="Normal"/>
        <w:rPr/>
      </w:pPr>
      <w:r>
        <w:rPr/>
        <w:t xml:space="preserve">Vi rekommenderar sådana åtgärder, eftersom den nuvarande förordningen (GDPR) inte är tillräcklig och enheter måste kontrolleras bättre och sanktioneras för att säkerställa att de inte inkräktar på dataskyddet och rätten till integritet. </w:t>
      </w:r>
    </w:p>
    <w:p>
      <w:pPr>
        <w:pStyle w:val="Normal"/>
        <w:rPr/>
      </w:pPr>
      <w:r>
        <w:rPr/>
        <w:t xml:space="preserve"> </w:t>
      </w:r>
    </w:p>
    <w:p>
      <w:pPr>
        <w:pStyle w:val="P68B1DB1Normal15"/>
        <w:rPr/>
      </w:pPr>
      <w:r>
        <w:rPr/>
        <w:t xml:space="preserve">8. ”Vi rekommenderar att unionens befogenheter stärks på följande områden: 1) Dataskyddsutbildning, 2) medvetenhet om dataskydd och 3) skydd av minderårigas personuppgifter. Vi rekommenderar att reglerna för behandling av minderårigas uppgifter i GDPR förtydligas och stärks, inklusive reglerna om samtycke, åldersverifiering och kontroll av vårdnadshavare. Vi rekommenderar också att man i GDPR inför en särskild kategori för känsliga uppgifter om minderåriga (t.ex. kriminalregister, hälsoinformation, nakenhet) så att minderåriga skyddas från alla former av missbruk och diskriminering. </w:t>
      </w:r>
    </w:p>
    <w:p>
      <w:pPr>
        <w:pStyle w:val="Normal"/>
        <w:rPr/>
      </w:pPr>
      <w:r>
        <w:rPr/>
        <w:t xml:space="preserve"> </w:t>
      </w:r>
    </w:p>
    <w:p>
      <w:pPr>
        <w:pStyle w:val="Normal"/>
        <w:rPr/>
      </w:pPr>
      <w:r>
        <w:rPr/>
        <w:t xml:space="preserve">Denna rekommendation är nödvändig eftersom minderåriga är särskilt sårbara för uppgiftsskydd och integritetskränkningar och eftersom befolkningen i allmänhet (särskilt minderåriga, lärare och vårdnadshavare) för närvarande inte är tillräckligt medveten om uppgiftsskyddet. De behöver alla lära sig att använda datatjänster online och offline och skydda barns integritetsrättigheter. Dessutom kan vårdnadshavare ofta samtycka till behandling av barns uppgifter utan att vara fullt medvetna eller informerade och barn kan förfalska föräldrarnas samtycke. Slutligen är denna rekommendation nödvändig eftersom det inte finns någon verklig EU-omfattande informationskampanj om uppgiftsskydd som särskilt riktar sig till minderåriga, vårdnadshavare och lärare, medan en sådan kampanj är nödvändig. </w:t>
      </w:r>
    </w:p>
    <w:p>
      <w:pPr>
        <w:pStyle w:val="Normal"/>
        <w:rPr/>
      </w:pPr>
      <w:r>
        <w:rPr/>
      </w:r>
    </w:p>
    <w:p>
      <w:pPr>
        <w:pStyle w:val="P68B1DB1Normal15"/>
        <w:rPr/>
      </w:pPr>
      <w:r>
        <w:rPr/>
        <w:t xml:space="preserve">9. Vi rekommenderar att standardiserade integritetspolicyer och lättförståeliga, koncisa och intuitiva samtyckesformulär införs, som tydligt anger vilken databehandling som är absolut nödvändig och vad som är frivilligt. Vi rekommenderar att återkallandet av samtycke är enkelt, snabbt och permanent. Vi rekommenderar att företag förbjuder att begränsa sina tjänster mer än nödvändigt om samtycke inte har lämnats till frivillig databehandling. </w:t>
      </w:r>
    </w:p>
    <w:p>
      <w:pPr>
        <w:pStyle w:val="Normal"/>
        <w:rPr/>
      </w:pPr>
      <w:r>
        <w:rPr/>
        <w:t xml:space="preserve"> </w:t>
      </w:r>
    </w:p>
    <w:p>
      <w:pPr>
        <w:pStyle w:val="Normal"/>
        <w:rPr/>
      </w:pPr>
      <w:r>
        <w:rPr/>
        <w:t xml:space="preserve">Vi rekommenderar detta eftersom de nuvarande EU-reglerna inte är tillräckligt exakta, eftersom återkallandet av samtycket är långt, tillfälligt och komplext, och företag har inget intresse av att erbjuda sina tjänster till medborgare som åberopar sin rätt till dataskydd. </w:t>
      </w:r>
    </w:p>
    <w:p>
      <w:pPr>
        <w:pStyle w:val="Normal"/>
        <w:rPr/>
      </w:pPr>
      <w:r>
        <w:rPr/>
        <w:t xml:space="preserve"> </w:t>
      </w:r>
    </w:p>
    <w:p>
      <w:pPr>
        <w:pStyle w:val="Titre3"/>
        <w:numPr>
          <w:ilvl w:val="2"/>
          <w:numId w:val="2"/>
        </w:numPr>
        <w:rPr/>
      </w:pPr>
      <w:bookmarkStart w:id="135" w:name="__RefHeading___Toc297205_1346298689"/>
      <w:bookmarkEnd w:id="135"/>
      <w:r>
        <w:rPr/>
        <w:t xml:space="preserve">Axel 2: Skydd av demokratin och rättsstaten </w:t>
      </w:r>
    </w:p>
    <w:p>
      <w:pPr>
        <w:pStyle w:val="Normal"/>
        <w:rPr/>
      </w:pPr>
      <w:r>
        <w:rPr/>
        <w:t xml:space="preserve"> </w:t>
      </w:r>
    </w:p>
    <w:p>
      <w:pPr>
        <w:pStyle w:val="Titre4"/>
        <w:numPr>
          <w:ilvl w:val="3"/>
          <w:numId w:val="2"/>
        </w:numPr>
        <w:rPr/>
      </w:pPr>
      <w:bookmarkStart w:id="136" w:name="__RefHeading___Toc297207_1346298689"/>
      <w:bookmarkEnd w:id="136"/>
      <w:r>
        <w:rPr/>
        <w:t xml:space="preserve">Delaxel 2.1 Skydd av rättsstatsprincipen </w:t>
      </w:r>
    </w:p>
    <w:p>
      <w:pPr>
        <w:pStyle w:val="Normal"/>
        <w:rPr/>
      </w:pPr>
      <w:r>
        <w:rPr/>
        <w:t xml:space="preserve"> </w:t>
      </w:r>
    </w:p>
    <w:p>
      <w:pPr>
        <w:pStyle w:val="P68B1DB1Normal15"/>
        <w:rPr/>
      </w:pPr>
      <w:r>
        <w:rPr/>
        <w:t xml:space="preserve">10. ”Vi rekommenderar att förordningen om tvärvillkor (2020/2092, som antogs den 16 december 2020) ändras så att den är tillämplig på alla överträdelser av rättsstatsprincipen snarare än på överträdelser som påverkar EU:s budget.” </w:t>
      </w:r>
    </w:p>
    <w:p>
      <w:pPr>
        <w:pStyle w:val="Normal"/>
        <w:rPr/>
      </w:pPr>
      <w:r>
        <w:rPr/>
        <w:t xml:space="preserve"> </w:t>
      </w:r>
    </w:p>
    <w:p>
      <w:pPr>
        <w:pStyle w:val="Normal"/>
        <w:rPr/>
      </w:pPr>
      <w:r>
        <w:rPr/>
        <w:t xml:space="preserve">Förordningen om tvärvillkor gör det möjligt att avbryta utbetalningen av EU-medel till medlemsstater som bryter mot rättsstatsprincipen. I sin nuvarande lydelse gäller den dock endast överträdelser som har eller sannolikt kommer att påverka EU:s budget. Dessutom skyddar den nuvarande ordalydelsen i förordningen om tvärvillkor EU-budgeten och EU-institutionerna snarare än medborgarna i de berörda medlemsstaterna. Därför rekommenderar vi att den nuvarande texten till förordningen ändras så att den omfattar alla överträdelser av rättsstatsprincipen. </w:t>
      </w:r>
    </w:p>
    <w:p>
      <w:pPr>
        <w:pStyle w:val="Normal"/>
        <w:rPr/>
      </w:pPr>
      <w:r>
        <w:rPr/>
        <w:t xml:space="preserve"> </w:t>
      </w:r>
    </w:p>
    <w:p>
      <w:pPr>
        <w:pStyle w:val="P68B1DB1Normal15"/>
        <w:rPr/>
      </w:pPr>
      <w:r>
        <w:rPr/>
        <w:t xml:space="preserve">11. ”Vi rekommenderar att EU anordnar årliga konferenser om rättsstatsprincipen efter offentliggörandet av den årliga rapporten om rättsstatsprincipen (kommissionens mekanism för att övervaka medlemsstaternas efterlevnad av rättsstatsprincipen). Medlemsstaterna bör vara skyldiga att sända olika sociala nationella delegationer till konferensen, inbegripet både medborgare och tjänstemän.” </w:t>
      </w:r>
    </w:p>
    <w:p>
      <w:pPr>
        <w:pStyle w:val="Normal"/>
        <w:rPr/>
      </w:pPr>
      <w:r>
        <w:rPr/>
        <w:t xml:space="preserve"> </w:t>
      </w:r>
    </w:p>
    <w:p>
      <w:pPr>
        <w:pStyle w:val="Normal"/>
        <w:rPr/>
      </w:pPr>
      <w:r>
        <w:rPr/>
        <w:t xml:space="preserve">Denna konferens skulle främja en dialog mellan EU-medborgarna om rättsstatsprincipen och dialogen mellan medborgare och experter som utarbetar de årliga rapporterna om rättsstatsprincipen. Vi tror att deltagarna, i ett klimat av ömsesidig uppskattning och gemensamt utbyte, kommer att kunna föra tillbaka bästa praxis och idéer till sina hemländer. Dessutom skulle konferensen öka medvetenheten om och förståelsen för rättsstatsprincipen och de slutsatser och processer som ligger till grund för den årliga rapporten om rättsstatsprincipen. Det skulle också väcka uppmärksamhet i medierna och göra det möjligt för medborgarna att dela med sig av sina erfarenheter och jämföra dem med resultaten i rapporten. </w:t>
      </w:r>
    </w:p>
    <w:p>
      <w:pPr>
        <w:pStyle w:val="Normal"/>
        <w:rPr/>
      </w:pPr>
      <w:r>
        <w:rPr/>
      </w:r>
    </w:p>
    <w:p>
      <w:pPr>
        <w:pStyle w:val="Titre4"/>
        <w:numPr>
          <w:ilvl w:val="3"/>
          <w:numId w:val="2"/>
        </w:numPr>
        <w:rPr/>
      </w:pPr>
      <w:bookmarkStart w:id="137" w:name="__RefHeading___Toc297209_1346298689"/>
      <w:bookmarkEnd w:id="137"/>
      <w:r>
        <w:rPr/>
        <w:t xml:space="preserve">Delaxel 2.2 Skydda och stärka demokratin/delaxel 2.4 Medier och desinformation </w:t>
      </w:r>
    </w:p>
    <w:p>
      <w:pPr>
        <w:pStyle w:val="Normal"/>
        <w:rPr/>
      </w:pPr>
      <w:r>
        <w:rPr/>
        <w:t xml:space="preserve"> </w:t>
      </w:r>
    </w:p>
    <w:p>
      <w:pPr>
        <w:pStyle w:val="P68B1DB1Normal15"/>
        <w:rPr/>
      </w:pPr>
      <w:r>
        <w:rPr/>
        <w:t xml:space="preserve">12. ”Vi rekommenderar att EU tillämpar sina konkurrensregler mer strikt inom mediesektorn för att säkerställa skyddet av mediepluralismen i alla medlemsstater. EU bör förhindra stora mediemonopol och politiska utnämningar i mediestyrelser. Vi rekommenderar också att den framtida EU-lagstiftningen om mediefrihet innehåller regler för att hindra politiker från att äga eller ha ett starkt inflytande på sitt innehåll. </w:t>
      </w:r>
    </w:p>
    <w:p>
      <w:pPr>
        <w:pStyle w:val="Normal"/>
        <w:rPr/>
      </w:pPr>
      <w:r>
        <w:rPr/>
        <w:t xml:space="preserve"> </w:t>
      </w:r>
    </w:p>
    <w:p>
      <w:pPr>
        <w:pStyle w:val="Normal"/>
        <w:rPr/>
      </w:pPr>
      <w:r>
        <w:rPr/>
        <w:t xml:space="preserve">Vi rekommenderar detta eftersom tillämpningen av EU:s konkurrensregler främjar ett pluralistiskt medielandskap där medborgarna kan välja. Eftersom kommissionen för närvarande håller på att utarbeta en lagstiftningsakt (om mediefrihet) för integriteten på EU:s mediemarknad bör det också föreskrivas att medierna inte ska innehas eller påverkas av politiker. </w:t>
      </w:r>
    </w:p>
    <w:p>
      <w:pPr>
        <w:pStyle w:val="Normal"/>
        <w:rPr/>
      </w:pPr>
      <w:r>
        <w:rPr/>
        <w:t xml:space="preserve"> </w:t>
      </w:r>
    </w:p>
    <w:p>
      <w:pPr>
        <w:pStyle w:val="Titre4"/>
        <w:numPr>
          <w:ilvl w:val="3"/>
          <w:numId w:val="2"/>
        </w:numPr>
        <w:rPr/>
      </w:pPr>
      <w:bookmarkStart w:id="138" w:name="__RefHeading___Toc297211_1346298689"/>
      <w:bookmarkEnd w:id="138"/>
      <w:r>
        <w:rPr/>
        <w:t xml:space="preserve">Delaxel 2.3 Säkerhet </w:t>
      </w:r>
    </w:p>
    <w:p>
      <w:pPr>
        <w:pStyle w:val="Normal"/>
        <w:rPr/>
      </w:pPr>
      <w:r>
        <w:rPr/>
        <w:t xml:space="preserve"> </w:t>
      </w:r>
    </w:p>
    <w:p>
      <w:pPr>
        <w:pStyle w:val="P68B1DB1Normal15"/>
        <w:rPr/>
      </w:pPr>
      <w:r>
        <w:rPr/>
        <w:t xml:space="preserve">13. ”Vi rekommenderar att EU-institutionerna spelar en viktigare roll med alla de verktyg som står till deras förfogande, inbegripet de nationella cybersäkerhetscentrumen och Europeiska unionens cybersäkerhetsbyrå (Enisa), för att skydda medborgare, organisationer och institutioner från nya hot till följd av brott mot cybersäkerhet och användning av artificiell intelligens för kriminella ändamål. Vi rekommenderar också att direktiv från Europa och dess organ genomförs och sprids på ett korrekt sätt i alla medlemsstater.” </w:t>
      </w:r>
    </w:p>
    <w:p>
      <w:pPr>
        <w:pStyle w:val="Normal"/>
        <w:rPr/>
      </w:pPr>
      <w:r>
        <w:rPr/>
        <w:t xml:space="preserve"> </w:t>
      </w:r>
    </w:p>
    <w:p>
      <w:pPr>
        <w:pStyle w:val="Normal"/>
        <w:rPr/>
      </w:pPr>
      <w:r>
        <w:rPr/>
        <w:t xml:space="preserve">Vi rekommenderar detta eftersom medborgarna känner sig maktlösa och inte är medvetna om vad Europeiska unionen gör för att bekämpa dessa hot. Vi rekommenderar detta eftersom dessa hot utgör ett allvarligt nationellt och europeiskt säkerhetsproblem. Vi rekommenderar detta eftersom Europa bör vara en verklig drivkraft för innovation på detta område. </w:t>
      </w:r>
    </w:p>
    <w:p>
      <w:pPr>
        <w:pStyle w:val="Normal"/>
        <w:rPr/>
      </w:pPr>
      <w:r>
        <w:rPr/>
        <w:t xml:space="preserve"> </w:t>
      </w:r>
    </w:p>
    <w:p>
      <w:pPr>
        <w:pStyle w:val="P68B1DB1Normal15"/>
        <w:rPr/>
      </w:pPr>
      <w:r>
        <w:rPr/>
        <w:t xml:space="preserve">14. ”Vi rekommenderar att unionen i sina förbindelser med tredjeländer först stärker de gemensamma demokratiska värdena vid sina gränser. Det är först efter att ha uppnått detta mål som vi rekommenderar att unionen blir ambassadör för vår demokratiska modell i länder som är villiga att tillämpa denna modell och är villiga att göra det genom diplomati och dialog. </w:t>
      </w:r>
    </w:p>
    <w:p>
      <w:pPr>
        <w:pStyle w:val="Normal"/>
        <w:rPr/>
      </w:pPr>
      <w:r>
        <w:rPr/>
        <w:t xml:space="preserve"> </w:t>
      </w:r>
    </w:p>
    <w:p>
      <w:pPr>
        <w:pStyle w:val="Normal"/>
        <w:rPr/>
      </w:pPr>
      <w:r>
        <w:rPr/>
        <w:t xml:space="preserve">Vi rekommenderar denna åtgärd eftersom vi måste titta inåt innan vi tittar utåt. Eftersom Europa kan och måste hjälpa medlemsstaterna att stärka sina demokratier. För det är också genom att föregå med gott exempel och stödja externa länders insatser för demokrati som vi skyddar oss själva. </w:t>
      </w:r>
    </w:p>
    <w:p>
      <w:pPr>
        <w:pStyle w:val="Normal"/>
        <w:rPr/>
      </w:pPr>
      <w:r>
        <w:rPr/>
        <w:t xml:space="preserve"> </w:t>
      </w:r>
    </w:p>
    <w:p>
      <w:pPr>
        <w:pStyle w:val="Titre3"/>
        <w:numPr>
          <w:ilvl w:val="2"/>
          <w:numId w:val="2"/>
        </w:numPr>
        <w:rPr/>
      </w:pPr>
      <w:bookmarkStart w:id="139" w:name="__RefHeading___Toc297213_1346298689"/>
      <w:bookmarkEnd w:id="139"/>
      <w:r>
        <w:rPr/>
        <w:t xml:space="preserve">Axel 3: Reformen av Europeiska unionen </w:t>
      </w:r>
    </w:p>
    <w:p>
      <w:pPr>
        <w:pStyle w:val="Normal"/>
        <w:rPr/>
      </w:pPr>
      <w:r>
        <w:rPr/>
        <w:t xml:space="preserve"> </w:t>
      </w:r>
    </w:p>
    <w:p>
      <w:pPr>
        <w:pStyle w:val="Titre4"/>
        <w:numPr>
          <w:ilvl w:val="3"/>
          <w:numId w:val="2"/>
        </w:numPr>
        <w:rPr/>
      </w:pPr>
      <w:bookmarkStart w:id="140" w:name="__RefHeading___Toc297215_1346298689"/>
      <w:bookmarkEnd w:id="140"/>
      <w:r>
        <w:rPr/>
        <w:t>Delaxel 3.1 Institutionell reform</w:t>
      </w:r>
    </w:p>
    <w:p>
      <w:pPr>
        <w:pStyle w:val="Normal"/>
        <w:rPr/>
      </w:pPr>
      <w:r>
        <w:rPr/>
        <w:t xml:space="preserve"> </w:t>
      </w:r>
    </w:p>
    <w:p>
      <w:pPr>
        <w:pStyle w:val="Normal"/>
        <w:rPr/>
      </w:pPr>
      <w:r>
        <w:rPr>
          <w:b/>
        </w:rPr>
        <w:t>15. ”Vi rekommenderar att namnen på EU-institutionerna ändras för att klargöra deras funktioner. Europeiska unionens råd skulle till exempel kunna kallas Europeiska unionens senat. Europeiska kommissionen skulle kunna kallas Europeiska unionens verkställande kommission</w:t>
      </w:r>
      <w:r>
        <w:rPr/>
        <w:t xml:space="preserve">. </w:t>
      </w:r>
    </w:p>
    <w:p>
      <w:pPr>
        <w:pStyle w:val="Normal"/>
        <w:rPr/>
      </w:pPr>
      <w:r>
        <w:rPr/>
        <w:t xml:space="preserve"> </w:t>
      </w:r>
    </w:p>
    <w:p>
      <w:pPr>
        <w:pStyle w:val="Normal"/>
        <w:rPr/>
      </w:pPr>
      <w:r>
        <w:rPr/>
        <w:t xml:space="preserve">Vi rekommenderar detta eftersom det för närvarande är svårt för medborgarna att förstå varje EU-institutions roller och funktioner. Deras namn återspeglar inte deras funktioner. Medborgarna kan inte förväntas skilja mellan Europeiska unionens råd, Europeiska rådet och Europarådet. Det är viktigt att undvika överlappningar. </w:t>
      </w:r>
    </w:p>
    <w:p>
      <w:pPr>
        <w:pStyle w:val="Normal"/>
        <w:rPr/>
      </w:pPr>
      <w:r>
        <w:rPr/>
        <w:t xml:space="preserve"> </w:t>
      </w:r>
    </w:p>
    <w:p>
      <w:pPr>
        <w:pStyle w:val="P68B1DB1Normal15"/>
        <w:rPr/>
      </w:pPr>
      <w:r>
        <w:rPr/>
        <w:t xml:space="preserve">16. Vi rekommenderar att en vallag antas för Europaparlamentet, som harmoniserar valvillkoren (ålder för rösträtt, datum för val, krav på valdistrikt, kandidater, politiska partier och deras finansiering). EU-medborgarna bör ha rätt att rösta för olika partier på EU-nivå, som var och en består av kandidater från flera medlemsstater. Under en tillräcklig övergångsperiod kan medborgarna fortfarande rösta på nationella och transnationella partier. </w:t>
      </w:r>
    </w:p>
    <w:p>
      <w:pPr>
        <w:pStyle w:val="Normal"/>
        <w:rPr/>
      </w:pPr>
      <w:r>
        <w:rPr/>
        <w:t xml:space="preserve"> </w:t>
      </w:r>
    </w:p>
    <w:p>
      <w:pPr>
        <w:pStyle w:val="Normal"/>
        <w:rPr/>
      </w:pPr>
      <w:r>
        <w:rPr/>
        <w:t xml:space="preserve">Vi rekommenderar detta eftersom unionen måste utveckla en känsla av enighet, som skulle kunna uppstå genom ett verkligt enat val av Europaparlamentet. Detta gemensamma val kommer att göra det möjligt att stärka Europaparlamentets ledamöter och fokusera valkampanjen på gemensamma europeiska teman. </w:t>
      </w:r>
    </w:p>
    <w:p>
      <w:pPr>
        <w:pStyle w:val="Normal"/>
        <w:rPr/>
      </w:pPr>
      <w:r>
        <w:rPr/>
        <w:t xml:space="preserve"> </w:t>
      </w:r>
    </w:p>
    <w:p>
      <w:pPr>
        <w:pStyle w:val="Titre4"/>
        <w:numPr>
          <w:ilvl w:val="3"/>
          <w:numId w:val="2"/>
        </w:numPr>
        <w:rPr/>
      </w:pPr>
      <w:bookmarkStart w:id="141" w:name="__RefHeading___Toc297217_1346298689"/>
      <w:bookmarkEnd w:id="141"/>
      <w:r>
        <w:rPr/>
        <w:t xml:space="preserve">Delaxel 3.2 Beslut </w:t>
      </w:r>
    </w:p>
    <w:p>
      <w:pPr>
        <w:pStyle w:val="Normal"/>
        <w:rPr/>
      </w:pPr>
      <w:r>
        <w:rPr/>
        <w:t xml:space="preserve"> </w:t>
      </w:r>
    </w:p>
    <w:p>
      <w:pPr>
        <w:pStyle w:val="P68B1DB1Normal15"/>
        <w:rPr/>
      </w:pPr>
      <w:r>
        <w:rPr/>
        <w:t xml:space="preserve">17. Vi rekommenderar att man skapar en onlineplattform där medborgarna kan hitta och begära faktaverifierad information. Plattformen bör vara tydligt kopplad till EU-institutionerna, vara tematiskt strukturerad och lättillgänglig (t.ex. genom att tillhandahålla en telefonjour). Medborgarna bör ha möjlighet att ställa kritiska frågor till experter (t.ex. akademiker, journalister) och få faktasvar från källor. </w:t>
      </w:r>
    </w:p>
    <w:p>
      <w:pPr>
        <w:pStyle w:val="Normal"/>
        <w:rPr/>
      </w:pPr>
      <w:r>
        <w:rPr/>
        <w:t xml:space="preserve"> </w:t>
      </w:r>
    </w:p>
    <w:p>
      <w:pPr>
        <w:pStyle w:val="Normal"/>
        <w:rPr/>
      </w:pPr>
      <w:r>
        <w:rPr/>
        <w:t xml:space="preserve">Fri tillgång till faktainformation är av yttersta vikt för vårt samhälle, så att medborgarna är välinformerade och skyddade mot falska nyheter och desinformation. Vi behöver en trovärdig och oberoende informationskälla som inte påverkas av politiska, ekonomiska och nationella intressen. Dessutom kan plattformen skapa en bro (dvs. ett direkt förhållande) mellan medborgarna och EU. </w:t>
      </w:r>
    </w:p>
    <w:p>
      <w:pPr>
        <w:pStyle w:val="Normal"/>
        <w:rPr/>
      </w:pPr>
      <w:r>
        <w:rPr/>
      </w:r>
    </w:p>
    <w:p>
      <w:pPr>
        <w:pStyle w:val="P68B1DB1Normal15"/>
        <w:rPr/>
      </w:pPr>
      <w:r>
        <w:rPr/>
        <w:t xml:space="preserve">18. Vi rekommenderar att en EU-omfattande folkomröstning hålls i undantagsfall om frågor av stor betydelse för alla EU-medborgare. Folkomröstningen bör inledas av Europaparlamentet och bör vara rättsligt bindande. </w:t>
      </w:r>
    </w:p>
    <w:p>
      <w:pPr>
        <w:pStyle w:val="Normal"/>
        <w:rPr/>
      </w:pPr>
      <w:r>
        <w:rPr/>
        <w:t xml:space="preserve"> </w:t>
      </w:r>
    </w:p>
    <w:p>
      <w:pPr>
        <w:pStyle w:val="Normal"/>
        <w:rPr/>
      </w:pPr>
      <w:r>
        <w:rPr/>
        <w:t xml:space="preserve">EU-medborgarna bör ha ett mer direkt inflytande på viktiga beslut i EU-frågor. Folkomröstningar bör dock endast hållas under exceptionella omständigheter, eftersom det med tanke på deras höga kostnader inte skulle vara möjligt att hålla dem regelbundet. Vi är medvetna om att denna rekommendation kan kräva en ändring av fördraget och en anpassning av de nationella konstitutionerna. </w:t>
      </w:r>
    </w:p>
    <w:p>
      <w:pPr>
        <w:pStyle w:val="Normal"/>
        <w:rPr/>
      </w:pPr>
      <w:r>
        <w:rPr/>
        <w:t xml:space="preserve"> </w:t>
      </w:r>
    </w:p>
    <w:p>
      <w:pPr>
        <w:pStyle w:val="P68B1DB1Normal15"/>
        <w:rPr/>
      </w:pPr>
      <w:r>
        <w:rPr/>
        <w:t xml:space="preserve">19. Vi rekommenderar att man skapar en multifunktionell digital plattform genom vilken medborgarna kan rösta i onlineval och omröstningar. Medborgarna bör ges möjlighet att motivera sin omröstning om viktiga frågor och lagstiftningsförslag från EU-institutionerna. Denna plattform bör vara säker, allmänt tillgänglig och synlig för alla medborgare. </w:t>
      </w:r>
    </w:p>
    <w:p>
      <w:pPr>
        <w:pStyle w:val="Normal"/>
        <w:rPr/>
      </w:pPr>
      <w:r>
        <w:rPr/>
        <w:t xml:space="preserve"> </w:t>
      </w:r>
    </w:p>
    <w:p>
      <w:pPr>
        <w:pStyle w:val="Normal"/>
        <w:rPr/>
      </w:pPr>
      <w:r>
        <w:rPr/>
        <w:t xml:space="preserve">Syftet med denna plattform är att öka deltagandet i EU:s politik och att underlätta medborgarnas tillgång till samråd och omröstningar. Befintliga verktyg och processer är inte tillräckligt synliga, och därför behöver vi ett nytt integrerat verktyg för dessa olika funktioner. Ett ökat deltagande leder till bättre beslut, ökat förtroende bland EU-medborgarna och en bättre fungerande union i allmänhet. </w:t>
      </w:r>
    </w:p>
    <w:p>
      <w:pPr>
        <w:pStyle w:val="Normal"/>
        <w:rPr/>
      </w:pPr>
      <w:r>
        <w:rPr/>
        <w:t xml:space="preserve"> </w:t>
      </w:r>
    </w:p>
    <w:p>
      <w:pPr>
        <w:pStyle w:val="P68B1DB1Normal15"/>
        <w:rPr/>
      </w:pPr>
      <w:r>
        <w:rPr/>
        <w:t xml:space="preserve">20. ”Vi rekommenderar att omröstningssystemen i EU:s institutioner omprövas genom att man fokuserar på frågan om omröstning med enhällighet. ”Viktningen” av rösterna bör beräknas rättvist för att skydda de små ländernas intressen. </w:t>
      </w:r>
    </w:p>
    <w:p>
      <w:pPr>
        <w:pStyle w:val="Normal"/>
        <w:rPr/>
      </w:pPr>
      <w:r>
        <w:rPr/>
        <w:t xml:space="preserve"> </w:t>
      </w:r>
    </w:p>
    <w:p>
      <w:pPr>
        <w:pStyle w:val="Normal"/>
        <w:rPr/>
      </w:pPr>
      <w:r>
        <w:rPr/>
        <w:t xml:space="preserve">Enhällighet är en viktig utmaning för beslutsfattandet i EU. Med tanke på det stora antalet medlemsstater är det mycket svårt att nå en överenskommelse. Vid behov bör de europeiska fördragen ändras för att lösa frågan om enhällighet. </w:t>
      </w:r>
    </w:p>
    <w:p>
      <w:pPr>
        <w:pStyle w:val="Normal"/>
        <w:rPr/>
      </w:pPr>
      <w:r>
        <w:rPr/>
        <w:t xml:space="preserve"> </w:t>
      </w:r>
    </w:p>
    <w:p>
      <w:pPr>
        <w:pStyle w:val="Titre4"/>
        <w:numPr>
          <w:ilvl w:val="3"/>
          <w:numId w:val="2"/>
        </w:numPr>
        <w:rPr/>
      </w:pPr>
      <w:bookmarkStart w:id="142" w:name="__RefHeading___Toc297219_1346298689"/>
      <w:bookmarkEnd w:id="142"/>
      <w:r>
        <w:rPr/>
        <w:t xml:space="preserve">Delaxel 3.3 Närmare integration </w:t>
      </w:r>
    </w:p>
    <w:p>
      <w:pPr>
        <w:pStyle w:val="Normal"/>
        <w:rPr/>
      </w:pPr>
      <w:r>
        <w:rPr/>
        <w:t xml:space="preserve"> </w:t>
      </w:r>
    </w:p>
    <w:p>
      <w:pPr>
        <w:pStyle w:val="P68B1DB1Normal15"/>
        <w:rPr/>
      </w:pPr>
      <w:r>
        <w:rPr/>
        <w:t xml:space="preserve">21. ”Vi rekommenderar att unionen gör offentliga investeringar som leder till skapandet av lämpliga arbetstillfällen och till förbättring och harmonisering av livskvaliteten i hela unionen, mellan medlemsstaterna och inom medlemsstaterna (dvs. på regional nivå). Det finns ett behov av att säkerställa effektiv tillsyn, öppenhet och kommunikation till medborgarna vid genomförandet av offentliga investeringar och att göra det möjligt för medborgarna att övervaka hela investeringsprocessen. För att förbättra livskvaliteten bör investeringar göras på områden som utbildning, hälso- och sjukvård, bostäder, fysisk infrastruktur, äldreomsorg och personer med funktionsnedsättning, med beaktande av varje medlemsstats behov. De ytterligare investeringarna bör syfta till att skapa en god balans mellan ett lämpligt arbetsliv och privatliv för att möjliggöra en hälsosam livsstil. </w:t>
      </w:r>
    </w:p>
    <w:p>
      <w:pPr>
        <w:pStyle w:val="Normal"/>
        <w:rPr/>
      </w:pPr>
      <w:r>
        <w:rPr/>
        <w:t xml:space="preserve"> </w:t>
      </w:r>
    </w:p>
    <w:p>
      <w:pPr>
        <w:pStyle w:val="Normal"/>
        <w:rPr/>
      </w:pPr>
      <w:r>
        <w:rPr/>
        <w:t xml:space="preserve">Vi rekommenderar denna åtgärd eftersom en harmonisering av levnadsstandarden i unionen kommer att förbättra de ekonomiska framstegen i hela unionen, vilket leder till en enhetlig europeisk union. Detta är en viktig indikator för ytterligare integration av unionen. Även om vissa av dessa mekanismer redan finns på plats anser vi att de fortfarande kan förbättras. </w:t>
      </w:r>
    </w:p>
    <w:p>
      <w:pPr>
        <w:pStyle w:val="Normal"/>
        <w:rPr/>
      </w:pPr>
      <w:r>
        <w:rPr/>
        <w:t xml:space="preserve"> </w:t>
      </w:r>
    </w:p>
    <w:p>
      <w:pPr>
        <w:pStyle w:val="P68B1DB1Normal15"/>
        <w:rPr/>
      </w:pPr>
      <w:r>
        <w:rPr/>
        <w:t xml:space="preserve">22. ”Vi rekommenderar att man inrättar en gemensam grund, baserad på en uppsättning ekonomiska indikatorer och indikatorer för livskvalitet, för alla medlemsstater, för att erbjuda lika möjligheter och placera alla på lika villkor för att uppnå en gemensam ekonomisk struktur. Det är viktigt att denna gemensamma grund fastställs enligt en tydlig och realistisk tidsplan som fastställts av institutionerna på rekommendation av experterna. Experter bör också rådfrågas om formen för en sådan gemensam ekonomisk struktur. Det är också viktigt att de indikatorer som ligger till grund för denna gemensamma grund definieras mer exakt med hjälp av experter. </w:t>
      </w:r>
    </w:p>
    <w:p>
      <w:pPr>
        <w:pStyle w:val="Normal"/>
        <w:rPr/>
      </w:pPr>
      <w:r>
        <w:rPr/>
        <w:t xml:space="preserve"> </w:t>
      </w:r>
    </w:p>
    <w:p>
      <w:pPr>
        <w:pStyle w:val="Normal"/>
        <w:rPr/>
      </w:pPr>
      <w:r>
        <w:rPr/>
        <w:t xml:space="preserve">Vi rekommenderar detta, för om vi har en rättvis union kommer vi att ha ett mer enat Europa. För att vara rättvis måste vi erbjuda lika möjligheter och en gemensam grund för hela unionen. Det kommer bara att vara möjligt att uppnå en gemensam ekonomisk struktur när en gemensam bas har upprättats. </w:t>
      </w:r>
    </w:p>
    <w:p>
      <w:pPr>
        <w:pStyle w:val="Normal"/>
        <w:rPr/>
      </w:pPr>
      <w:r>
        <w:rPr/>
        <w:t xml:space="preserve"> </w:t>
      </w:r>
    </w:p>
    <w:p>
      <w:pPr>
        <w:pStyle w:val="P68B1DB1Normal15"/>
        <w:rPr/>
      </w:pPr>
      <w:r>
        <w:rPr/>
        <w:t xml:space="preserve">23. Vi rekommenderar att stora företag och företagsinkomster beskattas för att bidra till offentliga investeringar och använda beskattning för att investera i utbildning och utveckling i varje land (FoU, stipendier – Erasmus osv.). Det är också viktigt att se till att skatteparadis avskaffas i EU.” </w:t>
      </w:r>
    </w:p>
    <w:p>
      <w:pPr>
        <w:pStyle w:val="Normal"/>
        <w:rPr/>
      </w:pPr>
      <w:r>
        <w:rPr/>
        <w:t xml:space="preserve"> </w:t>
      </w:r>
    </w:p>
    <w:p>
      <w:pPr>
        <w:pStyle w:val="Normal"/>
        <w:rPr/>
      </w:pPr>
      <w:r>
        <w:rPr/>
        <w:t xml:space="preserve">Vi rekommenderar denna åtgärd eftersom den kommer att bidra till att förhindra skatteflykt och skapa skatteparadis och främja efterlevnad. </w:t>
      </w:r>
    </w:p>
    <w:p>
      <w:pPr>
        <w:pStyle w:val="Normal"/>
        <w:rPr/>
      </w:pPr>
      <w:r>
        <w:rPr/>
      </w:r>
    </w:p>
    <w:p>
      <w:pPr>
        <w:pStyle w:val="Titre3"/>
        <w:numPr>
          <w:ilvl w:val="2"/>
          <w:numId w:val="2"/>
        </w:numPr>
        <w:rPr/>
      </w:pPr>
      <w:bookmarkStart w:id="143" w:name="__RefHeading___Toc297221_1346298689"/>
      <w:bookmarkEnd w:id="143"/>
      <w:r>
        <w:rPr/>
        <w:t xml:space="preserve">Axel 4: Att skapa en europeisk identitet </w:t>
      </w:r>
    </w:p>
    <w:p>
      <w:pPr>
        <w:pStyle w:val="Normal"/>
        <w:rPr/>
      </w:pPr>
      <w:r>
        <w:rPr/>
        <w:t xml:space="preserve"> </w:t>
      </w:r>
    </w:p>
    <w:p>
      <w:pPr>
        <w:pStyle w:val="Titre4"/>
        <w:numPr>
          <w:ilvl w:val="3"/>
          <w:numId w:val="2"/>
        </w:numPr>
        <w:rPr/>
      </w:pPr>
      <w:bookmarkStart w:id="144" w:name="__RefHeading___Toc297223_1346298689"/>
      <w:bookmarkEnd w:id="144"/>
      <w:r>
        <w:rPr/>
        <w:t xml:space="preserve">Delaxel 4.1 Utbildning för demokrati </w:t>
      </w:r>
    </w:p>
    <w:p>
      <w:pPr>
        <w:pStyle w:val="Normal"/>
        <w:rPr/>
      </w:pPr>
      <w:r>
        <w:rPr/>
        <w:t xml:space="preserve"> </w:t>
      </w:r>
    </w:p>
    <w:p>
      <w:pPr>
        <w:pStyle w:val="P68B1DB1Normal15"/>
        <w:rPr/>
      </w:pPr>
      <w:r>
        <w:rPr/>
        <w:t xml:space="preserve">24. Vi rekommenderar att demokratiutbildningen i EU förbättrar och uppnår en miniminivå av kunskap i alla medlemsstater. Denna utbildning bör omfatta, men inte begränsat till, demokratiska processer och allmän information om unionen, som bör undervisas i alla EU:s medlemsstater. Det bör berikas med en rad olika begrepp som syftar till att undervisa den demokratiska processen, som bör vara attraktiv och åldersanpassad. </w:t>
      </w:r>
    </w:p>
    <w:p>
      <w:pPr>
        <w:pStyle w:val="Normal"/>
        <w:rPr/>
      </w:pPr>
      <w:r>
        <w:rPr/>
        <w:t xml:space="preserve"> </w:t>
      </w:r>
    </w:p>
    <w:p>
      <w:pPr>
        <w:pStyle w:val="Normal"/>
        <w:rPr/>
      </w:pPr>
      <w:r>
        <w:rPr/>
        <w:t xml:space="preserve">Denna rekommendation och skälen till den är viktiga eftersom den, om den genomförs, kommer att leda till ett mer harmoniskt och demokratiskt liv i unionen. Motiveringarna är följande: ungdomar ska utbildas i demokratiska processer. denna utbildning skulle kunna begränsa populism och desinformation i den offentliga debatten. det skulle kunna minska diskrimineringen. och slutligen skulle det göra det möjligt att utbilda och mobilisera medborgarna för demokrati utöver deras enkla skyldighet att rösta. </w:t>
      </w:r>
    </w:p>
    <w:p>
      <w:pPr>
        <w:pStyle w:val="Normal"/>
        <w:rPr/>
      </w:pPr>
      <w:r>
        <w:rPr/>
        <w:t xml:space="preserve"> </w:t>
      </w:r>
    </w:p>
    <w:p>
      <w:pPr>
        <w:pStyle w:val="P68B1DB1Normal15"/>
        <w:rPr/>
      </w:pPr>
      <w:r>
        <w:rPr/>
        <w:t xml:space="preserve">25. ”Vi rekommenderar att befintlig och framväxande översättningsteknik, såsom artificiell intelligens, vidareutvecklas, förbättras och görs mer tillgänglig för att minska språkbarriärer och stärka den gemensamma identiteten och demokratin i EU.” </w:t>
      </w:r>
    </w:p>
    <w:p>
      <w:pPr>
        <w:pStyle w:val="Normal"/>
        <w:rPr/>
      </w:pPr>
      <w:r>
        <w:rPr/>
        <w:t xml:space="preserve"> </w:t>
      </w:r>
    </w:p>
    <w:p>
      <w:pPr>
        <w:pStyle w:val="Normal"/>
        <w:rPr/>
      </w:pPr>
      <w:r>
        <w:rPr/>
        <w:t xml:space="preserve">Denna rekommendation och skälen till rekommendationen är viktiga eftersom den, om den genomförs, kommer att bidra till att skapa en gemensam europeisk identitet genom att förbättra kommunikationen mellan medborgarna i alla medlemsstater. </w:t>
      </w:r>
    </w:p>
    <w:p>
      <w:pPr>
        <w:pStyle w:val="Normal"/>
        <w:rPr/>
      </w:pPr>
      <w:r>
        <w:rPr/>
        <w:t xml:space="preserve"> </w:t>
      </w:r>
    </w:p>
    <w:p>
      <w:pPr>
        <w:pStyle w:val="P68B1DB1Normal15"/>
        <w:rPr/>
      </w:pPr>
      <w:r>
        <w:rPr/>
        <w:t xml:space="preserve">26. Vi rekommenderar att kontrollerbar information görs lättillgänglig, i begripliga termer, för medborgarna via en mobilapp, för att förbättra insynen, den offentliga debatten och demokratin. Denna ansökan skulle kunna användas för att sprida information om t.ex. lagstiftning, diskussioner inom EU, ändringar av fördragen osv. </w:t>
      </w:r>
    </w:p>
    <w:p>
      <w:pPr>
        <w:pStyle w:val="Normal"/>
        <w:rPr/>
      </w:pPr>
      <w:r>
        <w:rPr/>
        <w:t xml:space="preserve"> </w:t>
      </w:r>
    </w:p>
    <w:p>
      <w:pPr>
        <w:pStyle w:val="Normal"/>
        <w:rPr/>
      </w:pPr>
      <w:r>
        <w:rPr/>
        <w:t xml:space="preserve">Denna rekommendation och skälen till rekommendationen är viktiga eftersom den, om den genomförs, kommer att underlätta kommunikationen i den mån den möjliggör en mer informerad debatt bland medborgarna i de olika medlemsstaterna, genom en ansökan som skulle kunna ha många olika funktioner. Denna ansökan bör utformas på ett sådant sätt att den sannolikt är av intresse för alla och kan ytterligare locka till sig nyfikenhet och göra teknisk information mer tillgänglig och attraktiv. Ansökan bör ses som en kompletterande källa som sprider information som officiellt verifieras direkt av unionen för att öka förtroendet och insynen i den offentliga debatten och bidra till uppbyggnaden av en gemensam europeisk identitet. </w:t>
      </w:r>
    </w:p>
    <w:p>
      <w:pPr>
        <w:pStyle w:val="Normal"/>
        <w:rPr/>
      </w:pPr>
      <w:r>
        <w:rPr/>
      </w:r>
    </w:p>
    <w:p>
      <w:pPr>
        <w:pStyle w:val="Titre4"/>
        <w:numPr>
          <w:ilvl w:val="3"/>
          <w:numId w:val="2"/>
        </w:numPr>
        <w:rPr/>
      </w:pPr>
      <w:bookmarkStart w:id="145" w:name="__RefHeading___Toc297225_1346298689"/>
      <w:bookmarkEnd w:id="145"/>
      <w:r>
        <w:rPr/>
        <w:t xml:space="preserve">Delaxel 4.2 Europeiska värden och identitet </w:t>
      </w:r>
    </w:p>
    <w:p>
      <w:pPr>
        <w:pStyle w:val="Normal"/>
        <w:rPr/>
      </w:pPr>
      <w:r>
        <w:rPr/>
        <w:t xml:space="preserve"> </w:t>
      </w:r>
    </w:p>
    <w:p>
      <w:pPr>
        <w:pStyle w:val="P68B1DB1Normal15"/>
        <w:rPr/>
      </w:pPr>
      <w:r>
        <w:rPr/>
        <w:t xml:space="preserve">27. ”Vi rekommenderar att EU inrättar en särskild fond för interaktion online och offline (dvs. utbytesprogram, paneler, möten) med kort och lång varaktighet mellan EU-medborgarna, för att stärka den europeiska identiteten. Deltagarna bör vara representativa för samhället inom unionen, inbegripet grupper som väljs ut på ett målinriktat sätt på grundval av olika kriterier, dvs. demografiska, socioekonomiska och yrkesmässiga kriterier. Fondens mål måste tydligt anges för att främja den europeiska identiteten, och denna fond bör utvärderas med jämna mellanrum. </w:t>
      </w:r>
    </w:p>
    <w:p>
      <w:pPr>
        <w:pStyle w:val="Normal"/>
        <w:rPr/>
      </w:pPr>
      <w:r>
        <w:rPr/>
        <w:t xml:space="preserve"> </w:t>
      </w:r>
    </w:p>
    <w:p>
      <w:pPr>
        <w:pStyle w:val="Normal"/>
        <w:rPr/>
      </w:pPr>
      <w:r>
        <w:rPr/>
        <w:t xml:space="preserve">Vi rekommenderar detta eftersom denna typ av interaktion gör det möjligt för medborgarna att dela idéer, och längre utbyten gör det möjligt för dem att förstå olika kulturer och dela erfarenheter, inklusive yrkespraxis. Det behövs en EU-fond, eftersom det är viktigt att alla kan delta, även de som vanligtvis inte deltar. </w:t>
      </w:r>
    </w:p>
    <w:p>
      <w:pPr>
        <w:pStyle w:val="Normal"/>
        <w:rPr/>
      </w:pPr>
      <w:r>
        <w:rPr/>
        <w:t xml:space="preserve"> </w:t>
      </w:r>
    </w:p>
    <w:p>
      <w:pPr>
        <w:pStyle w:val="P68B1DB1Normal15"/>
        <w:rPr/>
      </w:pPr>
      <w:r>
        <w:rPr/>
        <w:t xml:space="preserve">28. ”Vi rekommenderar att EU snabbt investerar i kampen mot desinformation och stöder befintliga organisationer och initiativ, såsom uppförandekoden för desinformation och det europeiska observatoriet för digitala medier, samt jämförbara initiativ i medlemsstaterna. Olika motåtgärder skulle kunna införas: kontroll av fakta, medvetenhet om desinformation, framställning av lättillgänglig statistik, införande av lämpliga sanktioner inom ramen för en rättslig ram för dem som sprider desinformation och kampen mot källor till desinformation. </w:t>
      </w:r>
    </w:p>
    <w:p>
      <w:pPr>
        <w:pStyle w:val="Normal"/>
        <w:rPr/>
      </w:pPr>
      <w:r>
        <w:rPr/>
        <w:t xml:space="preserve"> </w:t>
      </w:r>
    </w:p>
    <w:p>
      <w:pPr>
        <w:pStyle w:val="Normal"/>
        <w:rPr/>
      </w:pPr>
      <w:r>
        <w:rPr/>
        <w:t xml:space="preserve">Denna rekommendation är viktig eftersom felaktig information och desinformation, inifrån och utanför EU, leder till konflikter mellan EU-medborgarna, polarisering av samhället, hot mot demokratin och skadat ekonomin. Med tanke på ämnets komplexitet behövs betydande personalresurser och ekonomiska resurser. </w:t>
      </w:r>
    </w:p>
    <w:p>
      <w:pPr>
        <w:pStyle w:val="Normal"/>
        <w:rPr/>
      </w:pPr>
      <w:r>
        <w:rPr/>
        <w:t xml:space="preserve"> </w:t>
      </w:r>
    </w:p>
    <w:p>
      <w:pPr>
        <w:pStyle w:val="P68B1DB1Normal15"/>
        <w:rPr/>
      </w:pPr>
      <w:r>
        <w:rPr/>
        <w:t xml:space="preserve">29. ”Vi rekommenderar 1) att öka frekvensen av interaktioner online och offline mellan unionen och dess medborgare (dvs. genom att direkt intervjua medborgarna i EU-frågor och skapa en lättanvänd plattform för att säkerställa att alla medborgare kan interagera med EU:s institutioner och tjänstemän) och 2) se till att medborgarna kan delta i EU:s beslutsprocess, uttrycka sina åsikter och få feedback, och vi rekommenderar att man skapar en stadga eller en uppförandekod eller riktlinjer för EU-tjänstemän. Det bör finnas olika sätt att interagera så att alla medborgare kan delta. </w:t>
      </w:r>
    </w:p>
    <w:p>
      <w:pPr>
        <w:pStyle w:val="Normal"/>
        <w:rPr/>
      </w:pPr>
      <w:r>
        <w:rPr/>
        <w:t xml:space="preserve"> </w:t>
      </w:r>
    </w:p>
    <w:p>
      <w:pPr>
        <w:pStyle w:val="Normal"/>
        <w:rPr/>
      </w:pPr>
      <w:r>
        <w:rPr/>
        <w:t xml:space="preserve">Vi rekommenderar denna åtgärd eftersom det finns flera sätt att komma i kontakt med EU-institutionerna (onlineplattformar, representativa organ), men de är inte kända, inte effektiva och inte transparenta. Tillgängligheten varierar avsevärt från land till land. Tätare och bättre interaktioner kommer att ge upphov till en känsla av egenansvar för det europeiska medborgarskapet. </w:t>
      </w:r>
    </w:p>
    <w:p>
      <w:pPr>
        <w:pStyle w:val="Normal"/>
        <w:rPr/>
      </w:pPr>
      <w:r>
        <w:rPr/>
        <w:t xml:space="preserve"> </w:t>
      </w:r>
    </w:p>
    <w:p>
      <w:pPr>
        <w:pStyle w:val="P68B1DB1Normal15"/>
        <w:rPr/>
      </w:pPr>
      <w:r>
        <w:rPr/>
        <w:t xml:space="preserve">30. Vi rekommenderar att europeisk identitet och europeiska värderingar (dvs. rättsstatsprincipen, demokrati och solidaritet) spelar en särskild roll i integrationsprocessen för migranter. Olika åtgärder kan övervägas, t.ex. inrättande av program eller stöd till redan befintliga (lokala) program för att främja social interaktion mellan migranter och EU-medborgare eller företagens deltagande i program som stöder integration av migranter. Samtidigt bör liknande program lanseras för att öka EU-medborgarnas medvetenhet om migrationsrelaterade frågor. </w:t>
      </w:r>
    </w:p>
    <w:p>
      <w:pPr>
        <w:pStyle w:val="Normal"/>
        <w:rPr/>
      </w:pPr>
      <w:r>
        <w:rPr/>
        <w:t xml:space="preserve"> </w:t>
      </w:r>
    </w:p>
    <w:p>
      <w:pPr>
        <w:pStyle w:val="Normal"/>
        <w:rPr/>
      </w:pPr>
      <w:r>
        <w:rPr/>
        <w:t xml:space="preserve">Denna rekommendation är viktig, eftersom sociala interaktionsprogram kan hjälpa migranter i sina nya liv och göra det möjligt för icke-migranter att bättre förstå migranternas dagliga liv. Om migranter lever i getton finns det ingen möjlighet att integrera dem i samhället på nationell nivå eller EU-nivå. En gemensam politik är nödvändig, för när migranter kommer in på unionens territorium kan de resa till alla EU-länder. Lokala initiativ bör stödjas, eftersom de lokala myndigheterna kommer att använda medlen mer effektivt än på nationell nivå. </w:t>
      </w:r>
    </w:p>
    <w:p>
      <w:pPr>
        <w:pStyle w:val="Normal"/>
        <w:rPr/>
      </w:pPr>
      <w:r>
        <w:rPr/>
        <w:t xml:space="preserve"> </w:t>
      </w:r>
    </w:p>
    <w:p>
      <w:pPr>
        <w:pStyle w:val="Titre4"/>
        <w:numPr>
          <w:ilvl w:val="3"/>
          <w:numId w:val="2"/>
        </w:numPr>
        <w:rPr/>
      </w:pPr>
      <w:bookmarkStart w:id="146" w:name="__RefHeading___Toc297227_1346298689"/>
      <w:bookmarkEnd w:id="146"/>
      <w:r>
        <w:rPr/>
        <w:t xml:space="preserve">Delaxel 4.3 EU-uppgifter </w:t>
      </w:r>
    </w:p>
    <w:p>
      <w:pPr>
        <w:pStyle w:val="Normal"/>
        <w:rPr/>
      </w:pPr>
      <w:r>
        <w:rPr/>
        <w:t xml:space="preserve"> </w:t>
      </w:r>
    </w:p>
    <w:p>
      <w:pPr>
        <w:pStyle w:val="P68B1DB1Normal15"/>
        <w:rPr/>
      </w:pPr>
      <w:r>
        <w:rPr/>
        <w:t xml:space="preserve">31. ”Vi rekommenderar att EU informerar EU-medborgarna på ett bättre sätt. För att göra detta bör unionen använda alla nödvändiga medel samtidigt som mediernas frihet och oberoende respekteras. Den bör förse medierna med allmänna och tillförlitliga resurser och information om unionens verksamhet och politik. Unionen bör se till att informationen sprids lika i alla medlemsstater genom nationella och europeiska medier och se till att medlemsstaterna uppmuntrar offentliga programföretag och offentliga nyhetsbyråer att hantera europeiska frågor.” </w:t>
      </w:r>
    </w:p>
    <w:p>
      <w:pPr>
        <w:pStyle w:val="Normal"/>
        <w:rPr/>
      </w:pPr>
      <w:r>
        <w:rPr/>
      </w:r>
    </w:p>
    <w:p>
      <w:pPr>
        <w:pStyle w:val="Normal"/>
        <w:rPr/>
      </w:pPr>
      <w:r>
        <w:rPr/>
        <w:t xml:space="preserve">Vi rekommenderar detta eftersom majoriteten av EU-medborgarna, enligt vår personliga erfarenhet och enligt Eurobarometeruppgifter, informeras av de vanliga medierna (press, radio och TV) och dessa kanaler erbjuder för närvarande mycket lite information om EU. Medierna, inklusive offentliga medier, har en public service-funktion. Det är därför viktigt att ta itu med europeiska frågor som påverkar den europeiska befolkningen för att kunna fylla denna funktion. Vi rekommenderar att den EU-information som sprids i de olika medlemsstaterna är densamma för att främja integration, och vi rekommenderar att man undviker olika information om olika frågor i varje land. Det är bekvämare och billigare att använda befintliga mediekanaler än att skapa en ny kanal, för samma resultat. De befintliga kanalerna har också fördelen att de redan är kända för medborgarna. Ingen medborgare ska behöva välja mellan olika kanaler för att få tillgång till olika innehåll (nationellt eller europeiskt). </w:t>
      </w:r>
    </w:p>
    <w:p>
      <w:pPr>
        <w:pStyle w:val="Normal"/>
        <w:rPr/>
      </w:pPr>
      <w:r>
        <w:rPr/>
        <w:t xml:space="preserve"> </w:t>
      </w:r>
    </w:p>
    <w:p>
      <w:pPr>
        <w:pStyle w:val="P68B1DB1Normal15"/>
        <w:rPr/>
      </w:pPr>
      <w:r>
        <w:rPr/>
        <w:t xml:space="preserve">32. ”Vi rekommenderar att EU skapar och främjar flerspråkiga onlineforum och möten offline som gör det möjligt för medborgarna att delta i en debatt med EU:s företrädare, oavsett ämnet och den geografiska omfattningen av den fråga som tas upp. Svaren på de frågor som tas upp vid dessa onlineforum och möten offline bör tillhandahållas inom en väldefinierad kort tidsram. All information om dessa utrymmen bör centraliseras på en integrerad officiell webbplats med olika funktioner, t.ex. utrymme för vanliga frågor, möjlighet att dela idéer, förslag eller problem med andra medborgare och en mekanism för att ange vilka som får mest stöd. Under alla omständigheter bör tillgången till denna webbplats vara enkel och icke-byråkratiskt språk bör användas. </w:t>
      </w:r>
    </w:p>
    <w:p>
      <w:pPr>
        <w:pStyle w:val="Normal"/>
        <w:rPr/>
      </w:pPr>
      <w:r>
        <w:rPr/>
        <w:t xml:space="preserve"> </w:t>
      </w:r>
    </w:p>
    <w:p>
      <w:pPr>
        <w:pStyle w:val="Normal"/>
        <w:rPr/>
      </w:pPr>
      <w:r>
        <w:rPr/>
        <w:t xml:space="preserve">Vi rekommenderar detta eftersom det är ett sätt att skapa en direkt bro mellan EU-medborgarna och de europeiska företrädarna för att tala och samarbeta, ge medborgarna enkel tillgång till information om unionen och bättre informera dem om den information som redan finns tillgänglig. Detta kommer att skapa en mer transparent och öppen union och hjälpa medborgarna att dela med sig av sina problem och reflektioner och få politiska svar och lösningar, och göra det möjligt för medborgarna att engagera sig och dela med sig av perspektiv och erfarenheter med andra medborgare. </w:t>
      </w:r>
    </w:p>
    <w:p>
      <w:pPr>
        <w:pStyle w:val="Normal"/>
        <w:rPr/>
      </w:pPr>
      <w:r>
        <w:rPr/>
        <w:t xml:space="preserve"> </w:t>
      </w:r>
    </w:p>
    <w:p>
      <w:pPr>
        <w:pStyle w:val="Normal"/>
        <w:rPr/>
      </w:pPr>
      <w:r>
        <w:rPr>
          <w:b/>
        </w:rPr>
        <w:t xml:space="preserve">33. </w:t>
      </w:r>
      <w:commentRangeStart w:id="4"/>
      <w:r>
        <w:rPr>
          <w:b/>
        </w:rPr>
        <w:t>”</w:t>
      </w:r>
      <w:r>
        <w:rPr>
          <w:b/>
          <w:i/>
        </w:rPr>
        <w:t>Vi rekommenderar att EU:s institutioner och företrädare använder mer tillgängliga språk och undviker att använda byråkratiska termer i sin kommunikation, samtidigt som kvaliteten och den tekniska nivån på den information som ges bibehålls.</w:t>
      </w:r>
      <w:r>
        <w:rPr>
          <w:b/>
        </w:rPr>
        <w:t xml:space="preserve"> </w:t>
      </w:r>
      <w:r>
        <w:rPr/>
      </w:r>
      <w:commentRangeEnd w:id="4"/>
      <w:r>
        <w:commentReference w:id="4"/>
      </w:r>
      <w:r>
        <w:rPr>
          <w:b/>
        </w:rPr>
        <w:t xml:space="preserve">Unionen bör också anpassa den information som den ger medborgarna via olika kommunikationskanaler och olika målgrupper (t.ex. tidningar, tv, sociala medier). EU bör göra en särskild insats för att anpassa kommunikationen till digitala medier för att öka sin kapacitet att nå ut till ungdomar.” </w:t>
      </w:r>
    </w:p>
    <w:p>
      <w:pPr>
        <w:pStyle w:val="Normal"/>
        <w:rPr/>
      </w:pPr>
      <w:r>
        <w:rPr/>
        <w:t xml:space="preserve"> </w:t>
      </w:r>
    </w:p>
    <w:p>
      <w:pPr>
        <w:pStyle w:val="Normal"/>
        <w:rPr/>
      </w:pPr>
      <w:r>
        <w:rPr/>
        <w:t xml:space="preserve">Vi rekommenderar denna åtgärd, eftersom det med begriplig information kommer att göra det möjligt för unionen att nå fler europeiska medborgare och inte bara de som är engagerade. Med nya moderna verktyg för att rikta in sig på specifika målgrupper kommer medborgarna att få en bättre förståelse för EU:s verksamhet och politik, särskilt ungdomar som inte känner sig nära eller knutna till EU. </w:t>
      </w:r>
    </w:p>
    <w:p>
      <w:pPr>
        <w:pStyle w:val="Normal"/>
        <w:rPr/>
      </w:pPr>
      <w:r>
        <w:rPr/>
      </w:r>
    </w:p>
    <w:p>
      <w:pPr>
        <w:pStyle w:val="Titre3"/>
        <w:numPr>
          <w:ilvl w:val="2"/>
          <w:numId w:val="2"/>
        </w:numPr>
        <w:rPr/>
      </w:pPr>
      <w:bookmarkStart w:id="147" w:name="__RefHeading___Toc297229_1346298689"/>
      <w:bookmarkEnd w:id="147"/>
      <w:r>
        <w:rPr/>
        <w:t xml:space="preserve">Axel 5: Att stärka medborgarnas deltagande </w:t>
      </w:r>
    </w:p>
    <w:p>
      <w:pPr>
        <w:pStyle w:val="Normal"/>
        <w:rPr/>
      </w:pPr>
      <w:r>
        <w:rPr/>
        <w:t xml:space="preserve"> </w:t>
      </w:r>
    </w:p>
    <w:p>
      <w:pPr>
        <w:pStyle w:val="Titre4"/>
        <w:numPr>
          <w:ilvl w:val="3"/>
          <w:numId w:val="2"/>
        </w:numPr>
        <w:rPr/>
      </w:pPr>
      <w:bookmarkStart w:id="148" w:name="__RefHeading___Toc297231_1346298689"/>
      <w:bookmarkEnd w:id="148"/>
      <w:r>
        <w:rPr/>
        <w:t xml:space="preserve">Delaxel 5.1 Medborgarskap </w:t>
      </w:r>
    </w:p>
    <w:p>
      <w:pPr>
        <w:pStyle w:val="Normal"/>
        <w:rPr/>
      </w:pPr>
      <w:r>
        <w:rPr/>
        <w:t xml:space="preserve"> </w:t>
      </w:r>
    </w:p>
    <w:p>
      <w:pPr>
        <w:pStyle w:val="P68B1DB1Normal15"/>
        <w:rPr/>
      </w:pPr>
      <w:r>
        <w:rPr/>
        <w:t xml:space="preserve">34. ”Vi rekommenderar att oberoende medborgarobservatörer närvarar i alla EU:s beslutsprocesser. Det bör finnas ett permanent forum eller ett permanent organ med företrädare för medborgarna, som skulle ansvara för att sprida relevant och viktig information till alla unionsmedborgare som definieras som sådana. Dessa medborgare skulle samarbeta med alla andra EU-medborgare i en uppifrån och nedifrån och upp-strategi, som skulle vidareutveckla dialogen mellan medborgarna och EU-institutionerna.” </w:t>
      </w:r>
    </w:p>
    <w:p>
      <w:pPr>
        <w:pStyle w:val="Normal"/>
        <w:rPr/>
      </w:pPr>
      <w:r>
        <w:rPr/>
        <w:t xml:space="preserve"> </w:t>
      </w:r>
    </w:p>
    <w:p>
      <w:pPr>
        <w:pStyle w:val="Normal"/>
        <w:rPr/>
      </w:pPr>
      <w:r>
        <w:rPr/>
        <w:t xml:space="preserve">Medborgarna förtjänar naturligtvis att hållas informerade om alla frågor, och det är viktigt att se till att politiker inte kan förbise några av de frågor som de föredrar att ignorera. En sådan åtgärd skulle överbrygga klyftan mellan medborgare och valda företrädare genom att skapa nya vägar för förtroende. </w:t>
      </w:r>
    </w:p>
    <w:p>
      <w:pPr>
        <w:pStyle w:val="Normal"/>
        <w:rPr/>
      </w:pPr>
      <w:r>
        <w:rPr/>
        <w:t xml:space="preserve"> </w:t>
      </w:r>
    </w:p>
    <w:p>
      <w:pPr>
        <w:pStyle w:val="P68B1DB1Normal15"/>
        <w:rPr/>
      </w:pPr>
      <w:r>
        <w:rPr/>
        <w:t xml:space="preserve"> </w:t>
      </w:r>
      <w:r>
        <w:rPr/>
        <w:t xml:space="preserve">35. ”Vi rekommenderar att unionen återupptar diskussionen om Europas konstitution i syfte att utarbeta en konstitution som inspirerats av unionens medborgare. Medborgarna bör kunna rösta för en sådan konstitution. För att undvika konflikter med medlemsstaterna bör värdena mänskliga rättigheter och demokrati prioriteras i denna konstitution. Vid utarbetandet av en sådan konstitution måste hänsyn tas till tidigare ansträngningar som aldrig har lett till en konstitution. </w:t>
      </w:r>
    </w:p>
    <w:p>
      <w:pPr>
        <w:pStyle w:val="Normal"/>
        <w:rPr/>
      </w:pPr>
      <w:r>
        <w:rPr/>
        <w:t xml:space="preserve"> </w:t>
      </w:r>
    </w:p>
    <w:p>
      <w:pPr>
        <w:pStyle w:val="Normal"/>
        <w:rPr/>
      </w:pPr>
      <w:r>
        <w:rPr/>
        <w:t xml:space="preserve">Eftersom denna konstitution skulle engagera ungdomar i politiken på EU-nivå och omintetgöra de krafter av nationalism som vinner mark. Det skulle ge en gemensam definition av vad demokrati i Europa är och skulle genomföras på samma sätt i alla medlemsstater. Eftersom EU delar gemensamma värderingar om demokrati och mänskliga rättigheter. Eftersom medborgarna skulle ha möjlighet att delta i beslutsprocessen och att identifiera sig mer med unionen genom att delta i denna process. </w:t>
      </w:r>
    </w:p>
    <w:p>
      <w:pPr>
        <w:pStyle w:val="Normal"/>
        <w:rPr/>
      </w:pPr>
      <w:r>
        <w:rPr/>
        <w:t xml:space="preserve"> </w:t>
      </w:r>
    </w:p>
    <w:p>
      <w:pPr>
        <w:pStyle w:val="P68B1DB1Normal15"/>
        <w:rPr/>
      </w:pPr>
      <w:r>
        <w:rPr/>
        <w:t xml:space="preserve">36. Vi rekommenderar att politiker blir mer ansvariga för hur de företräder de medborgare som valde dem. I synnerhet unga människor är särskilt avskilda från politiken och tas inte på allvar när de deltar. Men ointresse är ett universellt problem och människor i alla åldrar borde vara mer engagerade än de är nu. </w:t>
      </w:r>
    </w:p>
    <w:p>
      <w:pPr>
        <w:pStyle w:val="Normal"/>
        <w:rPr/>
      </w:pPr>
      <w:r>
        <w:rPr/>
        <w:t xml:space="preserve"> </w:t>
      </w:r>
    </w:p>
    <w:p>
      <w:pPr>
        <w:pStyle w:val="Normal"/>
        <w:rPr/>
      </w:pPr>
      <w:r>
        <w:rPr/>
        <w:t xml:space="preserve">Definitionen av demokrati bör uppdateras. Vi måste komma ihåg vad demokrati egentligen är. Eftersom ungdomar har fått nog och är desillusionerade av de politiker de ser som eliter som inte delar sina åsikter. Det är därför medborgarna måste vara mer engagerade på ett originellt och attraktivt sätt. Utbildningssystemet, sociala medier och alla andra former av medier skulle kunna fylla denna roll under hela livscykeln och på alla språk. </w:t>
      </w:r>
    </w:p>
    <w:p>
      <w:pPr>
        <w:pStyle w:val="Normal"/>
        <w:rPr/>
      </w:pPr>
      <w:r>
        <w:rPr/>
        <w:t xml:space="preserve"> </w:t>
      </w:r>
    </w:p>
    <w:p>
      <w:pPr>
        <w:pStyle w:val="Titre4"/>
        <w:numPr>
          <w:ilvl w:val="3"/>
          <w:numId w:val="2"/>
        </w:numPr>
        <w:rPr/>
      </w:pPr>
      <w:bookmarkStart w:id="149" w:name="__RefHeading___Toc297233_1346298689"/>
      <w:bookmarkEnd w:id="149"/>
      <w:r>
        <w:rPr/>
        <w:t xml:space="preserve">Delaxel 5.2 Medborgardeltagande </w:t>
      </w:r>
    </w:p>
    <w:p>
      <w:pPr>
        <w:pStyle w:val="Normal"/>
        <w:rPr/>
      </w:pPr>
      <w:r>
        <w:rPr/>
        <w:t xml:space="preserve"> </w:t>
      </w:r>
    </w:p>
    <w:p>
      <w:pPr>
        <w:pStyle w:val="P68B1DB1Normal15"/>
        <w:rPr/>
      </w:pPr>
      <w:r>
        <w:rPr/>
        <w:t xml:space="preserve">37. ”Vi rekommenderar att EU närmar sig medborgarna på ett mer bestämt sätt. För att uppnå detta bör medlemsstaterna involveras i främjandet av medborgarnas deltagande i unionen. Unionen bör främja användningen av mekanismer för medborgarnas deltagande genom att inrätta kommersiella kampanjer och reklamkampanjer. Nationella och lokala myndigheter bör vara skyldiga att delta i denna process. Unionen bör säkerställa att plattformar för deltagandedemokrati är effektiva.” </w:t>
      </w:r>
    </w:p>
    <w:p>
      <w:pPr>
        <w:pStyle w:val="Normal"/>
        <w:rPr/>
      </w:pPr>
      <w:r>
        <w:rPr/>
        <w:t xml:space="preserve"> </w:t>
      </w:r>
    </w:p>
    <w:p>
      <w:pPr>
        <w:pStyle w:val="Normal"/>
        <w:rPr/>
      </w:pPr>
      <w:r>
        <w:rPr/>
        <w:t xml:space="preserve">Vi rekommenderar detta eftersom den plattform som redan finns måste stärkas och göras mer effektiv: det måste finnas mer återkoppling från medborgarna till EU och vice versa. Det finns inte tillräckligt med debatt inom EU, både mellan medborgare och mellan regeringar. Eftersom medborgarna inte inger framställningar, antingen för att de inte vet att mekanismen existerar, eller för att de inte tror att sådana framställningar kan lyckas. </w:t>
      </w:r>
    </w:p>
    <w:p>
      <w:pPr>
        <w:pStyle w:val="Normal"/>
        <w:rPr/>
      </w:pPr>
      <w:r>
        <w:rPr/>
        <w:t xml:space="preserve"> </w:t>
      </w:r>
    </w:p>
    <w:p>
      <w:pPr>
        <w:pStyle w:val="P68B1DB1Normal15"/>
        <w:rPr/>
      </w:pPr>
      <w:r>
        <w:rPr/>
        <w:t xml:space="preserve">38. ”Vi rekommenderar att unionen skapar och genomför läroplaner för skolor om vad som görs i EU när det gäller deltagandemekanismer. Sådana program bör integreras i skolornas läroplaner om EU-medborgarskap och etik, med innehåll anpassat till elevernas ålder. Det bör också finnas program för vuxna. Program för livslångt lärande bör göras tillgängliga för medborgarna i syfte att fördjupa deras kunskaper om möjligheterna till medborgarnas deltagande i unionen.” </w:t>
      </w:r>
    </w:p>
    <w:p>
      <w:pPr>
        <w:pStyle w:val="Normal"/>
        <w:rPr/>
      </w:pPr>
      <w:r>
        <w:rPr/>
        <w:t xml:space="preserve"> </w:t>
      </w:r>
    </w:p>
    <w:p>
      <w:pPr>
        <w:pStyle w:val="Normal"/>
        <w:rPr/>
      </w:pPr>
      <w:r>
        <w:rPr/>
        <w:t xml:space="preserve">Vi rekommenderar denna åtgärd eftersom det är viktigt för våra barns framtid. Medborgarna vill veta hur de ska uttrycka sin röst. Det är viktigt att de känner till de exakta mekanismerna och hur de kan användas, så att deras röst hörs av unionen. Detta är viktigt för att alla EU-medborgare ska få lika villkor. Som EU-medborgare måste vi veta hur vi ska använda våra rättigheter. Som EU-medborgare har vi rätt att känna till denna information. </w:t>
      </w:r>
    </w:p>
    <w:p>
      <w:pPr>
        <w:pStyle w:val="Normal"/>
        <w:rPr/>
      </w:pPr>
      <w:r>
        <w:rPr/>
        <w:t xml:space="preserve"> </w:t>
      </w:r>
    </w:p>
    <w:p>
      <w:pPr>
        <w:pStyle w:val="Titre4"/>
        <w:numPr>
          <w:ilvl w:val="3"/>
          <w:numId w:val="2"/>
        </w:numPr>
        <w:rPr/>
      </w:pPr>
      <w:bookmarkStart w:id="150" w:name="__RefHeading___Toc297235_1346298689"/>
      <w:bookmarkEnd w:id="150"/>
      <w:r>
        <w:rPr/>
        <w:t xml:space="preserve">Delaxel 5.3 Medborgardeltagande </w:t>
      </w:r>
    </w:p>
    <w:p>
      <w:pPr>
        <w:pStyle w:val="Normal"/>
        <w:rPr/>
      </w:pPr>
      <w:r>
        <w:rPr/>
        <w:t xml:space="preserve"> </w:t>
      </w:r>
    </w:p>
    <w:p>
      <w:pPr>
        <w:pStyle w:val="P68B1DB1Normal15"/>
        <w:rPr/>
      </w:pPr>
      <w:r>
        <w:rPr/>
        <w:t xml:space="preserve">39. Vi rekommenderar att unionen organiserar medborgarförsamlingar. Vi rekommenderar starkt att de införs enligt en rättsligt bindande och tvingande lag eller förordning. Dessa medborgarförsamlingar bör hållas var 12–18:e månad. Medborgarnas deltagande bör inte vara obligatoriskt, utan bör uppmuntras, samtidigt som det organiseras på grundval av begränsade mandat. Deltagarna måste väljas ut slumpmässigt enligt representativitetskriterier. De får inte företräda organisationer av något slag och bör inte kallas att delta på grund av sin yrkesmässiga funktion när de är medlemmar i församlingen. Vid behov kommer experter att ge stöd för att se till att församlingens medlemmar har tillräcklig information för att kunna överlägga. Beslutsfattandet kommer att ligga i medborgarnas händer. Unionen måste garantera att politikerna engagerar sig i de beslut som fattas av medborgarna i medborgarnas församlingar. Om medborgarnas förslag ignoreras eller uttryckligen avvisas måste EU-institutionerna rapportera om dem och ange skälen till att detta beslut fattades. </w:t>
      </w:r>
    </w:p>
    <w:p>
      <w:pPr>
        <w:pStyle w:val="Normal"/>
        <w:rPr/>
      </w:pPr>
      <w:r>
        <w:rPr/>
        <w:t xml:space="preserve"> </w:t>
      </w:r>
    </w:p>
    <w:p>
      <w:pPr>
        <w:pStyle w:val="Normal"/>
        <w:rPr/>
      </w:pPr>
      <w:r>
        <w:rPr/>
        <w:t xml:space="preserve">Vi rekommenderar att man inrättar medborgarförsamlingar, eftersom vi vill att medborgarna ska känna sig närmare EU-institutionerna och direkt bidra till beslutsfattandet, tillsammans med politiker, för att stärka känslan av tillhörighet och direkt effektivitet. Dessutom vill vi att politiska partier ska ställas till svars inför medborgarna, inklusive deras valprogram. </w:t>
      </w:r>
    </w:p>
    <w:p>
      <w:pPr>
        <w:pStyle w:val="Normal"/>
        <w:rPr/>
      </w:pPr>
      <w:r>
        <w:rPr/>
        <w:t xml:space="preserve"> </w:t>
      </w:r>
    </w:p>
    <w:p>
      <w:pPr>
        <w:pStyle w:val="Titre3"/>
        <w:numPr>
          <w:ilvl w:val="2"/>
          <w:numId w:val="2"/>
        </w:numPr>
        <w:rPr/>
      </w:pPr>
      <w:bookmarkStart w:id="151" w:name="__RefHeading___Toc297237_1346298689"/>
      <w:bookmarkEnd w:id="151"/>
      <w:r>
        <w:rPr/>
        <w:t xml:space="preserve">Bilaga: ANDRA REKOMMENDATIONER SOM BEHANDLAS AV PANELEN MEN SOM INTE ANTAGITS </w:t>
      </w:r>
    </w:p>
    <w:p>
      <w:pPr>
        <w:pStyle w:val="Normal"/>
        <w:rPr/>
      </w:pPr>
      <w:r>
        <w:rPr/>
        <w:t xml:space="preserve"> </w:t>
      </w:r>
    </w:p>
    <w:p>
      <w:pPr>
        <w:pStyle w:val="Titre4"/>
        <w:numPr>
          <w:ilvl w:val="3"/>
          <w:numId w:val="2"/>
        </w:numPr>
        <w:rPr/>
      </w:pPr>
      <w:bookmarkStart w:id="152" w:name="__RefHeading___Toc297239_1346298689"/>
      <w:bookmarkEnd w:id="152"/>
      <w:r>
        <w:rPr/>
        <w:t xml:space="preserve">Axel 1: Garantera rättigheter och icke-diskriminering </w:t>
      </w:r>
    </w:p>
    <w:p>
      <w:pPr>
        <w:pStyle w:val="Normal"/>
        <w:rPr/>
      </w:pPr>
      <w:r>
        <w:rPr/>
        <w:t xml:space="preserve"> </w:t>
      </w:r>
    </w:p>
    <w:p>
      <w:pPr>
        <w:pStyle w:val="Normal"/>
        <w:rPr/>
      </w:pPr>
      <w:r>
        <w:rPr/>
        <w:t xml:space="preserve">Delaxel 1.1 Icke-diskriminering/delaxel 1.2 Jämställdhet </w:t>
      </w:r>
    </w:p>
    <w:p>
      <w:pPr>
        <w:pStyle w:val="Normal"/>
        <w:rPr/>
      </w:pPr>
      <w:r>
        <w:rPr/>
        <w:t xml:space="preserve"> </w:t>
      </w:r>
    </w:p>
    <w:p>
      <w:pPr>
        <w:pStyle w:val="P68B1DB1Normal15"/>
        <w:rPr/>
      </w:pPr>
      <w:r>
        <w:rPr/>
        <w:t>”</w:t>
      </w:r>
      <w:r>
        <w:rPr/>
        <w:t xml:space="preserve">Vi rekommenderar att EU aktivt engagerar minoriteter i beslutsfattandet om centrala aspekter av statliga institutioner (t.ex. polis och icke-statliga organisationer). Vi rekommenderar att unionen inrättar ett rådgivande råd som väljs direkt av minoriteter. Den bör huvudsakligen bestå av företrädare för minoriteter, men även företrädare för icke-statliga organisationer. Den bör ha en utbildningsroll för att öka de offentliga tjänstemännens medvetenhet om minoriteters behov. Detta organ bör ha vetorätt i minoritetsfrågor. </w:t>
      </w:r>
    </w:p>
    <w:p>
      <w:pPr>
        <w:pStyle w:val="Normal"/>
        <w:rPr/>
      </w:pPr>
      <w:r>
        <w:rPr/>
        <w:t xml:space="preserve">Vi rekommenderar detta eftersom minoriteters röster inte är tillräckligt hörda. De bör uttrycka sig för egen räkning, på ett självbestämmande sätt och på professionell nivå. det är därför vi kombinerade representation genom röstning och expertis. </w:t>
      </w:r>
    </w:p>
    <w:p>
      <w:pPr>
        <w:pStyle w:val="Normal"/>
        <w:rPr/>
      </w:pPr>
      <w:r>
        <w:rPr/>
        <w:t xml:space="preserve"> </w:t>
      </w:r>
    </w:p>
    <w:p>
      <w:pPr>
        <w:pStyle w:val="Titre4"/>
        <w:numPr>
          <w:ilvl w:val="3"/>
          <w:numId w:val="2"/>
        </w:numPr>
        <w:rPr/>
      </w:pPr>
      <w:bookmarkStart w:id="153" w:name="__RefHeading___Toc297241_1346298689"/>
      <w:bookmarkEnd w:id="153"/>
      <w:r>
        <w:rPr/>
        <w:t xml:space="preserve">Axel 2: Skydd av demokratin och rättsstaten </w:t>
      </w:r>
    </w:p>
    <w:p>
      <w:pPr>
        <w:pStyle w:val="Normal"/>
        <w:rPr/>
      </w:pPr>
      <w:r>
        <w:rPr/>
        <w:t xml:space="preserve"> </w:t>
      </w:r>
    </w:p>
    <w:p>
      <w:pPr>
        <w:pStyle w:val="Normal"/>
        <w:rPr/>
      </w:pPr>
      <w:r>
        <w:rPr/>
        <w:t xml:space="preserve">Delaxel 2.2 Skydda och stärka demokratin/delaxel 2.4 Medier och desinformation </w:t>
      </w:r>
    </w:p>
    <w:p>
      <w:pPr>
        <w:pStyle w:val="Normal"/>
        <w:rPr/>
      </w:pPr>
      <w:r>
        <w:rPr/>
        <w:t xml:space="preserve"> </w:t>
      </w:r>
    </w:p>
    <w:p>
      <w:pPr>
        <w:pStyle w:val="P68B1DB1Normal15"/>
        <w:rPr/>
      </w:pPr>
      <w:r>
        <w:rPr/>
        <w:t>”</w:t>
      </w:r>
      <w:r>
        <w:rPr/>
        <w:t xml:space="preserve">Vi rekommenderar att det inrättas en övervakningsbyrå för audiovisuella medier, tryckta medier och digitala medier på europeisk nivå. Detta organ bör kontrollera att de nationella medierna följer en opartisk och objektiv process vid framställningen av deras innehåll. För att förhindra desinformation bör byrån tillhandahålla ett system för att bedöma nationella mediers tillförlitlighet. Detta klassificeringssystem bör vara lätt för medborgarna att förstå. </w:t>
      </w:r>
    </w:p>
    <w:p>
      <w:pPr>
        <w:pStyle w:val="Normal"/>
        <w:rPr/>
      </w:pPr>
      <w:r>
        <w:rPr/>
        <w:t xml:space="preserve"> </w:t>
      </w:r>
    </w:p>
    <w:p>
      <w:pPr>
        <w:pStyle w:val="Normal"/>
        <w:rPr/>
      </w:pPr>
      <w:r>
        <w:rPr/>
        <w:t xml:space="preserve">Vi rekommenderar detta eftersom vi behöver en bedömning av medierna och deras tillförlitlighet, men också mediernas mångfald i EU-länderna. En europeisk byrå skulle vara det mest objektiva organet för att säkerställa ett sådant uppdrag. Ett sådant klassificeringssystem gör det dessutom möjligt för medborgarna att göra välgrundade val och uppmuntrar medierna att tillhandahålla tillförlitlig information. Om kreditvärderingssystemet visar sig vara otillräckligt för att säkerställa mediernas tillförlitlighet bör byrån också ha befogenhet att besluta om sanktioner. </w:t>
      </w:r>
    </w:p>
    <w:p>
      <w:pPr>
        <w:pStyle w:val="Normal"/>
        <w:rPr/>
      </w:pPr>
      <w:r>
        <w:rPr/>
        <w:t xml:space="preserve"> </w:t>
      </w:r>
    </w:p>
    <w:p>
      <w:pPr>
        <w:pStyle w:val="Titre3"/>
        <w:numPr>
          <w:ilvl w:val="2"/>
          <w:numId w:val="2"/>
        </w:numPr>
        <w:rPr/>
      </w:pPr>
      <w:bookmarkStart w:id="154" w:name="__RefHeading___Toc297243_1346298689"/>
      <w:bookmarkEnd w:id="154"/>
      <w:r>
        <w:rPr/>
        <w:t xml:space="preserve">Axel 5: Att stärka medborgarnas deltagande </w:t>
      </w:r>
    </w:p>
    <w:p>
      <w:pPr>
        <w:pStyle w:val="Normal"/>
        <w:rPr/>
      </w:pPr>
      <w:r>
        <w:rPr/>
        <w:t xml:space="preserve"> </w:t>
      </w:r>
    </w:p>
    <w:p>
      <w:pPr>
        <w:pStyle w:val="Titre4"/>
        <w:numPr>
          <w:ilvl w:val="3"/>
          <w:numId w:val="2"/>
        </w:numPr>
        <w:rPr/>
      </w:pPr>
      <w:r>
        <w:rPr/>
        <w:t xml:space="preserve">Delaxel 5.1 Medborgarskap </w:t>
      </w:r>
    </w:p>
    <w:p>
      <w:pPr>
        <w:pStyle w:val="Normal"/>
        <w:rPr/>
      </w:pPr>
      <w:r>
        <w:rPr/>
        <w:t xml:space="preserve"> </w:t>
      </w:r>
    </w:p>
    <w:p>
      <w:pPr>
        <w:pStyle w:val="P68B1DB1Normal15"/>
        <w:rPr/>
      </w:pPr>
      <w:r>
        <w:rPr/>
        <w:t>”</w:t>
      </w:r>
      <w:r>
        <w:rPr/>
        <w:t xml:space="preserve">Vi rekommenderar att det inrättas ett organ som företräder medborgarna för att diskutera och på ett betydande sätt bidra till beslutsprocessen – närhelst en viktig fråga för EU-medborgarna avgörs på EU-nivå (enligt medborgarnas beslut – eventuellt genom en utredning). Detta bör vara en heterogen grupp på omkring 100 medborgare från alla EU-länder, där varje land är representerat lika. Det bör vara en roterande grupp vars medlemmar ersätts regelbundet. </w:t>
      </w:r>
    </w:p>
    <w:p>
      <w:pPr>
        <w:pStyle w:val="Normal"/>
        <w:rPr/>
      </w:pPr>
      <w:r>
        <w:rPr/>
        <w:t xml:space="preserve"> </w:t>
      </w:r>
    </w:p>
    <w:p>
      <w:pPr>
        <w:pStyle w:val="Normal"/>
        <w:rPr/>
      </w:pPr>
      <w:r>
        <w:rPr/>
        <w:t xml:space="preserve">Eftersom det är viktigt att undvika problem som korruption, som kan uppstå från ett permanent representativt organ, och det är viktigt att ett sådant organ har samma representation i alla länder för att undvika orättvisa beslutsbefogenheter. Eftersom detta driftsätt skulle undvika problem i samband med installation eller konstant användning av fjärrteknik. </w:t>
      </w:r>
    </w:p>
    <w:p>
      <w:pPr>
        <w:pStyle w:val="Normal"/>
        <w:rPr/>
      </w:pPr>
      <w:r>
        <w:rPr/>
        <w:t xml:space="preserve"> </w:t>
      </w:r>
      <w:r>
        <w:br w:type="page"/>
      </w:r>
    </w:p>
    <w:p>
      <w:pPr>
        <w:pStyle w:val="P68B1DB1Normal19"/>
        <w:rPr/>
      </w:pPr>
      <w:r>
        <w:rPr/>
        <w:t xml:space="preserve"> </w:t>
      </w:r>
    </w:p>
    <w:p>
      <w:pPr>
        <w:pStyle w:val="Titre2"/>
        <w:numPr>
          <w:ilvl w:val="1"/>
          <w:numId w:val="2"/>
        </w:numPr>
        <w:rPr/>
      </w:pPr>
      <w:bookmarkStart w:id="155" w:name="__RefHeading___Toc297245_1346298689"/>
      <w:bookmarkEnd w:id="155"/>
      <w:r>
        <w:rPr/>
        <w:t xml:space="preserve">Europeiska medborgarpanelen 3: Klimatförändringar och miljö/hälsa </w:t>
      </w:r>
    </w:p>
    <w:p>
      <w:pPr>
        <w:pStyle w:val="Normal"/>
        <w:rPr/>
      </w:pPr>
      <w:r>
        <w:rPr/>
        <w:t xml:space="preserve"> </w:t>
      </w:r>
    </w:p>
    <w:p>
      <w:pPr>
        <w:pStyle w:val="Normal"/>
        <w:rPr/>
      </w:pPr>
      <w:r>
        <w:rPr/>
        <w:t xml:space="preserve">REKOMMENDATIONER ANTAGNA AV PANELEN (SKA LÄGGAS FRAM FÖR PLENARSAMMANTRÄDET) </w:t>
      </w:r>
    </w:p>
    <w:p>
      <w:pPr>
        <w:pStyle w:val="Normal"/>
        <w:rPr/>
      </w:pPr>
      <w:r>
        <w:rPr/>
        <w:t xml:space="preserve"> </w:t>
      </w:r>
    </w:p>
    <w:p>
      <w:pPr>
        <w:pStyle w:val="Titre3"/>
        <w:numPr>
          <w:ilvl w:val="2"/>
          <w:numId w:val="2"/>
        </w:numPr>
        <w:rPr/>
      </w:pPr>
      <w:bookmarkStart w:id="156" w:name="__RefHeading___Toc297247_1346298689"/>
      <w:bookmarkEnd w:id="156"/>
      <w:r>
        <w:rPr/>
        <w:t xml:space="preserve">Axel 1: Bättre sätt att leva </w:t>
      </w:r>
    </w:p>
    <w:p>
      <w:pPr>
        <w:pStyle w:val="Normal"/>
        <w:rPr/>
      </w:pPr>
      <w:r>
        <w:rPr/>
        <w:t xml:space="preserve"> </w:t>
      </w:r>
    </w:p>
    <w:p>
      <w:pPr>
        <w:pStyle w:val="Titre4"/>
        <w:numPr>
          <w:ilvl w:val="3"/>
          <w:numId w:val="2"/>
        </w:numPr>
        <w:rPr/>
      </w:pPr>
      <w:bookmarkStart w:id="157" w:name="__RefHeading___Toc297249_1346298689"/>
      <w:bookmarkEnd w:id="157"/>
      <w:r>
        <w:rPr/>
        <w:t xml:space="preserve">Delaxel 1.1 Hälsosamma livsstilar </w:t>
      </w:r>
    </w:p>
    <w:p>
      <w:pPr>
        <w:pStyle w:val="P68B1DB1Normal15"/>
        <w:rPr/>
      </w:pPr>
      <w:r>
        <w:rPr/>
        <w:t xml:space="preserve">1. Vi rekommenderar att EU ger bidrag till ekologiskt jordbruk, inklusive incitament för ekologiska bekämpningsmedel, för att göra ekologiska produkter billigare. Dessutom måste EU stödja jordbrukarnas utbildning om ekologiskt och hållbart jordbruk och monokulturer. Små ekologiska jordbruk, icke-intensiva jordbruk och jordbruk med korta leveranskedjor bör få stöd som gör det möjligt för dem att bli mer konkurrenskraftiga. </w:t>
      </w:r>
    </w:p>
    <w:p>
      <w:pPr>
        <w:pStyle w:val="Normal"/>
        <w:rPr/>
      </w:pPr>
      <w:r>
        <w:rPr/>
        <w:t xml:space="preserve"> </w:t>
      </w:r>
    </w:p>
    <w:p>
      <w:pPr>
        <w:pStyle w:val="Normal"/>
        <w:rPr/>
      </w:pPr>
      <w:r>
        <w:rPr/>
        <w:t xml:space="preserve">Subventionering av ekologiska produkter skulle göra dem billigare. Vi bör hjälpa stormarknader med kortare leveranskedjor och småbrukare genom att erbjuda dem möjligheter att sälja sina produkter. Detta gör det möjligt att utöka tillgången till färskare produkter. Dessutom återspeglar de låga priserna på icke-ekologiska produkter inte den skada de orsakar. </w:t>
      </w:r>
    </w:p>
    <w:p>
      <w:pPr>
        <w:pStyle w:val="Normal"/>
        <w:rPr/>
      </w:pPr>
      <w:r>
        <w:rPr/>
        <w:t xml:space="preserve"> </w:t>
      </w:r>
    </w:p>
    <w:p>
      <w:pPr>
        <w:pStyle w:val="P68B1DB1Normal15"/>
        <w:rPr/>
      </w:pPr>
      <w:r>
        <w:rPr/>
        <w:t xml:space="preserve">2. Vi rekommenderar att innovation inom vertikalt jordbruk finansieras genom EU-investeringar. </w:t>
      </w:r>
    </w:p>
    <w:p>
      <w:pPr>
        <w:pStyle w:val="Normal"/>
        <w:rPr/>
      </w:pPr>
      <w:r>
        <w:rPr/>
        <w:t xml:space="preserve">Vertikalt jordbruk gör det möjligt för oss att spara markutrymme som istället skulle kunna användas för skogsbruk. Det kräver inte heller bekämpningsmedel, vilket gör att vi kan producera mer ekologisk mat. Dessutom påverkas den inte av dåliga väderförhållanden, som blir allt vanligare på grund av klimatförändringarna, och kan förkorta leveranskedjorna. </w:t>
      </w:r>
    </w:p>
    <w:p>
      <w:pPr>
        <w:pStyle w:val="Normal"/>
        <w:rPr/>
      </w:pPr>
      <w:r>
        <w:rPr/>
        <w:t xml:space="preserve"> </w:t>
      </w:r>
    </w:p>
    <w:p>
      <w:pPr>
        <w:pStyle w:val="P68B1DB1Normal15"/>
        <w:rPr/>
      </w:pPr>
      <w:r>
        <w:rPr/>
        <w:t xml:space="preserve">3. EU bör fastställa miniminormer för livsmedelskvalitet, spårbarhet och konsumtion av säsongsprodukter i skolmatsalar. Hälsosamma ingredienser för skolmatsalar bör därför subventioneras för att ge eleverna mat av hög kvalitet till ett överkomligt pris. </w:t>
      </w:r>
    </w:p>
    <w:p>
      <w:pPr>
        <w:pStyle w:val="Normal"/>
        <w:rPr/>
      </w:pPr>
      <w:r>
        <w:rPr/>
        <w:t xml:space="preserve"> </w:t>
      </w:r>
    </w:p>
    <w:p>
      <w:pPr>
        <w:pStyle w:val="Normal"/>
        <w:rPr/>
      </w:pPr>
      <w:r>
        <w:rPr/>
        <w:t xml:space="preserve">Vi förvärvar från en tidig ålder vanor som formar vår inställning till hälsa; goda vanor bör uppmuntras i skolan och eleverna kan replikera dem hemma. Det handlar också om social rättvisa: varje EU-student ska ha rätt till mat av hög kvalitet i skolan. </w:t>
      </w:r>
    </w:p>
    <w:p>
      <w:pPr>
        <w:pStyle w:val="Normal"/>
        <w:rPr/>
      </w:pPr>
      <w:r>
        <w:rPr/>
        <w:t xml:space="preserve"> </w:t>
      </w:r>
    </w:p>
    <w:p>
      <w:pPr>
        <w:pStyle w:val="P68B1DB1Normal15"/>
        <w:rPr/>
      </w:pPr>
      <w:r>
        <w:rPr/>
        <w:t xml:space="preserve">4. Vi rekommenderar att investera i nya cykelvägar och förbättra befintliga stigar för att göra cykling säker och attraktiv och se till att alla åldersgrupper kan dra nytta av utbildning i vägtrafikregler i Europa, särskilt för e-cykelanvändare och personer utan körkort. Tillverkare av elcyklar bör vara skyldiga att lämna information om användningen av elcykeln och de därmed förbundna riskerna. Rättsskydd bör ges till cyklister i händelse av en olycka med ett fordon (se nederländska regler). Vi är för bilfria områden i städer (utan att skada kommersiella områden). Mer allmänt rekommenderar vi att cyklister och fotgängare ges företräde och ytterligare rättigheter framför motordrivna fordon, samtidigt som trafiksäkerhet och efterlevnad av trafikregler säkerställs. </w:t>
      </w:r>
    </w:p>
    <w:p>
      <w:pPr>
        <w:pStyle w:val="Normal"/>
        <w:rPr/>
      </w:pPr>
      <w:r>
        <w:rPr/>
        <w:t xml:space="preserve"> </w:t>
      </w:r>
    </w:p>
    <w:p>
      <w:pPr>
        <w:pStyle w:val="Normal"/>
        <w:rPr/>
      </w:pPr>
      <w:r>
        <w:rPr/>
        <w:t xml:space="preserve">Dessa rekommendationer är viktiga eftersom cykling ger fördelar när det gäller individuell och folkhälsa, luftkvalitet, bullernivåer, klimat och trafik i stadskärnor. Cyklister och fotgängare måste känna sig trygga med tanke på riskerna med ökad användning av elcykeln. Ibland saknas cykelbanor eller är i dåligt skick. </w:t>
      </w:r>
    </w:p>
    <w:p>
      <w:pPr>
        <w:pStyle w:val="Normal"/>
        <w:rPr/>
      </w:pPr>
      <w:r>
        <w:rPr/>
        <w:t xml:space="preserve"> </w:t>
      </w:r>
    </w:p>
    <w:p>
      <w:pPr>
        <w:pStyle w:val="P68B1DB1Normal15"/>
        <w:rPr/>
      </w:pPr>
      <w:r>
        <w:rPr/>
        <w:t xml:space="preserve">5. Vi rekommenderar att man integrerar livsmedelsproduktion i offentlig utbildning. Vi rekommenderar att subventionera och stödja skapandet av trädgårdar i skolor, om möjligt, och stadsträdgårdsprojekt i offentliga och privata utrymmen. Stadsplaneringsramarna måste integrera behovet av utrymme, vatten och stödjande infrastruktur. Till exempel kan tidigare parkeringsplatser användas för miljöanpassningsprojekt, vertikala trädgårdsprojekt kan genomföras på byggnader eller att erhålla bygglov kan konditioneras genom integrering av grönområden. Vi rekommenderar att innovativ och god praxis delas mellan alla medlemsstater. </w:t>
      </w:r>
    </w:p>
    <w:p>
      <w:pPr>
        <w:pStyle w:val="Normal"/>
        <w:rPr/>
      </w:pPr>
      <w:r>
        <w:rPr/>
        <w:t xml:space="preserve"> </w:t>
      </w:r>
    </w:p>
    <w:p>
      <w:pPr>
        <w:pStyle w:val="Normal"/>
        <w:rPr/>
      </w:pPr>
      <w:r>
        <w:rPr/>
        <w:t xml:space="preserve">Trädgårdsprojekt främjar städernas och deras invånares motståndskraft och sammanför människor i olika åldrar och sociala grupper. Ökningen av grönområden förbättrar livskvaliteten, luftkvaliteten, den mentala och fysiska hälsan och miljön. </w:t>
      </w:r>
    </w:p>
    <w:p>
      <w:pPr>
        <w:pStyle w:val="Normal"/>
        <w:rPr/>
      </w:pPr>
      <w:r>
        <w:rPr/>
        <w:t xml:space="preserve"> </w:t>
      </w:r>
    </w:p>
    <w:p>
      <w:pPr>
        <w:pStyle w:val="Titre4"/>
        <w:numPr>
          <w:ilvl w:val="3"/>
          <w:numId w:val="2"/>
        </w:numPr>
        <w:rPr/>
      </w:pPr>
      <w:bookmarkStart w:id="158" w:name="__RefHeading___Toc297251_1346298689"/>
      <w:bookmarkEnd w:id="158"/>
      <w:r>
        <w:rPr/>
        <w:t xml:space="preserve">Delaxel 1.2 Miljöutbildning </w:t>
      </w:r>
    </w:p>
    <w:p>
      <w:pPr>
        <w:pStyle w:val="P68B1DB1Normal15"/>
        <w:rPr/>
      </w:pPr>
      <w:r>
        <w:rPr/>
        <w:t>6. Vi rekommenderar att EU antar ett direktiv som kräver att stadsplaneringsprogram uppfyller särskilda miljökrav för att göra städerna grönare. Detta direktiv bör tillämpas på privata och offentliga nyttigheter och utrymmen, särskilt på nya byggnader som håller på att byggas. Den måste införa miniminormer för att se till att byggnader och utrymmen är så gröna som möjligt. Adjektivet ”grönt” hänvisar här till användningen av förnybara energikällor, minskad energiförbrukning, låga koldioxidutsläpp</w:t>
      </w:r>
      <w:r>
        <w:rPr>
          <w:vertAlign w:val="subscript"/>
        </w:rPr>
        <w:t>och</w:t>
      </w:r>
      <w:r>
        <w:rPr/>
        <w:t xml:space="preserve"> införande av anläggningar i arkitektoniska projekt. </w:t>
      </w:r>
    </w:p>
    <w:p>
      <w:pPr>
        <w:pStyle w:val="Normal"/>
        <w:rPr/>
      </w:pPr>
      <w:r>
        <w:rPr/>
        <w:t xml:space="preserve"> </w:t>
      </w:r>
    </w:p>
    <w:p>
      <w:pPr>
        <w:pStyle w:val="Normal"/>
        <w:rPr/>
      </w:pPr>
      <w:r>
        <w:rPr/>
        <w:t>Grönare städer bidrar aktivt till att minska effekterna av klimatförändringar och i synnerhet koldioxidutsläpp och</w:t>
      </w:r>
      <w:r>
        <w:rPr>
          <w:vertAlign w:val="subscript"/>
        </w:rPr>
        <w:t>ozonutsläpp</w:t>
      </w:r>
      <w:r>
        <w:rPr/>
        <w:t xml:space="preserve">, som har en negativ inverkan på medborgarnas hälsa. Att investera i grönare städer bidrar till en hållbar samhällsutveckling som ger långsiktiga ekonomiska och sociala fördelar. </w:t>
      </w:r>
    </w:p>
    <w:p>
      <w:pPr>
        <w:pStyle w:val="Normal"/>
        <w:rPr/>
      </w:pPr>
      <w:r>
        <w:rPr/>
        <w:t xml:space="preserve"> </w:t>
      </w:r>
    </w:p>
    <w:p>
      <w:pPr>
        <w:pStyle w:val="P68B1DB1Normal15"/>
        <w:rPr/>
      </w:pPr>
      <w:r>
        <w:rPr/>
        <w:t xml:space="preserve">7. Vi rekommenderar att EU, med hjälp av medlemsstaterna, utarbetar, antar och genomför en gemensam europeisk stadga med inriktning på miljöfrågor i sin komplexitet. Stadgan kommer att ge medlemsstaterna en ram för att organisera regelbundna informations- och utbildningskampanjer som sprids via alla tillgängliga mediekanaler och på en ny informationsportal som skapats för detta ändamål. Dessa kampanjer bör organiseras i hela EU och på alla nivåer för att öka medvetenheten om miljön bland alla medborgare. </w:t>
      </w:r>
    </w:p>
    <w:p>
      <w:pPr>
        <w:pStyle w:val="Normal"/>
        <w:rPr/>
      </w:pPr>
      <w:r>
        <w:rPr/>
        <w:t xml:space="preserve"> </w:t>
      </w:r>
    </w:p>
    <w:p>
      <w:pPr>
        <w:pStyle w:val="Normal"/>
        <w:rPr/>
      </w:pPr>
      <w:r>
        <w:rPr/>
        <w:t xml:space="preserve">Bristen på samordning mellan medlemsstaterna hämmar de befintliga kampanjernas effektivitet och bromsar ansträngningarna för att ta itu med klimatförändringarnas globala utmaning. En gemensam stadga kommer att främja synergier mellan medlemsstaternas handlingsplaner och säkerställa effektivare insatser. Dessutom kommer den att se till att medborgarna får konsekvent och konsekvent information om effekterna av deras dagliga verksamhet, t.ex. valet av transportsätt och hanteringen av deras avfall. </w:t>
      </w:r>
    </w:p>
    <w:p>
      <w:pPr>
        <w:pStyle w:val="Normal"/>
        <w:rPr/>
      </w:pPr>
      <w:r>
        <w:rPr/>
        <w:t xml:space="preserve"> </w:t>
      </w:r>
    </w:p>
    <w:p>
      <w:pPr>
        <w:pStyle w:val="Titre3"/>
        <w:numPr>
          <w:ilvl w:val="2"/>
          <w:numId w:val="2"/>
        </w:numPr>
        <w:rPr/>
      </w:pPr>
      <w:bookmarkStart w:id="159" w:name="__RefHeading___Toc297253_1346298689"/>
      <w:bookmarkEnd w:id="159"/>
      <w:r>
        <w:rPr/>
        <w:t xml:space="preserve">Axel 2: Skydda vår miljö och hälsa </w:t>
      </w:r>
    </w:p>
    <w:p>
      <w:pPr>
        <w:pStyle w:val="Titre4"/>
        <w:numPr>
          <w:ilvl w:val="3"/>
          <w:numId w:val="2"/>
        </w:numPr>
        <w:rPr/>
      </w:pPr>
      <w:bookmarkStart w:id="160" w:name="__RefHeading___Toc297255_1346298689"/>
      <w:bookmarkEnd w:id="160"/>
      <w:r>
        <w:rPr/>
        <w:t xml:space="preserve">Delaxel 2.1 En hälsosam och naturlig miljö </w:t>
      </w:r>
    </w:p>
    <w:p>
      <w:pPr>
        <w:pStyle w:val="P68B1DB1Normal15"/>
        <w:rPr/>
      </w:pPr>
      <w:r>
        <w:rPr/>
        <w:t xml:space="preserve">8. Vi rekommenderar ett enhetligt miljöpoängsystem som visar det totala miljöavtrycket för varje tillgänglig produkt som köps i EU. Produkter från tredjeländer måste respektera detta miljöpoängsystem på ett öppet sätt. Detta system bör bygga på tydliga klassificeringskriterier som är tillämpliga på själva produkterna och använda t.ex. en QR-kod som ger mer detaljerad produktinformation. </w:t>
      </w:r>
    </w:p>
    <w:p>
      <w:pPr>
        <w:pStyle w:val="Normal"/>
        <w:rPr/>
      </w:pPr>
      <w:r>
        <w:rPr/>
        <w:t xml:space="preserve"> </w:t>
      </w:r>
    </w:p>
    <w:p>
      <w:pPr>
        <w:pStyle w:val="Normal"/>
        <w:rPr/>
      </w:pPr>
      <w:r>
        <w:rPr/>
        <w:t xml:space="preserve">Denna produktlivscykelinformation är grundläggande för alla EU-medborgare för att stärka konsumenterna när de handlar. Detta kommer att göra det möjligt för EU-medborgarna att fatta ansvarsfulla beslut som kommer att bidra till skyddet av deras miljö. </w:t>
      </w:r>
    </w:p>
    <w:p>
      <w:pPr>
        <w:pStyle w:val="Normal"/>
        <w:rPr/>
      </w:pPr>
      <w:r>
        <w:rPr/>
        <w:t xml:space="preserve"> </w:t>
      </w:r>
    </w:p>
    <w:p>
      <w:pPr>
        <w:pStyle w:val="P68B1DB1Normal15"/>
        <w:rPr/>
      </w:pPr>
      <w:r>
        <w:rPr/>
        <w:t xml:space="preserve">9. Vi rekommenderar att fler investeringar görs för att utforska nya miljövänliga energikällor och, fram till utbyggnaden av dessa nya källor, att ytterligare investeringar ska anslås till befintliga optimala energiproduktionslösningar. Vi rekommenderar också att EU-medborgarna informeras och utbildas på ett öppet sätt om specifika energikällor. Vi rekommenderar starkt att man tar hänsyn till de övergripande ekologiska och sociala effekterna av energiproduktionsprocessen för nuvarande och kommande generationer. </w:t>
      </w:r>
    </w:p>
    <w:p>
      <w:pPr>
        <w:pStyle w:val="Normal"/>
        <w:rPr/>
      </w:pPr>
      <w:r>
        <w:rPr/>
        <w:t xml:space="preserve"> </w:t>
      </w:r>
    </w:p>
    <w:p>
      <w:pPr>
        <w:pStyle w:val="Normal"/>
        <w:rPr/>
      </w:pPr>
      <w:r>
        <w:rPr/>
        <w:t xml:space="preserve">Vi står inför mycket höga nivåer av koldioxidutsläpp och andra giftiga ämnen från energiproduktion som försämrar klimat- och luftkvaliteten. För att följa EU:s riktlinjer, rekommendationerna i IPCC-rapporterna och målen för COP26 måste vi stärka forskningen och investeringarna för att uppnå klimatneutral energiproduktion. </w:t>
      </w:r>
    </w:p>
    <w:p>
      <w:pPr>
        <w:pStyle w:val="Normal"/>
        <w:rPr/>
      </w:pPr>
      <w:r>
        <w:rPr/>
        <w:t xml:space="preserve"> </w:t>
      </w:r>
    </w:p>
    <w:p>
      <w:pPr>
        <w:pStyle w:val="Titre4"/>
        <w:numPr>
          <w:ilvl w:val="3"/>
          <w:numId w:val="2"/>
        </w:numPr>
        <w:rPr/>
      </w:pPr>
      <w:bookmarkStart w:id="161" w:name="__RefHeading___Toc297257_1346298689"/>
      <w:bookmarkEnd w:id="161"/>
      <w:r>
        <w:rPr/>
        <w:t xml:space="preserve">Delaxel 2.2 Skydda vår biologiska mångfald </w:t>
      </w:r>
    </w:p>
    <w:p>
      <w:pPr>
        <w:pStyle w:val="P68B1DB1Normal15"/>
        <w:rPr/>
      </w:pPr>
      <w:r>
        <w:rPr/>
        <w:t xml:space="preserve">10. Vi rekommenderar att drastiskt minska användningen av kemiska bekämpningsmedel och gödselmedel i alla typer av jordbruk genom att säkerställa tillämpningen av strängare gemensamma normer, påskynda forskningen om naturliga alternativ och stödja antagandet av nya lösningar, inklusive utbildning för jordbrukare. </w:t>
      </w:r>
    </w:p>
    <w:p>
      <w:pPr>
        <w:pStyle w:val="Normal"/>
        <w:rPr/>
      </w:pPr>
      <w:r>
        <w:rPr/>
        <w:t xml:space="preserve"> </w:t>
      </w:r>
    </w:p>
    <w:p>
      <w:pPr>
        <w:pStyle w:val="Normal"/>
        <w:rPr/>
      </w:pPr>
      <w:r>
        <w:rPr/>
        <w:t xml:space="preserve">Även om framsteg har gjorts när det gäller gödselmedel och alternativa bekämpningsmedel är de flesta av dem ännu inte användbara för stora jordbruk. Det krävs därför en mer hållbar insats för att utveckla nya lösningar. Forskning bör uppmuntras genom offentliga utgifter och högre standarder för användning av bekämpningsmedel och gödselmedel. Forskningsresultaten måste spridas snabbt på EU-nivå. </w:t>
      </w:r>
    </w:p>
    <w:p>
      <w:pPr>
        <w:pStyle w:val="Normal"/>
        <w:rPr/>
      </w:pPr>
      <w:r>
        <w:rPr/>
        <w:t xml:space="preserve"> </w:t>
      </w:r>
    </w:p>
    <w:p>
      <w:pPr>
        <w:pStyle w:val="P68B1DB1Normal15"/>
        <w:rPr/>
      </w:pPr>
      <w:r>
        <w:rPr/>
        <w:t xml:space="preserve">11. Vi rekommenderar att man utvidgar skyddade områden för bevarande av den biologiska mångfalden (däggdjur, fåglar, insekter och växter) och stärker rättsstatsprincipen när det gäller mänskliga ingripanden i dessa områden. Skyddade områden kommer inte bara att betraktas som öar utan också som ett kontinuum med grönare stadsområden, i linje med harmoniserade EU-standarder. </w:t>
      </w:r>
    </w:p>
    <w:p>
      <w:pPr>
        <w:pStyle w:val="Normal"/>
        <w:rPr/>
      </w:pPr>
      <w:r>
        <w:rPr/>
        <w:t xml:space="preserve"> </w:t>
      </w:r>
    </w:p>
    <w:p>
      <w:pPr>
        <w:pStyle w:val="Normal"/>
        <w:rPr/>
      </w:pPr>
      <w:r>
        <w:rPr/>
        <w:t xml:space="preserve">Den biologiska mångfalden lider mycket av avskogningen. Skapandet av skyddade områden är ett av de viktigaste sätten att skydda den biologiska mångfalden på land. Det är dock svårt att bevara skyddade områden nära förorenade städer eller undvika mänsklig störning när de omgivande områdena lämnar lite utrymme för naturen. Vi måste grönska de levande områdena och integrera dem i deras omgivande natur. </w:t>
      </w:r>
    </w:p>
    <w:p>
      <w:pPr>
        <w:pStyle w:val="Normal"/>
        <w:rPr/>
      </w:pPr>
      <w:r>
        <w:rPr/>
        <w:t xml:space="preserve"> </w:t>
      </w:r>
    </w:p>
    <w:p>
      <w:pPr>
        <w:pStyle w:val="Normal"/>
        <w:rPr/>
      </w:pPr>
      <w:r>
        <w:rPr>
          <w:b/>
        </w:rPr>
        <w:t>12. Vi rekommenderar att allmänna subventioner till jordbruket omdirigeras främst till projekt som rör utveckling av hållbart jordbruk, inklusive respekt för naturen och arbetstagarna. Stödmottagarna bör respektera tydliga miljönormer och övervakas noggrant.</w:t>
      </w:r>
      <w:r>
        <w:rPr/>
        <w:t xml:space="preserve"> </w:t>
      </w:r>
    </w:p>
    <w:p>
      <w:pPr>
        <w:pStyle w:val="Normal"/>
        <w:rPr/>
      </w:pPr>
      <w:r>
        <w:rPr/>
        <w:t xml:space="preserve"> </w:t>
      </w:r>
    </w:p>
    <w:p>
      <w:pPr>
        <w:pStyle w:val="Normal"/>
        <w:rPr/>
      </w:pPr>
      <w:r>
        <w:rPr/>
        <w:t xml:space="preserve">Vi anser att endast hållbart jordbruk bör uppmuntras, vilket innebär en omfördelning av de medel som för närvarande används för allmänna subventioner. Dessutom är det möjligt att öka effektiviteten i de medel som används genom att fokusera på transformativa projekt och innovativa lösningar snarare än på årliga betalningar. Bättre övervakning av de ekologiska effekterna av jordbruksverksamhet och jordbruksprojekt bör säkerställas. Arbetstagarnas mänskliga rättigheter måste också ses som en integrerad del av hållbarheten. </w:t>
      </w:r>
    </w:p>
    <w:p>
      <w:pPr>
        <w:pStyle w:val="Normal"/>
        <w:rPr/>
      </w:pPr>
      <w:r>
        <w:rPr/>
        <w:t xml:space="preserve"> </w:t>
      </w:r>
    </w:p>
    <w:p>
      <w:pPr>
        <w:pStyle w:val="Normal"/>
        <w:rPr/>
      </w:pPr>
      <w:r>
        <w:rPr>
          <w:b/>
        </w:rPr>
        <w:t>13. Vi rekommenderar att EU säkerställer rättvis konkurrens för miljövänliga jordbruksprodukter genom att fastställa högre standarder för både EU och importerade produkter och säkerställa spårbarhet, märkning och kvalitetskontroll.</w:t>
      </w:r>
      <w:r>
        <w:rPr/>
        <w:t xml:space="preserve"> </w:t>
      </w:r>
    </w:p>
    <w:p>
      <w:pPr>
        <w:pStyle w:val="Normal"/>
        <w:rPr/>
      </w:pPr>
      <w:r>
        <w:rPr/>
        <w:t xml:space="preserve"> </w:t>
      </w:r>
    </w:p>
    <w:p>
      <w:pPr>
        <w:pStyle w:val="Normal"/>
        <w:rPr/>
      </w:pPr>
      <w:r>
        <w:rPr/>
        <w:t xml:space="preserve">Den lägre produktiviteten hos hållbara jordbruksprodukter undergräver deras kostnadskonkurrenskraft. Importerade produkter bör uppfylla samma stränga normer när det gäller miljöpåverkan av deras produktion. Våra myndigheter bör kunna säkerställa spårbarheten för importerade jordbruksprodukter. </w:t>
      </w:r>
    </w:p>
    <w:p>
      <w:pPr>
        <w:pStyle w:val="Normal"/>
        <w:rPr/>
      </w:pPr>
      <w:r>
        <w:rPr/>
        <w:t xml:space="preserve"> </w:t>
      </w:r>
    </w:p>
    <w:p>
      <w:pPr>
        <w:pStyle w:val="P68B1DB1Normal15"/>
        <w:rPr/>
      </w:pPr>
      <w:r>
        <w:rPr/>
        <w:t xml:space="preserve">14. Vi rekommenderar snabb och massiv återbeskogning och beskogning i EU tack vare optimerad markanvändning. Särskild uppmärksamhet bör ägnas åt återbeskogning av exploaterade eller förstörda skogar och beskogning av områden med förstörd mark. Nya, mer ansvarsfulla lösningar bör främjas för bättre användning av trä, till exempel för att ersätta plast och andra kemikalier, uppnå ökad energieffektivitet från biomassa och återvinna träprodukter. </w:t>
      </w:r>
    </w:p>
    <w:p>
      <w:pPr>
        <w:pStyle w:val="Normal"/>
        <w:rPr/>
      </w:pPr>
      <w:r>
        <w:rPr/>
        <w:t xml:space="preserve"> </w:t>
      </w:r>
    </w:p>
    <w:p>
      <w:pPr>
        <w:pStyle w:val="Normal"/>
        <w:rPr/>
      </w:pPr>
      <w:r>
        <w:rPr/>
        <w:t xml:space="preserve">Återbeskogning har en tydlig positiv inverkan på miljön och den biologiska mångfalden i allmänhet. Samtidigt måste vi använda mindre trä för att värma oss, men mer för att göra dem till produkter med högt mervärde. till exempel, för att ersätta plast, är användningen av trä avgörande. </w:t>
      </w:r>
    </w:p>
    <w:p>
      <w:pPr>
        <w:pStyle w:val="Normal"/>
        <w:rPr/>
      </w:pPr>
      <w:r>
        <w:rPr/>
        <w:t xml:space="preserve"> </w:t>
      </w:r>
    </w:p>
    <w:p>
      <w:pPr>
        <w:pStyle w:val="Titre4"/>
        <w:numPr>
          <w:ilvl w:val="3"/>
          <w:numId w:val="2"/>
        </w:numPr>
        <w:rPr/>
      </w:pPr>
      <w:bookmarkStart w:id="162" w:name="__RefHeading___Toc297259_1346298689"/>
      <w:bookmarkEnd w:id="162"/>
      <w:r>
        <w:rPr/>
        <w:t xml:space="preserve">Delaxel 2.3 Säkra och hälsosamma livsmedel </w:t>
      </w:r>
    </w:p>
    <w:p>
      <w:pPr>
        <w:pStyle w:val="P68B1DB1Normal15"/>
        <w:rPr/>
      </w:pPr>
      <w:r>
        <w:rPr/>
        <w:t xml:space="preserve">15. Vi rekommenderar ett snabbt och gradvis avlägsnande av ohållbara förpackningar som används för livsmedel, inklusive plastförpackningar och andra icke-biologiskt nedbrytbara förpackningar. I detta syfte föreslår vi att företag erbjuder ekonomiska incitament till att övergå till helt biologiskt nedbrytbara förpackningar, investera i att hitta alternativ och införa sanktioner mot företag som inte använder biologiskt nedbrytbara förpackningar. </w:t>
      </w:r>
    </w:p>
    <w:p>
      <w:pPr>
        <w:pStyle w:val="Normal"/>
        <w:rPr/>
      </w:pPr>
      <w:r>
        <w:rPr/>
        <w:t xml:space="preserve"> </w:t>
      </w:r>
    </w:p>
    <w:p>
      <w:pPr>
        <w:pStyle w:val="Normal"/>
        <w:rPr/>
      </w:pPr>
      <w:r>
        <w:rPr/>
        <w:t xml:space="preserve">Plastavfall, särskilt mikroplaster, blir alltmer rikligt och långsamt nedbrytande. Plastkonsumtionen undergräver livsmedelskvaliteten och säkerheten och utgör samtidigt en risk för människors och djurs hälsa. Dessutom är befintlig EU-lagstiftning för att minska icke biologiskt nedbrytbara förpackningar otillräcklig. </w:t>
      </w:r>
    </w:p>
    <w:p>
      <w:pPr>
        <w:pStyle w:val="Normal"/>
        <w:rPr/>
      </w:pPr>
      <w:r>
        <w:rPr/>
        <w:t xml:space="preserve"> </w:t>
      </w:r>
    </w:p>
    <w:p>
      <w:pPr>
        <w:pStyle w:val="P68B1DB1Normal15"/>
        <w:rPr/>
      </w:pPr>
      <w:r>
        <w:rPr/>
        <w:t xml:space="preserve">16. Vi rekommenderar att intensivt jordbruk gradvis överges, bland annat att de försämrade levnadsvillkoren för djur upphör. Vi föreslår att man fastställer gemensamma normer för djurhållning (t.ex. maximalt antal djur, anpassat utomhusutrymme) och att investera mer i icke-intensiva metoder (utsträckt och hållbart jordbruk) genom att tillhandahålla ekonomiska incitament och utbildning för jordbrukare för att stödja denna utveckling. </w:t>
      </w:r>
    </w:p>
    <w:p>
      <w:pPr>
        <w:pStyle w:val="Normal"/>
        <w:rPr/>
      </w:pPr>
      <w:r>
        <w:rPr/>
        <w:t xml:space="preserve"> </w:t>
      </w:r>
    </w:p>
    <w:p>
      <w:pPr>
        <w:pStyle w:val="Normal"/>
        <w:rPr/>
      </w:pPr>
      <w:r>
        <w:rPr/>
        <w:t xml:space="preserve">Utfasningen av intensivt jordbruk kommer att minska miljöföroreningsnivåerna och stärka naturskyddet. Dessutom kommer utfasningen av intensiv djuruppfödning att minska mängden läkemedel som behövs för att bekämpa djursjukdomar och förbättra kvaliteten på vår kost. Intensivt jordbruk respekterar inte heller djurens välbefinnande, men det finns mer hållbara former av jordbruk, t.ex. extensivt jordbruk. det är nödvändigt att ge stöd till jordbrukarna för att hjälpa dem att ta sig in på denna väg. </w:t>
      </w:r>
    </w:p>
    <w:p>
      <w:pPr>
        <w:pStyle w:val="Normal"/>
        <w:rPr/>
      </w:pPr>
      <w:r>
        <w:rPr/>
        <w:t xml:space="preserve"> </w:t>
      </w:r>
    </w:p>
    <w:p>
      <w:pPr>
        <w:pStyle w:val="P68B1DB1Normal15"/>
        <w:rPr/>
      </w:pPr>
      <w:r>
        <w:rPr/>
        <w:t xml:space="preserve">17. Vi rekommenderar att man skärper kontrollerna av förbudet mot onödig användning av antibiotika och andra veterinärmedicinska läkemedel i fodertillsatser: låt oss få detta initiativ att hända! Vi föreslår att användningen av antibiotika inom animalieproduktionen endast får tillåtas när det är absolut nödvändigt, för att skydda djurens hälsa och välbefinnande, snarare än på ett förebyggande sätt. Dessutom finns det ett behov av att investera mer i sökandet efter effektivare antibiotika, utveckla alternativ samtidigt som man bygger vidare på pågående forskning på detta område. </w:t>
      </w:r>
    </w:p>
    <w:p>
      <w:pPr>
        <w:pStyle w:val="Normal"/>
        <w:rPr/>
      </w:pPr>
      <w:r>
        <w:rPr/>
        <w:t xml:space="preserve"> </w:t>
      </w:r>
    </w:p>
    <w:p>
      <w:pPr>
        <w:pStyle w:val="Normal"/>
        <w:rPr/>
      </w:pPr>
      <w:r>
        <w:rPr/>
        <w:t xml:space="preserve">Människans resistens mot antibiotika minskar på grund av konsumtionen av livsmedel som härrör från djur till vilka antibiotika har tillförts. Dessutom tar det tid att ta fram lämpliga lösningar för att ersätta befintliga antibiotika och se till att jordbrukarna är informerade och villiga att använda dem. Vi erkänner att det finns EU:s antibiotikadirektiv. dessa har dock inte genomförts på samma sätt i alla medlemsstater. Slutligen missbrukas veterinärmedicinska läkemedel i dopningssyfte. strängare lagstiftning på detta område kommer därför att förbättra djurens välbefinnande och förbättra deras livskvalitet. </w:t>
      </w:r>
    </w:p>
    <w:p>
      <w:pPr>
        <w:pStyle w:val="Normal"/>
        <w:rPr/>
      </w:pPr>
      <w:r>
        <w:rPr/>
        <w:t xml:space="preserve"> </w:t>
      </w:r>
    </w:p>
    <w:p>
      <w:pPr>
        <w:pStyle w:val="P68B1DB1Normal15"/>
        <w:rPr/>
      </w:pPr>
      <w:r>
        <w:rPr/>
        <w:t xml:space="preserve">18. Vi rekommenderar att EU-lagstiftningen kräver att användningen av hormonella ämnen och hormonstörande ämnen rapporteras i livsmedelsproduktionen för att ange typ, mängd och exponering för den slutprodukt som används. Etiketter som tydligt anger de aktuella ämnena och skälen för deras användning ska finnas på förpackningen till alla berörda livsmedel. Dessutom bör forskningen om hormonella ämnens och hormonstörande ämnens effekter på människors hälsa påskyndas. </w:t>
      </w:r>
    </w:p>
    <w:p>
      <w:pPr>
        <w:pStyle w:val="Normal"/>
        <w:rPr/>
      </w:pPr>
      <w:r>
        <w:rPr/>
        <w:t xml:space="preserve"> </w:t>
      </w:r>
    </w:p>
    <w:p>
      <w:pPr>
        <w:pStyle w:val="Normal"/>
        <w:rPr/>
      </w:pPr>
      <w:r>
        <w:rPr/>
        <w:t xml:space="preserve">För närvarande är livsmedelsprodukternas spårbarhet otillräcklig, särskilt när det gäller hormonella ämnen och hormonstörande ämnen. Vi anser att insyn i livsmedelsproduktionen är nödvändig för att uppfylla ansvarsskyldigheten. Dessutom bör konsumenterna kunna känna till sammansättningen i sin helhet av de livsmedel de konsumerar och fritt kunna välja vad de äter. Dessutom finns det otillräcklig forskning om effekterna på människor (och potentiella risker) i samband med konsumtion av livsmedel som innehåller hormonella ämnen och hormonstörande ämnen. </w:t>
      </w:r>
    </w:p>
    <w:p>
      <w:pPr>
        <w:pStyle w:val="Normal"/>
        <w:rPr/>
      </w:pPr>
      <w:r>
        <w:rPr/>
        <w:t xml:space="preserve"> </w:t>
      </w:r>
    </w:p>
    <w:p>
      <w:pPr>
        <w:pStyle w:val="P68B1DB1Normal15"/>
        <w:rPr/>
      </w:pPr>
      <w:r>
        <w:rPr/>
        <w:t xml:space="preserve">19. Vi rekommenderar att avskräcka konsumtionen av bearbetade livsmedel genom att tillämpa skatter på livsmedel som är skadliga för hälsan och genom att investera medel i hälsosamma livsmedel. Vi föreslår att man inrättar ett EU-omfattande klassificeringssystem för hälsosamma livsmedel som bygger på bästa praxis i medlemsstaterna och att märkning av livsmedel införs för att informera konsumenterna om deras hälsoeffekter. </w:t>
      </w:r>
    </w:p>
    <w:p>
      <w:pPr>
        <w:pStyle w:val="Normal"/>
        <w:rPr/>
      </w:pPr>
      <w:r>
        <w:rPr/>
        <w:t xml:space="preserve"> </w:t>
      </w:r>
    </w:p>
    <w:p>
      <w:pPr>
        <w:pStyle w:val="Normal"/>
        <w:rPr/>
      </w:pPr>
      <w:r>
        <w:rPr/>
        <w:t xml:space="preserve">På så sätt kan de insamlade medlen användas för att utveckla informationskampanjer och marknadsföringskampanjer, prioritera hälsosam kost inom utbildningssektorn och göra ohälsosamma livsmedel mindre synliga i stormarknader. Investeringar i hälsosamma livsmedel bidrar också till att förbättra befolkningens allmänna hälsa och därmed minska de offentliga utgifterna för att ta itu med hälsoproblem till följd av dålig kost. Dessutom tror vi att skatter och subventioner kommer att uppmuntra företag att producera hälsosammare mat. </w:t>
      </w:r>
    </w:p>
    <w:p>
      <w:pPr>
        <w:pStyle w:val="Normal"/>
        <w:rPr/>
      </w:pPr>
      <w:r>
        <w:rPr/>
        <w:t xml:space="preserve"> </w:t>
      </w:r>
    </w:p>
    <w:p>
      <w:pPr>
        <w:pStyle w:val="Titre3"/>
        <w:numPr>
          <w:ilvl w:val="2"/>
          <w:numId w:val="2"/>
        </w:numPr>
        <w:rPr/>
      </w:pPr>
      <w:bookmarkStart w:id="163" w:name="__RefHeading___Toc297261_1346298689"/>
      <w:bookmarkEnd w:id="163"/>
      <w:r>
        <w:rPr/>
        <w:t xml:space="preserve">Axel 3: omorientering av vår ekonomi och konsumtion </w:t>
      </w:r>
    </w:p>
    <w:p>
      <w:pPr>
        <w:pStyle w:val="Titre4"/>
        <w:numPr>
          <w:ilvl w:val="3"/>
          <w:numId w:val="2"/>
        </w:numPr>
        <w:rPr/>
      </w:pPr>
      <w:bookmarkStart w:id="164" w:name="__RefHeading___Toc297263_1346298689"/>
      <w:bookmarkEnd w:id="164"/>
      <w:r>
        <w:rPr/>
        <w:t xml:space="preserve">Delaxel 3.1 Reglering av överproduktion och överkonsumtion </w:t>
      </w:r>
    </w:p>
    <w:p>
      <w:pPr>
        <w:pStyle w:val="P68B1DB1Normal15"/>
        <w:rPr/>
      </w:pPr>
      <w:r>
        <w:rPr/>
        <w:t xml:space="preserve">20. Vi rekommenderar att EU vidtar fler åtgärder för att göra det möjligt för konsumenterna att använda produkter längre och uppmuntra dem att göra det. EU bör bekämpa planerat åldrande genom att förlänga produktgarantin och fastställa ett högsta pris för reservdelar efter det att garantiperioden har löpt ut. Alla medlemsstater bör införa en skattesänkning för reparationstjänster, vilket är fallet i Sverige. Tillverkarna bör vara skyldiga att ange produkternas förväntade livslängd. EU bör tillhandahålla information om hur man kan återanvända och reparera produkter via en webbplats och genom utbildning. </w:t>
      </w:r>
    </w:p>
    <w:p>
      <w:pPr>
        <w:pStyle w:val="Normal"/>
        <w:rPr/>
      </w:pPr>
      <w:r>
        <w:rPr/>
        <w:t xml:space="preserve"> </w:t>
      </w:r>
    </w:p>
    <w:p>
      <w:pPr>
        <w:pStyle w:val="Normal"/>
        <w:rPr/>
      </w:pPr>
      <w:r>
        <w:rPr/>
        <w:t xml:space="preserve">Vårt avfallssamhälle är inte livskraftigt eftersom det genererar för mycket avfall. Genom att tillämpa de föreslagna åtgärderna kommer vi att utvecklas mot ett samhälle där produkter kommer att återanvändas och repareras, vars antal kommer att minska och därmed minska överkonsumtionen. </w:t>
      </w:r>
    </w:p>
    <w:p>
      <w:pPr>
        <w:pStyle w:val="Normal"/>
        <w:rPr/>
      </w:pPr>
      <w:r>
        <w:rPr/>
        <w:t xml:space="preserve"> </w:t>
      </w:r>
    </w:p>
    <w:p>
      <w:pPr>
        <w:pStyle w:val="P68B1DB1Normal15"/>
        <w:rPr/>
      </w:pPr>
      <w:r>
        <w:rPr/>
        <w:t xml:space="preserve">21. Vi rekommenderar att EU tillämpar strängare miljönormer och säkerställer rättvisa arbetsförhållanden längs produktionskedjan. EU:s produktionsnormer bör vara mer hållbara och harmoniserade mellan medlemsstaterna och tillämpas på importerade varor. Dessa normer måste också vara av social karaktär, inklusive en anständig inkomst för arbetstagarna och tillfredsställande arbetsvillkor i fabriker. Det bör få konsekvenser för varor som inte uppfyller dessa normer. </w:t>
      </w:r>
    </w:p>
    <w:p>
      <w:pPr>
        <w:pStyle w:val="Normal"/>
        <w:rPr/>
      </w:pPr>
      <w:r>
        <w:rPr/>
        <w:t xml:space="preserve"> </w:t>
      </w:r>
    </w:p>
    <w:p>
      <w:pPr>
        <w:pStyle w:val="Normal"/>
        <w:rPr/>
      </w:pPr>
      <w:r>
        <w:rPr/>
        <w:t xml:space="preserve">Det är viktigt att fastställa miljömässigt och socialt enhetliga tillverkningsstandarder i Europa för att säkerställa att alla produkter som erbjuds produceras på ett hållbart sätt. Dessa åtgärder är nödvändiga för att omorientera vår ekonomi och förändra företagens produktionsmönster. </w:t>
      </w:r>
    </w:p>
    <w:p>
      <w:pPr>
        <w:pStyle w:val="Normal"/>
        <w:rPr/>
      </w:pPr>
      <w:r>
        <w:rPr/>
        <w:t xml:space="preserve"> </w:t>
      </w:r>
    </w:p>
    <w:p>
      <w:pPr>
        <w:pStyle w:val="P68B1DB1Normal15"/>
        <w:rPr/>
      </w:pPr>
      <w:r>
        <w:rPr/>
        <w:t xml:space="preserve">22. Vi rekommenderar att EU och medlemsstaterna vidtar åtgärder för att begränsa reklamen för produkter som skadar miljön. Produkter med låg hållbarhet bör omfattas av en obligatorisk klausul om icke-ansvar i alla former av reklam som visar att de är skadliga för miljön. EU bör förbjuda reklam för produkter som inte är hållbara alls. </w:t>
      </w:r>
    </w:p>
    <w:p>
      <w:pPr>
        <w:pStyle w:val="Normal"/>
        <w:rPr/>
      </w:pPr>
      <w:r>
        <w:rPr/>
        <w:t xml:space="preserve"> </w:t>
      </w:r>
    </w:p>
    <w:p>
      <w:pPr>
        <w:pStyle w:val="Normal"/>
        <w:rPr/>
      </w:pPr>
      <w:r>
        <w:rPr/>
        <w:t xml:space="preserve">Reklam uppmuntrar till konsumtion. produkter som skadar miljön bör inte framhävas. På så sätt kommer konsumenterna att vara mindre benägna att köpa miljöskadliga produkter. </w:t>
      </w:r>
    </w:p>
    <w:p>
      <w:pPr>
        <w:pStyle w:val="Normal"/>
        <w:rPr/>
      </w:pPr>
      <w:r>
        <w:rPr/>
        <w:t xml:space="preserve"> </w:t>
      </w:r>
    </w:p>
    <w:p>
      <w:pPr>
        <w:pStyle w:val="P68B1DB1Normal15"/>
        <w:rPr/>
      </w:pPr>
      <w:r>
        <w:rPr/>
        <w:t xml:space="preserve">23. Vi rekommenderar att EU inrättar och utvecklar infrastruktur för deponeringssystem för alla primära förpackningar av glas, plast, aluminium osv., på ett enhetligt sätt i hela EU. Tillverkarna bör i möjligaste mån återanvända returförpackningen genom att sterilisera dem i stället för att helt enkelt återvinna materialen. Förutom livsmedels- och dryckesförpackningar bör enheten också täcka andra typer av flaskor och behållare, såsom schampoflaskor. </w:t>
      </w:r>
    </w:p>
    <w:p>
      <w:pPr>
        <w:pStyle w:val="Normal"/>
        <w:rPr/>
      </w:pPr>
      <w:r>
        <w:rPr/>
        <w:t xml:space="preserve"> </w:t>
      </w:r>
    </w:p>
    <w:p>
      <w:pPr>
        <w:pStyle w:val="Normal"/>
        <w:rPr/>
      </w:pPr>
      <w:r>
        <w:rPr/>
        <w:t xml:space="preserve">För närvarande kastar konsumenterna för mycket förpackningar, förorenar och förstör våra ekosystem. Deponeringssystem bidrar till att minska avfall genom att uppmuntra medborgarna att ta tillbaka förpackningar i stället för att kasta bort det. Genom utvecklingen av detta system kommer vi att använda färre resurser. mängden avfall som genereras kommer att minskas. </w:t>
      </w:r>
    </w:p>
    <w:p>
      <w:pPr>
        <w:pStyle w:val="Normal"/>
        <w:rPr/>
      </w:pPr>
      <w:r>
        <w:rPr/>
        <w:t xml:space="preserve"> </w:t>
      </w:r>
    </w:p>
    <w:p>
      <w:pPr>
        <w:pStyle w:val="Titre4"/>
        <w:numPr>
          <w:ilvl w:val="3"/>
          <w:numId w:val="2"/>
        </w:numPr>
        <w:rPr/>
      </w:pPr>
      <w:bookmarkStart w:id="165" w:name="__RefHeading___Toc297265_1346298689"/>
      <w:bookmarkEnd w:id="165"/>
      <w:r>
        <w:rPr/>
        <w:t xml:space="preserve">Delaxel 3.2 Minska avfall </w:t>
      </w:r>
    </w:p>
    <w:p>
      <w:pPr>
        <w:pStyle w:val="P68B1DB1Normal15"/>
        <w:rPr/>
      </w:pPr>
      <w:r>
        <w:rPr/>
        <w:t xml:space="preserve">24. Vi rekommenderar att man främjar ett starkare genomförande av politiken för den cirkulära ekonomin på EU-nivå, som riktar sig till både företag och medborgare, i form av ekonomiska incitament för dem som följer dem. </w:t>
      </w:r>
    </w:p>
    <w:p>
      <w:pPr>
        <w:pStyle w:val="Normal"/>
        <w:rPr/>
      </w:pPr>
      <w:r>
        <w:rPr/>
        <w:t xml:space="preserve"> </w:t>
      </w:r>
    </w:p>
    <w:p>
      <w:pPr>
        <w:pStyle w:val="Normal"/>
        <w:rPr/>
      </w:pPr>
      <w:r>
        <w:rPr/>
        <w:t xml:space="preserve">Många människor kommer så småningom att bli arbetslösa om produktionsföretagen minskar sin arbetskraft eller till och med hamnar i ett tillstånd av upphörande av betalning/jämning. Omskolningsåtgärder för arbetslösa kommer att uppmuntra miljövänliga metoder och samtidigt begränsa arbetslösheten och främja moderniseringen av en diversifierad ekonomi. </w:t>
      </w:r>
    </w:p>
    <w:p>
      <w:pPr>
        <w:pStyle w:val="Normal"/>
        <w:rPr/>
      </w:pPr>
      <w:r>
        <w:rPr/>
        <w:t xml:space="preserve"> </w:t>
      </w:r>
    </w:p>
    <w:p>
      <w:pPr>
        <w:pStyle w:val="P68B1DB1Normal15"/>
        <w:rPr/>
      </w:pPr>
      <w:r>
        <w:rPr/>
        <w:t xml:space="preserve">25. Vi rekommenderar att EU reglerar användningen av miljösäkra förpackningar (dvs. förpackningar baserade på biologiskt nedbrytbara eller återvinningsbara eller mer hållbara material, om möjligt) och/eller användningen av mindre skrymmande förpackningar, även med en QR-kod som ger information som är relevant för återvinning och/eller bortskaffande av förpackningar efter användning. </w:t>
      </w:r>
    </w:p>
    <w:p>
      <w:pPr>
        <w:pStyle w:val="Normal"/>
        <w:rPr/>
      </w:pPr>
      <w:r>
        <w:rPr/>
        <w:t xml:space="preserve"> </w:t>
      </w:r>
    </w:p>
    <w:p>
      <w:pPr>
        <w:pStyle w:val="Normal"/>
        <w:rPr/>
      </w:pPr>
      <w:r>
        <w:rPr/>
        <w:t xml:space="preserve">Denna rekommendation kommer att leda till en minskning av förpackningarna, en minskning av avfall och följaktligen föroreningar. miljön kommer därför att bli renare och i slutändan kommer koldioxidavtrycket att bli mindre. Skattebördan för producenterna kommer också att bli lägre. </w:t>
      </w:r>
    </w:p>
    <w:p>
      <w:pPr>
        <w:pStyle w:val="Normal"/>
        <w:rPr/>
      </w:pPr>
      <w:r>
        <w:rPr/>
        <w:t xml:space="preserve"> </w:t>
      </w:r>
    </w:p>
    <w:p>
      <w:pPr>
        <w:pStyle w:val="Titre4"/>
        <w:numPr>
          <w:ilvl w:val="3"/>
          <w:numId w:val="2"/>
        </w:numPr>
        <w:rPr/>
      </w:pPr>
      <w:bookmarkStart w:id="166" w:name="__RefHeading___Toc297267_1346298689"/>
      <w:bookmarkEnd w:id="166"/>
      <w:r>
        <w:rPr/>
        <w:t xml:space="preserve">Delaxel 3.3 Rättvisa produkter, lika tillgång och rättvis konsumtion </w:t>
      </w:r>
    </w:p>
    <w:p>
      <w:pPr>
        <w:pStyle w:val="P68B1DB1Normal15"/>
        <w:rPr/>
      </w:pPr>
      <w:r>
        <w:rPr/>
        <w:t xml:space="preserve">26. Vi rekommenderar att Europeiska unionen inrättar en rättslig ram för att se till att alla europeiska konsumenter har en överkomlig och förbättrad tillgång till högkvalitativa och lokala livsmedelsprodukter. </w:t>
      </w:r>
    </w:p>
    <w:p>
      <w:pPr>
        <w:pStyle w:val="Normal"/>
        <w:rPr/>
      </w:pPr>
      <w:r>
        <w:rPr/>
        <w:t xml:space="preserve"> </w:t>
      </w:r>
    </w:p>
    <w:p>
      <w:pPr>
        <w:pStyle w:val="Normal"/>
        <w:rPr/>
      </w:pPr>
      <w:r>
        <w:rPr/>
        <w:t xml:space="preserve">Det finns för närvarande ingen gemensam tolkning på EU-nivå av vad som bör betraktas som lokala livsmedel av hög kvalitet. Denna lucka måste fyllas. </w:t>
      </w:r>
    </w:p>
    <w:p>
      <w:pPr>
        <w:pStyle w:val="Normal"/>
        <w:rPr/>
      </w:pPr>
      <w:r>
        <w:rPr/>
        <w:t xml:space="preserve">Importen av produkter av dålig kvalitet har en direkt negativ inverkan på miljön. För att bekämpa klimatförändringarna måste vi ta itu med alla dess orsaker, inklusive import av produkter av låg kvalitet: det finns ett behov av att minska transportavståndet och främja säsongsprodukter. </w:t>
      </w:r>
    </w:p>
    <w:p>
      <w:pPr>
        <w:pStyle w:val="Normal"/>
        <w:rPr/>
      </w:pPr>
      <w:r>
        <w:rPr/>
        <w:t xml:space="preserve">Denna rekommendation är lovande eftersom den även kan tillämpas på andra produkter än livsmedel. </w:t>
      </w:r>
    </w:p>
    <w:p>
      <w:pPr>
        <w:pStyle w:val="Normal"/>
        <w:rPr/>
      </w:pPr>
      <w:r>
        <w:rPr/>
        <w:t xml:space="preserve"> </w:t>
      </w:r>
    </w:p>
    <w:p>
      <w:pPr>
        <w:pStyle w:val="P68B1DB1Normal15"/>
        <w:rPr/>
      </w:pPr>
      <w:r>
        <w:rPr/>
        <w:t xml:space="preserve">27. Vi rekommenderar att Europeiska unionen uppmuntrar forskning och utveckling genom finansieringsprogram för att säkerställa att mer hållbara och överkomliga produkter på marknaden finns tillgängliga på den europeiska marknaden. Europeiska unionen måste också samråda med medborgarna på alla beslutsnivåer, även på lokal nivå, för att fastställa deras behov av hållbara produkter. </w:t>
      </w:r>
    </w:p>
    <w:p>
      <w:pPr>
        <w:pStyle w:val="Normal"/>
        <w:rPr/>
      </w:pPr>
      <w:r>
        <w:rPr/>
        <w:t xml:space="preserve"> </w:t>
      </w:r>
    </w:p>
    <w:p>
      <w:pPr>
        <w:pStyle w:val="Normal"/>
        <w:rPr/>
      </w:pPr>
      <w:r>
        <w:rPr/>
        <w:t xml:space="preserve">Vi anser att forskningen om hållbara produkter är otillräcklig och det finns ett akut behov av att anslå mer ekonomiska resurser till forskning så att européerna kan få tillgång till hållbarare produkter till ett överkomligt pris. </w:t>
      </w:r>
    </w:p>
    <w:p>
      <w:pPr>
        <w:pStyle w:val="Normal"/>
        <w:rPr/>
      </w:pPr>
      <w:r>
        <w:rPr/>
        <w:t xml:space="preserve">Medborgarna måste delta i beslutsprocessen. Programmet för forsknings- och innovationsåtgärder måste utarbetas tillsammans med medborgarna. De bör informeras om uppföljningen och resultaten bör meddelas dem. </w:t>
      </w:r>
    </w:p>
    <w:p>
      <w:pPr>
        <w:pStyle w:val="Normal"/>
        <w:rPr/>
      </w:pPr>
      <w:r>
        <w:rPr/>
      </w:r>
    </w:p>
    <w:p>
      <w:pPr>
        <w:pStyle w:val="P68B1DB1Normal15"/>
        <w:rPr/>
      </w:pPr>
      <w:r>
        <w:rPr/>
        <w:t xml:space="preserve">28. Vi rekommenderar att Europeiska unionen inför en regleringsmekanism för modeartiklar som kommer in på den gemensamma marknaden. Syftet med denna mekanism är att främja bättre konsumtion genom en indikator som säkerställer att produkten uppfyller hållbarhetskriterierna. </w:t>
      </w:r>
    </w:p>
    <w:p>
      <w:pPr>
        <w:pStyle w:val="Normal"/>
        <w:rPr/>
      </w:pPr>
      <w:r>
        <w:rPr/>
        <w:t xml:space="preserve"> </w:t>
      </w:r>
    </w:p>
    <w:p>
      <w:pPr>
        <w:pStyle w:val="Normal"/>
        <w:rPr/>
      </w:pPr>
      <w:r>
        <w:rPr/>
        <w:t xml:space="preserve">Modesektorn, som producerar för många varor av dålig kvalitet utanför EU:s gränser, tillämpar inte etiska normer och antar inte ett hållbart beteende. </w:t>
      </w:r>
    </w:p>
    <w:p>
      <w:pPr>
        <w:pStyle w:val="Normal"/>
        <w:rPr/>
      </w:pPr>
      <w:r>
        <w:rPr/>
        <w:t xml:space="preserve">Vi måste hitta en rättvis mekanism som gör det möjligt för konsumenterna att konsumera bättre. Det är dock viktigt att inte höja skatterna, vilket skulle få negativa konsekvenser för konsumenterna genom att minska deras köpkraft. </w:t>
      </w:r>
    </w:p>
    <w:p>
      <w:pPr>
        <w:pStyle w:val="Normal"/>
        <w:rPr/>
      </w:pPr>
      <w:r>
        <w:rPr/>
        <w:t xml:space="preserve">Konsumenterna bör veta på vilka villkor de produkter de köper tillverkas och om de uppfyller hållbara kvalitetsstandarder. </w:t>
      </w:r>
    </w:p>
    <w:p>
      <w:pPr>
        <w:pStyle w:val="Normal"/>
        <w:rPr/>
      </w:pPr>
      <w:r>
        <w:rPr/>
        <w:t xml:space="preserve"> </w:t>
      </w:r>
    </w:p>
    <w:p>
      <w:pPr>
        <w:pStyle w:val="Titre3"/>
        <w:numPr>
          <w:ilvl w:val="2"/>
          <w:numId w:val="2"/>
        </w:numPr>
        <w:rPr/>
      </w:pPr>
      <w:bookmarkStart w:id="167" w:name="__RefHeading___Toc297269_1346298689"/>
      <w:bookmarkEnd w:id="167"/>
      <w:r>
        <w:rPr/>
        <w:t xml:space="preserve">Axel 4: mot ett hållbart samhälle </w:t>
      </w:r>
    </w:p>
    <w:p>
      <w:pPr>
        <w:pStyle w:val="Titre4"/>
        <w:numPr>
          <w:ilvl w:val="3"/>
          <w:numId w:val="2"/>
        </w:numPr>
        <w:rPr/>
      </w:pPr>
      <w:bookmarkStart w:id="168" w:name="__RefHeading___Toc297271_1346298689"/>
      <w:bookmarkEnd w:id="168"/>
      <w:r>
        <w:rPr/>
        <w:t xml:space="preserve">Delaxel 4.1 Förnybar energi, från och med nu </w:t>
      </w:r>
    </w:p>
    <w:p>
      <w:pPr>
        <w:pStyle w:val="P68B1DB1Normal15"/>
        <w:rPr/>
      </w:pPr>
      <w:r>
        <w:rPr/>
        <w:t xml:space="preserve">29. Vi rekommenderar att EU vidtar åtgärder för att göra koldioxidfilter obligatoriska, särskilt för koleldade kraftverk, under en övergångsperiod, så länge vi fortsätter att förlita oss på konventionell energi. Dessutom rekommenderar vi att EU ger ekonomiskt stöd till medlemsstater som inte har ekonomiska resurser för att genomföra koldioxidfilter. Stödet är villkorat av efterlevnad av EU:s klimatpolitik med anknytning till Parisavtalet, den gröna given och eventuell ny klimatlagstiftning. </w:t>
      </w:r>
    </w:p>
    <w:p>
      <w:pPr>
        <w:pStyle w:val="Normal"/>
        <w:rPr/>
      </w:pPr>
      <w:r>
        <w:rPr>
          <w:b/>
        </w:rPr>
        <w:t>Detta är ett konkret steg som måste tas parallellt med de fortsatta investeringarna i forskning om säker energiproduktion och som syftar till att hjälpa EU:s medlemsstater att gradvis uppnå de gemensamma målen för minskade koldioxidutsläpp.</w:t>
      </w:r>
      <w:r>
        <w:rPr/>
        <w:t xml:space="preserve"> </w:t>
      </w:r>
    </w:p>
    <w:p>
      <w:pPr>
        <w:pStyle w:val="Normal"/>
        <w:rPr/>
      </w:pPr>
      <w:r>
        <w:rPr/>
        <w:t xml:space="preserve"> </w:t>
      </w:r>
    </w:p>
    <w:p>
      <w:pPr>
        <w:pStyle w:val="Normal"/>
        <w:rPr/>
      </w:pPr>
      <w:r>
        <w:rPr/>
        <w:t xml:space="preserve">Vi vet att användningen av konventionella bränslen leder till utsläpp av växthusgaser och att EU:s medlemsstater måste minska användningen av konventionella bränslen för att uppfylla Parisavtalet. Eftersom det inte är möjligt att omedelbart sätta stopp för koldioxidutsläppen och vi fortfarande är beroende av kol, måste vi vidta åtgärder på kort och medellång sikt. </w:t>
      </w:r>
    </w:p>
    <w:p>
      <w:pPr>
        <w:pStyle w:val="Normal"/>
        <w:rPr/>
      </w:pPr>
      <w:r>
        <w:rPr/>
        <w:t xml:space="preserve">Att minska koldioxidutsläppen är av gemensamt intresse för alla medborgare, både inom och utanför EU. EU har som institution ett eget ansvar och institutionen ger rekommendationer och lösningar eftersom medlemsstaterna inte kan uppnå målen på egen hand. </w:t>
      </w:r>
    </w:p>
    <w:p>
      <w:pPr>
        <w:pStyle w:val="Normal"/>
        <w:rPr/>
      </w:pPr>
      <w:r>
        <w:rPr/>
      </w:r>
    </w:p>
    <w:p>
      <w:pPr>
        <w:pStyle w:val="P68B1DB1Normal15"/>
        <w:rPr/>
      </w:pPr>
      <w:r>
        <w:rPr/>
        <w:t xml:space="preserve">30. Vi rekommenderar att man minskar intensiv industrihållning för att minska metanproduktionen och vattenföroreningarna. I detta syfte ser EU över sin gemensamma jordbrukspolitik för att rikta sina subventioner mot ett hållbart och lokalt jordbruk, bland annat genom ett märkningssystem som gör det möjligt för konsumenterna att erkänna hållbara köttprodukter. Vi uppmuntrar också EU att investera i metoder för återanvändning av avfall från djurproduktion och andra industrier. </w:t>
      </w:r>
    </w:p>
    <w:p>
      <w:pPr>
        <w:pStyle w:val="Normal"/>
        <w:rPr/>
      </w:pPr>
      <w:r>
        <w:rPr/>
        <w:t xml:space="preserve"> </w:t>
      </w:r>
    </w:p>
    <w:p>
      <w:pPr>
        <w:pStyle w:val="Normal"/>
        <w:rPr/>
      </w:pPr>
      <w:r>
        <w:rPr/>
        <w:t xml:space="preserve">Befolkningen växer, vilket kommer att leda till ökad efterfrågan på kött i framtiden. Det är därför köttkonsumtionen måste minskas. </w:t>
      </w:r>
    </w:p>
    <w:p>
      <w:pPr>
        <w:pStyle w:val="Normal"/>
        <w:rPr/>
      </w:pPr>
      <w:r>
        <w:rPr/>
        <w:t xml:space="preserve">Eftersom metan producerar växthusgaser anser vi att det är naturligt att börja med att minska boskapsutsläppen. </w:t>
      </w:r>
    </w:p>
    <w:p>
      <w:pPr>
        <w:pStyle w:val="Normal"/>
        <w:rPr/>
      </w:pPr>
      <w:r>
        <w:rPr/>
        <w:t xml:space="preserve">Vi vet alla att mindre kött bör konsumeras och därför bör antalet nötkreatur minskas i enlighet därmed. </w:t>
      </w:r>
    </w:p>
    <w:p>
      <w:pPr>
        <w:pStyle w:val="Normal"/>
        <w:rPr/>
      </w:pPr>
      <w:r>
        <w:rPr/>
        <w:t xml:space="preserve"> </w:t>
      </w:r>
    </w:p>
    <w:p>
      <w:pPr>
        <w:pStyle w:val="P68B1DB1Normal15"/>
        <w:rPr/>
      </w:pPr>
      <w:r>
        <w:rPr/>
        <w:t xml:space="preserve">31. Även om produktionen av grön vätgas är en dyr process, eftersom det tar 75 % av energin för att få 25 % väte, har denna typ av energi många positiva aspekter. Den bästa lösningen kan vara att producera koldioxidfri energi vid sidan av utvecklingen av grön vätgas. Vindkraft bör användas för produktion av grön vätgas och EU bör investera mer och öka vindkraftsproduktionen och lagra den för framtida behov. </w:t>
      </w:r>
    </w:p>
    <w:p>
      <w:pPr>
        <w:pStyle w:val="Normal"/>
        <w:rPr/>
      </w:pPr>
      <w:r>
        <w:rPr/>
        <w:t xml:space="preserve"> </w:t>
      </w:r>
    </w:p>
    <w:p>
      <w:pPr>
        <w:pStyle w:val="Normal"/>
        <w:rPr/>
      </w:pPr>
      <w:r>
        <w:rPr/>
        <w:t xml:space="preserve">Grön vätgas är flexibel och kan lagras för användning vid behov. Det orsakar inte CO2-föroreningar. </w:t>
      </w:r>
    </w:p>
    <w:p>
      <w:pPr>
        <w:pStyle w:val="Normal"/>
        <w:rPr/>
      </w:pPr>
      <w:r>
        <w:rPr/>
        <w:t xml:space="preserve"> </w:t>
      </w:r>
    </w:p>
    <w:p>
      <w:pPr>
        <w:pStyle w:val="Titre4"/>
        <w:numPr>
          <w:ilvl w:val="3"/>
          <w:numId w:val="2"/>
        </w:numPr>
        <w:rPr/>
      </w:pPr>
      <w:bookmarkStart w:id="169" w:name="__RefHeading___Toc297273_1346298689"/>
      <w:bookmarkEnd w:id="169"/>
      <w:r>
        <w:rPr/>
        <w:t xml:space="preserve">Delaxel 4.2 Stödjande förändring </w:t>
      </w:r>
    </w:p>
    <w:p>
      <w:pPr>
        <w:pStyle w:val="P68B1DB1Normal15"/>
        <w:rPr/>
      </w:pPr>
      <w:r>
        <w:rPr/>
        <w:t xml:space="preserve">32. Vi rekommenderar att EU inför ett system för tvång och belöning för att bekämpa föroreningar, inklusive vatten, mark, luft och strålning. Böter måste åläggas förorenare, i kombination med obligatoriskt stöd från en specialiserad organisation, särskilt utformade för att hjälpa enheter att eliminera föroreningar och återställa ekosystemet. Denna specialiserade organisation bör spela en ledande roll när det gäller att förebygga och begränsa föroreningsnivåerna. </w:t>
      </w:r>
    </w:p>
    <w:p>
      <w:pPr>
        <w:pStyle w:val="Normal"/>
        <w:rPr/>
      </w:pPr>
      <w:r>
        <w:rPr/>
        <w:t xml:space="preserve"> </w:t>
      </w:r>
    </w:p>
    <w:p>
      <w:pPr>
        <w:pStyle w:val="Normal"/>
        <w:rPr/>
      </w:pPr>
      <w:r>
        <w:rPr/>
        <w:t xml:space="preserve">Eftersom det är viktigt att fokusera på förorenarnas ansvar och att uppmuntra entiteter att minska föroreningarna genom att rikta in sig på nollföroreningar. Det är viktigt att ha en hälsosam planet, eftersom den är direkt kopplad till vårt välbefinnande och vår framtida existens. </w:t>
      </w:r>
    </w:p>
    <w:p>
      <w:pPr>
        <w:pStyle w:val="Normal"/>
        <w:rPr/>
      </w:pPr>
      <w:r>
        <w:rPr/>
        <w:t xml:space="preserve"> </w:t>
      </w:r>
    </w:p>
    <w:p>
      <w:pPr>
        <w:pStyle w:val="P68B1DB1Normal15"/>
        <w:rPr/>
      </w:pPr>
      <w:r>
        <w:rPr/>
        <w:t xml:space="preserve">33. Vi rekommenderar att EU inrättar en särskild webbplats/plattform som verifieras av flera experter – med varierande och regelbundet uppdaterad miljövetenskaplig information – som är lättillgänglig och transparent för alla medborgare. Denna webbplats/plattform kommer att associeras med ett forum där medborgare och experter kan interagera. Vi rekommenderar också starkt att lansera en mediekampanj för att marknadsföra denna webbplats/plattform (t.ex. via sociala medier som YouTube, TikTok och LinkedIn). </w:t>
      </w:r>
    </w:p>
    <w:p>
      <w:pPr>
        <w:pStyle w:val="Normal"/>
        <w:rPr/>
      </w:pPr>
      <w:r>
        <w:rPr/>
        <w:t xml:space="preserve"> </w:t>
      </w:r>
    </w:p>
    <w:p>
      <w:pPr>
        <w:pStyle w:val="Normal"/>
        <w:rPr/>
      </w:pPr>
      <w:r>
        <w:rPr/>
        <w:t xml:space="preserve">Alla medborgare måste ha oberoende informationskällor, baserade på vetenskapliga bevis, för att förstå utmaningarna i samband med klimatförändringarna (dess konsekvenser och de åtgärder som ska vidtas för att vända den) samt för att hantera falska nyheter. Mediekampanjen kommer att öka medvetenheten om förekomsten av denna plattform/webbplats. Det är också viktigt att den information som tillhandahålls av webbplatsen/plattformen är begriplig för alla medborgare, med tillgång till källmaterial för dem som vill fördjupa ämnet. </w:t>
      </w:r>
    </w:p>
    <w:p>
      <w:pPr>
        <w:pStyle w:val="Normal"/>
        <w:rPr/>
      </w:pPr>
      <w:r>
        <w:rPr/>
        <w:t xml:space="preserve"> </w:t>
      </w:r>
    </w:p>
    <w:p>
      <w:pPr>
        <w:pStyle w:val="P68B1DB1Normal15"/>
        <w:rPr/>
      </w:pPr>
      <w:r>
        <w:rPr/>
        <w:t xml:space="preserve">34. Vi rekommenderar att EU minskar mängden importerade varor som inte uppfyller EU:s normer för miljöavtryck. </w:t>
      </w:r>
    </w:p>
    <w:p>
      <w:pPr>
        <w:pStyle w:val="Normal"/>
        <w:rPr/>
      </w:pPr>
      <w:r>
        <w:rPr/>
        <w:t xml:space="preserve"> </w:t>
      </w:r>
    </w:p>
    <w:p>
      <w:pPr>
        <w:pStyle w:val="Normal"/>
        <w:rPr/>
      </w:pPr>
      <w:r>
        <w:rPr/>
        <w:t xml:space="preserve">På så sätt ser vi till att varor som importeras till EU får ett grönare fotavtryck. Målet är att minska föroreningarna globalt. Det är också viktigt att presentera normerna för länder om de vill exportera varor till EU. </w:t>
      </w:r>
    </w:p>
    <w:p>
      <w:pPr>
        <w:pStyle w:val="Normal"/>
        <w:rPr/>
      </w:pPr>
      <w:r>
        <w:rPr/>
        <w:t xml:space="preserve"> </w:t>
      </w:r>
    </w:p>
    <w:p>
      <w:pPr>
        <w:pStyle w:val="P68B1DB1Normal15"/>
        <w:rPr/>
      </w:pPr>
      <w:r>
        <w:rPr/>
        <w:t xml:space="preserve">35. Vi rekommenderar att EU uppmuntrar, främjar och underlättar en dialog om klimatförändringar mellan alla beslutsnivåer, från mycket lokala (medborgare) till globala (nationella, internationella och interkontinentala) för att ta itu med alla berörda parters oro. </w:t>
      </w:r>
    </w:p>
    <w:p>
      <w:pPr>
        <w:pStyle w:val="Normal"/>
        <w:rPr/>
      </w:pPr>
      <w:r>
        <w:rPr/>
        <w:t xml:space="preserve"> </w:t>
      </w:r>
    </w:p>
    <w:p>
      <w:pPr>
        <w:pStyle w:val="Normal"/>
        <w:rPr/>
      </w:pPr>
      <w:r>
        <w:rPr/>
        <w:t xml:space="preserve">Dialog och samförstånd är det bästa sättet att hantera klimatförändringarnas utmaningar: om parterna förstår varandra finns det större vilja att finna en gemensam grund. </w:t>
      </w:r>
    </w:p>
    <w:p>
      <w:pPr>
        <w:pStyle w:val="Normal"/>
        <w:rPr/>
      </w:pPr>
      <w:r>
        <w:rPr/>
        <w:t xml:space="preserve"> </w:t>
      </w:r>
    </w:p>
    <w:p>
      <w:pPr>
        <w:pStyle w:val="Titre4"/>
        <w:numPr>
          <w:ilvl w:val="3"/>
          <w:numId w:val="2"/>
        </w:numPr>
        <w:rPr/>
      </w:pPr>
      <w:bookmarkStart w:id="170" w:name="__RefHeading___Toc297275_1346298689"/>
      <w:bookmarkEnd w:id="170"/>
      <w:r>
        <w:rPr/>
        <w:t xml:space="preserve">Delaxel 4.3 Miljövänlig transport </w:t>
      </w:r>
    </w:p>
    <w:p>
      <w:pPr>
        <w:pStyle w:val="Normal"/>
        <w:rPr/>
      </w:pPr>
      <w:r>
        <w:rPr>
          <w:b/>
        </w:rPr>
        <w:t>36. Vi rekommenderar att EU ger ekonomiskt stöd till EU:s medlemsstater för att förbättra konnektiviteten i landsbygdsområden. Detta kräver att man utvecklar ett europeiskt kollektivtrafiknät som bygger på överkomliga priser (prioritering av järnvägar) och incitament för användning av kollektivtrafik. I detta syfte bör internetuppkopplingen också utvecklas inom en kort och realistisk tidsram på landsbygden.</w:t>
      </w:r>
      <w:r>
        <w:rPr/>
        <w:t xml:space="preserve"> </w:t>
      </w:r>
    </w:p>
    <w:p>
      <w:pPr>
        <w:pStyle w:val="Normal"/>
        <w:rPr/>
      </w:pPr>
      <w:r>
        <w:rPr/>
        <w:t xml:space="preserve"> </w:t>
      </w:r>
    </w:p>
    <w:p>
      <w:pPr>
        <w:pStyle w:val="Normal"/>
        <w:rPr/>
      </w:pPr>
      <w:r>
        <w:rPr/>
        <w:t xml:space="preserve">Vi gör denna rekommendation eftersom det inte finns lika tillgång till kollektivtrafik och internetuppkoppling mellan landsbygds- och stadsområden. Ett gemensamt europeiskt projekt skulle stärkas eftersom alla medborgare skulle känna att de hade samma rättigheter. En förstärkning av kollektivtrafiknätet och internetuppkopplingen skulle uppmuntra människor att bosätta sig på landsbygden. Denna process skulle minska föroreningarna eftersom färre människor skulle bo i överbefolkade städer. </w:t>
      </w:r>
    </w:p>
    <w:p>
      <w:pPr>
        <w:pStyle w:val="Normal"/>
        <w:rPr/>
      </w:pPr>
      <w:r>
        <w:rPr/>
        <w:t xml:space="preserve"> </w:t>
      </w:r>
    </w:p>
    <w:p>
      <w:pPr>
        <w:pStyle w:val="P68B1DB1Normal15"/>
        <w:rPr/>
      </w:pPr>
      <w:r>
        <w:rPr/>
        <w:t xml:space="preserve">37. Vi rekommenderar att man förbättrar befintlig transportinfrastruktur som har gått ur bruk eller som kan förbättras ytterligare ur ekologisk synvinkel (etablering av eltåg). Denna process ska genomföras utan att det påverkar miljöskyddade områden. </w:t>
      </w:r>
    </w:p>
    <w:p>
      <w:pPr>
        <w:pStyle w:val="Normal"/>
        <w:rPr/>
      </w:pPr>
      <w:r>
        <w:rPr/>
        <w:t xml:space="preserve"> </w:t>
      </w:r>
    </w:p>
    <w:p>
      <w:pPr>
        <w:pStyle w:val="Normal"/>
        <w:rPr/>
      </w:pPr>
      <w:r>
        <w:rPr/>
        <w:t>En förbättring av befintlig infrastruktur skulle undvika att spendera för mycket resurser och skada viktiga skyddade områden för bevarande av den biologiska mångfalden. Ökad järnvägsinfrastruktur skulle minska koldioxidutsläppen och</w:t>
      </w:r>
      <w:r>
        <w:rPr>
          <w:vertAlign w:val="subscript"/>
        </w:rPr>
        <w:t>främja</w:t>
      </w:r>
      <w:r>
        <w:rPr/>
        <w:t xml:space="preserve"> rörligheten för människor från stadsområden till landsbygdsområden. </w:t>
      </w:r>
    </w:p>
    <w:p>
      <w:pPr>
        <w:pStyle w:val="Normal"/>
        <w:rPr/>
      </w:pPr>
      <w:r>
        <w:rPr/>
        <w:t xml:space="preserve"> </w:t>
      </w:r>
    </w:p>
    <w:p>
      <w:pPr>
        <w:pStyle w:val="P68B1DB1Normal15"/>
        <w:rPr/>
      </w:pPr>
      <w:r>
        <w:rPr/>
        <w:t xml:space="preserve">38. Vi rekommenderar att EU uppmuntrar till inköp av elfordon som uppfyller kraven på god batterilivslängd. I detta syfte skulle EU kunna ta incitament för alla medlemsstater och förbättra elinfrastrukturen. Samtidigt bör EU investera i utvecklingen av annan ren teknik, såsom biobränslen och vätgas för fordon vars elektrifiering är svår att uppnå, t.ex. båtar och lastbilar. </w:t>
      </w:r>
    </w:p>
    <w:p>
      <w:pPr>
        <w:pStyle w:val="Normal"/>
        <w:rPr/>
      </w:pPr>
      <w:r>
        <w:rPr/>
        <w:t xml:space="preserve"> </w:t>
      </w:r>
    </w:p>
    <w:p>
      <w:pPr>
        <w:pStyle w:val="Normal"/>
        <w:rPr/>
      </w:pPr>
      <w:r>
        <w:rPr/>
        <w:t xml:space="preserve">Vi gör denna rekommendation eftersom el är det snabbaste sättet att minska fordonsutsläppen, med andra energikällor som vätgas och biobränslen. Den snabbaste, ekonomiska och genomförbara lösningen är el, följt av biobränslen. På längre sikt bör grön vätgas spela en kompletterande roll när det gäller att täcka transportsätt som inte kan elektrifieras. </w:t>
      </w:r>
    </w:p>
    <w:p>
      <w:pPr>
        <w:pStyle w:val="Normal"/>
        <w:rPr/>
      </w:pPr>
      <w:r>
        <w:rPr/>
        <w:t xml:space="preserve"> </w:t>
      </w:r>
    </w:p>
    <w:p>
      <w:pPr>
        <w:pStyle w:val="Titre3"/>
        <w:numPr>
          <w:ilvl w:val="2"/>
          <w:numId w:val="2"/>
        </w:numPr>
        <w:rPr/>
      </w:pPr>
      <w:bookmarkStart w:id="171" w:name="__RefHeading___Toc297277_1346298689"/>
      <w:bookmarkEnd w:id="171"/>
      <w:r>
        <w:rPr/>
        <w:t xml:space="preserve">Axel 5 Skötsel för alla </w:t>
      </w:r>
    </w:p>
    <w:p>
      <w:pPr>
        <w:pStyle w:val="Titre4"/>
        <w:numPr>
          <w:ilvl w:val="3"/>
          <w:numId w:val="2"/>
        </w:numPr>
        <w:rPr/>
      </w:pPr>
      <w:bookmarkStart w:id="172" w:name="__RefHeading___Toc297279_1346298689"/>
      <w:bookmarkEnd w:id="172"/>
      <w:r>
        <w:rPr/>
        <w:t xml:space="preserve">Delaxel 5.1 Stärka hälso- och sjukvårdssystemet </w:t>
      </w:r>
    </w:p>
    <w:p>
      <w:pPr>
        <w:pStyle w:val="P68B1DB1Normal15"/>
        <w:rPr/>
      </w:pPr>
      <w:r>
        <w:rPr/>
        <w:t xml:space="preserve">39. Vi rekommenderar att Europeiska unionen garanterar gemensamma hälsonormer, men också förespråkar anständiga minimilöner, maximal arbetstid och samma utbildningsstandarder, för samma kvalifikationer, för hälso- och sjukvårdspersonal i hela Europeiska unionen. </w:t>
      </w:r>
    </w:p>
    <w:p>
      <w:pPr>
        <w:pStyle w:val="Normal"/>
        <w:rPr/>
      </w:pPr>
      <w:r>
        <w:rPr/>
        <w:t xml:space="preserve"> </w:t>
      </w:r>
    </w:p>
    <w:p>
      <w:pPr>
        <w:pStyle w:val="Normal"/>
        <w:rPr/>
      </w:pPr>
      <w:r>
        <w:rPr/>
        <w:t xml:space="preserve">Om vi inte har gemensamma normer för hälso- och sjukvård, löner och gemensam utbildning för hälso- och sjukvårdspersonal kan skillnaderna mellan medlemsstaterna leda till obalanserade situationer i hela EU. Standardisering av hälso- och sjukvård skulle kunna bidra till ett starkare, effektivare och mer motståndskraftigt system (t.ex. covid-19-krisen när det gäller stabiliteten i våra system). Det skulle också underlätta utbytet av kunskap och information inom hälso- och sjukvårdspersonalen. </w:t>
      </w:r>
    </w:p>
    <w:p>
      <w:pPr>
        <w:pStyle w:val="Normal"/>
        <w:rPr/>
      </w:pPr>
      <w:r>
        <w:rPr/>
        <w:t xml:space="preserve"> </w:t>
      </w:r>
    </w:p>
    <w:p>
      <w:pPr>
        <w:pStyle w:val="P68B1DB1Normal15"/>
        <w:rPr/>
      </w:pPr>
      <w:r>
        <w:rPr/>
        <w:t xml:space="preserve">40. Vi rekommenderar att EU ser till att behandlingarna i hela EU är av samma kvalitet och till en rimlig lokal kostnad. Detta skulle kunna säkerställas, till exempel genom en utvidgning av befogenheterna för Europeiska läkemedelsmyndigheten (EMA) eller genom inrättandet av en ny europeisk myndighet för offentlig upphandling, som skulle vara behörig att förhandla om och erhålla lämpligare priser för läkemedel för alla medlemsstater. Risken för monopol inom läkemedelsindustrin måste minimeras. </w:t>
      </w:r>
    </w:p>
    <w:p>
      <w:pPr>
        <w:pStyle w:val="Normal"/>
        <w:rPr/>
      </w:pPr>
      <w:r>
        <w:rPr/>
        <w:t xml:space="preserve"> </w:t>
      </w:r>
    </w:p>
    <w:p>
      <w:pPr>
        <w:pStyle w:val="Normal"/>
        <w:rPr/>
      </w:pPr>
      <w:r>
        <w:rPr/>
        <w:t xml:space="preserve">Likabehandling av medicinska bestämmelser och behandling i EU garanterar lika hälsorättigheter för alla EU-medborgare. Ökad inköpskapacitet säkerställer bättre inköpsvillkor. Detta bör dock inte leda till monopolstrukturer och läkemedelslobbyverksamhet. Hanteringen av covid-19-krisen har varit ett bra exempel på EU:s hälso- och sjukvårdssamarbete. </w:t>
      </w:r>
    </w:p>
    <w:p>
      <w:pPr>
        <w:pStyle w:val="Normal"/>
        <w:rPr/>
      </w:pPr>
      <w:r>
        <w:rPr/>
        <w:t xml:space="preserve"> </w:t>
      </w:r>
    </w:p>
    <w:p>
      <w:pPr>
        <w:pStyle w:val="P68B1DB1Normal15"/>
        <w:rPr/>
      </w:pPr>
      <w:r>
        <w:rPr/>
        <w:t xml:space="preserve">41. Vi rekommenderar att man inrättar en europeisk databas för hälso- och sjukvård, där patientjournaler skulle vara tillgängliga vid nödsituationer eller sjukdomar. Deltagande bör vara frivilligt och skydd av personuppgifter bör säkerställas. </w:t>
      </w:r>
    </w:p>
    <w:p>
      <w:pPr>
        <w:pStyle w:val="Normal"/>
        <w:rPr/>
      </w:pPr>
      <w:r>
        <w:rPr/>
        <w:t xml:space="preserve"> </w:t>
      </w:r>
    </w:p>
    <w:p>
      <w:pPr>
        <w:pStyle w:val="Normal"/>
        <w:rPr/>
      </w:pPr>
      <w:r>
        <w:rPr/>
        <w:t xml:space="preserve">Tillgång till data och användning av data gör det möjligt att reagera snabbt i fall där livet är i fara. Piratverksamhet eller missbruk är stora hot mot ett sådant europeiskt system för hälso- och sjukvårdsdatabaser, vilket innebär att data måste säkras, medan deltagande fortfarande är frivilligt, och naturligtvis för att förebygga säkerhetshot. </w:t>
      </w:r>
    </w:p>
    <w:p>
      <w:pPr>
        <w:pStyle w:val="Normal"/>
        <w:rPr/>
      </w:pPr>
      <w:r>
        <w:rPr/>
        <w:t xml:space="preserve"> </w:t>
      </w:r>
    </w:p>
    <w:p>
      <w:pPr>
        <w:pStyle w:val="P68B1DB1Normal15"/>
        <w:rPr/>
      </w:pPr>
      <w:r>
        <w:rPr/>
        <w:t xml:space="preserve">42. Vi rekommenderar att Europeiska unionen fortsätter att utveckla och synkronisera befintliga program för forskning och innovation på hälsoområdet, vilket är fallet i det befintliga Horisont Europa-programmet. Resultaten av studierna bör vara fritt tillgängliga i alla medlemsstater. </w:t>
      </w:r>
    </w:p>
    <w:p>
      <w:pPr>
        <w:pStyle w:val="Normal"/>
        <w:rPr/>
      </w:pPr>
      <w:r>
        <w:rPr/>
        <w:t xml:space="preserve"> </w:t>
      </w:r>
    </w:p>
    <w:p>
      <w:pPr>
        <w:pStyle w:val="Normal"/>
        <w:rPr/>
      </w:pPr>
      <w:r>
        <w:rPr/>
        <w:t xml:space="preserve">Vetenskapligt samarbete på EU-nivå skulle kunna berika enskilda forskares vetenskapliga kapacitet och kunskap. Kunskapsutbyte kan till exempel leda till tidig diagnos och bättre behandlingar för att minska allvarliga och dödliga sjukdomar i hela Europa. Det skulle också främja EU:s självförsörjning när det gäller läkemedel och utrustning. </w:t>
      </w:r>
    </w:p>
    <w:p>
      <w:pPr>
        <w:pStyle w:val="Normal"/>
        <w:rPr/>
      </w:pPr>
      <w:r>
        <w:rPr/>
        <w:t xml:space="preserve"> </w:t>
      </w:r>
    </w:p>
    <w:p>
      <w:pPr>
        <w:pStyle w:val="P68B1DB1Normal15"/>
        <w:rPr/>
      </w:pPr>
      <w:r>
        <w:rPr/>
        <w:t xml:space="preserve">43. Vi rekommenderar att EU ökar sin budget för gemensamma forsknings- och innovationsprojekt på hälsoområdet (utan budgetnedskärningar i EU:s andra hälsorelaterade program). Detta skulle också stärka de europeiska vetenskapliga institutionerna och forskningsinstitutionerna som helhet. </w:t>
      </w:r>
    </w:p>
    <w:p>
      <w:pPr>
        <w:pStyle w:val="Normal"/>
        <w:rPr/>
      </w:pPr>
      <w:r>
        <w:rPr/>
        <w:t xml:space="preserve"> </w:t>
      </w:r>
    </w:p>
    <w:p>
      <w:pPr>
        <w:pStyle w:val="Normal"/>
        <w:rPr/>
      </w:pPr>
      <w:r>
        <w:rPr/>
        <w:t xml:space="preserve">Hälsoforskning och hälsoinvesteringar kommer att stärka den förebyggande medicinen på lång sikt och minska hälsorelaterade kostnader. Ökad finansiering skulle kunna förhindra europeisk kompetensflykt till andra utvecklade länder med högre FoU-budgetar för hälso- och sjukvård. Denna finansiering bör inte komma från befintliga ekonomiska resurser för hälso- och sjukvård. </w:t>
      </w:r>
    </w:p>
    <w:p>
      <w:pPr>
        <w:pStyle w:val="Normal"/>
        <w:rPr/>
      </w:pPr>
      <w:r>
        <w:rPr/>
        <w:t xml:space="preserve"> </w:t>
      </w:r>
    </w:p>
    <w:p>
      <w:pPr>
        <w:pStyle w:val="Titre4"/>
        <w:numPr>
          <w:ilvl w:val="3"/>
          <w:numId w:val="2"/>
        </w:numPr>
        <w:rPr/>
      </w:pPr>
      <w:bookmarkStart w:id="173" w:name="__RefHeading___Toc297281_1346298689"/>
      <w:bookmarkEnd w:id="173"/>
      <w:r>
        <w:rPr/>
        <w:t xml:space="preserve">Delaxel 5.2 En bredare syn på hälsa </w:t>
      </w:r>
    </w:p>
    <w:p>
      <w:pPr>
        <w:pStyle w:val="P68B1DB1Normal15"/>
        <w:rPr/>
      </w:pPr>
      <w:r>
        <w:rPr/>
        <w:t xml:space="preserve">44. Vi rekommenderar att man inrättar en hälsovecka som ett EU-initiativ i alla medlemsstater samma vecka, som ägnas åt alla hälsofrågor, med fokus på psykisk hälsa. Under denna vecka kommer alla viktiga frågor om psykisk hälsa att behandlas och främjas gemensamt, liksom andra redan befintliga initiativ, t.ex. Mental Health Europe. </w:t>
      </w:r>
    </w:p>
    <w:p>
      <w:pPr>
        <w:pStyle w:val="Normal"/>
        <w:rPr/>
      </w:pPr>
      <w:r>
        <w:rPr/>
        <w:t xml:space="preserve"> </w:t>
      </w:r>
    </w:p>
    <w:p>
      <w:pPr>
        <w:pStyle w:val="Normal"/>
        <w:rPr/>
      </w:pPr>
      <w:r>
        <w:rPr/>
        <w:t xml:space="preserve">Vi gör denna rekommendation eftersom alla EU-medborgare måste känna sig accepterade och inkluderade, särskilt om de lider av psykiska problem. Dessutom finns det ett behov av att standardisera och öka medvetenheten om psykiska hälsoproblem samt att förebygga relaterade sociala problem som diskriminering. Eftersom de psykiska hälsoproblemen har ökat till följd av pandemin och sannolikt kommer att fortsätta, är detta initiativ dessutom desto viktigare. </w:t>
      </w:r>
    </w:p>
    <w:p>
      <w:pPr>
        <w:pStyle w:val="Normal"/>
        <w:rPr/>
      </w:pPr>
      <w:r>
        <w:rPr/>
        <w:t xml:space="preserve"> </w:t>
      </w:r>
    </w:p>
    <w:p>
      <w:pPr>
        <w:pStyle w:val="P68B1DB1Normal15"/>
        <w:rPr/>
      </w:pPr>
      <w:r>
        <w:rPr/>
        <w:t xml:space="preserve">45. Vi rekommenderar att kvinnors hygienprodukter upphör att betraktas som lyxvaror när det gäller beskattning, eftersom de är viktiga produkter. Vi rekommenderar också att hormonella preventivmedel som används av medicinska skäl, såsom fibromyalgi och endometrios, beskattas som regelbunden medicinsk behandling. Vi rekommenderar också att Europeiska unionen uppmuntrar harmonisering av medicinskt assisterad reproduktiv behandling för alla kvinnor (ensam eller gift) i alla medlemsstater. </w:t>
      </w:r>
    </w:p>
    <w:p>
      <w:pPr>
        <w:pStyle w:val="Normal"/>
        <w:rPr/>
      </w:pPr>
      <w:r>
        <w:rPr/>
        <w:t xml:space="preserve"> </w:t>
      </w:r>
    </w:p>
    <w:p>
      <w:pPr>
        <w:pStyle w:val="Normal"/>
        <w:rPr/>
      </w:pPr>
      <w:r>
        <w:rPr/>
        <w:t xml:space="preserve">I vissa europeiska länder beskattas kvinnors hygieniska produkter som lyxvaror, vilket är orättvist. Vissa hormonella preventivmedel används för medicinska ändamål och bör därför beskattas i enlighet med detta. Eftersom reproduktiva behandlingar för kvinnor, såsom in vitro-befruktning och metoder för frysning av ägg, har olika villkor för stödberättigande mellan medlemsstaterna, och Europeiska unionen måste sträva efter att harmonisera dem. </w:t>
      </w:r>
    </w:p>
    <w:p>
      <w:pPr>
        <w:pStyle w:val="Normal"/>
        <w:rPr/>
      </w:pPr>
      <w:r>
        <w:rPr/>
        <w:t xml:space="preserve"> </w:t>
      </w:r>
    </w:p>
    <w:p>
      <w:pPr>
        <w:pStyle w:val="P68B1DB1Normal15"/>
        <w:rPr/>
      </w:pPr>
      <w:r>
        <w:rPr/>
        <w:t xml:space="preserve">46. Vi rekommenderar att Europeiska unionen intar en fast ståndpunkt för att uppmuntra alla medlemsstater att i sina läroplaner vid behov ta med frågor som rör psykisk hälsa och sexualundervisning. För att hjälpa medlemsstaterna att anta dessa frågor i läroplanerna bör Europeiska unionen utveckla och tillgängliggöra ett standardprogram om psykisk hälsa och sexuella frågor. </w:t>
      </w:r>
    </w:p>
    <w:p>
      <w:pPr>
        <w:pStyle w:val="Normal"/>
        <w:rPr/>
      </w:pPr>
      <w:r>
        <w:rPr/>
        <w:t xml:space="preserve"> </w:t>
      </w:r>
    </w:p>
    <w:p>
      <w:pPr>
        <w:pStyle w:val="Normal"/>
        <w:rPr/>
      </w:pPr>
      <w:r>
        <w:rPr/>
        <w:t xml:space="preserve">Det finns ett behov av att minska diskriminering och tabun när det gäller psykiska hälsoproblem. Desinformation och icke-vetenskapliga metoder måste också undvikas. Dessutom är sexutbildning grundläggande för ett hälsosamt liv och samhälle, och förebygger problem som tonårsgraviditeter. </w:t>
      </w:r>
    </w:p>
    <w:p>
      <w:pPr>
        <w:pStyle w:val="Normal"/>
        <w:rPr/>
      </w:pPr>
      <w:r>
        <w:rPr/>
        <w:t xml:space="preserve"> </w:t>
      </w:r>
    </w:p>
    <w:p>
      <w:pPr>
        <w:pStyle w:val="P68B1DB1Normal15"/>
        <w:rPr/>
      </w:pPr>
      <w:r>
        <w:rPr/>
        <w:t xml:space="preserve">47. Vi rekommenderar att Europeiska unionen utvecklar ett bättre kommunikationssystem för alla sina initiativ för psykisk hälsa, nämligen folkhälsoportalen för bästa praxis inom medlemsstaterna och för alla medborgare. Ledamöterna skulle kunna presentera dessa bästa metoder för varandra för att göra dem mer kända i alla medlemsstater. </w:t>
      </w:r>
    </w:p>
    <w:p>
      <w:pPr>
        <w:pStyle w:val="Normal"/>
        <w:rPr/>
      </w:pPr>
      <w:r>
        <w:rPr/>
        <w:t xml:space="preserve"> </w:t>
      </w:r>
    </w:p>
    <w:p>
      <w:pPr>
        <w:pStyle w:val="Normal"/>
        <w:rPr/>
      </w:pPr>
      <w:r>
        <w:rPr/>
        <w:t xml:space="preserve">Medborgarna är inte välinformerade om EU-initiativ och utbyte av bästa praxis gör det möjligt för oss att lära av varandra. </w:t>
      </w:r>
    </w:p>
    <w:p>
      <w:pPr>
        <w:pStyle w:val="Normal"/>
        <w:rPr/>
      </w:pPr>
      <w:r>
        <w:rPr/>
        <w:t xml:space="preserve"> </w:t>
      </w:r>
    </w:p>
    <w:p>
      <w:pPr>
        <w:pStyle w:val="Titre4"/>
        <w:numPr>
          <w:ilvl w:val="3"/>
          <w:numId w:val="2"/>
        </w:numPr>
        <w:rPr/>
      </w:pPr>
      <w:bookmarkStart w:id="174" w:name="__RefHeading___Toc297283_1346298689"/>
      <w:bookmarkEnd w:id="174"/>
      <w:r>
        <w:rPr/>
        <w:t xml:space="preserve">Delaxel 5.3 Lika tillgång till hälsa för alla </w:t>
      </w:r>
    </w:p>
    <w:p>
      <w:pPr>
        <w:pStyle w:val="P68B1DB1Normal15"/>
        <w:rPr/>
      </w:pPr>
      <w:r>
        <w:rPr/>
        <w:t xml:space="preserve">48. Vi rekommenderar att EU fastställer och främjar miniminormer för tandvård av hög kvalitet, inklusive profylax, för alla EU-medlemsstater. Barn, låginkomstgrupper och andra utsatta grupper bör få gratis tandvård. Inom 15–20 år bör EU se till att alla har tillgång till tandvård till ett överkomligt pris. </w:t>
      </w:r>
    </w:p>
    <w:p>
      <w:pPr>
        <w:pStyle w:val="Normal"/>
        <w:rPr/>
      </w:pPr>
      <w:r>
        <w:rPr/>
        <w:t xml:space="preserve"> </w:t>
      </w:r>
    </w:p>
    <w:p>
      <w:pPr>
        <w:pStyle w:val="Normal"/>
        <w:rPr/>
      </w:pPr>
      <w:r>
        <w:rPr/>
        <w:t xml:space="preserve">Vi gör denna rekommendation eftersom tandvård för närvarande inte är överkomlig för många människor som bor i EU. Frånvaron av tandvård och tandprofylax är skadlig för deras hälsa och livsutsikter. EU bör börja med att fastställa en minimistandard för tandvård och kräva gratis tandvård för barn och låginkomstgrupper. Så småningom bör alla ha rätt till högkvalitativ tandvård. </w:t>
      </w:r>
    </w:p>
    <w:p>
      <w:pPr>
        <w:pStyle w:val="Normal"/>
        <w:rPr/>
      </w:pPr>
      <w:r>
        <w:rPr/>
        <w:t xml:space="preserve"> </w:t>
      </w:r>
    </w:p>
    <w:p>
      <w:pPr>
        <w:pStyle w:val="P68B1DB1Normal15"/>
        <w:rPr/>
      </w:pPr>
      <w:r>
        <w:rPr/>
        <w:t xml:space="preserve">49. Vi rekommenderar att hälsa och hälso- och sjukvård inkluderas i de befogenheter som delas mellan EU och dess medlemsstater. För att införliva denna nya delade befogenhet är det nödvändigt att ändra artikel 4 i fördraget om Europeiska unionens funktionssätt (EUF-fördraget). </w:t>
      </w:r>
    </w:p>
    <w:p>
      <w:pPr>
        <w:pStyle w:val="Normal"/>
        <w:rPr/>
      </w:pPr>
      <w:r>
        <w:rPr/>
        <w:t xml:space="preserve"> </w:t>
      </w:r>
    </w:p>
    <w:p>
      <w:pPr>
        <w:pStyle w:val="Normal"/>
        <w:rPr/>
      </w:pPr>
      <w:r>
        <w:rPr/>
        <w:t xml:space="preserve">Vi lägger fram denna rekommendation eftersom Europeiska unionen för närvarande inte har tillräckliga befogenheter att lagstifta på hälso- och sjukvårdsområdet. Covid-19-pandemin har visat på behovet av en ökad EU-närvaro i hälsopolitiken. Denna fördragsändring kommer att göra det möjligt för EU att göra mer för att säkerställa hälso- och sjukvård för alla EU-medborgare och utfärda bindande förordningar och beslut. </w:t>
      </w:r>
    </w:p>
    <w:p>
      <w:pPr>
        <w:pStyle w:val="Normal"/>
        <w:rPr/>
      </w:pPr>
      <w:r>
        <w:rPr/>
        <w:t xml:space="preserve"> </w:t>
      </w:r>
    </w:p>
    <w:p>
      <w:pPr>
        <w:pStyle w:val="P68B1DB1Normal15"/>
        <w:rPr/>
      </w:pPr>
      <w:r>
        <w:rPr/>
        <w:t xml:space="preserve">50. Vi rekommenderar att EU erbjuder gratis första hjälpen-kurser till alla EU-medborgare. EU skulle kunna överväga att göra dessa kurser obligatoriska för studenter och på arbetsplatsen (både inom den offentliga och privata sektorn). Dessa kurser ska också vara praktiska, återkommande och anpassade till elevernas ålder. Ett minsta antal defibrillatorer bör också finnas tillgängliga på offentliga platser i alla EU:s medlemsstater. </w:t>
      </w:r>
    </w:p>
    <w:p>
      <w:pPr>
        <w:pStyle w:val="Normal"/>
        <w:rPr/>
      </w:pPr>
      <w:r>
        <w:rPr/>
        <w:t xml:space="preserve"> </w:t>
      </w:r>
    </w:p>
    <w:p>
      <w:pPr>
        <w:pStyle w:val="Normal"/>
        <w:rPr/>
      </w:pPr>
      <w:r>
        <w:rPr/>
        <w:t xml:space="preserve">Vi rekommenderar det eftersom många människor i Europeiska unionen inte är beredda att agera när en person behöver hjälp och eftersom de inte känner till första hjälpen-tekniker. Det är därför många liv går förlorade. På vissa offentliga platser finns ingen defibrillator tillgänglig. </w:t>
      </w:r>
    </w:p>
    <w:p>
      <w:pPr>
        <w:pStyle w:val="Normal"/>
        <w:rPr/>
      </w:pPr>
      <w:r>
        <w:rPr/>
        <w:t xml:space="preserve"> </w:t>
      </w:r>
    </w:p>
    <w:p>
      <w:pPr>
        <w:pStyle w:val="P68B1DB1Normal15"/>
        <w:rPr/>
      </w:pPr>
      <w:r>
        <w:rPr/>
        <w:t xml:space="preserve">51. Vi rekommenderar att Europeiska unionen ser till att privata vårdgivare inte orättvist drar nytta av offentliga medel och inte utnyttjar de offentliga hälso- och sjukvårdssystemens resurser. Europeiska unionen bör ge tydliga rekommendationer till medlemsstaterna om att öka finansieringen av den offentliga hälso- och sjukvården. </w:t>
      </w:r>
    </w:p>
    <w:p>
      <w:pPr>
        <w:pStyle w:val="Normal"/>
        <w:rPr/>
      </w:pPr>
      <w:r>
        <w:rPr/>
        <w:t xml:space="preserve"> </w:t>
      </w:r>
    </w:p>
    <w:p>
      <w:pPr>
        <w:pStyle w:val="Normal"/>
        <w:rPr/>
      </w:pPr>
      <w:r>
        <w:rPr/>
        <w:t xml:space="preserve">Vi gör denna rekommendation eftersom Europeiska unionen och dess medlemsstater är skyldiga att se till att alla medborgare får tillgång till hälso- och sjukvård. Dessutom kräver ett starkare folkhälsosystem också bättre beredskap inför framtida pandemier. </w:t>
      </w:r>
    </w:p>
    <w:p>
      <w:pPr>
        <w:pStyle w:val="Normal"/>
        <w:rPr/>
      </w:pPr>
      <w:r>
        <w:rPr/>
        <w:t xml:space="preserve"> </w:t>
      </w:r>
    </w:p>
    <w:p>
      <w:pPr>
        <w:pStyle w:val="Titre3"/>
        <w:numPr>
          <w:ilvl w:val="2"/>
          <w:numId w:val="2"/>
        </w:numPr>
        <w:rPr/>
      </w:pPr>
      <w:bookmarkStart w:id="175" w:name="__RefHeading___Toc297285_1346298689"/>
      <w:bookmarkEnd w:id="175"/>
      <w:r>
        <w:rPr/>
        <w:t xml:space="preserve">Bilaga: ANDRA REKOMMENDATIONER FRÅN PANELEN SOM INTE ANTAGITS </w:t>
      </w:r>
    </w:p>
    <w:p>
      <w:pPr>
        <w:pStyle w:val="Titre4"/>
        <w:numPr>
          <w:ilvl w:val="3"/>
          <w:numId w:val="2"/>
        </w:numPr>
        <w:rPr/>
      </w:pPr>
      <w:bookmarkStart w:id="176" w:name="__RefHeading___Toc297287_1346298689"/>
      <w:bookmarkEnd w:id="176"/>
      <w:r>
        <w:rPr/>
        <w:t xml:space="preserve">Axel 1: Bättre sätt att leva </w:t>
      </w:r>
    </w:p>
    <w:p>
      <w:pPr>
        <w:pStyle w:val="Normal"/>
        <w:rPr/>
      </w:pPr>
      <w:r>
        <w:rPr/>
        <w:t xml:space="preserve">Delaxel 1.1 Hälsosamma livsstilar </w:t>
      </w:r>
    </w:p>
    <w:p>
      <w:pPr>
        <w:pStyle w:val="P68B1DB1Normal15"/>
        <w:rPr/>
      </w:pPr>
      <w:r>
        <w:rPr/>
        <w:t xml:space="preserve">Vi rekommenderar att EU skickar en rekommendation till alla medlemsstater om bästa praxis för att förbjuda eller begränsa alkohol- och tobaksreklam i alla former av medier och för alla åldersgrupper, men med särskild uppmärksamhet på unga målgrupper. EU bör säkerställa efterlevnaden av lagar som begränsar försäljningen av dessa produkter till minderåriga. Alla medlemsstater bör se till att de rättsliga bestämmelserna om rökning på offentliga platser genomförs med sanktioner, särskilt i skolorna, och skapa utrymmen som är reserverade för rökare. </w:t>
      </w:r>
    </w:p>
    <w:p>
      <w:pPr>
        <w:pStyle w:val="Normal"/>
        <w:rPr/>
      </w:pPr>
      <w:r>
        <w:rPr/>
        <w:t xml:space="preserve"> </w:t>
      </w:r>
    </w:p>
    <w:p>
      <w:pPr>
        <w:pStyle w:val="Normal"/>
        <w:rPr/>
      </w:pPr>
      <w:r>
        <w:rPr/>
        <w:t xml:space="preserve">Hälsoskadliga livsstilar kan inte förekomma i reklam och bör vara mindre synliga i det offentliga livet. Eftersom alkohol och tobak är bland de mest använda skadliga ämnena kommer denna rekommendation dessutom att förhindra att de missbrukas. </w:t>
      </w:r>
    </w:p>
    <w:p>
      <w:pPr>
        <w:pStyle w:val="Normal"/>
        <w:rPr/>
      </w:pPr>
      <w:r>
        <w:rPr/>
        <w:t xml:space="preserve"> </w:t>
      </w:r>
    </w:p>
    <w:p>
      <w:pPr>
        <w:pStyle w:val="P68B1DB1Normal15"/>
        <w:rPr/>
      </w:pPr>
      <w:r>
        <w:rPr/>
        <w:t xml:space="preserve">Vi rekommenderar att EU uppmuntrar medlemsstaterna att inkludera kurser i nationella läroplaner för att lära sig att laga mat på ett hållbart, hälsosamt och välsmakande sätt. I detta syfte kan EU göra hälsosamma matlagningsguider tillgängliga både online och tryckta. Ungdomar bör nås genom aktiv reklam i traditionella och sociala medier. Vi bör också utbilda föräldrar att lära sig att på bästa sätt använda mat för att anta en hälsosam livsstil. Forskning på detta område bör främjas och berikas. </w:t>
      </w:r>
    </w:p>
    <w:p>
      <w:pPr>
        <w:pStyle w:val="Normal"/>
        <w:rPr/>
      </w:pPr>
      <w:r>
        <w:rPr/>
        <w:t xml:space="preserve"> </w:t>
      </w:r>
    </w:p>
    <w:p>
      <w:pPr>
        <w:pStyle w:val="Normal"/>
        <w:rPr/>
      </w:pPr>
      <w:r>
        <w:rPr/>
        <w:t xml:space="preserve">Att organisera matlagnings- och näringskurser i skolan skulle förbättra ungdomars hälsa och motverka konsumtionen av snabbmat. Att utbilda ungdomar skulle göra det möjligt för dem att förklara för sina föräldrar vad de lärde sig. Dessutom skulle utbildning av föräldrar om hälsosamma livsstilar göra det möjligt för dem att föregå med gott exempel för sina barn. </w:t>
      </w:r>
    </w:p>
    <w:p>
      <w:pPr>
        <w:pStyle w:val="Normal"/>
        <w:rPr/>
      </w:pPr>
      <w:r>
        <w:rPr/>
      </w:r>
    </w:p>
    <w:p>
      <w:pPr>
        <w:pStyle w:val="P68B1DB1Normal15"/>
        <w:rPr/>
      </w:pPr>
      <w:r>
        <w:rPr/>
        <w:t xml:space="preserve">Vi rekommenderar att Europeiska kommissionens offentliga kampanj för hälsosamma livsstilar, HealthyLifestyle4All och de positiva effekterna av social verksamhet intensifieras genom konkreta exempel och en övergripande strategi. Informationskampanjer för välstrukturerade målgrupper bör fastställas och lämpliga kommunikationsmedel bör väljas för var och en av dessa grupper. Dessutom är det viktigt att införa belönings- och incitamentssystem för att främja ett positivt beteende. Kampanjer bör involvera influencers, kändisar eller myndigheter. De måste lyfta fram de dubbla hälso-, miljö- och klimatfördelarna. Dessutom bör bidrag finnas tillgängliga i alla medlemsstater för att främja kostnadsfri offentlig idrottsinfrastruktur. </w:t>
      </w:r>
    </w:p>
    <w:p>
      <w:pPr>
        <w:pStyle w:val="Normal"/>
        <w:rPr/>
      </w:pPr>
      <w:r>
        <w:rPr/>
        <w:t xml:space="preserve"> </w:t>
      </w:r>
    </w:p>
    <w:p>
      <w:pPr>
        <w:pStyle w:val="Normal"/>
        <w:rPr/>
      </w:pPr>
      <w:r>
        <w:rPr/>
        <w:t xml:space="preserve">Hälsosammare livsstilar har en positiv effekt på hälso- och sjukvårdssystemet eftersom de minskar hälsoproblemen. Fysisk hälsa påverkar mental hälsa och lycka. De aktuella kampanjerna är inte tillräckligt kända. De är mer effektiva och motiverande när personligheter och influencers är associerade med det. </w:t>
      </w:r>
    </w:p>
    <w:p>
      <w:pPr>
        <w:pStyle w:val="Normal"/>
        <w:rPr/>
      </w:pPr>
      <w:r>
        <w:rPr/>
        <w:t xml:space="preserve"> </w:t>
      </w:r>
    </w:p>
    <w:p>
      <w:pPr>
        <w:pStyle w:val="P68B1DB1Normal15"/>
        <w:rPr/>
      </w:pPr>
      <w:r>
        <w:rPr/>
        <w:t xml:space="preserve">Vi rekommenderar en informationskampanj om hälsosam kost och näring. EU bör uppmuntra högre skatter på kött och socker i medlemsstaterna. Den bör undersöka möjligheterna att skilja mellan hälsosamma livsmedel och skadliga livsmedel och tillämpa differentierad mervärdesskatt på dem. Vi rekommenderar att du placerar mycket tydliga varningssignaler på produkter som är mycket skadliga för hälsan (t.ex. tobaksvaror). Dessutom rekommenderar vi ett EU-omfattande näringsvärdessystem som tillhandahåller relevant information och QR-kod som gör det möjligt för konsumenterna att fatta bättre välgrundade beslut. Utforska möjligheterna att göra hälsosamma livsmedel billigare än skräpmat och ytterligare uppmuntra jordbrukare att producera hälsosamma produkter. </w:t>
      </w:r>
    </w:p>
    <w:p>
      <w:pPr>
        <w:pStyle w:val="Normal"/>
        <w:rPr/>
      </w:pPr>
      <w:r>
        <w:rPr/>
        <w:t xml:space="preserve"> </w:t>
      </w:r>
    </w:p>
    <w:p>
      <w:pPr>
        <w:pStyle w:val="Normal"/>
        <w:rPr/>
      </w:pPr>
      <w:r>
        <w:rPr/>
        <w:t xml:space="preserve">En hälsosam kost är grunden för ett hälsosamt liv. Det är nödvändigt att ingripa både på producentsidan och på konsumentsidan. Produktionen av hälsosamma produkter har också positiva effekter på miljön och kan hjälpa lokala jordbrukare. Om hälsosam livsmedelsproduktion ökar, sjunker priserna och efterfrågan ökar. </w:t>
      </w:r>
    </w:p>
    <w:p>
      <w:pPr>
        <w:pStyle w:val="Normal"/>
        <w:rPr/>
      </w:pPr>
      <w:r>
        <w:rPr/>
        <w:t xml:space="preserve"> </w:t>
      </w:r>
    </w:p>
    <w:p>
      <w:pPr>
        <w:pStyle w:val="Normal"/>
        <w:rPr/>
      </w:pPr>
      <w:r>
        <w:rPr/>
        <w:t xml:space="preserve">Delaxel 1.2 Miljöutbildning </w:t>
      </w:r>
    </w:p>
    <w:p>
      <w:pPr>
        <w:pStyle w:val="P68B1DB1Normal15"/>
        <w:rPr/>
      </w:pPr>
      <w:r>
        <w:rPr/>
        <w:t xml:space="preserve">Vi rekommenderar att EU inrättar en finansieringsmekanism för att främja införandet av ett långsiktigt miljöutbildningsprogram i de nationella utbildningssystemen för barn i grundskolan och gymnasiet. Denna finansieringsmekanism bör omfatta finansiering till föräldrar i behov av ekonomiskt stöd. </w:t>
      </w:r>
    </w:p>
    <w:p>
      <w:pPr>
        <w:pStyle w:val="Normal"/>
        <w:rPr/>
      </w:pPr>
      <w:r>
        <w:rPr/>
        <w:t xml:space="preserve"> </w:t>
      </w:r>
    </w:p>
    <w:p>
      <w:pPr>
        <w:pStyle w:val="Normal"/>
        <w:rPr/>
      </w:pPr>
      <w:r>
        <w:rPr/>
        <w:t xml:space="preserve">De nuvarande utbildningssystemen innehåller inte tillräckligt med praktiska inslag som underlättar direkt och djupgående interaktion mellan barn och miljö. Befintliga program, utformade ur ett kortsiktigt perspektiv, är heterogena och främjar inte den nödvändiga attitydändringen. Föräldrar bör få stöd för att se till att alla barn kan dra lika stor nytta av programmet och att inga barn utesluts av ekonomiska skäl. </w:t>
      </w:r>
    </w:p>
    <w:p>
      <w:pPr>
        <w:pStyle w:val="Normal"/>
        <w:rPr/>
      </w:pPr>
      <w:r>
        <w:rPr/>
        <w:t xml:space="preserve"> </w:t>
      </w:r>
    </w:p>
    <w:p>
      <w:pPr>
        <w:pStyle w:val="Titre4"/>
        <w:numPr>
          <w:ilvl w:val="3"/>
          <w:numId w:val="2"/>
        </w:numPr>
        <w:rPr/>
      </w:pPr>
      <w:bookmarkStart w:id="177" w:name="__RefHeading___Toc297289_1346298689"/>
      <w:bookmarkEnd w:id="177"/>
      <w:r>
        <w:rPr/>
        <w:t xml:space="preserve">Axel 2: Skydda vår miljö och hälsa </w:t>
      </w:r>
    </w:p>
    <w:p>
      <w:pPr>
        <w:pStyle w:val="Normal"/>
        <w:rPr/>
      </w:pPr>
      <w:r>
        <w:rPr/>
        <w:t xml:space="preserve">Delaxel 2.1 En hälsosam och naturlig miljö </w:t>
      </w:r>
    </w:p>
    <w:p>
      <w:pPr>
        <w:pStyle w:val="P68B1DB1Normal15"/>
        <w:rPr/>
      </w:pPr>
      <w:r>
        <w:rPr/>
        <w:t xml:space="preserve">Vi rekommenderar att man omedelbart tillämpar högsta möjliga vattenkvalitetsstandard i hela EU. För att spara vatten erbjuder vi ett belöningssystem baserat på vattenprissättning för att uppmuntra och uppmuntra till minskad konsumtion, till exempel: 1) genom att skapa ett dynamiskt system som avskräcker konsumenterna från att överskrida den genomsnittliga vattenförbrukningen (t.ex. en ökning med 10 % av vattenförbrukningen leder till en 11-procentig ökning av priset), 2) genom att skapa ett marknadssystem för kvoter för vatten förorenat av tillverkningsföretag, vilket skulle likna marknaden för redan befintliga koldioxidtillstånd. </w:t>
      </w:r>
    </w:p>
    <w:p>
      <w:pPr>
        <w:pStyle w:val="Normal"/>
        <w:rPr/>
      </w:pPr>
      <w:r>
        <w:rPr/>
        <w:t xml:space="preserve"> </w:t>
      </w:r>
    </w:p>
    <w:p>
      <w:pPr>
        <w:pStyle w:val="Normal"/>
        <w:rPr/>
      </w:pPr>
      <w:r>
        <w:rPr/>
        <w:t xml:space="preserve">Denna rekommendation motiveras av det faktum att prishöjningar uppmuntrar alla användare att fatta bättre välgrundade beslut. Med tanke på de olika förhållandena i EU-länderna och för att uppnå ett socialt rättvist system kan vi stödja fattigare människor i deras vattenförvaltning genom saminvesteringar i infrastruktur för vattenförsörjning och forskning. </w:t>
      </w:r>
    </w:p>
    <w:p>
      <w:pPr>
        <w:pStyle w:val="Normal"/>
        <w:rPr/>
      </w:pPr>
      <w:r>
        <w:rPr/>
        <w:t xml:space="preserve"> </w:t>
      </w:r>
    </w:p>
    <w:p>
      <w:pPr>
        <w:pStyle w:val="Titre4"/>
        <w:numPr>
          <w:ilvl w:val="3"/>
          <w:numId w:val="2"/>
        </w:numPr>
        <w:rPr/>
      </w:pPr>
      <w:bookmarkStart w:id="178" w:name="__RefHeading___Toc297291_1346298689"/>
      <w:bookmarkEnd w:id="178"/>
      <w:r>
        <w:rPr/>
        <w:t xml:space="preserve">Axel 3: omorientering av vår ekonomi och konsumtion </w:t>
      </w:r>
    </w:p>
    <w:p>
      <w:pPr>
        <w:pStyle w:val="Normal"/>
        <w:rPr/>
      </w:pPr>
      <w:r>
        <w:rPr/>
        <w:t xml:space="preserve">Delaxel 3.1 Reglering av överproduktion och överkonsumtion </w:t>
      </w:r>
    </w:p>
    <w:p>
      <w:pPr>
        <w:pStyle w:val="P68B1DB1Normal15"/>
        <w:rPr/>
      </w:pPr>
      <w:r>
        <w:rPr/>
        <w:t xml:space="preserve">Vi rekommenderar att EU ålägger företag som eliminerar osålda produkter som produceras genom överproduktion böter. </w:t>
      </w:r>
    </w:p>
    <w:p>
      <w:pPr>
        <w:pStyle w:val="Normal"/>
        <w:rPr/>
      </w:pPr>
      <w:r>
        <w:rPr/>
        <w:t xml:space="preserve"> </w:t>
      </w:r>
    </w:p>
    <w:p>
      <w:pPr>
        <w:pStyle w:val="Normal"/>
        <w:rPr/>
      </w:pPr>
      <w:r>
        <w:rPr/>
        <w:t xml:space="preserve">I vissa fall anser företagen att det är mer kostnadseffektivt att kasta osålda varor snarare än att återvinna eller återanvända dem. Det är därför viktigt att avskräcka från överproduktion genom att ålägga böter så att denna praxis inte längre är lönsam för producenterna. </w:t>
      </w:r>
    </w:p>
    <w:p>
      <w:pPr>
        <w:pStyle w:val="Normal"/>
        <w:rPr/>
      </w:pPr>
      <w:r>
        <w:rPr/>
        <w:t xml:space="preserve"> </w:t>
      </w:r>
    </w:p>
    <w:p>
      <w:pPr>
        <w:pStyle w:val="Normal"/>
        <w:rPr/>
      </w:pPr>
      <w:r>
        <w:rPr/>
        <w:t xml:space="preserve">Delaxel 3.2 Minska avfall </w:t>
      </w:r>
    </w:p>
    <w:p>
      <w:pPr>
        <w:pStyle w:val="P68B1DB1Normal15"/>
        <w:rPr/>
      </w:pPr>
      <w:r>
        <w:rPr/>
        <w:t xml:space="preserve">Vi rekommenderar att EU utformar och genomför en avfallshanteringspolitik för hushåll och medborgare, där man fäster uppmärksamheten på den faktiska mängden avfall som de producerar och kompletterar den med nödvändiga åtgärder för att öka medborgarnas medvetenhet om fördelarna med att minska avfallsgenereringen och den selektiva avfallsinsamlingen. Åtgärder som riktar sig till socialt missgynnade familjer (t.ex. unga barnfamiljer, äldre osv.) bör också genomföras, samtidigt som principen om att ”inte lämna någon på efterkälken” respekteras. </w:t>
      </w:r>
    </w:p>
    <w:p>
      <w:pPr>
        <w:pStyle w:val="Normal"/>
        <w:rPr/>
      </w:pPr>
      <w:r>
        <w:rPr/>
        <w:t xml:space="preserve"> </w:t>
      </w:r>
    </w:p>
    <w:p>
      <w:pPr>
        <w:pStyle w:val="Normal"/>
        <w:rPr/>
      </w:pPr>
      <w:r>
        <w:rPr/>
        <w:t xml:space="preserve">Syftet med en sådan politik är att utveckla en enhetlig strategi för avfallshantering inom hushållen. det underlättar också miljöskyddet genom avfallsminskning, stimulerar den cirkulära ekonomin ytterligare och effektiviserar avfallsinsamlingen. Slutligen, som inte är försumbar, ökar det medborgarnas medvetenhet och stärker känslan av miljöansvar. </w:t>
      </w:r>
    </w:p>
    <w:p>
      <w:pPr>
        <w:pStyle w:val="Normal"/>
        <w:rPr/>
      </w:pPr>
      <w:r>
        <w:rPr/>
        <w:t xml:space="preserve"> </w:t>
      </w:r>
    </w:p>
    <w:p>
      <w:pPr>
        <w:pStyle w:val="P68B1DB1Normal15"/>
        <w:rPr/>
      </w:pPr>
      <w:r>
        <w:rPr/>
        <w:t xml:space="preserve">Vi rekommenderar att EU uppmuntrar fri konkurrens och uppmuntrar den privata sektorn att mer aktivt bidra till avfallshanteringen, inklusive avloppsvatten, och till verksamheter för återvinning och återvinning av avfall. </w:t>
      </w:r>
    </w:p>
    <w:p>
      <w:pPr>
        <w:pStyle w:val="Normal"/>
        <w:rPr/>
      </w:pPr>
      <w:r>
        <w:rPr/>
        <w:t xml:space="preserve"> </w:t>
      </w:r>
    </w:p>
    <w:p>
      <w:pPr>
        <w:pStyle w:val="Normal"/>
        <w:rPr/>
      </w:pPr>
      <w:r>
        <w:rPr/>
        <w:t xml:space="preserve">EU är den lämpliga nivån för att genomföra denna rekommendation eftersom den kompletterar ramdirektivet om avfall och handlingsplanen för den cirkulära ekonomin. Dessutom kommer genomförandet av rekommendationen att stärka innovativa avfallshanteringslösningar, förbättra kvaliteten på avfallshanteringen och öka mängden avfall som behandlas, eftersom fler företag kommer att delta i denna verksamhet. </w:t>
      </w:r>
    </w:p>
    <w:p>
      <w:pPr>
        <w:pStyle w:val="Normal"/>
        <w:rPr/>
      </w:pPr>
      <w:r>
        <w:rPr/>
        <w:t xml:space="preserve"> </w:t>
      </w:r>
    </w:p>
    <w:p>
      <w:pPr>
        <w:pStyle w:val="Normal"/>
        <w:rPr/>
      </w:pPr>
      <w:r>
        <w:rPr/>
        <w:t xml:space="preserve">Delaxel 3.3 Rättvisa produkter, lika tillgång och rättvis konsumtion </w:t>
      </w:r>
    </w:p>
    <w:p>
      <w:pPr>
        <w:pStyle w:val="P68B1DB1Normal15"/>
        <w:rPr/>
      </w:pPr>
      <w:r>
        <w:rPr/>
        <w:t xml:space="preserve">Vi rekommenderar att industrier flyttas till Europeiska unionen för att tillhandahålla rättvisa produkter av hög kvalitet och påverka klimatfrågorna. </w:t>
      </w:r>
    </w:p>
    <w:p>
      <w:pPr>
        <w:pStyle w:val="Normal"/>
        <w:rPr/>
      </w:pPr>
      <w:r>
        <w:rPr/>
        <w:t xml:space="preserve"> </w:t>
      </w:r>
    </w:p>
    <w:p>
      <w:pPr>
        <w:pStyle w:val="Normal"/>
        <w:rPr/>
      </w:pPr>
      <w:r>
        <w:rPr/>
        <w:t xml:space="preserve">Europeiska unionen har kunskap som måste främjas på den egna marknaden. </w:t>
      </w:r>
    </w:p>
    <w:p>
      <w:pPr>
        <w:pStyle w:val="Normal"/>
        <w:rPr/>
      </w:pPr>
      <w:r>
        <w:rPr/>
        <w:t xml:space="preserve">På grund av omlokaliseringen av industrier utanför EU, särskilt i Asien, omlokaliseras också vissa yrkeskunskaper. Denna rekommendation omfattar yrkesutbildning för europeiska arbetstagare. Vi betonar behovet av att undvika omlokalisering mellan de olika medlemsstaterna för att undvika illojal konkurrens. </w:t>
      </w:r>
    </w:p>
    <w:p>
      <w:pPr>
        <w:pStyle w:val="Normal"/>
        <w:rPr/>
      </w:pPr>
      <w:r>
        <w:rPr/>
        <w:t xml:space="preserve">Vi har observerat att den massiva omlokaliseringen av industrier runt om i världen påverkar europeiska industrier. Lokal produktion kommer därför att förbättra medborgarnas och miljöns hälsa. </w:t>
      </w:r>
    </w:p>
    <w:p>
      <w:pPr>
        <w:pStyle w:val="Normal"/>
        <w:rPr/>
      </w:pPr>
      <w:r>
        <w:rPr/>
      </w:r>
    </w:p>
    <w:p>
      <w:pPr>
        <w:pStyle w:val="Titre4"/>
        <w:numPr>
          <w:ilvl w:val="3"/>
          <w:numId w:val="2"/>
        </w:numPr>
        <w:rPr/>
      </w:pPr>
      <w:bookmarkStart w:id="179" w:name="__RefHeading___Toc297293_1346298689"/>
      <w:bookmarkEnd w:id="179"/>
      <w:r>
        <w:rPr/>
        <w:t xml:space="preserve">Axel 4: mot ett hållbart samhälle </w:t>
      </w:r>
    </w:p>
    <w:p>
      <w:pPr>
        <w:pStyle w:val="Normal"/>
        <w:rPr/>
      </w:pPr>
      <w:r>
        <w:rPr/>
        <w:t xml:space="preserve">Delaxel 4.3 Miljövänlig transport </w:t>
      </w:r>
    </w:p>
    <w:p>
      <w:pPr>
        <w:pStyle w:val="P68B1DB1Normal15"/>
        <w:rPr/>
      </w:pPr>
      <w:r>
        <w:rPr/>
        <w:t xml:space="preserve">Vi rekommenderar att stora städer bötfälls eller subventioneras i enlighet med miljö- och föroreningsprestanda i kollektivtrafiken (elektriska fordon, grön kollektivtrafik, skapande av gågator, främjande av cykelanvändning osv.). I synnerhet bör böter eller subventioner som är tillämpliga på lokala myndigheter i en stad fastställas på grundval av förändringar i gröna transporter jämfört med utgångsläget i den staden. Det är Europeiska unionen som genom sin lagstiftning bör fastställa resultatindikatorer för föroreningsrelaterade åtgärder och fastställa den proportionella minskningen. I detta avseende bör utgångspunkten för varje stad beaktas. </w:t>
      </w:r>
    </w:p>
    <w:p>
      <w:pPr>
        <w:pStyle w:val="Normal"/>
        <w:rPr/>
      </w:pPr>
      <w:r>
        <w:rPr/>
        <w:t xml:space="preserve"> </w:t>
      </w:r>
    </w:p>
    <w:p>
      <w:pPr>
        <w:pStyle w:val="Normal"/>
        <w:rPr/>
      </w:pPr>
      <w:r>
        <w:rPr/>
        <w:t xml:space="preserve">Vi gör denna rekommendation eftersom städer har drabbats av luftföroreningar, vilket har orsakat hälsoproblem. Utveckling av gröna transporter skulle förbättra människors liv och hälsa och minska växthuseffekten. Subventioner och sanktioner är effektiva åtgärder för att främja förändring och underlätta anpassningen till olika situationer i olika städer. </w:t>
      </w:r>
    </w:p>
    <w:p>
      <w:pPr>
        <w:pStyle w:val="Normal"/>
        <w:rPr/>
      </w:pPr>
      <w:r>
        <w:rPr/>
        <w:t xml:space="preserve"> </w:t>
      </w:r>
    </w:p>
    <w:p>
      <w:pPr>
        <w:pStyle w:val="P68B1DB1Normal15"/>
        <w:rPr/>
      </w:pPr>
      <w:r>
        <w:rPr/>
        <w:t xml:space="preserve">Vi rekommenderar att EU-lagstiftningen begränsar och reglerar användningen av kortdistansflygningar och kryssningsfartyg. Människor bör erbjudas miljövänliga transportalternativ. Ett sådant alternativ bör vara standardisering av järnvägar för att ansluta de europeiska huvudstäderna. Vi rekommenderar också att EU ger bidrag för att göra godstransporter mer miljövänliga, inklusive järnvägs- och båttransporter (för korta resor). </w:t>
      </w:r>
    </w:p>
    <w:p>
      <w:pPr>
        <w:pStyle w:val="Normal"/>
        <w:rPr/>
      </w:pPr>
      <w:r>
        <w:rPr/>
        <w:t xml:space="preserve"> </w:t>
      </w:r>
    </w:p>
    <w:p>
      <w:pPr>
        <w:pStyle w:val="Normal"/>
        <w:rPr/>
      </w:pPr>
      <w:r>
        <w:rPr/>
        <w:t xml:space="preserve">Vi gör denna rekommendation, eftersom kortdistansresor är alltför frekventa, förorenande och lätta att ersätta. En begränsning av kryssningsfartyg skulle minska havsföroreningarna (ett stort miljöproblem) och negativa effekter på kuststäderna. Därför måste vi införa mer prisvärda alternativ till mer förorenande lösningar. En enhetlig spårvidd skulle förbättra järnvägsförbindelserna mellan de europeiska huvudstäderna. </w:t>
      </w:r>
    </w:p>
    <w:p>
      <w:pPr>
        <w:pStyle w:val="Normal"/>
        <w:rPr/>
      </w:pPr>
      <w:r>
        <w:rPr/>
        <w:t xml:space="preserve"> </w:t>
      </w:r>
    </w:p>
    <w:p>
      <w:pPr>
        <w:pStyle w:val="Titre4"/>
        <w:numPr>
          <w:ilvl w:val="3"/>
          <w:numId w:val="2"/>
        </w:numPr>
        <w:rPr/>
      </w:pPr>
      <w:bookmarkStart w:id="180" w:name="__RefHeading___Toc297295_1346298689"/>
      <w:bookmarkEnd w:id="180"/>
      <w:r>
        <w:rPr/>
        <w:t xml:space="preserve">Axel 5: Omsorg för alla </w:t>
      </w:r>
    </w:p>
    <w:p>
      <w:pPr>
        <w:pStyle w:val="Normal"/>
        <w:rPr/>
      </w:pPr>
      <w:r>
        <w:rPr/>
        <w:t xml:space="preserve">Delaxel 5.2 En bredare syn på hälsa </w:t>
      </w:r>
    </w:p>
    <w:p>
      <w:pPr>
        <w:pStyle w:val="Normal"/>
        <w:rPr/>
      </w:pPr>
      <w:r>
        <w:rPr>
          <w:b/>
        </w:rPr>
        <w:t xml:space="preserve">Vi rekommenderar att Europeiska unionen, i linje med sin </w:t>
      </w:r>
      <w:commentRangeStart w:id="5"/>
      <w:r>
        <w:rPr>
          <w:b/>
        </w:rPr>
        <w:t>kampanj</w:t>
      </w:r>
      <w:r>
        <w:rPr/>
      </w:r>
      <w:commentRangeEnd w:id="5"/>
      <w:r>
        <w:commentReference w:id="5"/>
      </w:r>
      <w:r>
        <w:rPr>
          <w:b/>
        </w:rPr>
        <w:t xml:space="preserve"> HealthyLife4All, också uppmuntrar initiativ som sociala idrottsevenemang, skolidrott, olympiska spelen vartannat år som är öppna för alla åldrar och alla idrotter [inte för yrkesverksamma]. Vi rekommenderar också att man utvecklar en gratis europeisk sportapp för att uppmuntra kollektiva idrottsaktiviteter. Denna app bör hjälpa människor att mötas genom sport. Dessutom bör dessa initiativ vara allmänt kända och spridas. </w:t>
      </w:r>
    </w:p>
    <w:p>
      <w:pPr>
        <w:pStyle w:val="Normal"/>
        <w:rPr/>
      </w:pPr>
      <w:r>
        <w:rPr/>
        <w:t xml:space="preserve"> </w:t>
      </w:r>
    </w:p>
    <w:p>
      <w:pPr>
        <w:pStyle w:val="Normal"/>
        <w:rPr/>
      </w:pPr>
      <w:r>
        <w:rPr/>
        <w:t xml:space="preserve">För att förbättra den europeiska befolkningens hälsa måste Europeiska unionen främja idrott och hälsosamma livsstilar. Dessutom är befolkningen mycket ofta omedveten om förhållandet mellan idrott och en hälsosam livsstil. Appen är viktig, eftersom människor är mer villiga att göra sport om de gör det tillsammans. </w:t>
      </w:r>
      <w:r>
        <w:br w:type="page"/>
      </w:r>
    </w:p>
    <w:p>
      <w:pPr>
        <w:pStyle w:val="P68B1DB1Normal19"/>
        <w:rPr/>
      </w:pPr>
      <w:r>
        <w:rPr/>
        <w:t xml:space="preserve"> </w:t>
      </w:r>
    </w:p>
    <w:p>
      <w:pPr>
        <w:pStyle w:val="Titre2"/>
        <w:numPr>
          <w:ilvl w:val="1"/>
          <w:numId w:val="2"/>
        </w:numPr>
        <w:rPr/>
      </w:pPr>
      <w:bookmarkStart w:id="181" w:name="__RefHeading___Toc297297_1346298689"/>
      <w:bookmarkEnd w:id="181"/>
      <w:r>
        <w:rPr/>
        <w:t xml:space="preserve">Europeiska medborgarpanelen 4: ”EU i världen/Migration” </w:t>
      </w:r>
    </w:p>
    <w:p>
      <w:pPr>
        <w:pStyle w:val="Normal"/>
        <w:rPr/>
      </w:pPr>
      <w:r>
        <w:rPr/>
        <w:t xml:space="preserve">REKOMMENDATIONER ANTAGNA AV PANELEN (SKA LÄGGAS FRAM FÖR PLENARSAMMANTRÄDET) </w:t>
      </w:r>
    </w:p>
    <w:p>
      <w:pPr>
        <w:pStyle w:val="Normal"/>
        <w:rPr/>
      </w:pPr>
      <w:r>
        <w:rPr/>
      </w:r>
    </w:p>
    <w:p>
      <w:pPr>
        <w:pStyle w:val="Titre3"/>
        <w:numPr>
          <w:ilvl w:val="2"/>
          <w:numId w:val="2"/>
        </w:numPr>
        <w:rPr/>
      </w:pPr>
      <w:bookmarkStart w:id="182" w:name="__RefHeading___Toc297299_1346298689"/>
      <w:bookmarkEnd w:id="182"/>
      <w:r>
        <w:rPr/>
        <w:t xml:space="preserve">Axel 1: Självförsörjning och stabilitet </w:t>
      </w:r>
    </w:p>
    <w:p>
      <w:pPr>
        <w:pStyle w:val="Titre4"/>
        <w:numPr>
          <w:ilvl w:val="3"/>
          <w:numId w:val="2"/>
        </w:numPr>
        <w:rPr/>
      </w:pPr>
      <w:bookmarkStart w:id="183" w:name="__RefHeading___Toc297301_1346298689"/>
      <w:bookmarkEnd w:id="183"/>
      <w:r>
        <w:rPr/>
        <w:t xml:space="preserve">Delaxel 1.1 – EU-autonomin </w:t>
      </w:r>
    </w:p>
    <w:p>
      <w:pPr>
        <w:pStyle w:val="Normal"/>
        <w:rPr/>
      </w:pPr>
      <w:r>
        <w:rPr>
          <w:b/>
        </w:rPr>
        <w:t>1. Vi rekommenderar att strategiska europeiska tillverkningsprodukter (t.ex. jordbruksprodukter, halvledare, medicinska produkter eller innovativ digital och miljöteknik) uppmuntras ytterligare och får ekonomiskt stöd för att vara tillgängliga och tillgängliga för europeiska konsumenter och för att i möjligaste mån minska beroendet av icke-europeiska leverantörer. Sådant stöd kan omfatta strukturella och regionala åtgärder, stöd till upprätthållande av industrier och leveranskedjor inom unionen,</w:t>
      </w:r>
      <w:r>
        <w:rPr>
          <w:b/>
        </w:rPr>
        <w:commentReference w:id="6"/>
      </w:r>
      <w:r>
        <w:rPr>
          <w:b/>
        </w:rPr>
        <w:t xml:space="preserve"> skattelättnader, subventioner, en aktiv politik för små och medelstora företag eller utbildningsprogram för att skydda relevanta färdigheter och arbetstillfällen i Europa. En aktiv industripolitik bör dock vara selektiv och fokusera på innovativa produkter eller produkter som är nödvändiga för att garantera grundläggande varor och tjänster. </w:t>
      </w:r>
    </w:p>
    <w:p>
      <w:pPr>
        <w:pStyle w:val="Normal"/>
        <w:rPr/>
      </w:pPr>
      <w:r>
        <w:rPr/>
        <w:t xml:space="preserve"> </w:t>
      </w:r>
    </w:p>
    <w:p>
      <w:pPr>
        <w:pStyle w:val="Normal"/>
        <w:rPr/>
      </w:pPr>
      <w:r>
        <w:rPr/>
        <w:t xml:space="preserve">Vi rekommenderar dessa åtgärder eftersom Europa är alldeles för beroende av </w:t>
      </w:r>
      <w:commentRangeStart w:id="7"/>
      <w:r>
        <w:rPr/>
        <w:t>icke-europeiska leverantörer</w:t>
      </w:r>
      <w:r>
        <w:rPr/>
      </w:r>
      <w:commentRangeEnd w:id="7"/>
      <w:r>
        <w:commentReference w:id="7"/>
      </w:r>
      <w:r>
        <w:rPr/>
        <w:t xml:space="preserve"> på viktiga områden som riskerar att orsaka diplomatiska konflikter och leda till brist på grundläggande produkter eller tjänster eller av strategisk betydelse. Eftersom produktionskostnaderna i allmänhet är högre i EU än på andra håll i världen kommer en politik med aktiv uppmuntran och stöd till dessa produkter att göra det möjligt för européerna att köpa konkurrenskraftiga europeiska produkter och uppmuntras att göra det. Denna politik kommer också att stärka den europeiska konkurrenskraften och bevara framtida industrier och arbetstillfällen i Europa. Dessutom kommer en större regionalisering av produktionen att minska transportkostnaderna och undvika miljöförstöring. </w:t>
      </w:r>
    </w:p>
    <w:p>
      <w:pPr>
        <w:pStyle w:val="Normal"/>
        <w:rPr/>
      </w:pPr>
      <w:r>
        <w:rPr/>
        <w:t xml:space="preserve"> </w:t>
      </w:r>
    </w:p>
    <w:p>
      <w:pPr>
        <w:pStyle w:val="P68B1DB1Normal15"/>
        <w:rPr/>
      </w:pPr>
      <w:r>
        <w:rPr/>
        <w:t>2. Vi rekommenderar att EU minskar sitt beroende av olje- och gasimport. Detta skulle kräva aktivt stöd till projekt för kollektivtrafik och energieffektivitet, ett europeiskt höghastighetsjärnvägsnät för godstransporter, utbyggnad av ren och förnybar energiförsörjning (inklusive solenergi och vindkraft) och alternativ teknik (t.ex. vätgas eller energiåtervinning av avfall). Europeiska unionen bör också uppmuntra till en ändrad inställning och uppmuntra till att privatbilar överges till förmån för kollektivtrafik, bildelning med hjälp av elfordon och cyklar.</w:t>
      </w:r>
    </w:p>
    <w:p>
      <w:pPr>
        <w:pStyle w:val="Normal"/>
        <w:rPr/>
      </w:pPr>
      <w:r>
        <w:rPr/>
      </w:r>
    </w:p>
    <w:p>
      <w:pPr>
        <w:pStyle w:val="Normal"/>
        <w:rPr/>
      </w:pPr>
      <w:r>
        <w:rPr/>
        <w:t>Vi rekommenderar dessa åtgärder eftersom de skapar en situation som främjar både Europas självständighet genom att minska dess externa beroenden och uppnå ambitiösa</w:t>
      </w:r>
      <w:r>
        <w:rPr>
          <w:vertAlign w:val="subscript"/>
        </w:rPr>
        <w:t>mål</w:t>
      </w:r>
      <w:r>
        <w:rPr/>
        <w:t xml:space="preserve"> för minskade klimat- och koldioxidutsläpp. De kommer också att göra det möjligt för Europa att bli en viktig aktör i framtida teknik, stärka dess ekonomi och skapa arbetstillfällen. </w:t>
      </w:r>
    </w:p>
    <w:p>
      <w:pPr>
        <w:pStyle w:val="Normal"/>
        <w:rPr/>
      </w:pPr>
      <w:r>
        <w:rPr/>
        <w:t xml:space="preserve"> </w:t>
      </w:r>
    </w:p>
    <w:p>
      <w:pPr>
        <w:pStyle w:val="P68B1DB1Normal15"/>
        <w:rPr/>
      </w:pPr>
      <w:r>
        <w:rPr/>
        <w:t xml:space="preserve">3. Vi rekommenderar att en lag antas på EU-nivå för att säkerställa att alla EU:s produktions- och leveransprocesser och importerade varor överensstämmer med europeiska standarder för kvalitet, etik och hållbarhet samt alla tillämpliga europeiska människorättsnormer, och att produkter som uppfyller dessa kriterier är certifierade. </w:t>
      </w:r>
    </w:p>
    <w:p>
      <w:pPr>
        <w:pStyle w:val="Normal"/>
        <w:rPr/>
      </w:pPr>
      <w:r>
        <w:rPr/>
        <w:t xml:space="preserve"> </w:t>
      </w:r>
    </w:p>
    <w:p>
      <w:pPr>
        <w:pStyle w:val="Normal"/>
        <w:rPr/>
      </w:pPr>
      <w:r>
        <w:rPr/>
        <w:t xml:space="preserve">Vi rekommenderar dessa åtgärder eftersom de ger konsumenter och näringsidkare enkel tillgång till information om de produkter de köper eller säljer. För att göra detta, helt enkelt konsultera certifieringssystemet. Certifieringen minskar också klyftan mellan billiga och dyra produkter som finns på marknaden. Billiga produkter kommer inte att uppfylla de nödvändiga kriterierna och kommer därför inte att kunna presentera sig som av god kvalitet. Genom att uppfylla certifieringskriterierna kommer miljön att skyddas, spara resurser och uppmuntra ansvarsfull konsumtion. </w:t>
      </w:r>
    </w:p>
    <w:p>
      <w:pPr>
        <w:pStyle w:val="Normal"/>
        <w:rPr/>
      </w:pPr>
      <w:r>
        <w:rPr/>
        <w:t xml:space="preserve"> </w:t>
      </w:r>
    </w:p>
    <w:p>
      <w:pPr>
        <w:pStyle w:val="P68B1DB1Normal15"/>
        <w:rPr/>
      </w:pPr>
      <w:r>
        <w:rPr/>
        <w:t xml:space="preserve">4. Vi rekommenderar att ett europeiskt program genomförs för att stödja små lokala producenter i strategiska sektorer i alla medlemsstater. Dessa tillverkare skulle gynnas av yrkesutbildning, ekonomiskt stöd genom subventioner och (om råvaror finns tillgängliga i unionen) ett incitament att producera mer stödberättigande varor till nackdel för importen. </w:t>
      </w:r>
    </w:p>
    <w:p>
      <w:pPr>
        <w:pStyle w:val="Normal"/>
        <w:rPr/>
      </w:pPr>
      <w:r>
        <w:rPr/>
        <w:t xml:space="preserve"> </w:t>
      </w:r>
    </w:p>
    <w:p>
      <w:pPr>
        <w:pStyle w:val="Normal"/>
        <w:rPr/>
      </w:pPr>
      <w:r>
        <w:rPr/>
        <w:t xml:space="preserve">Vi rekommenderar dessa åtgärder eftersom unionen genom att stödja producenter i strategiska sektorer i unionen kan förvärva sitt ekonomiska oberoende inom dessa sektorer. Detta kan bara uppmuntra till att hela produktionsprocessen stärks och därmed uppmuntra innovation. Detta kommer att leda till en mer hållbar produktion av råvaror i EU som kommer att minska transportkostnaderna och skydda miljön. </w:t>
      </w:r>
    </w:p>
    <w:p>
      <w:pPr>
        <w:pStyle w:val="Normal"/>
        <w:rPr/>
      </w:pPr>
      <w:r>
        <w:rPr/>
        <w:t xml:space="preserve"> </w:t>
      </w:r>
    </w:p>
    <w:p>
      <w:pPr>
        <w:pStyle w:val="P68B1DB1Normal15"/>
        <w:rPr/>
      </w:pPr>
      <w:r>
        <w:rPr/>
        <w:t xml:space="preserve">5. Vi rekommenderar att genomförandet av de mänskliga rättigheterna förbättras på europeisk nivå enligt följande: öka medvetenheten bland länder som i den mån det är lämpligt inte följer Europeiska konventionen om skydd för de mänskliga rättigheterna och de grundläggande friheterna. säkerställa strikt övervakning, samordnad av Europeiska unionen och resultattavlan för rättskipningen, av i vilken utsträckning de mänskliga rättigheterna respekteras i de olika medlemsstaterna och se till att de följs strikt genom olika former av sanktioner. </w:t>
      </w:r>
    </w:p>
    <w:p>
      <w:pPr>
        <w:pStyle w:val="Normal"/>
        <w:rPr/>
      </w:pPr>
      <w:r>
        <w:rPr/>
        <w:t xml:space="preserve"> </w:t>
      </w:r>
    </w:p>
    <w:p>
      <w:pPr>
        <w:pStyle w:val="Normal"/>
        <w:rPr/>
      </w:pPr>
      <w:r>
        <w:rPr/>
        <w:t xml:space="preserve">Vi rekommenderar dessa åtgärder eftersom de mänskliga rättigheterna redan har godtagits av medlemsstaterna när de ratificerat den europeiska konventionen om skydd för de mänskliga rättigheterna och de grundläggande friheterna, men det är nu nödvändigt att förbättra deras acceptans i var och en av medlemsstaterna så att de mänskliga rättigheterna är kända och aktivt genomförs i dessa medlemsstater. </w:t>
      </w:r>
    </w:p>
    <w:p>
      <w:pPr>
        <w:pStyle w:val="Normal"/>
        <w:rPr/>
      </w:pPr>
      <w:r>
        <w:rPr/>
        <w:t xml:space="preserve"> </w:t>
      </w:r>
    </w:p>
    <w:p>
      <w:pPr>
        <w:pStyle w:val="P68B1DB1Normal15"/>
        <w:rPr/>
      </w:pPr>
      <w:r>
        <w:rPr/>
        <w:t xml:space="preserve">6. Vi rekommenderar att man inleder en översyn och organiserar en intensiv kommunikationskampanj på europeisk nivå för att se till att Eures (det europeiska nätverket för arbetsförmedlingar), EU:s invandringsportal och det europeiska kompetensprofilverktyget för tredjelandsmedborgare är mer kända för EU-medborgarna och används oftare av EU-företag för att publicera och annonsera sina jobberbjudanden. </w:t>
      </w:r>
    </w:p>
    <w:p>
      <w:pPr>
        <w:pStyle w:val="Normal"/>
        <w:rPr/>
      </w:pPr>
      <w:r>
        <w:rPr/>
        <w:t xml:space="preserve"> </w:t>
      </w:r>
    </w:p>
    <w:p>
      <w:pPr>
        <w:pStyle w:val="Normal"/>
        <w:rPr/>
      </w:pPr>
      <w:r>
        <w:rPr/>
        <w:t xml:space="preserve">Vi rekommenderar att man inte skapar en ny onlineplattform för offentliggörande av jobberbjudanden för unga européer. Det finns redan tillräckligt många initiativ av detta slag på EU-nivå. För att öka medvetenheten om den befintliga arbetskraften och sysselsättningsmöjligheterna på europeisk nivå anser vi att det är bättre att förbättra det som redan finns. </w:t>
      </w:r>
    </w:p>
    <w:p>
      <w:pPr>
        <w:pStyle w:val="Normal"/>
        <w:rPr/>
      </w:pPr>
      <w:r>
        <w:rPr/>
        <w:t xml:space="preserve"> </w:t>
      </w:r>
    </w:p>
    <w:p>
      <w:pPr>
        <w:pStyle w:val="Titre4"/>
        <w:numPr>
          <w:ilvl w:val="3"/>
          <w:numId w:val="2"/>
        </w:numPr>
        <w:rPr/>
      </w:pPr>
      <w:bookmarkStart w:id="184" w:name="__RefHeading___Toc297303_1346298689"/>
      <w:bookmarkEnd w:id="184"/>
      <w:r>
        <w:rPr/>
        <w:t xml:space="preserve">Delaxel 1.2 – Gränser </w:t>
      </w:r>
    </w:p>
    <w:p>
      <w:pPr>
        <w:pStyle w:val="P68B1DB1Normal15"/>
        <w:rPr/>
      </w:pPr>
      <w:r>
        <w:rPr/>
        <w:t xml:space="preserve">7. Vi rekommenderar att man inrättar en mekanism för arbetskraftsmigration i EU som bygger på de europeiska arbetsmarknadernas verkliga behov. Det bör finnas ett enhetligt system för erkännande av yrkes- och akademiska examensbevis som finns inom Europeiska unionen och i tredjeländer. Det bör finnas erbjudanden om yrkeskvalifikationer samt erbjudanden om kulturell och språklig integration för kvalificerade migranter. Asylsökande med rätt kvalifikationer bör ha tillträde till arbetsmarknaden. Det bör finnas en integrerad byrå för vilken det europeiska nätverket för arbetsförmedlingar skulle kunna utgöra grunden. </w:t>
      </w:r>
    </w:p>
    <w:p>
      <w:pPr>
        <w:pStyle w:val="Normal"/>
        <w:rPr/>
      </w:pPr>
      <w:r>
        <w:rPr/>
        <w:t xml:space="preserve"> </w:t>
      </w:r>
    </w:p>
    <w:p>
      <w:pPr>
        <w:pStyle w:val="Normal"/>
        <w:rPr/>
      </w:pPr>
      <w:r>
        <w:rPr/>
        <w:t xml:space="preserve">Vi rekommenderar dessa åtgärder eftersom Europa behöver kvalificerad arbetskraft inom vissa sektorer där det inte är möjligt att fullt ut täcka efterfrågan från EU:s arbetstagare. Det finns för närvarande inte tillräckligt genomförbara sätt att lagligt ansöka om arbetstillstånd i EU. Ett europeiskt system för erkännande av yrkes- och akademiska examensbevis kommer att göra det lättare att tillgodose dessa behov och förenkla arbetskraftsinvandringen inom unionen och arbetskraftsinvandringen från länder utanför unionen. Efterfrågan på arbetskraft skulle därmed kunna tillgodoses bättre och den olagliga invandringen hanteras bättre. Att öppna mekanismen för arbetskraftsmigration för asylsökande skulle påskynda deras integration i europeiska ekonomier och samhällen. </w:t>
      </w:r>
    </w:p>
    <w:p>
      <w:pPr>
        <w:pStyle w:val="Normal"/>
        <w:rPr/>
      </w:pPr>
      <w:r>
        <w:rPr/>
        <w:t xml:space="preserve"> </w:t>
      </w:r>
    </w:p>
    <w:p>
      <w:pPr>
        <w:pStyle w:val="P68B1DB1Normal15"/>
        <w:rPr/>
      </w:pPr>
      <w:r>
        <w:rPr/>
        <w:t xml:space="preserve">8. Vi rekommenderar att Europeiska unionen stärker sin lagstiftning för att ge Frontex mer makt och oberoende. Den kommer således att kunna ingripa i alla medlemsstater för att säkerställa skyddet av unionens alla yttre gränser. Unionen bör dock utföra revisioner av Frontex organisatoriska processer eftersom den måste fungera på ett öppet sätt för att undvika alla former av missbruk. </w:t>
      </w:r>
    </w:p>
    <w:p>
      <w:pPr>
        <w:pStyle w:val="Normal"/>
        <w:rPr/>
      </w:pPr>
      <w:r>
        <w:rPr/>
        <w:t xml:space="preserve"> </w:t>
      </w:r>
    </w:p>
    <w:p>
      <w:pPr>
        <w:pStyle w:val="Normal"/>
        <w:rPr/>
      </w:pPr>
      <w:r>
        <w:rPr/>
        <w:t xml:space="preserve">Vi rekommenderar dessa åtgärder eftersom det enligt vår mening är oacceptabelt att Frontex nekas tillträde till gränser, särskilt när det sker en kränkning av de mänskliga rättigheterna. Vi vill vara säkra på att Frontex tillämpar EU-lagstiftningen. Frontex måste själv bli föremål för kontroller och kontroller för att undvika olämpligt beteende inom Frontex. </w:t>
      </w:r>
    </w:p>
    <w:p>
      <w:pPr>
        <w:pStyle w:val="Normal"/>
        <w:rPr/>
      </w:pPr>
      <w:r>
        <w:rPr/>
        <w:t xml:space="preserve"> </w:t>
      </w:r>
    </w:p>
    <w:p>
      <w:pPr>
        <w:pStyle w:val="P68B1DB1Normal15"/>
        <w:rPr/>
      </w:pPr>
      <w:r>
        <w:rPr/>
        <w:t xml:space="preserve">9. Vi rekommenderar att Europeiska unionen organiserar, särskilt för ekonomiska migranter, möjligheten att välja medborgare i ursprungslandet (på grundval av deras beprövade kompetens, bakgrund osv.) för att avgöra vem som kan komma till jobbet i EU utifrån ekonomins behov och de lediga arbetstillfällena i värdlandet. Dessa urvalskriterier måste vara offentliga och tillgängliga för alla. För att göra detta bör en europeisk invandringsbyrå (online) inrättas. </w:t>
      </w:r>
    </w:p>
    <w:p>
      <w:pPr>
        <w:pStyle w:val="Normal"/>
        <w:rPr/>
      </w:pPr>
      <w:r>
        <w:rPr/>
        <w:t xml:space="preserve"> </w:t>
      </w:r>
    </w:p>
    <w:p>
      <w:pPr>
        <w:pStyle w:val="Normal"/>
        <w:rPr/>
      </w:pPr>
      <w:r>
        <w:rPr/>
        <w:t xml:space="preserve">Vi rekommenderar dessa åtgärder eftersom det på detta sätt inte längre skulle finnas något behov av att korsa gränserna olagligt. Flödet av människor som kommer in i EU skulle kontrolleras, vilket skulle minska trycket vid gränserna och samtidigt göra det lättare att tillgodose värdländernas arbetskraftsbehov. </w:t>
      </w:r>
    </w:p>
    <w:p>
      <w:pPr>
        <w:pStyle w:val="Normal"/>
        <w:rPr/>
      </w:pPr>
      <w:r>
        <w:rPr/>
        <w:t xml:space="preserve"> </w:t>
      </w:r>
    </w:p>
    <w:p>
      <w:pPr>
        <w:pStyle w:val="P68B1DB1Normal15"/>
        <w:rPr/>
      </w:pPr>
      <w:r>
        <w:rPr/>
        <w:t xml:space="preserve">10. Vi rekommenderar att Europeiska unionen ser till att mottagningspolitiken och mottagningsanordningarna är identiska vid alla gränser, respekterar de mänskliga rättigheterna och säkerställer alla migranters säkerhet och hälsa (t.ex. gravida kvinnor och barn). </w:t>
      </w:r>
    </w:p>
    <w:p>
      <w:pPr>
        <w:pStyle w:val="Normal"/>
        <w:rPr/>
      </w:pPr>
      <w:r>
        <w:rPr/>
        <w:t xml:space="preserve"> </w:t>
      </w:r>
    </w:p>
    <w:p>
      <w:pPr>
        <w:pStyle w:val="Normal"/>
        <w:rPr/>
      </w:pPr>
      <w:r>
        <w:rPr/>
        <w:t xml:space="preserve">Vi rekommenderar dessa åtgärder eftersom vi fäster stor vikt vid likabehandling av migranter vid alla gränser. Vi vill se till att migranterna inte stannar för länge vid gränserna och att medlemsstaterna överväldigas av flödet av migranter. Medlemsstaterna måste vara väl rustade för att ta emot dem. </w:t>
      </w:r>
    </w:p>
    <w:p>
      <w:pPr>
        <w:pStyle w:val="Normal"/>
        <w:rPr/>
      </w:pPr>
      <w:r>
        <w:rPr/>
        <w:t xml:space="preserve"> </w:t>
      </w:r>
    </w:p>
    <w:p>
      <w:pPr>
        <w:pStyle w:val="Titre3"/>
        <w:numPr>
          <w:ilvl w:val="2"/>
          <w:numId w:val="2"/>
        </w:numPr>
        <w:rPr/>
      </w:pPr>
      <w:bookmarkStart w:id="185" w:name="__RefHeading___Toc297305_1346298689"/>
      <w:bookmarkEnd w:id="185"/>
      <w:r>
        <w:rPr/>
        <w:t xml:space="preserve">Axel 2: EU som internationell partner </w:t>
      </w:r>
    </w:p>
    <w:p>
      <w:pPr>
        <w:pStyle w:val="Titre4"/>
        <w:numPr>
          <w:ilvl w:val="3"/>
          <w:numId w:val="2"/>
        </w:numPr>
        <w:rPr/>
      </w:pPr>
      <w:bookmarkStart w:id="186" w:name="__RefHeading___Toc297307_1346298689"/>
      <w:bookmarkEnd w:id="186"/>
      <w:r>
        <w:rPr/>
        <w:t xml:space="preserve">Delaxel 2.1 – Handel och relationer ur ett etiskt perspektiv </w:t>
      </w:r>
    </w:p>
    <w:p>
      <w:pPr>
        <w:pStyle w:val="P68B1DB1Normal15"/>
        <w:rPr/>
      </w:pPr>
      <w:r>
        <w:rPr/>
        <w:t xml:space="preserve">11. Vi rekommenderar att EU inför restriktioner för import av produkter från länder som tillåter barnarbete. För att göra detta bör en svart lista över företag upprättas som regelbundet uppdateras i linje med utvecklingen. Vi rekommenderar också att barn som slutar arbeta successivt får tillgång till utbildning och ökar konsumenternas medvetenhet om barnarbete genom information som officiellt sprids av Europeiska unionen, till exempel genom kampanjer eller berättande. </w:t>
      </w:r>
    </w:p>
    <w:p>
      <w:pPr>
        <w:pStyle w:val="Normal"/>
        <w:rPr/>
      </w:pPr>
      <w:r>
        <w:rPr/>
        <w:t xml:space="preserve"> </w:t>
      </w:r>
    </w:p>
    <w:p>
      <w:pPr>
        <w:pStyle w:val="Normal"/>
        <w:rPr/>
      </w:pPr>
      <w:r>
        <w:rPr/>
        <w:t xml:space="preserve">Vi rekommenderar dessa åtgärder eftersom vi anser att det finns ett samband mellan brist på skolgång och barnarbete. Med denna rekommendation vill vi öka konsumenternas medvetenhet och minska efterfrågan på barnprodukter så att denna praxis försvinner. </w:t>
      </w:r>
    </w:p>
    <w:p>
      <w:pPr>
        <w:pStyle w:val="Normal"/>
        <w:rPr/>
      </w:pPr>
      <w:r>
        <w:rPr/>
        <w:t xml:space="preserve"> </w:t>
      </w:r>
    </w:p>
    <w:p>
      <w:pPr>
        <w:pStyle w:val="P68B1DB1Normal15"/>
        <w:rPr/>
      </w:pPr>
      <w:r>
        <w:rPr/>
        <w:t xml:space="preserve">12. Vi rekommenderar att Europeiska unionen utvecklar partnerskap med utvecklingsländer för att stödja deras infrastruktur och utbyta sakkunskap i utbyte mot ömsesidigt fördelaktiga handelsavtal som åtföljer dem i övergången till gröna energikällor. </w:t>
      </w:r>
    </w:p>
    <w:p>
      <w:pPr>
        <w:pStyle w:val="Normal"/>
        <w:rPr/>
      </w:pPr>
      <w:r>
        <w:rPr/>
        <w:t xml:space="preserve"> </w:t>
      </w:r>
    </w:p>
    <w:p>
      <w:pPr>
        <w:pStyle w:val="Normal"/>
        <w:rPr/>
      </w:pPr>
      <w:r>
        <w:rPr/>
        <w:t xml:space="preserve">Vi rekommenderar dessa åtgärder för att underlätta utvecklingsländernas övergång till förnybar energi genom handelspartnerskap och diplomatiska avtal. Europeiska unionen och utvecklingsländerna skulle på så sätt utveckla goda långsiktiga förbindelser, vilket skulle bidra till att bekämpa klimatförändringarna. </w:t>
      </w:r>
    </w:p>
    <w:p>
      <w:pPr>
        <w:pStyle w:val="Normal"/>
        <w:rPr/>
      </w:pPr>
      <w:r>
        <w:rPr/>
        <w:t xml:space="preserve"> </w:t>
      </w:r>
    </w:p>
    <w:p>
      <w:pPr>
        <w:pStyle w:val="P68B1DB1Normal15"/>
        <w:rPr/>
      </w:pPr>
      <w:r>
        <w:rPr/>
        <w:t xml:space="preserve">13. Vi rekommenderar att Europeiska unionen inför en europeisk indikator för miljöpåverkan (ecoscore) för alla konsumentprodukter. Ecoscore skulle beräknas på grundval av utsläpp från produktion och transport samt innehållets skadlighet, på grundval av en förteckning över farliga produkter. Ecoscore bör förvaltas och kontrolleras av en europeisk myndighet. </w:t>
      </w:r>
    </w:p>
    <w:p>
      <w:pPr>
        <w:pStyle w:val="Normal"/>
        <w:rPr/>
      </w:pPr>
      <w:r>
        <w:rPr/>
        <w:t xml:space="preserve"> </w:t>
      </w:r>
    </w:p>
    <w:p>
      <w:pPr>
        <w:pStyle w:val="Normal"/>
        <w:rPr/>
      </w:pPr>
      <w:r>
        <w:rPr/>
        <w:t xml:space="preserve">Vi rekommenderar dessa åtgärder så att de europeiska konsumenterna blir mer medvetna om miljöavtrycket av de produkter de köper. Ecoscore skulle göra det enkelt att ange i vilken utsträckning en produkt respekterar miljön genom en skala som är gemensam i hela Europa. Ecoscore bör ha en QR-kod på baksidan av produkten för att kunna konsultera ytterligare information om dess miljöpåverkan. </w:t>
      </w:r>
    </w:p>
    <w:p>
      <w:pPr>
        <w:pStyle w:val="Normal"/>
        <w:rPr/>
      </w:pPr>
      <w:r>
        <w:rPr/>
        <w:t xml:space="preserve"> </w:t>
      </w:r>
    </w:p>
    <w:p>
      <w:pPr>
        <w:pStyle w:val="Titre4"/>
        <w:numPr>
          <w:ilvl w:val="3"/>
          <w:numId w:val="2"/>
        </w:numPr>
        <w:rPr/>
      </w:pPr>
      <w:bookmarkStart w:id="187" w:name="__RefHeading___Toc297309_1346298689"/>
      <w:bookmarkEnd w:id="187"/>
      <w:r>
        <w:rPr/>
        <w:t xml:space="preserve">Delaxel 2.2 – Internationella klimatåtgärder </w:t>
      </w:r>
    </w:p>
    <w:p>
      <w:pPr>
        <w:pStyle w:val="P68B1DB1Normal15"/>
        <w:rPr/>
      </w:pPr>
      <w:r>
        <w:rPr/>
        <w:t xml:space="preserve">14. Vi rekommenderar att Europeiska unionen antar en strategi för att göra den mer självständig i sin energiproduktion. Ett europeiskt organ som sammanför de nuvarande europeiska energiinstitutionerna bör samordna utvecklingen av förnybar energi i enlighet med medlemsstaternas behov, kapacitet och resurser, samtidigt som deras suveränitet respekteras. Institutionerna skulle uppmuntra utbyte av kunskap sinsemellan för att genomföra denna strategi. </w:t>
      </w:r>
    </w:p>
    <w:p>
      <w:pPr>
        <w:pStyle w:val="Normal"/>
        <w:rPr/>
      </w:pPr>
      <w:r>
        <w:rPr/>
        <w:t xml:space="preserve"> </w:t>
      </w:r>
    </w:p>
    <w:p>
      <w:pPr>
        <w:pStyle w:val="Normal"/>
        <w:rPr/>
      </w:pPr>
      <w:r>
        <w:rPr/>
        <w:t xml:space="preserve">Vi rekommenderar dessa åtgärder eftersom vårt nuvarande beroende gör oss sårbara i händelse av politiska spänningar med de länder vi importerar vår energi. Vi ser det nu med elkrisen. En sådan samordning bör dock respektera varje lands suveränitet. </w:t>
      </w:r>
    </w:p>
    <w:p>
      <w:pPr>
        <w:pStyle w:val="Normal"/>
        <w:rPr/>
      </w:pPr>
      <w:r>
        <w:rPr/>
        <w:t xml:space="preserve"> </w:t>
      </w:r>
    </w:p>
    <w:p>
      <w:pPr>
        <w:pStyle w:val="P68B1DB1Normal15"/>
        <w:rPr/>
      </w:pPr>
      <w:r>
        <w:rPr/>
        <w:t xml:space="preserve">15. Vi rekommenderar att miljönormerna för export av avfall inom och utanför EU stärks samt strängare kontroller och sanktioner för att stoppa olaglig export. EU bör uppmuntra medlemsstaterna att ytterligare återvinna sitt eget avfall och använda det för att producera energi. </w:t>
      </w:r>
    </w:p>
    <w:p>
      <w:pPr>
        <w:pStyle w:val="Normal"/>
        <w:rPr/>
      </w:pPr>
      <w:r>
        <w:rPr/>
        <w:t xml:space="preserve"> </w:t>
      </w:r>
    </w:p>
    <w:p>
      <w:pPr>
        <w:pStyle w:val="Normal"/>
        <w:rPr/>
      </w:pPr>
      <w:r>
        <w:rPr/>
        <w:t xml:space="preserve">Vi rekommenderar dessa åtgärder för att få slut på miljöskador från länder som bortskaffar sitt avfall till nackdel för andra länder, särskilt när det råder en fullständig brist på efterlevnad av miljönormerna. </w:t>
      </w:r>
    </w:p>
    <w:p>
      <w:pPr>
        <w:pStyle w:val="Normal"/>
        <w:rPr/>
      </w:pPr>
      <w:r>
        <w:rPr/>
        <w:t xml:space="preserve"> </w:t>
      </w:r>
    </w:p>
    <w:p>
      <w:pPr>
        <w:pStyle w:val="P68B1DB1Normal15"/>
        <w:rPr/>
      </w:pPr>
      <w:r>
        <w:rPr/>
        <w:t xml:space="preserve">16. Vi rekommenderar att EU mer bestämt uppmuntrar den pågående ekologiska omställningen genom att sträva efter att eliminera förorenande förpackningar. Detta bör ske genom att man uppmuntrar till minskning av förpackningar eller främjar grönare förpackningar. För att småföretagen ska kunna anpassa sig bör de få stöd och anpassningar. </w:t>
      </w:r>
    </w:p>
    <w:p>
      <w:pPr>
        <w:pStyle w:val="Normal"/>
        <w:rPr/>
      </w:pPr>
      <w:r>
        <w:rPr/>
        <w:t xml:space="preserve"> </w:t>
      </w:r>
    </w:p>
    <w:p>
      <w:pPr>
        <w:pStyle w:val="Normal"/>
        <w:rPr/>
      </w:pPr>
      <w:r>
        <w:rPr/>
        <w:t xml:space="preserve">Vi rekommenderar dessa åtgärder eftersom vi måste minska användningen av naturresurser, inklusive råvaror från länder utanför EU. Vi måste också minska de skador som européerna orsakar på vår planet och dess klimat. Det är viktigt att bättre stödja småföretagen så att de kan anpassa sig utan att behöva höja sina priser. </w:t>
      </w:r>
    </w:p>
    <w:p>
      <w:pPr>
        <w:pStyle w:val="Normal"/>
        <w:rPr/>
      </w:pPr>
      <w:r>
        <w:rPr/>
        <w:t xml:space="preserve"> </w:t>
      </w:r>
    </w:p>
    <w:p>
      <w:pPr>
        <w:pStyle w:val="P68B1DB1Normal15"/>
        <w:rPr/>
      </w:pPr>
      <w:r>
        <w:rPr/>
        <w:t xml:space="preserve">17. Vi rekommenderar att EU-länderna tar en mer ingående titt på kärnenergifrågan tillsammans. Samarbetet bör intensifieras för att bedöma användningen av kärnenergi och dess roll i Europas omställning till grön energi. </w:t>
      </w:r>
    </w:p>
    <w:p>
      <w:pPr>
        <w:pStyle w:val="Normal"/>
        <w:rPr/>
      </w:pPr>
      <w:r>
        <w:rPr/>
        <w:t xml:space="preserve"> </w:t>
      </w:r>
    </w:p>
    <w:p>
      <w:pPr>
        <w:pStyle w:val="Normal"/>
        <w:rPr/>
      </w:pPr>
      <w:r>
        <w:rPr/>
        <w:t xml:space="preserve">Vi rekommenderar dessa åtgärder eftersom kärnkraftsfrågan inte kan lösas av ett land isolerat. Det finns nu mer än 100 reaktorer i hälften av medlemsstaterna och nya reaktorer håller på att byggas. Eftersom vi delar ett gemensamt elnät gynnar den koldioxidsnåla el som de producerar alla européer och ökar vår kontinents energiautonomi. Dessutom skulle nedläggningen av kärnavfall eller en olycka drabba flera länder. Oavsett om användningen av kärnenergi beslutas eller inte, måste européerna diskutera den tillsammans och definiera mer konvergerande strategier samtidigt som den nationella suveräniteten respekteras. </w:t>
      </w:r>
    </w:p>
    <w:p>
      <w:pPr>
        <w:pStyle w:val="Normal"/>
        <w:rPr/>
      </w:pPr>
      <w:r>
        <w:rPr/>
        <w:t xml:space="preserve"> </w:t>
      </w:r>
    </w:p>
    <w:p>
      <w:pPr>
        <w:pStyle w:val="Titre4"/>
        <w:numPr>
          <w:ilvl w:val="3"/>
          <w:numId w:val="2"/>
        </w:numPr>
        <w:rPr/>
      </w:pPr>
      <w:bookmarkStart w:id="188" w:name="__RefHeading___Toc297311_1346298689"/>
      <w:bookmarkEnd w:id="188"/>
      <w:r>
        <w:rPr/>
        <w:t xml:space="preserve">Delaxel 2.3 – Främjande av europeiska värden </w:t>
      </w:r>
    </w:p>
    <w:p>
      <w:pPr>
        <w:pStyle w:val="P68B1DB1Normal15"/>
        <w:rPr/>
      </w:pPr>
      <w:r>
        <w:rPr/>
        <w:t xml:space="preserve">18. EU bör vara närmare medborgarna. Vi rekommenderar att EU etablerar och stärker kontakterna med medborgare och lokala institutioner som lokala myndigheter, skolor och kommuner. Syftet är att förbättra insynen, nå medborgarna, bättre informera dem om konkreta EU-initiativ och bättre kommunicera allmän EU-information. </w:t>
      </w:r>
    </w:p>
    <w:p>
      <w:pPr>
        <w:pStyle w:val="Normal"/>
        <w:rPr/>
      </w:pPr>
      <w:r>
        <w:rPr/>
        <w:t xml:space="preserve"> </w:t>
      </w:r>
    </w:p>
    <w:p>
      <w:pPr>
        <w:pStyle w:val="Normal"/>
        <w:rPr/>
      </w:pPr>
      <w:r>
        <w:rPr/>
        <w:t xml:space="preserve">Vi rekommenderar dessa åtgärder eftersom aktuell information om EU inte är tillräckligt tillgänglig för alla samhällsgrupper och inte påverkar vanliga medborgare. De är ofta tråkiga, svåra att förstå och ovänliga. Denna situation måste förändras så att medborgarna får en tydlig vision av EU:s åtgärder och roll. För att locka till sig allmänhetens intresse måste EU-relaterad information vara lätt att hitta, motiverande, intressant och skriven på gemensamt språk. Här är våra förslag: anordnande av besök av europeiska politiker i skolor, radiokampanjer i form av podcaster, brev, pressartiklar, reklambussar och sociala medier, lokalinvånarnas församlingar och inrättandet av en arbetsgrupp för att förbättra EU:s kommunikation. Dessa åtgärder kommer att göra det möjligt för medborgarna att få information om EU som inte filtreras av nationella medier. </w:t>
      </w:r>
    </w:p>
    <w:p>
      <w:pPr>
        <w:pStyle w:val="Normal"/>
        <w:rPr/>
      </w:pPr>
      <w:r>
        <w:rPr/>
        <w:t xml:space="preserve"> </w:t>
      </w:r>
    </w:p>
    <w:p>
      <w:pPr>
        <w:pStyle w:val="P68B1DB1Normal15"/>
        <w:rPr/>
      </w:pPr>
      <w:r>
        <w:rPr/>
        <w:t xml:space="preserve">19. Vi rekommenderar att medborgarna deltar mer i EU:s politik. Vi föreslår anordnande av evenemang som involverar medborgarnas direkta deltagande enligt modellen för konferensen om Europas framtid. De bör organiseras på nationell, lokal och europeisk nivå. EU bör fastställa en konsekvent strategi och centraliserad vägledning för dessa evenemang. </w:t>
      </w:r>
    </w:p>
    <w:p>
      <w:pPr>
        <w:pStyle w:val="Normal"/>
        <w:rPr/>
      </w:pPr>
      <w:r>
        <w:rPr/>
        <w:t xml:space="preserve"> </w:t>
      </w:r>
    </w:p>
    <w:p>
      <w:pPr>
        <w:pStyle w:val="Normal"/>
        <w:rPr/>
      </w:pPr>
      <w:r>
        <w:rPr/>
        <w:t xml:space="preserve">Vi rekommenderar dessa åtgärder eftersom dessa deltagande demokratiövningar kommer att ge korrekt information om EU och förbättra kvaliteten på EU:s politik. Evenemang bör anordnas på ett sätt som främjar unionens grundläggande värden – demokrati och medborgarnas deltagande. Dessa evenemang skulle ge politiker möjlighet att visa för medborgarna att det är viktigt för dem att medborgarna informeras om aktuella händelser och är förknippade med deras definition. Centraliserad vägledning kommer att säkerställa konsekvens och konsekvens i de nationella och lokala konferenserna. </w:t>
      </w:r>
    </w:p>
    <w:p>
      <w:pPr>
        <w:pStyle w:val="Normal"/>
        <w:rPr/>
      </w:pPr>
      <w:r>
        <w:rPr/>
        <w:t xml:space="preserve"> </w:t>
      </w:r>
    </w:p>
    <w:p>
      <w:pPr>
        <w:pStyle w:val="Titre3"/>
        <w:numPr>
          <w:ilvl w:val="2"/>
          <w:numId w:val="2"/>
        </w:numPr>
        <w:rPr/>
      </w:pPr>
      <w:bookmarkStart w:id="189" w:name="__RefHeading___Toc297313_1346298689"/>
      <w:bookmarkEnd w:id="189"/>
      <w:r>
        <w:rPr/>
        <w:t xml:space="preserve">Axel 3: Ett starkt EU i en fredlig värld </w:t>
      </w:r>
    </w:p>
    <w:p>
      <w:pPr>
        <w:pStyle w:val="Titre4"/>
        <w:numPr>
          <w:ilvl w:val="3"/>
          <w:numId w:val="2"/>
        </w:numPr>
        <w:rPr/>
      </w:pPr>
      <w:bookmarkStart w:id="190" w:name="__RefHeading___Toc297315_1346298689"/>
      <w:bookmarkEnd w:id="190"/>
      <w:r>
        <w:rPr/>
        <w:t xml:space="preserve">Delaxel 3.1 – Säkerhet och försvar </w:t>
      </w:r>
    </w:p>
    <w:p>
      <w:pPr>
        <w:pStyle w:val="P68B1DB1Normal15"/>
        <w:rPr/>
      </w:pPr>
      <w:r>
        <w:rPr/>
        <w:t xml:space="preserve">20. Vi rekommenderar att framtida ”Europeiska unionens gemensamma försvarsmakt” i första hand används för försvarsändamål. Alla aggressiva militära åtgärder, oavsett dess natur, är uteslutna. I Europa skulle detta vara ett sätt att ge stöd i händelse av en kris, särskilt i händelse av en naturkatastrof. Utanför de europeiska gränserna skulle detta möjliggöra utplacering av resurser till territorier med exceptionella omständigheter, uteslutande inom ramen för ett rättsligt mandat från FN:s säkerhetsråd och därmed i överensstämmelse med internationell rätt. </w:t>
      </w:r>
    </w:p>
    <w:p>
      <w:pPr>
        <w:pStyle w:val="Normal"/>
        <w:rPr/>
      </w:pPr>
      <w:r>
        <w:rPr/>
        <w:t xml:space="preserve"> </w:t>
      </w:r>
    </w:p>
    <w:p>
      <w:pPr>
        <w:pStyle w:val="Normal"/>
        <w:rPr/>
      </w:pPr>
      <w:r>
        <w:rPr/>
        <w:t xml:space="preserve">Om det genomförs skulle det göra det möjligt för Europeiska unionen att ses som en trovärdig, ansvarsfull, stark och fredlig partner på den internationella arenan. Dess ökade kapacitet att hantera krissituationer hemma och utomlands bör således skydda dess kärnvärden. </w:t>
      </w:r>
    </w:p>
    <w:p>
      <w:pPr>
        <w:pStyle w:val="Normal"/>
        <w:rPr/>
      </w:pPr>
      <w:r>
        <w:rPr/>
        <w:t xml:space="preserve"> </w:t>
      </w:r>
    </w:p>
    <w:p>
      <w:pPr>
        <w:pStyle w:val="Titre4"/>
        <w:numPr>
          <w:ilvl w:val="3"/>
          <w:numId w:val="2"/>
        </w:numPr>
        <w:rPr/>
      </w:pPr>
      <w:bookmarkStart w:id="191" w:name="__RefHeading___Toc297317_1346298689"/>
      <w:bookmarkEnd w:id="191"/>
      <w:r>
        <w:rPr/>
        <w:t xml:space="preserve">Delaxel 3.2 – Beslut och EU:s utrikespolitik </w:t>
      </w:r>
    </w:p>
    <w:p>
      <w:pPr>
        <w:pStyle w:val="P68B1DB1Normal15"/>
        <w:rPr/>
      </w:pPr>
      <w:r>
        <w:rPr/>
        <w:t xml:space="preserve">21. Vi rekommenderar att alla områden där beslut fattas med enhällighet nu fattas med kvalificerad majoritet. De enda undantagen bör vara nya medlemsstaters tillträde till unionen och ändring av unionens grundläggande principer som fastställs i artikel 2 i Lissabonfördraget och i Europeiska unionens stadga om de grundläggande rättigheterna. </w:t>
      </w:r>
    </w:p>
    <w:p>
      <w:pPr>
        <w:pStyle w:val="Normal"/>
        <w:rPr/>
      </w:pPr>
      <w:r>
        <w:rPr/>
        <w:t xml:space="preserve"> </w:t>
      </w:r>
    </w:p>
    <w:p>
      <w:pPr>
        <w:pStyle w:val="Normal"/>
        <w:rPr/>
      </w:pPr>
      <w:r>
        <w:rPr/>
        <w:t xml:space="preserve">Detta skulle stärka EU:s ställning i världen genom att presentera en enad front gentemot tredjeländer och underlätta dess övergripande insatskapacitet, inbegripet krishantering. </w:t>
      </w:r>
    </w:p>
    <w:p>
      <w:pPr>
        <w:pStyle w:val="Normal"/>
        <w:rPr/>
      </w:pPr>
      <w:r>
        <w:rPr/>
        <w:t xml:space="preserve"> </w:t>
      </w:r>
    </w:p>
    <w:p>
      <w:pPr>
        <w:pStyle w:val="P68B1DB1Normal15"/>
        <w:rPr/>
      </w:pPr>
      <w:r>
        <w:rPr/>
        <w:t xml:space="preserve">22. Vi rekommenderar att Europeiska unionen stärker sin kapacitet att införa sanktioner mot medlemsstater, regeringar, enheter, grupper eller organisationer och enskilda som inte respekterar dess grundläggande principer, avtal och lagar. Det är absolut nödvändigt att de sanktioner som redan finns genomförs snabbt och effektivt följs. Sanktioner mot tredjeländer bör stå i proportion till de åtgärder som utlöste dem, vara effektiva och tillämpas i tid. </w:t>
      </w:r>
    </w:p>
    <w:p>
      <w:pPr>
        <w:pStyle w:val="Normal"/>
        <w:rPr/>
      </w:pPr>
      <w:r>
        <w:rPr/>
        <w:t xml:space="preserve"> </w:t>
      </w:r>
    </w:p>
    <w:p>
      <w:pPr>
        <w:pStyle w:val="Normal"/>
        <w:rPr/>
      </w:pPr>
      <w:r>
        <w:rPr/>
        <w:t xml:space="preserve">För att EU ska vara trovärdigt och tillförlitligt måste det införa sanktioner mot dem som bryter mot dess principer. Sådana sanktioner bör tillämpas effektivt och snabbt och bör kontrolleras. </w:t>
      </w:r>
    </w:p>
    <w:p>
      <w:pPr>
        <w:pStyle w:val="Normal"/>
        <w:rPr/>
      </w:pPr>
      <w:r>
        <w:rPr/>
        <w:t xml:space="preserve"> </w:t>
      </w:r>
    </w:p>
    <w:p>
      <w:pPr>
        <w:pStyle w:val="Titre4"/>
        <w:numPr>
          <w:ilvl w:val="3"/>
          <w:numId w:val="2"/>
        </w:numPr>
        <w:rPr/>
      </w:pPr>
      <w:bookmarkStart w:id="192" w:name="__RefHeading___Toc297319_1346298689"/>
      <w:bookmarkEnd w:id="192"/>
      <w:r>
        <w:rPr/>
        <w:t xml:space="preserve">Delaxel 3.3 – Grannskapsländerna och utvidgningen </w:t>
      </w:r>
    </w:p>
    <w:p>
      <w:pPr>
        <w:pStyle w:val="P68B1DB1Normal15"/>
        <w:rPr/>
      </w:pPr>
      <w:r>
        <w:rPr/>
        <w:t xml:space="preserve">23. Vi rekommenderar att Europeiska unionen anslår en särskild budget för utvecklingen av utbildningsprogram för EU:s funktionssätt och dess värden. Dessa program kommer sedan att erbjudas medlemsstaterna om de så önskar integrera dem i sina läroplaner (primär- och gymnasieutbildning och universitet). Dessutom skulle en särskild kurs om EU och dess funktion kunna erbjudas studenter som vill studera i ett annat europeiskt land genom Erasmusprogrammet. Studenter som väljer denna kurs skulle prioriteras för att dra nytta av dessa Erasmusprogram. </w:t>
      </w:r>
    </w:p>
    <w:p>
      <w:pPr>
        <w:pStyle w:val="Normal"/>
        <w:rPr/>
      </w:pPr>
      <w:r>
        <w:rPr/>
        <w:t xml:space="preserve"> </w:t>
      </w:r>
    </w:p>
    <w:p>
      <w:pPr>
        <w:pStyle w:val="Normal"/>
        <w:rPr/>
      </w:pPr>
      <w:r>
        <w:rPr/>
        <w:t xml:space="preserve">Vi rekommenderar dessa åtgärder för att öka känslan av att tillhöra EU. På så sätt kommer medborgarna att bättre identifiera sig med unionen och förmedla sina värderingar. Dessutom kommer dessa åtgärder att förbättra insynen i EU:s funktionssätt och fördelarna med att vara en del av det samt kampen mot antieuropeiska rörelser. Dessa åtgärder bör avskräcka medlemsstaterna från att lämna EU. </w:t>
      </w:r>
    </w:p>
    <w:p>
      <w:pPr>
        <w:pStyle w:val="Normal"/>
        <w:rPr/>
      </w:pPr>
      <w:r>
        <w:rPr/>
        <w:t xml:space="preserve"> </w:t>
      </w:r>
    </w:p>
    <w:p>
      <w:pPr>
        <w:pStyle w:val="P68B1DB1Normal15"/>
        <w:rPr/>
      </w:pPr>
      <w:r>
        <w:rPr/>
        <w:t xml:space="preserve">24. Vi rekommenderar att EU i större utsträckning utnyttjar sin politiska och ekonomiska tyngd i sina förbindelser med andra länder för att förhindra att vissa medlemsstater utsätts för bilaterala ekonomiska, politiska och sociala påtryckningar. </w:t>
      </w:r>
    </w:p>
    <w:p>
      <w:pPr>
        <w:pStyle w:val="Normal"/>
        <w:rPr/>
      </w:pPr>
      <w:r>
        <w:rPr/>
        <w:t xml:space="preserve"> </w:t>
      </w:r>
    </w:p>
    <w:p>
      <w:pPr>
        <w:pStyle w:val="Normal"/>
        <w:rPr/>
      </w:pPr>
      <w:r>
        <w:rPr/>
        <w:t xml:space="preserve">Vi rekommenderar dessa åtgärder av tre skäl. Först och främst kommer de att stärka känslan av enighet inom EU. För det andra kommer en ensidig reaktion att bli en tydlig, stark och snabb reaktion för att undvika att tredjeländer försöker översitta eller slå ner EU:s medlemsländer. Slutligen kommer de att stärka unionens säkerhet och se till att ingen medlemsstat känner sig övergiven eller ignorerad. Bilaterala reaktioner splittrar EU och är en svaghet som tredjeländer använder mot oss. </w:t>
      </w:r>
    </w:p>
    <w:p>
      <w:pPr>
        <w:pStyle w:val="Normal"/>
        <w:rPr/>
      </w:pPr>
      <w:r>
        <w:rPr/>
        <w:t xml:space="preserve"> </w:t>
      </w:r>
    </w:p>
    <w:p>
      <w:pPr>
        <w:pStyle w:val="P68B1DB1Normal15"/>
        <w:rPr/>
      </w:pPr>
      <w:r>
        <w:rPr/>
        <w:t xml:space="preserve">25. ”Vi rekommenderar att unionen förbättrar sin kommunikationsstrategi”. Å ena sidan bör EU öka sin synlighet på sociala nätverk och aktivt främja sitt innehåll. Å andra sidan bör man fortsätta att anordna konferenser som konferensen om Europas framtid varje år. Vi rekommenderar också att den fortsätter att uppmuntra innovation genom att främja ett tillgängligt europeiskt socialt nätverk. </w:t>
      </w:r>
    </w:p>
    <w:p>
      <w:pPr>
        <w:pStyle w:val="Normal"/>
        <w:rPr/>
      </w:pPr>
      <w:r>
        <w:rPr/>
        <w:t xml:space="preserve"> </w:t>
      </w:r>
    </w:p>
    <w:p>
      <w:pPr>
        <w:pStyle w:val="Normal"/>
        <w:rPr/>
      </w:pPr>
      <w:r>
        <w:rPr/>
        <w:t xml:space="preserve">Dessa förslag skulle inte bara nå ungdomar utan också öka EU-medborgarnas intresse och deltagande genom ett mer attraktivt och effektivt kommunikationsverktyg. Anordnandet av evenemang, såsom konferensen om Europas framtid, bör göra det möjligt för medborgarna att bli mer delaktiga i beslutsprocessen och se till att deras röster hörs. </w:t>
      </w:r>
    </w:p>
    <w:p>
      <w:pPr>
        <w:pStyle w:val="Normal"/>
        <w:rPr/>
      </w:pPr>
      <w:r>
        <w:rPr/>
        <w:t xml:space="preserve"> </w:t>
      </w:r>
    </w:p>
    <w:p>
      <w:pPr>
        <w:pStyle w:val="P68B1DB1Normal15"/>
        <w:rPr/>
      </w:pPr>
      <w:r>
        <w:rPr/>
        <w:t xml:space="preserve">26. Vi rekommenderar att medlemsstaterna antar en stark vision och en gemensam strategi för att harmonisera och befästa den europeiska identiteten och den europeiska enigheten innan unionen utvidgas ytterligare. </w:t>
      </w:r>
    </w:p>
    <w:p>
      <w:pPr>
        <w:pStyle w:val="Normal"/>
        <w:rPr/>
      </w:pPr>
      <w:r>
        <w:rPr/>
        <w:t xml:space="preserve"> </w:t>
      </w:r>
    </w:p>
    <w:p>
      <w:pPr>
        <w:pStyle w:val="Normal"/>
        <w:rPr/>
      </w:pPr>
      <w:r>
        <w:rPr/>
        <w:t xml:space="preserve">Vi anser att det är viktigt att stärka EU och stärka förbindelserna mellan medlemsstaterna innan man överväger integrationen av andra länder. Ju fler medlemsstater i EU, desto mer komplicerat beslutsprocessen, därför är det viktigt att se över enhälliga omröstningar i beslutsprocesserna. </w:t>
      </w:r>
    </w:p>
    <w:p>
      <w:pPr>
        <w:pStyle w:val="Normal"/>
        <w:rPr/>
      </w:pPr>
      <w:r>
        <w:rPr/>
        <w:t xml:space="preserve"> </w:t>
      </w:r>
    </w:p>
    <w:p>
      <w:pPr>
        <w:pStyle w:val="Titre3"/>
        <w:numPr>
          <w:ilvl w:val="2"/>
          <w:numId w:val="2"/>
        </w:numPr>
        <w:rPr/>
      </w:pPr>
      <w:bookmarkStart w:id="193" w:name="__RefHeading___Toc297321_1346298689"/>
      <w:bookmarkEnd w:id="193"/>
      <w:r>
        <w:rPr/>
        <w:t xml:space="preserve">Axel 4: Migration ur ett mänskligt perspektiv </w:t>
      </w:r>
    </w:p>
    <w:p>
      <w:pPr>
        <w:pStyle w:val="Titre4"/>
        <w:numPr>
          <w:ilvl w:val="3"/>
          <w:numId w:val="2"/>
        </w:numPr>
        <w:rPr/>
      </w:pPr>
      <w:bookmarkStart w:id="194" w:name="__RefHeading___Toc297323_1346298689"/>
      <w:bookmarkEnd w:id="194"/>
      <w:r>
        <w:rPr/>
        <w:t xml:space="preserve">Delaxel 4.1 – Att ta itu med orsakerna till utvandringen </w:t>
      </w:r>
    </w:p>
    <w:p>
      <w:pPr>
        <w:pStyle w:val="P68B1DB1Normal15"/>
        <w:rPr/>
      </w:pPr>
      <w:r>
        <w:rPr/>
        <w:t xml:space="preserve">27. Vi rekommenderar att Europeiska unionen aktivt deltar i den ekonomiska utvecklingen i tredjeländer och länder från vilka de största migrationsströmmarna kommer. Med hjälp av relevanta organ (lokala icke-statliga organisationer och lokala politiker, sakkunniga fältarbetare osv.) bör EU söka efter sätt att ingripa fredligt och effektivt i länder där de största migrationsströmmarna har sitt ursprung och som har samtyckt till samarbetsformerna. Dessa insatser bör ha konkreta och mätbara effekter, vilket tydligt bör betonas så att EU-medborgarna kan förstå unionens politik för utvecklingsbistånd. EU:s utvecklingsbiståndsåtgärder bör därför bli mer synliga. </w:t>
      </w:r>
    </w:p>
    <w:p>
      <w:pPr>
        <w:pStyle w:val="Normal"/>
        <w:rPr/>
      </w:pPr>
      <w:r>
        <w:rPr/>
        <w:t xml:space="preserve"> </w:t>
      </w:r>
    </w:p>
    <w:p>
      <w:pPr>
        <w:pStyle w:val="Normal"/>
        <w:rPr/>
      </w:pPr>
      <w:r>
        <w:rPr/>
        <w:t xml:space="preserve">Även om EU arbetar med internationell utveckling måste EU fortsätta sina åtgärder och investera i öppenheten och synligheten i sin politik på detta område. </w:t>
      </w:r>
    </w:p>
    <w:p>
      <w:pPr>
        <w:pStyle w:val="Normal"/>
        <w:rPr/>
      </w:pPr>
      <w:r>
        <w:rPr/>
        <w:t xml:space="preserve"> </w:t>
      </w:r>
    </w:p>
    <w:p>
      <w:pPr>
        <w:pStyle w:val="P68B1DB1Normal15"/>
        <w:rPr/>
      </w:pPr>
      <w:r>
        <w:rPr/>
        <w:t xml:space="preserve">28. Vi rekommenderar att man inrättar en gemensam europeisk ram för harmonisering av arbetsvillkoren i hela unionen (minimilön, arbetstid osv.). EU bör sträva efter att skapa gemensamma grundläggande arbetsnormer för att hindra medborgare från att lämna sitt land för att söka bättre arbetsvillkor någon annanstans. Inom ramen för dessa standarder bör EU stärka fackföreningarnas roll på transnationell nivå genom att göra det möjligt för EU att erkänna att intern ekonomisk migration (invandring av EU-medborgare) är ett allvarligt problem. </w:t>
      </w:r>
    </w:p>
    <w:p>
      <w:pPr>
        <w:pStyle w:val="Normal"/>
        <w:rPr/>
      </w:pPr>
      <w:r>
        <w:rPr/>
        <w:t xml:space="preserve"> </w:t>
      </w:r>
    </w:p>
    <w:p>
      <w:pPr>
        <w:pStyle w:val="Normal"/>
        <w:rPr/>
      </w:pPr>
      <w:r>
        <w:rPr/>
        <w:t xml:space="preserve">Denna rekommendation härrör från konstaterandet att ett stort antal människor i EU migrerar av ekonomiska skäl, på grund av skillnaderna i arbetsvillkor mellan medlemsstaterna. Det är nödvändigt att förhindra denna kompetensflykt så att medlemsstaterna behåller sina talanger och sin arbetskraft Vi stöder den fria rörligheten för medborgare, men anser att migrationen av EU-medborgare mellan de olika medlemsstaterna, när så inte önskas, beror på ekonomiska skäl. Därför är det viktigt att skapa en gemensam ram för arbetet. </w:t>
      </w:r>
    </w:p>
    <w:p>
      <w:pPr>
        <w:pStyle w:val="Normal"/>
        <w:rPr/>
      </w:pPr>
      <w:r>
        <w:rPr/>
        <w:t xml:space="preserve"> </w:t>
      </w:r>
    </w:p>
    <w:p>
      <w:pPr>
        <w:pStyle w:val="Titre4"/>
        <w:numPr>
          <w:ilvl w:val="3"/>
          <w:numId w:val="2"/>
        </w:numPr>
        <w:rPr/>
      </w:pPr>
      <w:bookmarkStart w:id="195" w:name="__RefHeading___Toc297325_1346298689"/>
      <w:bookmarkEnd w:id="195"/>
      <w:r>
        <w:rPr/>
        <w:t xml:space="preserve">Delaxel 4.2 – Mänskliga överväganden </w:t>
      </w:r>
    </w:p>
    <w:p>
      <w:pPr>
        <w:pStyle w:val="P68B1DB1Normal15"/>
        <w:rPr/>
      </w:pPr>
      <w:r>
        <w:rPr/>
        <w:t xml:space="preserve">29. Vi rekommenderar att man genomför en gemensam migrationspolitik som bygger på solidaritetsprincipen. Vi vill ha fokus på flyktingproblemet. Ett gemensamt förfarande för alla EU-medlemsstater bör baseras på de effektivaste metoderna i alla EU-länder. Detta förfarande bör genomföras proaktivt av de nationella myndigheterna och av EU:s administration. </w:t>
      </w:r>
    </w:p>
    <w:p>
      <w:pPr>
        <w:pStyle w:val="Normal"/>
        <w:rPr/>
      </w:pPr>
      <w:r>
        <w:rPr/>
        <w:t xml:space="preserve"> </w:t>
      </w:r>
    </w:p>
    <w:p>
      <w:pPr>
        <w:pStyle w:val="Normal"/>
        <w:rPr/>
      </w:pPr>
      <w:r>
        <w:rPr/>
        <w:t xml:space="preserve">Flyktingproblemet påverkar alla medlemsländer. För närvarande har dessa stater alltför olika metoder, med negativa effekter för flyktingar och EU-medborgare. Det är därför nödvändigt att anta ett enhetligt och konsekvent tillvägagångssätt. </w:t>
      </w:r>
    </w:p>
    <w:p>
      <w:pPr>
        <w:pStyle w:val="Normal"/>
        <w:rPr/>
      </w:pPr>
      <w:r>
        <w:rPr/>
        <w:t xml:space="preserve"> </w:t>
      </w:r>
    </w:p>
    <w:p>
      <w:pPr>
        <w:pStyle w:val="P68B1DB1Normal15"/>
        <w:rPr/>
      </w:pPr>
      <w:r>
        <w:rPr/>
        <w:t xml:space="preserve">30. Vi rekommenderar att EU ökar sina insatser för att informera och utbilda medlemsstaternas medborgare i migrationsrelaterade frågor. Detta bör uppnås genom utbildning av barn så tidigt som möjligt från början av grundskolan i ämnen som migration och integration. Om vi kombinerar denna tidiga utbildning med icke-statliga organisationers och ungdomsorganisationers verksamhet, samt med storskaliga mediekampanjer, skulle vi till fullo kunna uppnå vårt mål. Dessutom skulle många kommunikationsmedier kunna användas: broschyrer, tv och sociala nätverk bland annat. </w:t>
      </w:r>
    </w:p>
    <w:p>
      <w:pPr>
        <w:pStyle w:val="Normal"/>
        <w:rPr/>
      </w:pPr>
      <w:r>
        <w:rPr/>
        <w:t xml:space="preserve"> </w:t>
      </w:r>
    </w:p>
    <w:p>
      <w:pPr>
        <w:pStyle w:val="Normal"/>
        <w:rPr/>
      </w:pPr>
      <w:r>
        <w:rPr/>
        <w:t xml:space="preserve">Det är viktigt att visa att migrationen också har många positiva aspekter, t.ex. den extra arbetskraften. Vi vill betona vikten av att öka medvetenheten om båda processerna, så att medborgarna förstår migrationens orsaker och konsekvenser för att eliminera det stigma som uppstår av att uppfattas som invandrare. </w:t>
      </w:r>
    </w:p>
    <w:p>
      <w:pPr>
        <w:pStyle w:val="Normal"/>
        <w:rPr/>
      </w:pPr>
      <w:r>
        <w:rPr/>
        <w:t xml:space="preserve"> </w:t>
      </w:r>
    </w:p>
    <w:p>
      <w:pPr>
        <w:pStyle w:val="Titre4"/>
        <w:numPr>
          <w:ilvl w:val="3"/>
          <w:numId w:val="2"/>
        </w:numPr>
        <w:rPr/>
      </w:pPr>
      <w:bookmarkStart w:id="196" w:name="__RefHeading___Toc297327_1346298689"/>
      <w:bookmarkEnd w:id="196"/>
      <w:r>
        <w:rPr/>
        <w:t xml:space="preserve">Delaxel 4.3 – Gränser </w:t>
      </w:r>
    </w:p>
    <w:p>
      <w:pPr>
        <w:pStyle w:val="P68B1DB1Normal15"/>
        <w:rPr/>
      </w:pPr>
      <w:r>
        <w:rPr/>
        <w:t xml:space="preserve">31. Vi rekommenderar att direktiv 2013/33/EU om miniminormer för mottagande av asylsökande i medlemsstaterna ersätts av en obligatorisk EU-förordning som kommer att tillämpas enhetligt i alla medlemsstater. Förbättring av mottagnings- och inkvarteringsanläggningar bör prioriteras. Vi rekommenderar att det inrättas ett särskilt EU-övervakningsorgan för genomförandet av förordningen. </w:t>
      </w:r>
    </w:p>
    <w:p>
      <w:pPr>
        <w:pStyle w:val="Normal"/>
        <w:rPr/>
      </w:pPr>
      <w:r>
        <w:rPr/>
        <w:t xml:space="preserve"> </w:t>
      </w:r>
    </w:p>
    <w:p>
      <w:pPr>
        <w:pStyle w:val="Normal"/>
        <w:rPr/>
      </w:pPr>
      <w:r>
        <w:rPr/>
        <w:t xml:space="preserve">Direktivet genomförs inte enhetligt i alla medlemsstater. Vi måste undvika att upprepa de förhållanden som observerats i flyktinglägret Moria. Den rekommenderade förordningen bör därför genomföras och omfatta obligatoriska sanktioner. Övervakningsorganet bör vara robust och tillförlitligt. </w:t>
      </w:r>
    </w:p>
    <w:p>
      <w:pPr>
        <w:pStyle w:val="Normal"/>
        <w:rPr/>
      </w:pPr>
      <w:r>
        <w:rPr/>
        <w:t xml:space="preserve"> </w:t>
      </w:r>
    </w:p>
    <w:p>
      <w:pPr>
        <w:pStyle w:val="P68B1DB1Normal15"/>
        <w:rPr/>
      </w:pPr>
      <w:r>
        <w:rPr/>
        <w:t xml:space="preserve">32. Vi rekommenderar att EU ser till att alla asylsökande och flyktingar tar språk- och integrationskurser medan deras ansökan om uppehållstillstånd prövas. Kurser bör vara obligatoriska, kostnadsfria och inkludera personlig assistans för inledande integration. De bör börja inom två veckor efter ansökan om uppehållstillstånd. Incitaments- och sanktionsmekanismer bör också införas. </w:t>
      </w:r>
    </w:p>
    <w:p>
      <w:pPr>
        <w:pStyle w:val="Normal"/>
        <w:rPr/>
      </w:pPr>
      <w:r>
        <w:rPr/>
        <w:t xml:space="preserve"> </w:t>
      </w:r>
    </w:p>
    <w:p>
      <w:pPr>
        <w:pStyle w:val="Normal"/>
        <w:rPr/>
      </w:pPr>
      <w:r>
        <w:rPr/>
        <w:t xml:space="preserve">Att lära sig språket och förstå kulturen, historien och etiken i ankomstlandet är ett viktigt steg i integrationen. Förseningens längd innan den inledande integrationsprocessen inleds har en negativ inverkan på den sociala assimileringen av migranter. Sanktionsmekanismer kan bidra till att identifiera migranternas vilja att integrera sig. </w:t>
      </w:r>
    </w:p>
    <w:p>
      <w:pPr>
        <w:pStyle w:val="Normal"/>
        <w:rPr/>
      </w:pPr>
      <w:r>
        <w:rPr/>
        <w:t xml:space="preserve"> </w:t>
      </w:r>
    </w:p>
    <w:p>
      <w:pPr>
        <w:pStyle w:val="Titre3"/>
        <w:numPr>
          <w:ilvl w:val="2"/>
          <w:numId w:val="2"/>
        </w:numPr>
        <w:rPr/>
      </w:pPr>
      <w:bookmarkStart w:id="197" w:name="__RefHeading___Toc297329_1346298689"/>
      <w:bookmarkEnd w:id="197"/>
      <w:r>
        <w:rPr/>
        <w:t xml:space="preserve">Axel 5: Ansvar och solidaritet i EU </w:t>
      </w:r>
    </w:p>
    <w:p>
      <w:pPr>
        <w:pStyle w:val="Titre4"/>
        <w:numPr>
          <w:ilvl w:val="3"/>
          <w:numId w:val="2"/>
        </w:numPr>
        <w:rPr/>
      </w:pPr>
      <w:bookmarkStart w:id="198" w:name="__RefHeading___Toc297331_1346298689"/>
      <w:bookmarkEnd w:id="198"/>
      <w:r>
        <w:rPr/>
        <w:t xml:space="preserve">Delaxel 5.1 – Fördelning av migranter </w:t>
      </w:r>
    </w:p>
    <w:p>
      <w:pPr>
        <w:pStyle w:val="P68B1DB1Normal15"/>
        <w:rPr/>
      </w:pPr>
      <w:r>
        <w:rPr/>
        <w:t xml:space="preserve">33. Vi rekommenderar att Dublinsystemet ersätts med ett rättsligt bindande fördrag för att säkerställa en rättvis, balanserad och proportionerlig fördelning av asylsökande i EU på grundval av solidaritet och rättvisa. För närvarande är flyktingar skyldiga att ansöka om asyl i den första ankomstmedlemsstaten. Denna systemförändring måste ske så snabbt som möjligt. Kommissionens förslag till en ny EU-pakt för migration och asyl från 2020 är en bra start och bör ha en rättslig form, eftersom det innehåller kvoter för fördelningen av flyktingar mellan EU:s medlemsstater. </w:t>
      </w:r>
    </w:p>
    <w:p>
      <w:pPr>
        <w:pStyle w:val="Normal"/>
        <w:rPr/>
      </w:pPr>
      <w:r>
        <w:rPr/>
        <w:t xml:space="preserve"> </w:t>
      </w:r>
    </w:p>
    <w:p>
      <w:pPr>
        <w:pStyle w:val="Normal"/>
        <w:rPr/>
      </w:pPr>
      <w:r>
        <w:rPr/>
        <w:t xml:space="preserve">Vi rekommenderar detta eftersom det nuvarande Dublinsystemet inte respekterar principerna om solidaritet och rättvisa. Det lägger en tung börda på de medlemsstater nära EU:s yttre gränser som asylsökande passerar för att komma in på dess territorium. Alla medlemsstater måste ta ansvar för att hantera flyktingströmmarna till EU. EU är en gemenskap av gemensamma värderingar och måste agera i enlighet med detta. </w:t>
      </w:r>
    </w:p>
    <w:p>
      <w:pPr>
        <w:pStyle w:val="Normal"/>
        <w:rPr/>
      </w:pPr>
      <w:r>
        <w:rPr/>
        <w:t xml:space="preserve"> </w:t>
      </w:r>
    </w:p>
    <w:p>
      <w:pPr>
        <w:pStyle w:val="P68B1DB1Normal15"/>
        <w:rPr/>
      </w:pPr>
      <w:r>
        <w:rPr/>
        <w:t xml:space="preserve">34. Vi rekommenderar att EU hjälper sina medlemsstater att behandla asylansökningar snabbare och i enlighet med gemensamma normer. Dessutom bör humanitära bostäder tillhandahållas flyktingar. För att lossa ankomstländerna och kunna behandla sina asylansökningar på annat håll rekommenderar vi att flyktingar omplaceras snabbt och effektivt till de olika medlemsstaterna efter deras första ankomst till EU. Därför behövs ekonomiskt stöd från EU och organisatoriskt stöd från EU:s asylbyrå. Personer vars asylansökan har avslagits måste återsändas till sitt ursprungsland på ett effektivt sätt, förutsatt att deras ursprungsland anses vara säkert. </w:t>
      </w:r>
    </w:p>
    <w:p>
      <w:pPr>
        <w:pStyle w:val="Normal"/>
        <w:rPr/>
      </w:pPr>
      <w:r>
        <w:rPr/>
        <w:t xml:space="preserve"> </w:t>
      </w:r>
    </w:p>
    <w:p>
      <w:pPr>
        <w:pStyle w:val="Normal"/>
        <w:rPr/>
      </w:pPr>
      <w:r>
        <w:rPr/>
        <w:t xml:space="preserve">Vi rekommenderar detta eftersom asylförfarandena för närvarande tar för lång tid och kan skilja sig från en medlemsstat till en annan. Genom att påskynda asylförfarandena lägger flyktingarna mindre tid på att vänta på ett slutligt beslut i tillfälliga inkvarteringsanläggningar. Asylsökande kan integreras snabbare. </w:t>
      </w:r>
    </w:p>
    <w:p>
      <w:pPr>
        <w:pStyle w:val="Normal"/>
        <w:rPr/>
      </w:pPr>
      <w:r>
        <w:rPr/>
        <w:t xml:space="preserve"> </w:t>
      </w:r>
    </w:p>
    <w:p>
      <w:pPr>
        <w:pStyle w:val="P68B1DB1Normal15"/>
        <w:rPr/>
      </w:pPr>
      <w:r>
        <w:rPr/>
        <w:t xml:space="preserve">35. Vi rekommenderar starkt ekonomiskt, logistiskt och operativt stöd från EU till förvaltningen av den första mottagningen, vilket kan leda till integration eller återsändande av irreguljära migranter. Mottagarna av detta stöd är EU:s gränsstater som bär bördan av migrationsströmmen. </w:t>
      </w:r>
    </w:p>
    <w:p>
      <w:pPr>
        <w:pStyle w:val="Normal"/>
        <w:rPr/>
      </w:pPr>
      <w:r>
        <w:rPr/>
        <w:t xml:space="preserve"> </w:t>
      </w:r>
    </w:p>
    <w:p>
      <w:pPr>
        <w:pStyle w:val="Normal"/>
        <w:rPr/>
      </w:pPr>
      <w:r>
        <w:rPr/>
        <w:t xml:space="preserve">På grund av sitt geografiska läge påverkas vissa </w:t>
      </w:r>
      <w:r>
        <w:rPr/>
        <w:commentReference w:id="8"/>
      </w:r>
      <w:r>
        <w:rPr/>
        <w:t xml:space="preserve"> medlemsstater mest av tillströmningen av migranter. </w:t>
      </w:r>
    </w:p>
    <w:p>
      <w:pPr>
        <w:pStyle w:val="Normal"/>
        <w:rPr/>
      </w:pPr>
      <w:r>
        <w:rPr/>
        <w:t xml:space="preserve"> </w:t>
      </w:r>
    </w:p>
    <w:p>
      <w:pPr>
        <w:pStyle w:val="P68B1DB1Normal15"/>
        <w:rPr/>
      </w:pPr>
      <w:r>
        <w:rPr/>
        <w:t xml:space="preserve">36. Vi rekommenderar att man stärker mandatet för EU:s asylbyrå för att uppnå en rättvis fördelning av asylsökande mellan medlemsstaterna. För att uppnå detta bör hänsyn tas till dessa asylsökandes behov samt medlemsstaternas logistiska och ekonomiska kapacitet och deras behov på arbetsmarknaden. </w:t>
      </w:r>
    </w:p>
    <w:p>
      <w:pPr>
        <w:pStyle w:val="Normal"/>
        <w:rPr/>
      </w:pPr>
      <w:r>
        <w:rPr/>
        <w:t xml:space="preserve"> </w:t>
      </w:r>
    </w:p>
    <w:p>
      <w:pPr>
        <w:pStyle w:val="Normal"/>
        <w:rPr/>
      </w:pPr>
      <w:r>
        <w:rPr/>
        <w:t xml:space="preserve">En samordnad och centraliserad fördelning av asylsökande, som medlemsstaterna och deras medborgare anser vara rättvis, undviker kaotiska situationer och sociala spänningar och stärker solidariteten mellan medlemsstaterna. </w:t>
      </w:r>
    </w:p>
    <w:p>
      <w:pPr>
        <w:pStyle w:val="Normal"/>
        <w:rPr/>
      </w:pPr>
      <w:r>
        <w:rPr/>
        <w:t xml:space="preserve"> </w:t>
      </w:r>
    </w:p>
    <w:p>
      <w:pPr>
        <w:pStyle w:val="Titre4"/>
        <w:numPr>
          <w:ilvl w:val="3"/>
          <w:numId w:val="2"/>
        </w:numPr>
        <w:rPr/>
      </w:pPr>
      <w:bookmarkStart w:id="199" w:name="__RefHeading___Toc297333_1346298689"/>
      <w:bookmarkEnd w:id="199"/>
      <w:r>
        <w:rPr/>
        <w:t xml:space="preserve">Delaxel 5.2 – Gemensam asylstrategi </w:t>
      </w:r>
    </w:p>
    <w:p>
      <w:pPr>
        <w:pStyle w:val="P68B1DB1Normal15"/>
        <w:rPr/>
      </w:pPr>
      <w:r>
        <w:rPr/>
        <w:t xml:space="preserve">37. Vi rekommenderar att man inrättar en heltäckande EU-institution eller stärker EU:s asylbyrå så att den kan behandla asylansökningar för hela Europeiska unionen och agera på grundval av enhetliga standarder. Byrån bör också ansvara för fördelningen av flyktingar på ett rättvist sätt. Den bör också definiera säkra och osäkra ursprungsländer och ansvara för återvändandet av asylsökande vars ansökningar har avslagits. </w:t>
      </w:r>
    </w:p>
    <w:p>
      <w:pPr>
        <w:pStyle w:val="Normal"/>
        <w:rPr/>
      </w:pPr>
      <w:r>
        <w:rPr/>
        <w:t xml:space="preserve"> </w:t>
      </w:r>
    </w:p>
    <w:p>
      <w:pPr>
        <w:pStyle w:val="Normal"/>
        <w:rPr/>
      </w:pPr>
      <w:r>
        <w:rPr/>
        <w:t xml:space="preserve">Den nuvarande asylpolitiken kännetecknas av otydliga ansvarsområden och olika standarder mellan EU:s medlemsstater. Behandlingen av asylförfarandena är därför inte densamma i de olika medlemsstaterna. Dessutom har Europeiska unionens asylbyrå för närvarande bara inflytande. Den kan endast ge råd till medlemsstaterna i asylfrågor. </w:t>
      </w:r>
    </w:p>
    <w:p>
      <w:pPr>
        <w:pStyle w:val="Normal"/>
        <w:rPr/>
      </w:pPr>
      <w:r>
        <w:rPr/>
        <w:t xml:space="preserve"> </w:t>
      </w:r>
    </w:p>
    <w:p>
      <w:pPr>
        <w:pStyle w:val="P68B1DB1Normal15"/>
        <w:rPr/>
      </w:pPr>
      <w:r>
        <w:rPr/>
        <w:t xml:space="preserve">38. Vi rekommenderar att man utan dröjsmål inrättar specialiserade asylcentrum för ensamkommande barn i alla EU:s medlemsstater. Syftet är att välkomna och ta hand om minderåriga enligt deras särskilda behov och så snart som möjligt. </w:t>
      </w:r>
    </w:p>
    <w:p>
      <w:pPr>
        <w:pStyle w:val="Normal"/>
        <w:rPr/>
      </w:pPr>
      <w:r>
        <w:rPr/>
        <w:t xml:space="preserve"> </w:t>
      </w:r>
    </w:p>
    <w:p>
      <w:pPr>
        <w:pStyle w:val="Normal"/>
        <w:rPr/>
      </w:pPr>
      <w:r>
        <w:rPr/>
        <w:t xml:space="preserve">Vi gör denna rekommendation eftersom: </w:t>
      </w:r>
    </w:p>
    <w:p>
      <w:pPr>
        <w:pStyle w:val="Normal"/>
        <w:rPr/>
      </w:pPr>
      <w:r>
        <w:rPr/>
        <w:t xml:space="preserve">1) Många minderåriga kommer sannolikt att bli traumatiserade (eftersom de kommer från konfliktområden); </w:t>
      </w:r>
    </w:p>
    <w:p>
      <w:pPr>
        <w:pStyle w:val="Normal"/>
        <w:rPr/>
      </w:pPr>
      <w:r>
        <w:rPr/>
        <w:t xml:space="preserve">2) Olika barn har olika behov (beroende på ålder, hälsa osv.). </w:t>
      </w:r>
    </w:p>
    <w:p>
      <w:pPr>
        <w:pStyle w:val="Normal"/>
        <w:rPr/>
      </w:pPr>
      <w:r>
        <w:rPr/>
        <w:t xml:space="preserve">(3) Om det genomförs skulle det säkerställa att utsatta och traumatiserade minderåriga får all nödvändig vård så snart som möjligt. </w:t>
      </w:r>
    </w:p>
    <w:p>
      <w:pPr>
        <w:pStyle w:val="Normal"/>
        <w:rPr/>
      </w:pPr>
      <w:r>
        <w:rPr/>
        <w:t xml:space="preserve">Dessa minderåriga är framtida EU-medborgare och bör därför, om de behandlas på rätt sätt, bidra positivt till Europas framtid. </w:t>
      </w:r>
    </w:p>
    <w:p>
      <w:pPr>
        <w:pStyle w:val="Normal"/>
        <w:rPr/>
      </w:pPr>
      <w:r>
        <w:rPr/>
        <w:t xml:space="preserve"> </w:t>
      </w:r>
    </w:p>
    <w:p>
      <w:pPr>
        <w:pStyle w:val="P68B1DB1Normal15"/>
        <w:rPr/>
      </w:pPr>
      <w:r>
        <w:rPr/>
        <w:t xml:space="preserve">39. Vi rekommenderar att det inrättas ett gemensamt, snabbt och öppet system för handläggning av asylansökningar. Denna process bör innehålla miniminormer och tillämpas på samma sätt i alla medlemsstater. </w:t>
      </w:r>
    </w:p>
    <w:p>
      <w:pPr>
        <w:pStyle w:val="Normal"/>
        <w:rPr/>
      </w:pPr>
      <w:r>
        <w:rPr/>
        <w:t xml:space="preserve"> </w:t>
      </w:r>
    </w:p>
    <w:p>
      <w:pPr>
        <w:pStyle w:val="Normal"/>
        <w:rPr/>
      </w:pPr>
      <w:r>
        <w:rPr/>
        <w:t xml:space="preserve">Vi gör denna rekommendation eftersom: </w:t>
      </w:r>
    </w:p>
    <w:p>
      <w:pPr>
        <w:pStyle w:val="Normal"/>
        <w:rPr/>
      </w:pPr>
      <w:r>
        <w:rPr/>
        <w:t xml:space="preserve">(1) Om denna rekommendation genomförs skulle behandlingen av asylansökningar ske snabbare och öppnare. </w:t>
      </w:r>
    </w:p>
    <w:p>
      <w:pPr>
        <w:pStyle w:val="Normal"/>
        <w:rPr/>
      </w:pPr>
      <w:r>
        <w:rPr/>
        <w:t xml:space="preserve">2) de nuvarande förfarandenas långsammahet leder till olaglighet och brottslighet, </w:t>
      </w:r>
    </w:p>
    <w:p>
      <w:pPr>
        <w:pStyle w:val="Normal"/>
        <w:rPr/>
      </w:pPr>
      <w:r>
        <w:rPr/>
        <w:t xml:space="preserve">3) De miniminormer som anges i vår rekommendation bör omfatta respekten för de mänskliga rättigheterna, hälsan och de asylsökandes utbildningsbehov. </w:t>
      </w:r>
    </w:p>
    <w:p>
      <w:pPr>
        <w:pStyle w:val="Normal"/>
        <w:rPr/>
      </w:pPr>
      <w:r>
        <w:rPr/>
        <w:t xml:space="preserve">4) Genomförandet av denna rekommendation skulle leda till bättre tillgång till sysselsättning och självförsörjning, vilket skulle möjliggöra ett positivt bidrag till det europeiska samhället. asylsökande vars yrkesstatus regleras är mindre benägna att missbrukas i deras arbetsmiljö. detta skulle endast kunna främja integrationen av alla berörda parter. </w:t>
      </w:r>
    </w:p>
    <w:p>
      <w:pPr>
        <w:pStyle w:val="Normal"/>
        <w:rPr/>
      </w:pPr>
      <w:r>
        <w:rPr/>
        <w:t xml:space="preserve">5) Förlängt vistelser på asylcentrum har en negativ inverkan på de boendes psykiska hälsa och välbefinnande. </w:t>
      </w:r>
    </w:p>
    <w:p>
      <w:pPr>
        <w:pStyle w:val="Normal"/>
        <w:rPr/>
      </w:pPr>
      <w:r>
        <w:rPr/>
        <w:t xml:space="preserve"> </w:t>
      </w:r>
    </w:p>
    <w:p>
      <w:pPr>
        <w:pStyle w:val="P68B1DB1Normal15"/>
        <w:rPr/>
      </w:pPr>
      <w:r>
        <w:rPr/>
        <w:t xml:space="preserve">40. Vi rekommenderar starkt en omfattande översyn av alla avtal och lagstiftning som reglerar asyl och invandring i Europa. Vi rekommenderar att man antar en strategi för hela Europa. </w:t>
      </w:r>
    </w:p>
    <w:p>
      <w:pPr>
        <w:pStyle w:val="Normal"/>
        <w:rPr/>
      </w:pPr>
      <w:r>
        <w:rPr/>
        <w:t xml:space="preserve"> </w:t>
      </w:r>
    </w:p>
    <w:p>
      <w:pPr>
        <w:pStyle w:val="Normal"/>
        <w:rPr/>
      </w:pPr>
      <w:r>
        <w:rPr/>
        <w:t xml:space="preserve">Vi gör denna rekommendation eftersom: </w:t>
      </w:r>
    </w:p>
    <w:p>
      <w:pPr>
        <w:pStyle w:val="Normal"/>
        <w:rPr/>
      </w:pPr>
      <w:r>
        <w:rPr/>
        <w:t xml:space="preserve">1) sedan 2015 är alla nuvarande avtal inte tillämpliga, opraktiska och olämpliga, </w:t>
      </w:r>
    </w:p>
    <w:p>
      <w:pPr>
        <w:pStyle w:val="Normal"/>
        <w:rPr/>
      </w:pPr>
      <w:r>
        <w:rPr/>
        <w:t xml:space="preserve">2) EU bör betraktas som den viktigaste ”myndigheten”, som övervakar alla andra organ och icke-statliga organisationer vars uppgift är att direkt hantera asylfrågor. </w:t>
      </w:r>
    </w:p>
    <w:p>
      <w:pPr>
        <w:pStyle w:val="Normal"/>
        <w:rPr/>
      </w:pPr>
      <w:r>
        <w:rPr/>
        <w:t xml:space="preserve">(3) De medlemsstater som drabbas hårdast av situationen är de som till stor del får kämpa med problemet på egen hand. vissa medlemsstaters val av ”à la carte” ger inte en helhetsbild. </w:t>
      </w:r>
    </w:p>
    <w:p>
      <w:pPr>
        <w:pStyle w:val="Normal"/>
        <w:rPr/>
      </w:pPr>
      <w:r>
        <w:rPr/>
        <w:t xml:space="preserve">4) Ny riktad lagstiftning skulle förbättra framtiden för alla asylsökande och stärka Europas enighet. </w:t>
      </w:r>
    </w:p>
    <w:p>
      <w:pPr>
        <w:pStyle w:val="Normal"/>
        <w:rPr/>
      </w:pPr>
      <w:r>
        <w:rPr/>
        <w:t xml:space="preserve">5) Den nuvarande lagstiftningens brister ger upphov till konflikter och bristande harmonisering i hela Europa och leder till ökad intolerans bland EU-medborgarna mot migranter. </w:t>
      </w:r>
    </w:p>
    <w:p>
      <w:pPr>
        <w:pStyle w:val="Normal"/>
        <w:rPr/>
      </w:pPr>
      <w:r>
        <w:rPr/>
        <w:t>En strängare och relevant lagstiftning skulle minska brottsligheten och missbruket av det nuvarande asylsystemet.</w:t>
      </w:r>
    </w:p>
    <w:p>
      <w:pPr>
        <w:pStyle w:val="Normal"/>
        <w:rPr/>
      </w:pPr>
      <w:r>
        <w:rPr/>
        <w:t xml:space="preserve"> </w:t>
      </w:r>
    </w:p>
    <w:p>
      <w:pPr>
        <w:pStyle w:val="Titre3"/>
        <w:numPr>
          <w:ilvl w:val="2"/>
          <w:numId w:val="2"/>
        </w:numPr>
        <w:rPr/>
      </w:pPr>
      <w:bookmarkStart w:id="200" w:name="__RefHeading___Toc297335_1346298689"/>
      <w:bookmarkEnd w:id="200"/>
      <w:r>
        <w:rPr/>
        <w:t xml:space="preserve">Bilaga: ANDRA REKOMMENDATIONER SOM BEHANDLAS AV PANELEN MEN SOM INTE ANTAGITS </w:t>
      </w:r>
    </w:p>
    <w:p>
      <w:pPr>
        <w:pStyle w:val="Titre4"/>
        <w:numPr>
          <w:ilvl w:val="3"/>
          <w:numId w:val="2"/>
        </w:numPr>
        <w:rPr/>
      </w:pPr>
      <w:bookmarkStart w:id="201" w:name="__RefHeading___Toc297337_1346298689"/>
      <w:bookmarkEnd w:id="201"/>
      <w:r>
        <w:rPr/>
        <w:t xml:space="preserve">Axel 1: Självförsörjning och stabilitet </w:t>
      </w:r>
    </w:p>
    <w:p>
      <w:pPr>
        <w:pStyle w:val="Normal"/>
        <w:rPr/>
      </w:pPr>
      <w:r>
        <w:rPr/>
        <w:t xml:space="preserve">Delaxel 1.1 – EU-autonomin </w:t>
      </w:r>
    </w:p>
    <w:p>
      <w:pPr>
        <w:pStyle w:val="P68B1DB1Normal15"/>
        <w:rPr/>
      </w:pPr>
      <w:r>
        <w:rPr/>
        <w:t xml:space="preserve">Om utvecklingsländerna så begär rekommenderar vi att interventionsprogram för ekonomisk utveckling utvecklas på grundval av partnerskap som är anpassade till varje lands behov och/eller på grundval av handelsavtal. Detta kräver att man först utvärderar de berörda ländernas ekonomiska potential och sedan ger dem det ekonomiska stöd och yrkesutbildning som krävs. </w:t>
      </w:r>
    </w:p>
    <w:p>
      <w:pPr>
        <w:pStyle w:val="Normal"/>
        <w:rPr/>
      </w:pPr>
      <w:r>
        <w:rPr/>
        <w:t xml:space="preserve">Detta skulle leda till större industriellt oberoende och förbättra den övergripande migrationssituationen genom att skapa arbetstillfällen. det skulle också leda till bättre handelsavtal i utvecklingsländerna. </w:t>
      </w:r>
    </w:p>
    <w:p>
      <w:pPr>
        <w:pStyle w:val="Normal"/>
        <w:rPr/>
      </w:pPr>
      <w:r>
        <w:rPr/>
        <w:t xml:space="preserve"> </w:t>
      </w:r>
    </w:p>
    <w:p>
      <w:pPr>
        <w:pStyle w:val="Titre4"/>
        <w:numPr>
          <w:ilvl w:val="3"/>
          <w:numId w:val="2"/>
        </w:numPr>
        <w:rPr/>
      </w:pPr>
      <w:bookmarkStart w:id="202" w:name="__RefHeading___Toc297339_1346298689"/>
      <w:bookmarkEnd w:id="202"/>
      <w:r>
        <w:rPr/>
        <w:t xml:space="preserve">Axel 2: EU som internationell partner </w:t>
      </w:r>
    </w:p>
    <w:p>
      <w:pPr>
        <w:pStyle w:val="Normal"/>
        <w:rPr/>
      </w:pPr>
      <w:r>
        <w:rPr/>
        <w:t xml:space="preserve">Delaxel 2.1 – Etiskt perspektiv på handelsförbindelser </w:t>
      </w:r>
    </w:p>
    <w:p>
      <w:pPr>
        <w:pStyle w:val="P68B1DB1Normal15"/>
        <w:rPr/>
      </w:pPr>
      <w:r>
        <w:rPr/>
        <w:t xml:space="preserve">Vi rekommenderar att EU inför regler som ålägger företag att granska sin leveranskedja och regelbundet lämna in en omfattande revisionsrapport samt bestämmelser för att belöna eller begränsa import på grundval av etiska kriterier. Företagen bör lämna en intern och/eller extern revisionsrapport baserat på deras storlek. </w:t>
      </w:r>
    </w:p>
    <w:p>
      <w:pPr>
        <w:pStyle w:val="Normal"/>
        <w:rPr/>
      </w:pPr>
      <w:r>
        <w:rPr/>
        <w:t xml:space="preserve"> </w:t>
      </w:r>
    </w:p>
    <w:p>
      <w:pPr>
        <w:pStyle w:val="Normal"/>
        <w:rPr/>
      </w:pPr>
      <w:r>
        <w:rPr/>
        <w:t xml:space="preserve">Den etiska aspekten av handeln med EU måste utvecklas. Detta kan göras genom att övervaka affärsverksamheten i internationella leveranskedjor och uppmuntra företag att agera enligt etiska kriterier, såsom farliga produkter, arbetstagares rättigheter och villkor, barnarbete och miljöskydd. Denna rekommendation gäller inte onlineprodukter som köps direkt av konsumenten. </w:t>
      </w:r>
    </w:p>
    <w:p>
      <w:pPr>
        <w:pStyle w:val="Normal"/>
        <w:rPr/>
      </w:pPr>
      <w:r>
        <w:rPr/>
        <w:t xml:space="preserve"> </w:t>
      </w:r>
    </w:p>
    <w:p>
      <w:pPr>
        <w:pStyle w:val="Titre4"/>
        <w:numPr>
          <w:ilvl w:val="3"/>
          <w:numId w:val="2"/>
        </w:numPr>
        <w:rPr/>
      </w:pPr>
      <w:bookmarkStart w:id="203" w:name="__RefHeading___Toc297341_1346298689"/>
      <w:bookmarkEnd w:id="203"/>
      <w:r>
        <w:rPr/>
        <w:t xml:space="preserve">Axel 3: Ett starkt EU i en fredlig värld </w:t>
      </w:r>
    </w:p>
    <w:p>
      <w:pPr>
        <w:pStyle w:val="Normal"/>
        <w:rPr/>
      </w:pPr>
      <w:r>
        <w:rPr/>
        <w:t xml:space="preserve">Delaxel 3.1 – Säkerhet och försvar </w:t>
      </w:r>
    </w:p>
    <w:p>
      <w:pPr>
        <w:pStyle w:val="P68B1DB1Normal15"/>
        <w:rPr/>
      </w:pPr>
      <w:r>
        <w:rPr/>
        <w:t xml:space="preserve">Vi rekommenderar att man omprövar den nuvarande europeiska säkerhetsstrukturen för att göra den till en effektivare och effektivare överstatlig struktur, med ökad kapacitet, i syfte att skapa en gemensam EU-armé. Därför bör de nationella väpnade styrkorna gradvis slås samman och omvandlas. Syftet är att denna sammanslagning av militära resurser i hela Europeiska unionen också ska främja den europeiska integrationen på lång sikt. Inrättandet av en gemensam EU-armé skulle också kräva ett nytt samarbetsavtal med EU:s medlemsstater och icke-europeiska Nato-medlemmar. </w:t>
      </w:r>
    </w:p>
    <w:p>
      <w:pPr>
        <w:pStyle w:val="Normal"/>
        <w:rPr/>
      </w:pPr>
      <w:r>
        <w:rPr/>
        <w:t xml:space="preserve"> </w:t>
      </w:r>
    </w:p>
    <w:p>
      <w:pPr>
        <w:pStyle w:val="Normal"/>
        <w:rPr/>
      </w:pPr>
      <w:r>
        <w:rPr/>
        <w:t xml:space="preserve">Om denna rekommendation genomförs tror vi att militära strukturer inom Europeiska unionen kommer att bli mer kostnadseffektiva och bättre kunna reagera och agera när det behövs. Denna integrerade strategi skulle stärka EU:s förmåga att agera beslutsamt och samordnat i kritiska situationer. </w:t>
      </w:r>
    </w:p>
    <w:p>
      <w:pPr>
        <w:pStyle w:val="Normal"/>
        <w:rPr/>
      </w:pPr>
      <w:r>
        <w:rPr/>
        <w:t xml:space="preserve"> </w:t>
      </w:r>
    </w:p>
    <w:p>
      <w:pPr>
        <w:pStyle w:val="Titre4"/>
        <w:numPr>
          <w:ilvl w:val="3"/>
          <w:numId w:val="2"/>
        </w:numPr>
        <w:rPr/>
      </w:pPr>
      <w:bookmarkStart w:id="204" w:name="__RefHeading___Toc297343_1346298689"/>
      <w:bookmarkEnd w:id="204"/>
      <w:r>
        <w:rPr/>
        <w:t xml:space="preserve">Axel 4: Utvandring ur ett mänskligt perspektiv </w:t>
      </w:r>
    </w:p>
    <w:p>
      <w:pPr>
        <w:pStyle w:val="Normal"/>
        <w:rPr/>
      </w:pPr>
      <w:r>
        <w:rPr/>
        <w:t xml:space="preserve">Delaxel 4.1 – Att ta itu med orsakerna till utvandringen </w:t>
      </w:r>
    </w:p>
    <w:p>
      <w:pPr>
        <w:pStyle w:val="P68B1DB1Normal15"/>
        <w:rPr/>
      </w:pPr>
      <w:r>
        <w:rPr/>
        <w:t xml:space="preserve">Vi rekommenderar att EU inför ett åtgärdsprotokoll som förberedelse för nästa migrationskris, nämligen klimatflyktingar. Enligt detta protokoll måste EU utvidga definitionen av flyktingar och asylsökande till att även omfatta dem som påverkas av klimatförändringarna. Eftersom många migranters ursprungsland kommer att ha blivit obeboeligt måste protokollet också se till att nya användningsområden hittas i områden som påverkas av klimatförändringarna, i syfte att stödja dem som har lämnat dessa områden. Till exempel kan översvämmade områden användas för att skapa vindkraftparker. </w:t>
      </w:r>
    </w:p>
    <w:p>
      <w:pPr>
        <w:pStyle w:val="Normal"/>
        <w:rPr/>
      </w:pPr>
      <w:r>
        <w:rPr/>
        <w:t xml:space="preserve"> </w:t>
      </w:r>
    </w:p>
    <w:p>
      <w:pPr>
        <w:pStyle w:val="Normal"/>
        <w:rPr/>
      </w:pPr>
      <w:r>
        <w:rPr/>
        <w:t xml:space="preserve">Vi gör denna rekommendation eftersom vi alla är ansvariga för klimatkrisen. Därför har vi ett ansvar gentemot de som drabbas hårdast. Även om vi varken har prognoser eller konkreta uppgifter om framtida flyktingar kommer klimatförändringarna utan tvekan att påverka miljontals människor. </w:t>
      </w:r>
    </w:p>
    <w:p>
      <w:pPr>
        <w:pStyle w:val="Normal"/>
        <w:rPr/>
      </w:pPr>
      <w:r>
        <w:rPr/>
        <w:t xml:space="preserve"> </w:t>
      </w:r>
    </w:p>
    <w:p>
      <w:pPr>
        <w:pStyle w:val="Normal"/>
        <w:rPr/>
      </w:pPr>
      <w:r>
        <w:rPr/>
        <w:t xml:space="preserve">Delaxel 4.2 – Mänskliga överväganden </w:t>
      </w:r>
    </w:p>
    <w:p>
      <w:pPr>
        <w:pStyle w:val="P68B1DB1Normal15"/>
        <w:rPr/>
      </w:pPr>
      <w:r>
        <w:rPr/>
        <w:t xml:space="preserve">Vi rekommenderar att lagliga och humanitära vägar och transportmedel utan dröjsmål stärks och finansieras så att flyktingar kan röra sig från krisområden på ett organiserat sätt. Ett särskilt säkerhetssystem för europeiska körfält bör inrättas och regleras av det organ som särskilt inrättats för detta ändamål. Detta organ ska inrättas i enlighet med lagstiftningsförfarandet och ha särskilda befogenheter som fastställs i dess arbetsordning. </w:t>
      </w:r>
    </w:p>
    <w:p>
      <w:pPr>
        <w:pStyle w:val="Normal"/>
        <w:rPr/>
      </w:pPr>
      <w:r>
        <w:rPr/>
        <w:t xml:space="preserve"> </w:t>
      </w:r>
    </w:p>
    <w:p>
      <w:pPr>
        <w:pStyle w:val="Normal"/>
        <w:rPr/>
      </w:pPr>
      <w:r>
        <w:rPr/>
        <w:t xml:space="preserve">Människohandel och smuggling av migranter är allvarliga frågor som måste åtgärdas. Vår rekommendation skulle definitivt minska dessa farhågor. </w:t>
      </w:r>
    </w:p>
    <w:p>
      <w:pPr>
        <w:pStyle w:val="Normal"/>
        <w:rPr/>
      </w:pPr>
      <w:r>
        <w:rPr/>
        <w:t xml:space="preserve"> </w:t>
      </w:r>
    </w:p>
    <w:p>
      <w:pPr>
        <w:pStyle w:val="Normal"/>
        <w:rPr/>
      </w:pPr>
      <w:r>
        <w:rPr/>
        <w:t xml:space="preserve">Delaxel 4.3 – Gränser </w:t>
      </w:r>
    </w:p>
    <w:p>
      <w:pPr>
        <w:pStyle w:val="P68B1DB1Normal15"/>
        <w:rPr/>
      </w:pPr>
      <w:r>
        <w:rPr/>
        <w:t xml:space="preserve">Vi rekommenderar att ett EU-direktiv säkerställer att varje bostadsyta i varje medlemsstat inte har mer än 30 % invånare i tredjeländer. Detta mål förväntas uppnås senast 2030 och EU:s medlemsstater måste få stöd för genomförandet av detta mål. </w:t>
      </w:r>
    </w:p>
    <w:p>
      <w:pPr>
        <w:pStyle w:val="Normal"/>
        <w:rPr/>
      </w:pPr>
      <w:r>
        <w:rPr/>
        <w:t xml:space="preserve"> </w:t>
      </w:r>
    </w:p>
    <w:p>
      <w:pPr>
        <w:pStyle w:val="Normal"/>
        <w:rPr/>
      </w:pPr>
      <w:r>
        <w:rPr/>
        <w:t xml:space="preserve">Vi gör denna rekommendation eftersom en mer rättvis geografisk fördelning kommer att leda till en bättre acceptans av migranter från lokalbefolkningen och därmed göra det möjligt för dem att integreras bättre. Denna procentsats bygger på en politisk överenskommelse nyligen i Danmark. </w:t>
      </w:r>
      <w:r>
        <w:br w:type="page"/>
      </w:r>
    </w:p>
    <w:p>
      <w:pPr>
        <w:pStyle w:val="Titre1"/>
        <w:numPr>
          <w:ilvl w:val="0"/>
          <w:numId w:val="2"/>
        </w:numPr>
        <w:rPr/>
      </w:pPr>
      <w:bookmarkStart w:id="205" w:name="__RefHeading___Toc297345_1346298689"/>
      <w:bookmarkEnd w:id="205"/>
      <w:r>
        <w:rPr/>
        <w:t xml:space="preserve">II A – Nationella paneler: Belgien </w:t>
      </w:r>
    </w:p>
    <w:p>
      <w:pPr>
        <w:pStyle w:val="Normal"/>
        <w:spacing w:before="1285" w:after="57"/>
        <w:rPr/>
      </w:pPr>
      <w:r>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6120130" cy="815975"/>
            <wp:effectExtent l="0" t="0" r="0" b="0"/>
            <wp:wrapSquare wrapText="largest"/>
            <wp:docPr id="74" name="Bild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Här kan vi hitta alla rekommendationer från de 50 medborgarna i den medborgarpanel som anordnas av vice premiärministern och ministern för yttre frågor och Europafrågor Sophie Wilmès som ett bidrag från den belgiska förbundsregeringen till konferensen om Europas framtid. Temat för panelen var ”Hur medborgarna ska involveras mer i den europeiska demokratin”. Även om kommittén är väl medveten om att konferensen har ett bredare tillämpningsområde än enbart EU-frågor, klargör panelens ämne varför så många uttryckliga hänvisningar görs till EU och dess institutioner. I förekommande fall ska hänvisning göras till Europa i allmänhet. </w:t>
      </w:r>
    </w:p>
    <w:p>
      <w:pPr>
        <w:pStyle w:val="P68B1DB1Normal19"/>
        <w:widowControl w:val="false"/>
        <w:spacing w:lineRule="exact" w:line="388" w:before="146" w:after="0"/>
        <w:ind w:left="0" w:right="0" w:hanging="0"/>
        <w:jc w:val="left"/>
        <w:rPr/>
      </w:pPr>
      <w:r>
        <w:rPr/>
        <w:t xml:space="preserve"> </w:t>
      </w:r>
    </w:p>
    <w:p>
      <w:pPr>
        <w:pStyle w:val="P68B1DB1Normal21"/>
        <w:widowControl w:val="false"/>
        <w:spacing w:lineRule="exact" w:line="316" w:before="102" w:after="0"/>
        <w:ind w:left="0" w:right="176" w:hanging="0"/>
        <w:jc w:val="left"/>
        <w:rPr/>
      </w:pPr>
      <w:r>
        <w:rPr>
          <w:color w:val="000000"/>
        </w:rPr>
        <w:t xml:space="preserve">För att återspegla alla medborgarnas bidrag innehåller detta betänkande alla rekommendationer, även de som inte fick enkel majoritet vid den slutliga omröstningen om alla rekommendationer. De är tydligt igenkännbara på grund av procentandelen </w:t>
      </w:r>
      <w:r>
        <w:rPr>
          <w:b/>
          <w:color w:val="FF0000"/>
        </w:rPr>
        <w:t>i rött och fetstil.</w:t>
      </w:r>
      <w:r>
        <w:rPr>
          <w:color w:val="000000"/>
        </w:rPr>
        <w:t xml:space="preserve"> Dessutom motsäger vissa rekommendationer varandra, och till och med i de slutliga diskussionerna har medborgarna förblivit otvetydiga om dem. Dessa rekommendationer är igenkännliga eftersom de är i </w:t>
      </w:r>
      <w:r>
        <w:rPr>
          <w:i/>
          <w:color w:val="000000"/>
        </w:rPr>
        <w:t>kursiv stil.</w:t>
      </w:r>
      <w:r>
        <w:rPr>
          <w:color w:val="000000"/>
        </w:rPr>
        <w:t xml:space="preserve"> För en enda rekommendation var uppdelningen så tydlig att omröstningen avslutades med en </w:t>
      </w:r>
      <w:r>
        <w:rPr>
          <w:i/>
          <w:color w:val="000000"/>
        </w:rPr>
        <w:t xml:space="preserve">ex-aequo, </w:t>
      </w:r>
      <w:r>
        <w:rPr>
          <w:color w:val="000000"/>
        </w:rPr>
        <w:t xml:space="preserve">detta anges </w:t>
      </w:r>
      <w:r>
        <w:rPr>
          <w:b/>
          <w:color w:val="FF9900"/>
        </w:rPr>
        <w:t>i orange och fetstil</w:t>
      </w:r>
      <w:r>
        <w:rPr>
          <w:color w:val="000000"/>
        </w:rPr>
        <w:t xml:space="preserve">. Medborgarna delar att åsikterna om dessa rekommendationer skiljer sig åt. De föreslår därför att CoFE-organen och EU-institutionerna ska vara vaksamma vid genomförandet av dessa rekommendationer, eftersom det finns en form av uppdelning som bygger på omröstning. </w:t>
      </w:r>
    </w:p>
    <w:p>
      <w:pPr>
        <w:pStyle w:val="Normal"/>
        <w:rPr/>
      </w:pPr>
      <w:r>
        <w:rPr/>
      </w:r>
      <w:r>
        <w:br w:type="page"/>
      </w:r>
    </w:p>
    <w:p>
      <w:pPr>
        <w:pStyle w:val="Normal"/>
        <w:rPr/>
      </w:pPr>
      <w:r>
        <w:rPr/>
        <w:t>1. Kommunikation</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Rekommendationer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Stöds av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Meddelandet om EU är otillfredsställande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Vi föreslår att kurser i Europeiska unionen från och med den tredje nivån i grundskolan ska ingå. Målet är att nå alla medborgare och förbättra kunskaperna om Europeiska unionen.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Europeiska unionen, och särskilt kommissionen, bör ställa ett utbildningsmaterial om hur Europa fungerar till förfogande för utbildningsministerierna i de olika medlemsstaterna. Förutom att förklara institutionernas funktion, sammansättning och befogenheter bör dessa konstellationer också ge en kort översikt över den europeiska integrationens historia. Särskild uppmärksamhet bör ägnas användningen av ett tydligt och begripligt och tillgängligt språk samt utbildningsverktyg som dokumentärer, klipp eller skolprogram på alla 24 språk.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Det europeiska projektet är fortfarande främmande för medborgarna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Vi föreslår att EU-institutionerna i sin kommunikation ser till att de bättre förklarar vad som faller inom EU:s behörighetsområde, men också vad som inte omfattas av dess behörighet.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Europeiska unionen bör ta med välbekanta exempel från européernas dagliga liv i sin kommunikation. Dessa förklaringar bör förmedlas inom medlemsstaterna genom överenskommelser mellan EU-institutionerna och de nationella offentliga tv-kanalerna för att nå en bred publik.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Dessutom bör medlemsstaternas medborgare regelbundet informeras – t.ex. genom videoklipp – om Europeiska unionens roll i andra medlemsstater. EU:s fördelar och nackdelar skulle därför bättre sättas i perspektiv i debatterna om Europas framtid.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För att stärka den europeiska identiteten föreslår vi att vi regelbundet återkallar och tillgängliggör information om hur européernas liv skulle se ut utan EU och dess konkreta resultat.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Vi föreslår också att Europadagen (den 9 maj) ska bli en europeisk helgdag för alla EU-medborgare.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Vi rekommenderar att EU-institutionerna i ännu högre grad uppmärksammar förenklingen, förståelsen och tillgången till information om prioriterade ämnen som behandlas på EU-nivå</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Vi rekommenderar att Europeiska unionen tillhandahåller en </w:t>
            </w:r>
            <w:commentRangeStart w:id="10"/>
            <w:r>
              <w:rPr/>
              <w:t>resultattavla</w:t>
            </w:r>
            <w:r>
              <w:rPr/>
            </w:r>
            <w:commentRangeEnd w:id="10"/>
            <w:r>
              <w:commentReference w:id="10"/>
            </w:r>
            <w:r>
              <w:rPr/>
              <w:t xml:space="preserve"> som för varje land visar de resurser som EU har anslagit till varje prioriterat tema. All sådan information bör vara tillgänglig på Europeiska unionens webbplats.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Vi rekommenderar att Europeiska unionen ger en tydlig presentation av det pågående lagstiftningsarbetet. All sådan information bör vara tillgänglig på Europeiska unionens webbplats.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Vi vill att EU-institutionerna ska vara mer tillgängliga för </w:t>
            </w:r>
            <w:commentRangeStart w:id="11"/>
            <w:r>
              <w:rPr/>
              <w:t>européerna</w:t>
            </w:r>
            <w:r>
              <w:rPr/>
            </w:r>
            <w:commentRangeEnd w:id="11"/>
            <w:r>
              <w:commentReference w:id="11"/>
            </w:r>
            <w:r>
              <w:rPr/>
              <w:t>. Deras deltagande i debatter vid Europaparlamentets sammanträden bör underlättas.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Vi rekommenderar att deltagandet i Erasmusprogrammet utvidgas till att omfatta alla studenter, oavsett utbildningsväg (yrkesteknik, alternering). Alla bör kunna delta i europeiska utbyten.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Vi rekommenderar att den arbetande befolkningen kan dra nytta av europeiska utbytesprogram, oavsett verksamhetssektor, även för lokala företag. Alla bör kunna delta i europeiska utbyten.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Vi rekommenderar att man skapar kurser i EU-medborgarskap för alla EU-medborgare.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EU-lagstiftningen tillämpas inte på samma sätt i medlemsstaterna.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Vi rekommenderar att Europeiska unionen i större utsträckning utnyttjar direkt tillämplig lagstiftning i medlemsstaterna. Detta skulle minska de nationella skillnaderna i genomförandet av EU-lagstiftningen, vilket försvagar det europeiska projektet. Detta skulle också förbättra de viktigaste europeiska landvinningarna, t.ex. den inre marknaden, euron och Schengenområdet.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Den europeiska demokratin är hotad.</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Vi rekommenderar att EU:s meddelande om europeisk demokrati obevekligt och otvetydigt påminner om vad det innebär i Europa för européerna.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De värden och principer i Europeiska unionens fördrag som medlemsstaterna har anslutit sig till vid anslutningen är oåterkalleliga. Skyddet av dem måste även fortsättningsvis säkerställas.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Skyddet av fördragens värden och principer garanteras</w:t>
            </w:r>
            <w:r>
              <w:rPr/>
              <w:commentReference w:id="12"/>
            </w:r>
            <w:r>
              <w:rPr/>
              <w:t xml:space="preserve"> av EG-domstolen och kan inte ifrågasättas av medlemsstaterna.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Information om EU är inte lättillgänglig och svår att förstå</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Vi rekommenderar att kontrollen av information om EU-frågor stärks. Denna information som sprids och verifieras av institutionerna måste vara lättillgänglig för den europeiska allmänheten och för de nationella medierna i varje medlemsstat.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Nationella medier ger ofta en negativ bild av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 måste också vara mer närvarande i européernas vardag genom att kommunicera mer proaktivt. (T.ex. genom att sponsra kulturella evenemang som för samman medborgarna och gör dem stolta över att vara EU-medborgare. Rapportering och teasers skulle också ge européerna tillgång till</w:t>
            </w:r>
            <w:r>
              <w:rPr/>
              <w:commentReference w:id="13"/>
            </w:r>
            <w:r>
              <w:rPr/>
              <w:t xml:space="preserve"> kontextualiserad information om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Medborgarna känner inte till dem som företräder dem i Europaparlamentet.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Vi rekommenderar att parlamentsledamöterna blir mer kända i sina hemländer, särskilt utanför valperioderna. De måste vara mer tillgängliga. Skälen till deras röster i Europaparlamentet måste göras mer lättillgängliga för EU-medborgarna via EU:s webbplats.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Vi rekommenderar att de nationella politiska partierna säkerställer föryngringen av kandidaterna på de listor som presenteras i valet till Europaparlamentet. Ett sådant mandat bör inte betraktas som en belöning för goda och lojala tjänster som utförs i den nationella politiken.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EU:s kommunikation är för enhetlig. det tar inte hänsyn till mångfalden i befolkningen.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För att nå en tillräckligt bred och varierad publik rekommenderar vi att EU, genom en inkluderande kommunikation från befruktningsstadiet, tar hänsyn till de berörda personernas utbildningsnivå och deras eventuella funktionshinder. Vi rekommenderar också att enskilda personer och organisationer (tränare, lokala aktörer, CPAS, det civila samhället) involveras i överföringen av detta meddelande.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För att nå ut till arbetskraften rekommenderar vi att man investerar mer i användningen av befintliga kommunikationskanaler för att regelbundet tillhandahålla lämplig information om EU, till exempel genom förklarande program. Dessutom rekommenderar vi att man förlitar sig på ambassadörer (både privatpersoner och organisationer) som främjar EU-projektet.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För att nå ungdomar och studenter rekommenderar vi att ambassadörer, vid sidan av befintliga kanaler som utbildning och relevanta ungdomsrörelser, anlitas, särskilt för influencers som kan nå ungdomar via sociala medier. En annan rekommendation skulle vara att anordna en alleuropeisk tävling för att skapa en seriefigur som vädjar till ungdomar och sänder dem europeiska budskap.</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För äldre rekommenderar vi att man använder samma kanaler som de som erbjuds för arbetskraften. Dessutom rekommenderar vi att du letar efter rätt balans mellan digital och icke-digital kommunikation (skriftlig press, radio, ansikte mot ansikte händelser) för att möta allas behov, inklusive de som är mindre bekväma i en digital miljö samt de som är mindre rörliga i samhället.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Vi rekommenderar att EU genom de integrationskurser som redan finns i många medlemsstater åtar sig att inkludera ”nya européer” (personer som genom ett eller annat lagligt invandringsförfarande bor i EU) och kan göra dem medvetna om de andra traditionella kanalerna genom vilka EU kommunicerar. Slutligen rekommenderar vi också att ge en plats till den lokala associativa världen.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Vi rekommenderar också att EU tar sig ut på gatorna med inkluderande kommunikation. Till exempel kan (digitala) skyltar användas, liksom nya kommunikationsmedel som QR-koder och traditionella medel.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Andra rekommendationer skulle vara att göra EU mer visuellt (genom småfilmer eller infografik), att skapa en europeisk idrottsrörelse för att skapa en koppling/en känsla av tillhörighet och att göra den europeiska hymnen mer känd.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Desinformation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Rekommendationer</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Stöds av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Risken för felaktig information blir allt vanligare i media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rekommenderar en översyn av mediefinansieringsmodellen och obligatorisk publicering av inkomstkällor på ett tydligt och lättillgängligt sätt. Mediefinansieringsmodellen driver dem till sensationalism, och därmed att publicera information ur sitt sammanhang och förvandla dem till desinformation.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Vi rekommenderar obligatorisk citering av källor av media genom att tillhandahålla länkar för att verifiera dem. I annat fall bör informationen märkas som okontrollerad.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Vi rekommenderar att den europeiska tillsynsmyndigheten för bekämpning av desinformation (se punkt 2) också ska ansvara för ackrediteringen av organisationer för kontroll av information (”faktakontrollanter”).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Vi rekommenderar att det i varje medlemsstat inrättas en oberoende myndighet med ansvar för kontroll av medieneutralitet. Denna myndighet bör finansieras och övervakas av Europeiska unionen.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Vi rekommenderar att man sprider information om webbadresserna till EU:s officiella webbplatser för att försäkra medborgarna om informationens ursprung.</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Många medborgare tvivlar på medieneutralitet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rekommenderar att det inrättas en europeisk tillsynsmyndighet för att bekämpa desinformation. I synnerhet skulle denna tillsynsmyndighets uppgift vara att fastställa kriterier för en neutralitetsmärkning och, i förekommande fall, inrätta ett system med sanktioner eller incitament i samband med efterlevnad av neutralitetsnormer. Alternativt kan man överväga att följa en etikstadga. Märkningen skulle beviljas av den oberoende nationella myndigheten och ta hänsyn till de åtgärder som medierna vidtagit för att bekämpa desinformation.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Vi rekommenderar att det inrättas en europeisk jourlinje som gör det möjligt för medborgarna att fördöma desinformation om europeiska (politiska och ekonomiska) befogenheter.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Medborgarna är inte medvetna om riskerna för desinformation som de utsätts för.</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rekommenderar att plattformarna är skyldiga att offentliggöra tydlig och begriplig information om riskerna med desinformation som deras användare utsätts för. Denna information bör automatiskt meddelas så snart ett konto har öppnats.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Vi rekommenderar obligatorisk utbildning i medieanvändning, från tidig ålder och anpassad till utbildningssystemets olika nivåer.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Vi rekommenderar att Europeiska unionen inleder upprepade kampanjer om desinformation. Dessa kampanjer kan identifieras med en logotyp eller maskot. Europeiska unionen skulle kunna tvinga sociala nätverk att förmedla dem genom spridning av fläckar.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Medlen för att bekämpa desinformation är otillräckliga.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rekommenderar att du publicerar information på ett enkelt och begripligt språk om algoritmer som organiserar meddelanden som tas emot av plattformsanvändare.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Vi rekommenderar att användare på ett enkelt sätt kan inaktivera beteendemässiga biashöjande algoritmer. Skyldigheten att ge användarna tillgång till andra källor som försvarar olika ståndpunkter i samma ämne skulle också kunna undersökas.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rekommenderar att Europeiska unionen stöder inrättandet av en plattform för sociala medier som uppfyller sina egna normer när det gäller neutralitet och bekämpning av desinformation. Alternativt skulle den flerspråkiga plattform som skapats för att stödja konferensen om Europas framtid kunna läggas till med nya funktioner.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Medborgarpaneler</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Rekommendationer</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Stöds av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Svårigheter att säkerställa en medborgarpanels representativitet. I slutändan är endast en liten del av befolkningen involverad.</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Vi rekommenderar att man övervakar vad det senaste vetenskapliga arbetet med deliberativ demokrati föreslår när det gäller provtagning, utveckling och vetenskaplig validering av urvalsmetoden för att säkerställa bästa möjliga representativitet.</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Vi rekommenderar att det finns tillräckligt många människor runt bordet för att säkerställa mångfalden av åsikter och profiler, inklusive – men inte bara – personer som är direkt berörda av ämnet.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Vi rekommenderar att man i urvalskriterierna lägger till kriteriet föräldraskap (dvs. om personen har barn eller inte) utöver mer traditionella kriterier som kön, ålder, bosättningsort eller utbildningsnivå.</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Vi rekommenderar att man fastställer kvoter per geografiskt område, dvs. att man fastställer att en europeisk medborgarpanel ska bestå av X personer per europeiskt geografiskt område (som ska fastställas) så att denna panel verkligen kan kvalificeras som europeisk och meningsfullt medveten.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Vi rekommenderar att folkbokföringar (eller motsvarande, beroende på land) används som primära databaser för dragningen för att ge alla samma chans att kunna väljas och för att skapa intresse för ett ämne inom befolkningen.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Vi rekommenderar att deltagarna kompenseras för att värdera sina investeringar och locka människor som inte skulle delta om de inte kompenserades.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Vi rekommenderar att du informerar – ganska minimalt: varken för mycket information eller för komplicerad information – första deltagare genom presentationer av experter för att säkerställa att även personer utan förkunskaper känner sig bekväma med att delta i diskussionerna.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Vi rekommenderar att ämnet för medborgarpanelen kommuniceras i förväg så att människor kan veta vilket ämne de åtar sig att diskutera.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Vi rekommenderar att inte kräva att medborgarna deltar.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Svårigheter att organisera en panel på europeisk nivå.</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rekommenderar att möten i den europeiska medborgarpanelen hålls i hybridformat (presentativt/avlägset). Personer som inte kan röra sig fysiskt kan också delta.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Vi rekommenderar att Europeiska unionen, för att underlätta tillträdet och organisationen, delegera anordnandet av medborgarpaneler (på EU-teman) till olika myndighetsnivåer på nationell nivå.</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Vi rekommenderar att ett enda ämne väljs per panel som anordnas på europeisk nivå. Detta kommer att göra det möjligt för alla deltagare att diskutera samma ämne, oavsett var de kommer från i Europa.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Undvik panelen </w:t>
              <w:br/>
              <w:t>medborgare avleds inte för andra ändamål än de som deklareras.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rekommenderar att alla medborgare kan lägga fram ett ämne för diskussion, och så att denna rätt inte är förbehållen den politiska världen eller lobbyisternas värld.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rekommenderar att Europaparlamentet har initiativrätt, så att Europaparlamentet fastställer det ämne som ska diskuteras och sedan antar de texter som behövs för att följa upp de rekommendationer som följer av överläggningarna.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Svårt att bestämma hur man bäst organiserar processen för den bästa representationen av medborgarna.</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Vi rekommenderar att man vid sidan av parlamentet inrättar en permanent medborgarpanel som åtar sig särskilda uppgifter. Det kommer att förnyas regelbundet. Detta skulle göra det möjligt att föra samman medborgarna på lång sikt och ta den tid som krävs för debatter. Tiden tillåter nyanser av debatter och konsensus. Vid sidan av denna permanenta panel diskuterar tillfälliga medborgarpaneler ämnen som valts ut av den permanenta panelen. Vi föreslår att följa modellen för den tyskspråkiga gemenskapen.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Vi rekommenderar att det endast inrättas en eller flera icke-permanenta europeiska medborgarpanel(er), som endast sammanträder och diskuterar ett specifikt ämne endast under en viss tidsperiod.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Vi rekommenderar att man inte anordnar europeiska medborgarpaneler i brådskande frågor, eftersom det behövs tillräckligt med tid för att säkerställa debatternas kvalitet.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Alltför ofta får medborgare som deltar i initiativ för deltagardemokrati, t.ex. medborgarpaneler, inte återkoppling om uppföljningen av deras arbete, vare sig på kort eller lång sikt.</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Vi rekommenderar att medborgarna ger återkoppling om uppföljningen (eller inte) av rekommendationer som utfärdats efter de europeiska medborgarpanelerna. Om rekommendationerna inte följs måste de berörda EU-institutionerna ange skälen till sitt beslut (t.ex. bristande behörighet). För detta ändamål rekommenderar vi att du skriver regelbundna sammanfattningar under hela processen efter en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Vi rekommenderar att man anordnar medborgarpaneler, även med barn från tidig ålder (t.ex. 10–16 år) för att öka medvetenheten om deltagande och debatt. Detta kan organiseras i skolorna.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Folkomröstningar</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Rekommendationer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Stöds av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Vi rekommenderar att folkomröstningar om EU-frågor hålls på EU-nivå.</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Folkomröstningens kultur varierar kraftigt från en medlemsstat till en annan.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rekommenderar att man beställer forskning om hur man kan skapa en gemensam folkomröstningskultur i Europa.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Vi rekommenderar forskning (av oberoende experter) om nödvändigheten och möjligheten att hålla en folkomröstning om ett visst ämne på europeisk nivå.</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Formuleringen av den fråga som ställs i en folkomröstning kan ha en negativ inverkan, liksom förmågan att svara endast med ”ja” eller ”nej”, som ofta polariserar debatter och samhällen.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rekommenderar att en vetenskaplig kommitté inrättas för att fundera på hur man på ett så objektivt sätt som möjligt kan ställa frågor som skulle bli föremål för en europeisk folkomröstning.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Vi rekommenderar att du ställer flervalsfrågor, utöver det enkla alternativet mellan ”ja” och ”nej” för att få nyanser eller till och med ställa villkor till ”ja” och ”nej” (dvs. ”ja om”, ”nej om”).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Vi rekommenderar att vita röster inte beaktas vid beräkningen av någon majoritet (enkel majoritet eller absolut majoritet). Det måste fortfarande finnas tillräckligt med röster (förmodet måste respekteras).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Valet av ämne är också känsligt.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Vi rekommenderar att en fråga som tas upp i en europeisk folkomröstning omfattas av alla europeiska frågor som faller inom Europeiska unionens behörighetsområde.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Vi rekommenderar att man undantar ämnen som kan vara en källa till konflikter mellan medlemsstaterna.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Vi rekommenderar också att tekniska och svåra frågor ställs, med tydlig ordalydelse, eftersom människor har förmågan att vara tillräckligt informerade.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Folkomröstningen är inte ett demokratiskt verktyg om bara den politiska världen kan besluta att organisera 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rekommenderar att Europaparlamentet har initiativrätt för att hålla</w:t>
            </w:r>
            <w:r>
              <w:rPr/>
              <w:commentReference w:id="14"/>
            </w:r>
            <w:r>
              <w:rPr/>
              <w:t xml:space="preserve"> europeiska folkomröstningar, och att det sedan ska kunna genomföra sitt resultat (kommissionen och rådet bör följa utan möjlighet till blockering).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Vi rekommenderar att initiativet också kommer från medborgarna själva (t.ex. genom att följa regler som liknar dem som gäller för det europeiska medborgarinitiativet).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Vi rekommenderar att den praktiska organisationen av en europeisk folkomröstning ska vara ett neutralt organ.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Den rådgivande eller bindande aspekten av folkomröstningen måste vara </w:t>
              <w:br/>
              <w:t>klart definierad.</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Vi rekommenderar att resultatet av en europeisk folkomröstning endast blir bindande när vissa villkor för valdeltagande är uppfyllda.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Vi rekommenderar att resultaten av en folkomröstning endast blir bindande om vissa majoriteter uppnås (51/49, 70/30). Dessa villkor fastställs före varje folkomröstning.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Vi rekommenderar att resultatet av en europeisk folkomröstning blir bindande om initiativet från dess organisation togs av medborgarna (som skulle ha lyckats samla in ett antal underskrifter för detta ändamål) men vägledande om initiativet togs av en politisk institution.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rekommenderar att resultatet av en europeisk folkomröstning endast blir bindande för vissa ämnen, men inte för dem för vilka konsekvenserna av omröstningen kan bli mycket allvarliga.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Befolkningen är ofta dåligt informerad innan den blir kallad att rösta i en folkomröstning. Samtidigt är det viktigt att kontrollera den information som lämnas för att undvika skadlig påverkan (intern eller utländsk) vid röstning.</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Vi rekommenderar att allmänheten, före en eventuell folkomröstning i Europa, tydligt informeras om hur omröstningen påverkar deras dagliga liv, genom broschyrer, som görs i Schweiz, och/eller informationsmöten.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Vi rekommenderar att det för varje europeisk folkomröstning inrättas en vetenskaplig kommitté som garanterar att den information som lämnas är neutral.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Även om en folkomröstning uppmanar hela befolkningen att rösta direkt (till skillnad från medborgarpanelen), finns det alltid en viss frånvaro, mer eller mindre viktig.</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Vi rekommenderar att deltagande i omröstningen i en europeisk folkomröstning är obligatoriskt.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Vi rekommenderar att det är frivilligt att rösta i en europeisk folkomröstning.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Vi rekommenderar, för att minska frånvaron, att tillåta elektronisk röstning utöver pappersröstning (eller utöver andra röstningsmedel, t.ex. poströstning). Elektronisk röstning är särskilt intressant för människor som åker på semester, och det uppmuntrar också människor som är mindre intresserade av att rösta eftersom tvånget att resa inte längre finns där.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Alltför ofta får medborgare som deltar i deltagardemokratiska initiativ som folkomröstningar inte</w:t>
            </w:r>
            <w:r>
              <w:rPr/>
              <w:commentReference w:id="15"/>
            </w:r>
            <w:r>
              <w:rPr/>
              <w:t xml:space="preserve"> någon återgång till uppföljningen av omröstningen, vare sig på kort sikt eller på lång sikt.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Vi rekommenderar att medborgarna ger återkoppling om uppföljningen (eller inte) av medborgarnas beslut genom en europeisk folkomröstning.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Befintliga verktyg</w:t>
      </w:r>
    </w:p>
    <w:p>
      <w:pPr>
        <w:pStyle w:val="Normal"/>
        <w:rPr/>
      </w:pPr>
      <w:r>
        <w:rPr/>
        <w:t>5.1. Val till Europaparlamentet.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Rekommendationer</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Stöds av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Det finns en skillnad i lagstiftningen i de olika medlemsstaterna.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föreslår att Europaparlamentet ska ha ett obligatoriskt röstdeltagande, men med tillräcklig information för att medborgarna ska kunna förstå orsakerna till detta.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Vår rekommendation är att göra valreglerna för Europaparlamentet så mycket som möjligt i alla länder, inklusive minimiåldern.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Det finns inte tillräcklig mångfald i Europaparlamentets ledamöters ålder, ursprung och könskriterier.</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Vi föreslår att ledamöter av Europaparlamentet ska vara i alla åldrar och med alla bakgrunder.</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Vi föreslår att parlamentsledamöterna medvetet väljer en europeisk karriär och inte bara för att de är i slutet av sin karriär.</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Vi föreslår att man väljer en jämn könsfördelning, t.ex. genom att byta kön i röstlängderna</w:t>
            </w:r>
            <w:r>
              <w:rPr/>
              <w:commentReference w:id="16"/>
            </w:r>
            <w:r>
              <w:rPr/>
              <w:t>. EU måste fastställa dessa kriterier och kontrollera om de är uppfyllda i kvotsammansättningen. Om en kandidat vägrar sin mandatperiod, kommer nästa kandidat i preferensordning och med samma kön att ta hans plats.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Vi rekommenderar att kandidaterna på de europeiska listorna utövar sitt mandat om de väljs.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Vi röstar för Europaparlamentet och har inget att säga till om i utskottets sammansättning.</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föreslår en fördragsändring genom vilken den största parten i Europaparlamentet kan utse Europeiska kommissionens ordförande.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rekommenderar att Europeiska kommissionens sammansättning blir mer transparent, i enlighet med vissa grundläggande bestämmelser, så att sammansättningen återspeglar medborgarnas röst och att medborgarna vet hur urvalet ägde rum.</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Det finns inte mycket information om kandidaterna, vi vet inte mycket om dem och deras program och den politiska fraktionen de kommer att representera i Europaparlamentet.</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Vi föreslår att de europeiska kandidaterna på ett mer konkret sätt presenterar sig lokalt med sina mål och program genom olika kanaler (meddelande).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Europeiska ombudsmannen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Rekommendationer</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Stöds av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Webbplatsen på andra språk än engelska innehåller endast information på engelska på de två första sidorna. Detta skapar ett hinder för medborgare som inte behärskar engelska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föreslår att informationen på hemsidan placeras på varje medborgares språk och att, om det inte går att översätta det, publicera nyheterna på engelska någon annanstans på webbplatsen.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Ombudsmannen är inte part i påföljden och någon ersättning till den klagande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föreslår att ombudsmannen ska vara en del av processen för att finna och genomföra lösningen/sanktionen/kompensationen och ha en röst i frågan.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Tidsfristen är ibland mycket lång för validering av registrering på webbplatsen (validering e-post) Det tar ibland 24 timmar och demotive medborgaren som går vidare till något annat.</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föreslår att ett omedelbart valideringssystem införs.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När vi lämnar in ett klagomål ställs frågan: har du använt alla möjliga procedurer? Medborgaren känner inte alltid till alla förfaranden och kan inte svara på frågan.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föreslår att inkludera en länk till en enkel presentation/förklaring av andra förfaranden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Ombudsmannens webbplats är väl utförd men har inte en tydlig europeisk bild, så detta leder till frågor till medborgarna (är jag på rätt webbplats, är den trovärdig?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Vi föreslår att man ser över den grafiska stadgan för webbplatsen och anpassar den mer till EU:s (första råd: lyft upp den europeiska flaggan högst upp på sidan). Vid det första ”klicket” måste det framgå att medborgarna finns på webbplatsen för institutionernas ombudsman.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Offentligt samråd</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Rekommendationer</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Stöds av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Samrådets webbplats har ändrats och medborgaren skickas i första instans till en föråldrad webbplats. Du måste söka för att hitta adressen till den nya webbplatsen.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föreslår att ta bort den gamla webbplatsen och hänvisa till den nya webbplatsen först.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Färdplanen (engelska) och yttrandena (medborgarredaktörens språk) översätts inte till medborgarläsarens språk.</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rekommenderar starkt att färdplanen översätts till medborgarspråket. Färdplanen på engelska blockerar alla medborgare som inte behärskar</w:t>
            </w:r>
            <w:commentRangeStart w:id="19"/>
            <w:r>
              <w:rPr/>
              <w:t>engelska</w:t>
            </w:r>
            <w:r>
              <w:rPr/>
            </w:r>
            <w:commentRangeEnd w:id="19"/>
            <w:r>
              <w:commentReference w:id="19"/>
            </w:r>
            <w:r>
              <w:rPr/>
              <w:t xml:space="preserve"> i sitt deltagande.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Vi föreslår att sätta en flik/ikon ”automatisk översättning” vid varje recension, som ansluter till en öppen källkod översättningsmotor som </w:t>
            </w:r>
            <w:commentRangeStart w:id="20"/>
            <w:r>
              <w:rPr/>
              <w:t>Google Translate eller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Du måste prenumerera för att få uppföljning av samrådet</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föreslår att processspårningen skickas automatiskt till alla som har reagerat, med möjlighet att avsluta prenumerationen.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Vi vet inte om antalet yttranden i någon mening påverkar utskottet eller om liknande åsikter tas som en enda åsikt (viktning eller inte). Om antalet åsikter i någon mening räknas är vi oroade över vikten av lobbyister/aktivister/stora företag i samråden och de facto de åtgärder som vidtas av EU gentemot medborgarna och den associativa världen.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rekommenderar att du lägger tydlig information på webbplatsen om detta.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Om antalet yttranden i en riktning påverkar, rekommenderar vi att man inrättar ett system som kan filtrera lobbyister/aktivister/stora företag etc. för att inte ge dem en oproportionerlig vikt.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rekommenderar att du skapar programvara för artificiell intelligens som rankar olika recensioner och räknar motsatta eller gynnsamma recensioner.</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Vi föreslår att man organiserar förmedlingar mellan medborgare och föreningar (militanter): ha platser där medborgarna kan komma och avge sina åsikter, i form av ”Europahus” som skulle kunna bidra till att sprida medborgarnas åsikter till EU-nivå. Dessa platser bör inrättas på olika platser, på lokal nivå, och omplaceras.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5.Anmälningsformuläret är inte klart: det finns en öppen fråga och ett frågeformulär. Vilken roll har varje dokument, vad ska fyllas 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Förklara denna information på webbplatsen.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Det finns för många kompetensnivåer när det gäller verktyg</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Vi föreslår att det skapas en avsändningscentral som gör det möjligt att rikta begäran till behörig myndighetsnivå.</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Det europeiska medborgarinitiativet</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Rekommendationer</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Stöds av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Medborgare som inte har internet är svårare att nå.</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föreslår att lokala myndigheter eller bibliotek, som är oberoende av regeringen, kan delta i spridningen av detta initiativ och samla in underskrifter. Både elektroniskt och på papper. EU bör utvärdera detta nätverk per land och göra det tillgängligt för initiativtagarna.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Antalet länder som behöver delta är för litet för att få tillräckligt stöd.</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föreslår en ökning av antalet länder från vilka underskrifter samlas in till 13 länder för att få ett större stöd för förslaget. Antalet underskrifter måste respekteras i proportion till antalet invånare.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Kostnaden och ansträngningen att samla underskrifter är hög</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föreslår att det ska finnas EU-medel för att stödja dessa initiativ.</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föreslår att ett organ inrättas för att underlätta samordningen mellan olika länder.</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Förfarandet är komplicerat för medborgarna.</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Vi föreslår att det inrättas en helpdesk för att hjälpa medborgarna att slutföra processen.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Resultatet av medborgarinitiativet är oklart.</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Vi föreslår att Europeiska kommissionen åläggs att diskutera och arbeta med uppföljningen av förslaget, och inte bara att svara och bekräfta mottagandet. Om kommissionen beslutar att inte vidta åtgärder med anledning av förslaget måste den motivera detta.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Vi föreslår att man anordnar ett samråd med medborgarna när de tar emot ett europeiskt medborgarinitiativ för att be dem om deras åsikt om det innan utskottet övervakar det. Detta skulle undvika att bara ha extrema åsikter/omröstningar för initiativet och att ha åsikter från personer som inte har undertecknat. Om alla medborgare avger sin åsikt kommer förslaget dessutom att få större tyngd på EU-nivå och dess uppföljning.</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Rätt att göra framställningar</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Rekommendationer</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Stöds av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Europeiska kommissionen har det slutliga beslutet, det finns ingen säkerhet om resultatet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föreslår att Europaparlamentets rekommendation följs av utskottet.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Det finns lite insyn i processen och motivationen i beslutet.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föreslår att den person som lämnar in framställningen hålls informerad om framsteg och beslut med jämna mellanrum. Den slutliga slutsatsen måste också motiveras.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Det är svårt för medborgarna att visa på behovet av ny lagstiftning.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Vår rekommendation är att en framställning också bör användas som ett verktyg för att visa behovet av ny lagstiftning.</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Nationella paneler: Frankrike</w:t>
      </w:r>
    </w:p>
    <w:p>
      <w:pPr>
        <w:pStyle w:val="Normal"/>
        <w:spacing w:before="15880" w:after="57"/>
        <w:rPr/>
      </w:pPr>
      <w:r>
        <w:rPr/>
        <mc:AlternateContent>
          <mc:Choice Requires="wps">
            <w:drawing>
              <wp:anchor behindDoc="0" distT="72390" distB="72390" distL="72390" distR="72390" simplePos="0" locked="0" layoutInCell="1" allowOverlap="1" relativeHeight="19">
                <wp:simplePos x="0" y="0"/>
                <wp:positionH relativeFrom="column">
                  <wp:posOffset>914400</wp:posOffset>
                </wp:positionH>
                <wp:positionV relativeFrom="paragraph">
                  <wp:posOffset>5288280</wp:posOffset>
                </wp:positionV>
                <wp:extent cx="4782820" cy="1020445"/>
                <wp:effectExtent l="0" t="0" r="0" b="0"/>
                <wp:wrapTopAndBottom/>
                <wp:docPr id="75" name="Ram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pPr>
                            <w:r>
                              <w:rPr/>
                              <w:t xml:space="preserve">Detta dokument är en sammanfattning av rapporten ”Medborgarnas bidrag till konferensen om Europas framtid” som anordnas av Frankrike. Den fullständiga versionen av rapporten på franska finns på följande länk: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am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pPr>
                      <w:r>
                        <w:rPr/>
                        <w:t xml:space="preserve">Detta dokument är en sammanfattning av rapporten ”Medborgarnas bidrag till konferensen om Europas framtid” som anordnas av Frankrike. Den fullständiga versionen av rapporten på franska finns på följande länk: </w:t>
                      </w:r>
                    </w:p>
                    <w:p>
                      <w:pPr>
                        <w:pStyle w:val="Contenudecadre"/>
                        <w:spacing w:before="57" w:after="57"/>
                        <w:rPr/>
                      </w:pPr>
                      <w:hyperlink r:id="rId88">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Bild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1290955</wp:posOffset>
            </wp:positionH>
            <wp:positionV relativeFrom="paragraph">
              <wp:posOffset>6459220</wp:posOffset>
            </wp:positionV>
            <wp:extent cx="1554480" cy="240030"/>
            <wp:effectExtent l="0" t="0" r="0" b="0"/>
            <wp:wrapSquare wrapText="largest"/>
            <wp:docPr id="78" name="Bild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79" name="Bild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3897630</wp:posOffset>
            </wp:positionH>
            <wp:positionV relativeFrom="paragraph">
              <wp:posOffset>6478270</wp:posOffset>
            </wp:positionV>
            <wp:extent cx="1212850" cy="419100"/>
            <wp:effectExtent l="0" t="0" r="0" b="0"/>
            <wp:wrapSquare wrapText="largest"/>
            <wp:docPr id="80" name="Bild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37" descr=""/>
                    <pic:cNvPicPr>
                      <a:picLocks noChangeAspect="1" noChangeArrowheads="1"/>
                    </pic:cNvPicPr>
                  </pic:nvPicPr>
                  <pic:blipFill>
                    <a:blip r:embed="rId92"/>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-47625</wp:posOffset>
            </wp:positionH>
            <wp:positionV relativeFrom="paragraph">
              <wp:posOffset>6496050</wp:posOffset>
            </wp:positionV>
            <wp:extent cx="1281430" cy="614680"/>
            <wp:effectExtent l="0" t="0" r="0" b="0"/>
            <wp:wrapSquare wrapText="largest"/>
            <wp:docPr id="81" name="Bild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drawing>
          <wp:anchor behindDoc="0" distT="0" distB="0" distL="0" distR="0" simplePos="0" locked="0" layoutInCell="1" allowOverlap="1" relativeHeight="89">
            <wp:simplePos x="0" y="0"/>
            <wp:positionH relativeFrom="column">
              <wp:posOffset>5186680</wp:posOffset>
            </wp:positionH>
            <wp:positionV relativeFrom="paragraph">
              <wp:posOffset>6484620</wp:posOffset>
            </wp:positionV>
            <wp:extent cx="838200" cy="485775"/>
            <wp:effectExtent l="0" t="0" r="0" b="0"/>
            <wp:wrapSquare wrapText="largest"/>
            <wp:docPr id="82" name="Bild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38" descr=""/>
                    <pic:cNvPicPr>
                      <a:picLocks noChangeAspect="1" noChangeArrowheads="1"/>
                    </pic:cNvPicPr>
                  </pic:nvPicPr>
                  <pic:blipFill>
                    <a:blip r:embed="rId94"/>
                    <a:stretch>
                      <a:fillRect/>
                    </a:stretch>
                  </pic:blipFill>
                  <pic:spPr bwMode="auto">
                    <a:xfrm>
                      <a:off x="0" y="0"/>
                      <a:ext cx="838200" cy="485775"/>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TOAHeading"/>
        <w:suppressLineNumbers/>
        <w:ind w:left="0" w:right="0" w:hanging="0"/>
        <w:rPr/>
      </w:pPr>
      <w:r>
        <w:rPr/>
        <w:t>Sammanfattning</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Inledning </w:t>
      </w:r>
    </w:p>
    <w:p>
      <w:pPr>
        <w:pStyle w:val="P68B1DB1Normal19"/>
        <w:widowControl w:val="false"/>
        <w:spacing w:lineRule="auto" w:line="240" w:before="156" w:after="0"/>
        <w:ind w:left="0" w:right="0" w:hanging="0"/>
        <w:jc w:val="both"/>
        <w:rPr/>
      </w:pPr>
      <w:r>
        <w:rPr/>
        <w:t xml:space="preserve">Konferensen om Europas framtid är ett aldrig tidigare skådat medborgardeltagande för att samråda med medborgarna i EU:s 27 medlemsstater för att sätta dem i centrum för de beslut som kommer att fattas under många år och årtionden framöver. EU-medborgarna uppmanas därför att göra sina röster hörda och föreslå förändringar och konkreta handlingssätt som gör det möjligt för EU att fastställa en ny ambition och ta itu med de globala utmaningar som EU står inför i dag. </w:t>
      </w:r>
    </w:p>
    <w:p>
      <w:pPr>
        <w:pStyle w:val="P68B1DB1Normal19"/>
        <w:widowControl w:val="false"/>
        <w:spacing w:lineRule="auto" w:line="240" w:before="156" w:after="0"/>
        <w:ind w:left="0" w:right="0" w:hanging="0"/>
        <w:jc w:val="both"/>
        <w:rPr/>
      </w:pPr>
      <w:r>
        <w:rPr/>
        <w:t xml:space="preserve">Den franska regeringen stöder initiativen från ordförandeskapstrion för konferensen om Europas framtid, särskilt genom att uppmuntra medborgarna att lämna ett betydande bidrag till onlineplattformen och anordna evenemang i hela landet. </w:t>
      </w:r>
    </w:p>
    <w:p>
      <w:pPr>
        <w:pStyle w:val="P68B1DB1Normal19"/>
        <w:widowControl w:val="false"/>
        <w:spacing w:lineRule="auto" w:line="240" w:before="156" w:after="0"/>
        <w:ind w:left="0" w:right="0" w:hanging="0"/>
        <w:jc w:val="left"/>
        <w:rPr/>
      </w:pPr>
      <w:r>
        <w:rPr/>
        <w:t xml:space="preserve">Parallellt med dessa europeiska initiativ ville regeringen genomföra ett deltagande på nationell nivå. </w:t>
      </w:r>
    </w:p>
    <w:p>
      <w:pPr>
        <w:pStyle w:val="P68B1DB1Normal19"/>
        <w:widowControl w:val="false"/>
        <w:spacing w:lineRule="auto" w:line="240" w:before="156" w:after="0"/>
        <w:ind w:left="0" w:right="0" w:hanging="0"/>
        <w:jc w:val="both"/>
        <w:rPr/>
      </w:pPr>
      <w:r>
        <w:rPr/>
        <w:t xml:space="preserve">Med stöd av ministeriet för förbindelser med parlamentet och medborgardeltagande (MRPCC) och sakkunskapen från det interministeriella centrumet för medborgardeltagande (ICPC) organiserade ministeriet för Europa och utrikesministeriet en medborgarövning baserad på starka metodologiska fördomar (se nedan ”Metodologiska åtaganden och fördomar”). MEAE förlitade sig på ett leverantörskonsortium bestående av Roland Berger, Wavestone, Missions Publiques och Harris Interactive. Regionala prefekturer har äntligen spelat en nyckelroll när det gäller att organisera de 18 konferenserna i hela landet. </w:t>
      </w:r>
    </w:p>
    <w:p>
      <w:pPr>
        <w:pStyle w:val="P68B1DB1Normal19"/>
        <w:widowControl w:val="false"/>
        <w:spacing w:lineRule="auto" w:line="240" w:before="156" w:after="0"/>
        <w:ind w:left="0" w:right="0" w:hanging="0"/>
        <w:jc w:val="both"/>
        <w:rPr/>
      </w:pPr>
      <w:r>
        <w:rPr/>
        <w:t xml:space="preserve">Som en del av samrådet ställdes en enda fråga till deltagarna: </w:t>
      </w:r>
      <w:r>
        <w:rPr>
          <w:b/>
          <w:i/>
        </w:rPr>
        <w:t>Vilka förändringar vill ni som fransmän ha för Europa?</w:t>
      </w:r>
      <w:r>
        <w:rPr/>
        <w:t xml:space="preserve"> (Se bilaga IV ”Managemang för deltagande”). </w:t>
      </w:r>
    </w:p>
    <w:p>
      <w:pPr>
        <w:pStyle w:val="P68B1DB1Normal19"/>
        <w:widowControl w:val="false"/>
        <w:spacing w:lineRule="auto" w:line="240" w:before="156" w:after="0"/>
        <w:ind w:left="0" w:right="0" w:hanging="0"/>
        <w:jc w:val="both"/>
        <w:rPr/>
      </w:pPr>
      <w:r>
        <w:rPr/>
        <w:t xml:space="preserve">Denna nationella övning ägde rum i form av 18 regionala konferenser i de 13 storstadsregionerna och de fem franska ultramarina regionerna, som ägde rum under tre helger i september och oktober 2021 och som var och en samlade mellan 30 och 50 medborgare som drogs genom lottning (746 totalt). Sammanfattningen av dessa 18 regionala paneler genomfördes sedan vid en nationell konferens som hölls den 15–17 oktober 2021 vid Ekonomiska, sociala och miljömässiga rådet (EESK i Paris) och som samlade 98 frivilliga medborgare bland deltagarna i de regionala konferenserna. </w:t>
      </w:r>
    </w:p>
    <w:p>
      <w:pPr>
        <w:pStyle w:val="P68B1DB1Normal19"/>
        <w:widowControl w:val="false"/>
        <w:spacing w:lineRule="auto" w:line="240" w:before="156" w:after="0"/>
        <w:ind w:left="0" w:right="0" w:hanging="0"/>
        <w:jc w:val="both"/>
        <w:rPr/>
      </w:pPr>
      <w:r>
        <w:rPr/>
        <w:t xml:space="preserve">Dessutom, och för att lyfta fram unga fransmäns ord inför Europeiska ungdomsåret 2022, anordnades ett samråd på nätet med titeln ” </w:t>
      </w:r>
      <w:r>
        <w:rPr>
          <w:i/>
        </w:rPr>
        <w:t>Speak to Youth”</w:t>
      </w:r>
      <w:r>
        <w:rPr/>
        <w:t xml:space="preserve">av Europa- och utrikesministeriet i samarbete med Make.org. Över 50 000 ungdomar i åldern 15–35 år uttryckte sina idéer och prioriteringar för Europa 2035. </w:t>
      </w:r>
    </w:p>
    <w:p>
      <w:pPr>
        <w:pStyle w:val="P68B1DB1Normal19"/>
        <w:widowControl w:val="false"/>
        <w:spacing w:lineRule="auto" w:line="240" w:before="156" w:after="0"/>
        <w:ind w:left="0" w:right="0" w:hanging="0"/>
        <w:jc w:val="left"/>
        <w:rPr/>
      </w:pPr>
      <w:r>
        <w:rPr/>
        <w:t xml:space="preserve">I denna rapport presenteras de viktigaste resultaten av de två samråd som regeringen genomfört.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pPr>
      <w:r>
        <w:rPr/>
        <w:t xml:space="preserve">Samrådsmetod </w:t>
      </w:r>
    </w:p>
    <w:p>
      <w:pPr>
        <w:pStyle w:val="P68B1DB1Normal19"/>
        <w:widowControl w:val="false"/>
        <w:spacing w:lineRule="auto" w:line="240" w:before="156" w:after="0"/>
        <w:ind w:left="0" w:right="0" w:hanging="0"/>
        <w:jc w:val="both"/>
        <w:rPr/>
      </w:pPr>
      <w:r>
        <w:rPr/>
        <w:t xml:space="preserve">Rekryteringen av medborgare som deltar i regionala konferenser kombinerade ett slumpmässigt urval av deltagare genom slumpmässig dragning av deras telefonnummer och ett riktat urval av profiler för att nå en panel som är så representativ för mångfalden i varje område som möjligt. </w:t>
      </w:r>
    </w:p>
    <w:p>
      <w:pPr>
        <w:pStyle w:val="P68B1DB1Normal19"/>
        <w:widowControl w:val="false"/>
        <w:spacing w:lineRule="auto" w:line="240" w:before="156" w:after="0"/>
        <w:ind w:left="0" w:right="0" w:hanging="0"/>
        <w:jc w:val="both"/>
        <w:rPr/>
      </w:pPr>
      <w:r>
        <w:rPr/>
        <w:t xml:space="preserve">Under de regionala panelerna talade deltagarna genom att växla arbetstid i grupper, per tabell med 6–8 medborgare tillsammans med en kontaktperson och presentationstider i plenum. Experter var närvarande under reflektionstiden för att svara på medborgarnas frågor och belysa, samtidigt som man höll en neutralitetsposition. </w:t>
      </w:r>
    </w:p>
    <w:p>
      <w:pPr>
        <w:pStyle w:val="P68B1DB1Normal19"/>
        <w:widowControl w:val="false"/>
        <w:spacing w:lineRule="auto" w:line="240" w:before="156" w:after="0"/>
        <w:ind w:left="0" w:right="0" w:hanging="0"/>
        <w:jc w:val="both"/>
        <w:rPr/>
      </w:pPr>
      <w:r>
        <w:rPr/>
        <w:t xml:space="preserve">Medborgarna inbjöds först att diskutera sin nuvarande uppfattning om Europa. De uttryckte sedan sina </w:t>
      </w:r>
      <w:r>
        <w:rPr>
          <w:b/>
        </w:rPr>
        <w:t>önskemål för Europa 2035</w:t>
      </w:r>
      <w:r>
        <w:rPr/>
        <w:t xml:space="preserve">, som grupp och sedan i plenum. Dessa diskussioner gjorde det möjligt att identifiera mellan 3 och 8 önskemål per region. För var och en av dessa önskemål formulerade medborgarna sedan de </w:t>
      </w:r>
      <w:r>
        <w:rPr>
          <w:b/>
        </w:rPr>
        <w:t>ändringar</w:t>
      </w:r>
      <w:r>
        <w:rPr/>
        <w:t xml:space="preserve"> som de ansåg nödvändiga för att nå det önskade Europa och illustrerade dem med konkreta förslag som skulle genomföras. Denna process resulterade i totalt 515 ändringar och 1 301 konkreta förslag på nationell nivå. </w:t>
      </w:r>
    </w:p>
    <w:p>
      <w:pPr>
        <w:pStyle w:val="P68B1DB1Normal19"/>
        <w:widowControl w:val="false"/>
        <w:spacing w:lineRule="auto" w:line="240" w:before="156" w:after="0"/>
        <w:ind w:left="0" w:right="0" w:hanging="0"/>
        <w:jc w:val="left"/>
        <w:rPr/>
      </w:pPr>
      <w:r>
        <w:rPr/>
        <w:t xml:space="preserve">Varje regional konferens resulterade i att en regional sammanfattande rapport lades fram för alla deltagare inför den nationella konferensen. </w:t>
      </w:r>
    </w:p>
    <w:p>
      <w:pPr>
        <w:pStyle w:val="P68B1DB1Normal19"/>
        <w:widowControl w:val="false"/>
        <w:spacing w:lineRule="auto" w:line="240" w:before="156" w:after="0"/>
        <w:ind w:left="0" w:right="0" w:hanging="0"/>
        <w:jc w:val="both"/>
        <w:rPr/>
      </w:pPr>
      <w:r>
        <w:rPr/>
        <w:t xml:space="preserve">Den nationella synteskonferensen samlade 98 slumpmässigt utvalda medborgare bland deltagarna i de 18 regionala konferenserna. För att säkerställa en mångfald i den nationella panelen drogs sex medborgare genom lottning bland volontärerna vid de regionala konferenserna i Frankrike och Réunionen och fyra medborgare för ultramarina konferenser, med respekt för paritet och åldersskillnader i varje regional dragning (se bilaga II). </w:t>
      </w:r>
    </w:p>
    <w:p>
      <w:pPr>
        <w:pStyle w:val="Normal"/>
        <w:widowControl w:val="false"/>
        <w:spacing w:lineRule="auto" w:line="240" w:before="156" w:after="0"/>
        <w:ind w:left="0" w:right="0" w:hanging="0"/>
        <w:jc w:val="both"/>
        <w:rPr/>
      </w:pPr>
      <w:r>
        <w:rPr>
          <w:rFonts w:ascii="Times New Roman" w:hAnsi="Times New Roman"/>
          <w:color w:val="000000"/>
          <w:sz w:val="24"/>
        </w:rPr>
        <w:t>Som förberedelse inför den nationella konferensen analyserades och avstämdes de 515 ändringar som identifierades vid de regionala konferenserna när deras underliggande avsikt verkade liknande eller nära, så att de utgjorde 14 grupper</w:t>
      </w:r>
      <w:r>
        <w:rPr>
          <w:rFonts w:ascii="Times New Roman" w:hAnsi="Times New Roman"/>
          <w:b/>
          <w:color w:val="000000"/>
          <w:sz w:val="24"/>
        </w:rPr>
        <w:t xml:space="preserve"> </w:t>
      </w:r>
      <w:r>
        <w:rPr>
          <w:rFonts w:ascii="Times New Roman" w:hAnsi="Times New Roman"/>
          <w:color w:val="000000"/>
          <w:sz w:val="24"/>
        </w:rPr>
        <w:t>av förändringar som återspeglar en gemensam önskan för Europa (se del 6). Dessa 14 europeiska önskemål låg till grund för arbetet för de 98 deltagarna i den nationella konferensen, vars uppdrag var att berika det arbete som utförts i regionerna och att möta EU:s önskemål, förändringarna och förslagen med hjälp av tjugo experter för att komma fram till en förteckning över prioriterade förändringar. Varje grupp valde slutligen ut tre viktiga ändringar,</w:t>
      </w:r>
      <w:r>
        <w:rPr>
          <w:rFonts w:ascii="Times New Roman" w:hAnsi="Times New Roman"/>
          <w:b/>
          <w:color w:val="000000"/>
          <w:sz w:val="24"/>
        </w:rPr>
        <w:t xml:space="preserve"> </w:t>
      </w:r>
      <w:r>
        <w:rPr>
          <w:rFonts w:ascii="Times New Roman" w:hAnsi="Times New Roman"/>
          <w:color w:val="000000"/>
          <w:sz w:val="24"/>
        </w:rPr>
        <w:t xml:space="preserve">varav den första röstades igenom av alla 98 medborgare, vilket fastställde en slutlig rangordning av de 14 prioriterade ändringarna. I en sammanfattande rapport konsolideras allt arbete under konferensen. </w:t>
      </w:r>
      <w:r>
        <w:br w:type="page"/>
      </w:r>
    </w:p>
    <w:p>
      <w:pPr>
        <w:pStyle w:val="P68B1DB1Normal19"/>
        <w:spacing w:lineRule="auto" w:line="240" w:before="156" w:after="0"/>
        <w:ind w:left="0" w:right="0" w:hanging="0"/>
        <w:rPr/>
      </w:pPr>
      <w:r>
        <w:rPr/>
        <w:t xml:space="preserve">Onlinesamrådet ”Parole aux Jeunes” som genomfördes i samarbete med Make.org ägde rum från maj till juli 2021. Mer än 50 000 deltagare deltog och lämnade in nästan 3 000 förslag till Europa. På grundval av alla reaktioner från unga medborgare identifierades 35 viktiga idéer, varav 22 var allmänt uppmärksammade och 13 var föremål för kontroverser bland deltagarna (se del 11). </w:t>
      </w:r>
    </w:p>
    <w:p>
      <w:pPr>
        <w:pStyle w:val="P68B1DB1Normal19"/>
        <w:widowControl w:val="false"/>
        <w:spacing w:lineRule="auto" w:line="240" w:before="156" w:after="0"/>
        <w:ind w:left="0" w:right="0" w:hanging="0"/>
        <w:jc w:val="left"/>
        <w:rPr/>
      </w:pPr>
      <w:r>
        <w:rPr>
          <w:u w:val="single"/>
        </w:rPr>
        <w:t>Utförselställe och tull omedelbart</w:t>
      </w:r>
      <w:r>
        <w:rPr/>
        <w:t xml:space="preserve"> </w:t>
      </w:r>
    </w:p>
    <w:p>
      <w:pPr>
        <w:pStyle w:val="P68B1DB1Normal19"/>
        <w:widowControl w:val="false"/>
        <w:spacing w:lineRule="auto" w:line="240" w:before="156" w:after="0"/>
        <w:ind w:left="0" w:right="0" w:hanging="0"/>
        <w:jc w:val="both"/>
        <w:rPr/>
      </w:pPr>
      <w:r>
        <w:rPr/>
        <w:t xml:space="preserve">Denna rapport kommer att överlämnas till regeringen av medborgarna den 29 november 2021, i närvaro av franska valda ledamöter i plenarförsamlingen i konferensen om Europas framtid. Det kommer att läggas fram för konferensens ordförandeskapstrion under det franska ordförandeskapet för Europeiska unionens råd (PFUE). </w:t>
      </w:r>
    </w:p>
    <w:p>
      <w:pPr>
        <w:pStyle w:val="P68B1DB1Normal19"/>
        <w:widowControl w:val="false"/>
        <w:spacing w:lineRule="auto" w:line="240" w:before="156" w:after="0"/>
        <w:ind w:left="0" w:right="0" w:hanging="0"/>
        <w:jc w:val="both"/>
        <w:rPr/>
      </w:pPr>
      <w:r>
        <w:rPr/>
        <w:t xml:space="preserve">I slutet av EESK:s nationella synteskonferens, och för att uppfylla de höga förväntningar som lotterna ställer, inrättades en medborgaruppföljningskommitté som förkroppsligar deltagarnas uppföljningsrätt. Denna kommitté, som består av 15 ledamöter – 14 företrädare för regionala konferenser och en företrädare för samrådet ”Parole aux Jeunes” – kommer att ha till uppgift att informera medborgarna om framtiden för deras förslag. Vid varje möte i konferensens plenarförsamling kommer en eller en av ledamöterna i övervakningskommittén att delta som företrädare för den franska övningen för att lyfta fram förslagen i detta betänkande, samtidigt som man bygger upp en gemensam ståndpunkt med alla EU-medborgare som är representerade. </w:t>
      </w:r>
    </w:p>
    <w:p>
      <w:pPr>
        <w:pStyle w:val="P68B1DB1Normal19"/>
        <w:widowControl w:val="false"/>
        <w:spacing w:lineRule="auto" w:line="240" w:before="156" w:after="0"/>
        <w:ind w:left="0" w:right="0" w:hanging="0"/>
        <w:jc w:val="both"/>
        <w:rPr/>
      </w:pPr>
      <w:r>
        <w:rPr/>
        <w:t xml:space="preserve">Alla dokument från det franska samrådet kommer att vara offentliga och tillgängliga för alla på plattformen för medborgardeltagande i den franska staten: mandat för deltagande, regionala sammanfattningar, nationell sammanfattning, garantrapport och slutrapport.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91">
                <wp:simplePos x="0" y="0"/>
                <wp:positionH relativeFrom="column">
                  <wp:posOffset>3595370</wp:posOffset>
                </wp:positionH>
                <wp:positionV relativeFrom="paragraph">
                  <wp:posOffset>108585</wp:posOffset>
                </wp:positionV>
                <wp:extent cx="2486660" cy="6927215"/>
                <wp:effectExtent l="0" t="0" r="0" b="0"/>
                <wp:wrapSquare wrapText="bothSides"/>
                <wp:docPr id="83" name="Ram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Översikt över Frankrikes bidrag till konferensen om Europas framtid</w:t>
                            </w:r>
                          </w:p>
                          <w:p>
                            <w:pPr>
                              <w:pStyle w:val="Contenudecadre"/>
                              <w:rPr>
                                <w:color w:val="auto"/>
                              </w:rPr>
                            </w:pPr>
                            <w:r>
                              <w:rPr>
                                <w:color w:val="auto"/>
                              </w:rPr>
                            </w:r>
                          </w:p>
                          <w:p>
                            <w:pPr>
                              <w:pStyle w:val="Contenudecadre"/>
                              <w:rPr>
                                <w:color w:val="auto"/>
                              </w:rPr>
                            </w:pPr>
                            <w:r>
                              <w:rPr>
                                <w:color w:val="auto"/>
                              </w:rPr>
                              <w:t>De medborgare som drogs av lotten var tvungna att svara på frågan: ”Som franska medborgare, vilka förändringar vill du ha för Europa?”</w:t>
                            </w:r>
                          </w:p>
                          <w:p>
                            <w:pPr>
                              <w:pStyle w:val="Contenudecadre"/>
                              <w:rPr>
                                <w:color w:val="auto"/>
                              </w:rPr>
                            </w:pPr>
                            <w:r>
                              <w:rPr>
                                <w:color w:val="auto"/>
                              </w:rPr>
                            </w:r>
                          </w:p>
                          <w:p>
                            <w:pPr>
                              <w:pStyle w:val="Contenudecadre"/>
                              <w:rPr>
                                <w:color w:val="auto"/>
                              </w:rPr>
                            </w:pPr>
                            <w:r>
                              <w:rPr>
                                <w:color w:val="auto"/>
                              </w:rPr>
                              <w:t xml:space="preserve">Topp 10 prioriterade förändringar för Europa 2035 </w:t>
                            </w:r>
                          </w:p>
                          <w:p>
                            <w:pPr>
                              <w:pStyle w:val="Contenudecadre"/>
                              <w:rPr>
                                <w:color w:val="auto"/>
                              </w:rPr>
                            </w:pPr>
                            <w:r>
                              <w:rPr>
                                <w:color w:val="auto"/>
                              </w:rPr>
                            </w:r>
                          </w:p>
                          <w:p>
                            <w:pPr>
                              <w:pStyle w:val="Contenudecadre"/>
                              <w:rPr>
                                <w:color w:val="auto"/>
                              </w:rPr>
                            </w:pPr>
                            <w:r>
                              <w:rPr>
                                <w:color w:val="auto"/>
                              </w:rPr>
                              <w:t xml:space="preserve">1. Utveckla </w:t>
                            </w:r>
                            <w:r>
                              <w:rPr>
                                <w:b/>
                                <w:color w:val="auto"/>
                              </w:rPr>
                              <w:t>energi nykterhet</w:t>
                            </w:r>
                            <w:r>
                              <w:rPr>
                                <w:color w:val="auto"/>
                              </w:rPr>
                              <w:t xml:space="preserve"> att konsumera mindre genom att stoppa överflödiga</w:t>
                            </w:r>
                          </w:p>
                          <w:p>
                            <w:pPr>
                              <w:pStyle w:val="Contenudecadre"/>
                              <w:rPr>
                                <w:b w:val="false"/>
                                <w:b w:val="false"/>
                                <w:color w:val="auto"/>
                              </w:rPr>
                            </w:pPr>
                            <w:r>
                              <w:rPr>
                                <w:b w:val="false"/>
                                <w:color w:val="auto"/>
                              </w:rPr>
                            </w:r>
                          </w:p>
                          <w:p>
                            <w:pPr>
                              <w:pStyle w:val="Contenudecadre"/>
                              <w:rPr>
                                <w:color w:val="auto"/>
                              </w:rPr>
                            </w:pPr>
                            <w:r>
                              <w:rPr>
                                <w:color w:val="auto"/>
                              </w:rPr>
                              <w:t>2. Förstärkning av Europeiska</w:t>
                            </w:r>
                            <w:r>
                              <w:rPr>
                                <w:b/>
                                <w:color w:val="auto"/>
                              </w:rPr>
                              <w:t>unionens gemensamma försvar och säkerhet</w:t>
                            </w:r>
                          </w:p>
                          <w:p>
                            <w:pPr>
                              <w:pStyle w:val="Contenudecadre"/>
                              <w:rPr>
                                <w:b w:val="false"/>
                                <w:b w:val="false"/>
                                <w:color w:val="auto"/>
                              </w:rPr>
                            </w:pPr>
                            <w:r>
                              <w:rPr>
                                <w:b w:val="false"/>
                                <w:color w:val="auto"/>
                              </w:rPr>
                            </w:r>
                          </w:p>
                          <w:p>
                            <w:pPr>
                              <w:pStyle w:val="Contenudecadre"/>
                              <w:rPr>
                                <w:color w:val="auto"/>
                              </w:rPr>
                            </w:pPr>
                            <w:r>
                              <w:rPr>
                                <w:color w:val="auto"/>
                              </w:rPr>
                              <w:t xml:space="preserve">3. Främja </w:t>
                            </w:r>
                            <w:r>
                              <w:rPr>
                                <w:b/>
                                <w:color w:val="auto"/>
                              </w:rPr>
                              <w:t>kollektiva ekonomiska resultat</w:t>
                            </w:r>
                            <w:r>
                              <w:rPr>
                                <w:color w:val="auto"/>
                              </w:rPr>
                              <w:t xml:space="preserve"> genom en självständig, konkurrenskraftig och värderad industri från EU:s sida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Stärka medborgarna</w:t>
                            </w:r>
                            <w:r>
                              <w:rPr>
                                <w:color w:val="auto"/>
                              </w:rPr>
                              <w:t xml:space="preserve"> på flera nivåer: deltagande, beslut, kontroll</w:t>
                            </w:r>
                          </w:p>
                          <w:p>
                            <w:pPr>
                              <w:pStyle w:val="Contenudecadre"/>
                              <w:rPr>
                                <w:b w:val="false"/>
                                <w:b w:val="false"/>
                                <w:color w:val="auto"/>
                              </w:rPr>
                            </w:pPr>
                            <w:r>
                              <w:rPr>
                                <w:b w:val="false"/>
                                <w:color w:val="auto"/>
                              </w:rPr>
                            </w:r>
                          </w:p>
                          <w:p>
                            <w:pPr>
                              <w:pStyle w:val="Contenudecadre"/>
                              <w:rPr>
                                <w:color w:val="auto"/>
                              </w:rPr>
                            </w:pPr>
                            <w:r>
                              <w:rPr>
                                <w:color w:val="auto"/>
                              </w:rPr>
                              <w:t xml:space="preserve">5. På väg mot en </w:t>
                            </w:r>
                            <w:r>
                              <w:rPr>
                                <w:b/>
                                <w:color w:val="auto"/>
                              </w:rPr>
                              <w:t>federation av europeiska stater</w:t>
                            </w:r>
                            <w:r>
                              <w:rPr>
                                <w:color w:val="auto"/>
                              </w:rPr>
                              <w:t xml:space="preserve"> med starka befogenheter på områden av gemensamt intresse</w:t>
                            </w:r>
                          </w:p>
                          <w:p>
                            <w:pPr>
                              <w:pStyle w:val="Contenudecadre"/>
                              <w:rPr>
                                <w:b w:val="false"/>
                                <w:b w:val="false"/>
                                <w:color w:val="auto"/>
                              </w:rPr>
                            </w:pPr>
                            <w:r>
                              <w:rPr>
                                <w:b w:val="false"/>
                                <w:color w:val="auto"/>
                              </w:rPr>
                            </w:r>
                          </w:p>
                          <w:p>
                            <w:pPr>
                              <w:pStyle w:val="Contenudecadre"/>
                              <w:spacing w:before="57" w:after="57"/>
                              <w:rPr/>
                            </w:pPr>
                            <w:r>
                              <w:rPr>
                                <w:color w:val="auto"/>
                              </w:rPr>
                              <w:t xml:space="preserve">6. Erbjuda livslånga </w:t>
                            </w:r>
                            <w:r>
                              <w:rPr>
                                <w:b/>
                                <w:color w:val="auto"/>
                              </w:rPr>
                              <w:t>utbytesprogram</w:t>
                            </w:r>
                          </w:p>
                        </w:txbxContent>
                      </wps:txbx>
                      <wps:bodyPr lIns="54000" rIns="54000" tIns="54000" bIns="54000">
                        <a:noAutofit/>
                      </wps:bodyPr>
                    </wps:wsp>
                  </a:graphicData>
                </a:graphic>
              </wp:anchor>
            </w:drawing>
          </mc:Choice>
          <mc:Fallback>
            <w:pict>
              <v:rect id="shape_0" ID="Ram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Översikt över Frankrikes bidrag till konferensen om Europas framtid</w:t>
                      </w:r>
                    </w:p>
                    <w:p>
                      <w:pPr>
                        <w:pStyle w:val="Contenudecadre"/>
                        <w:rPr>
                          <w:color w:val="auto"/>
                        </w:rPr>
                      </w:pPr>
                      <w:r>
                        <w:rPr>
                          <w:color w:val="auto"/>
                        </w:rPr>
                      </w:r>
                    </w:p>
                    <w:p>
                      <w:pPr>
                        <w:pStyle w:val="Contenudecadre"/>
                        <w:rPr>
                          <w:color w:val="auto"/>
                        </w:rPr>
                      </w:pPr>
                      <w:r>
                        <w:rPr>
                          <w:color w:val="auto"/>
                        </w:rPr>
                        <w:t>De medborgare som drogs av lotten var tvungna att svara på frågan: ”Som franska medborgare, vilka förändringar vill du ha för Europa?”</w:t>
                      </w:r>
                    </w:p>
                    <w:p>
                      <w:pPr>
                        <w:pStyle w:val="Contenudecadre"/>
                        <w:rPr>
                          <w:color w:val="auto"/>
                        </w:rPr>
                      </w:pPr>
                      <w:r>
                        <w:rPr>
                          <w:color w:val="auto"/>
                        </w:rPr>
                      </w:r>
                    </w:p>
                    <w:p>
                      <w:pPr>
                        <w:pStyle w:val="Contenudecadre"/>
                        <w:rPr>
                          <w:color w:val="auto"/>
                        </w:rPr>
                      </w:pPr>
                      <w:r>
                        <w:rPr>
                          <w:color w:val="auto"/>
                        </w:rPr>
                        <w:t xml:space="preserve">Topp 10 prioriterade förändringar för Europa 2035 </w:t>
                      </w:r>
                    </w:p>
                    <w:p>
                      <w:pPr>
                        <w:pStyle w:val="Contenudecadre"/>
                        <w:rPr>
                          <w:color w:val="auto"/>
                        </w:rPr>
                      </w:pPr>
                      <w:r>
                        <w:rPr>
                          <w:color w:val="auto"/>
                        </w:rPr>
                      </w:r>
                    </w:p>
                    <w:p>
                      <w:pPr>
                        <w:pStyle w:val="Contenudecadre"/>
                        <w:rPr>
                          <w:color w:val="auto"/>
                        </w:rPr>
                      </w:pPr>
                      <w:r>
                        <w:rPr>
                          <w:color w:val="auto"/>
                        </w:rPr>
                        <w:t xml:space="preserve">1. Utveckla </w:t>
                      </w:r>
                      <w:r>
                        <w:rPr>
                          <w:b/>
                          <w:color w:val="auto"/>
                        </w:rPr>
                        <w:t>energi nykterhet</w:t>
                      </w:r>
                      <w:r>
                        <w:rPr>
                          <w:color w:val="auto"/>
                        </w:rPr>
                        <w:t xml:space="preserve"> att konsumera mindre genom att stoppa överflödiga</w:t>
                      </w:r>
                    </w:p>
                    <w:p>
                      <w:pPr>
                        <w:pStyle w:val="Contenudecadre"/>
                        <w:rPr>
                          <w:b w:val="false"/>
                          <w:b w:val="false"/>
                          <w:color w:val="auto"/>
                        </w:rPr>
                      </w:pPr>
                      <w:r>
                        <w:rPr>
                          <w:b w:val="false"/>
                          <w:color w:val="auto"/>
                        </w:rPr>
                      </w:r>
                    </w:p>
                    <w:p>
                      <w:pPr>
                        <w:pStyle w:val="Contenudecadre"/>
                        <w:rPr>
                          <w:color w:val="auto"/>
                        </w:rPr>
                      </w:pPr>
                      <w:r>
                        <w:rPr>
                          <w:color w:val="auto"/>
                        </w:rPr>
                        <w:t>2. Förstärkning av Europeiska</w:t>
                      </w:r>
                      <w:r>
                        <w:rPr>
                          <w:b/>
                          <w:color w:val="auto"/>
                        </w:rPr>
                        <w:t>unionens gemensamma försvar och säkerhet</w:t>
                      </w:r>
                    </w:p>
                    <w:p>
                      <w:pPr>
                        <w:pStyle w:val="Contenudecadre"/>
                        <w:rPr>
                          <w:b w:val="false"/>
                          <w:b w:val="false"/>
                          <w:color w:val="auto"/>
                        </w:rPr>
                      </w:pPr>
                      <w:r>
                        <w:rPr>
                          <w:b w:val="false"/>
                          <w:color w:val="auto"/>
                        </w:rPr>
                      </w:r>
                    </w:p>
                    <w:p>
                      <w:pPr>
                        <w:pStyle w:val="Contenudecadre"/>
                        <w:rPr>
                          <w:color w:val="auto"/>
                        </w:rPr>
                      </w:pPr>
                      <w:r>
                        <w:rPr>
                          <w:color w:val="auto"/>
                        </w:rPr>
                        <w:t xml:space="preserve">3. Främja </w:t>
                      </w:r>
                      <w:r>
                        <w:rPr>
                          <w:b/>
                          <w:color w:val="auto"/>
                        </w:rPr>
                        <w:t>kollektiva ekonomiska resultat</w:t>
                      </w:r>
                      <w:r>
                        <w:rPr>
                          <w:color w:val="auto"/>
                        </w:rPr>
                        <w:t xml:space="preserve"> genom en självständig, konkurrenskraftig och värderad industri från EU:s sida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Stärka medborgarna</w:t>
                      </w:r>
                      <w:r>
                        <w:rPr>
                          <w:color w:val="auto"/>
                        </w:rPr>
                        <w:t xml:space="preserve"> på flera nivåer: deltagande, beslut, kontroll</w:t>
                      </w:r>
                    </w:p>
                    <w:p>
                      <w:pPr>
                        <w:pStyle w:val="Contenudecadre"/>
                        <w:rPr>
                          <w:b w:val="false"/>
                          <w:b w:val="false"/>
                          <w:color w:val="auto"/>
                        </w:rPr>
                      </w:pPr>
                      <w:r>
                        <w:rPr>
                          <w:b w:val="false"/>
                          <w:color w:val="auto"/>
                        </w:rPr>
                      </w:r>
                    </w:p>
                    <w:p>
                      <w:pPr>
                        <w:pStyle w:val="Contenudecadre"/>
                        <w:rPr>
                          <w:color w:val="auto"/>
                        </w:rPr>
                      </w:pPr>
                      <w:r>
                        <w:rPr>
                          <w:color w:val="auto"/>
                        </w:rPr>
                        <w:t xml:space="preserve">5. På väg mot en </w:t>
                      </w:r>
                      <w:r>
                        <w:rPr>
                          <w:b/>
                          <w:color w:val="auto"/>
                        </w:rPr>
                        <w:t>federation av europeiska stater</w:t>
                      </w:r>
                      <w:r>
                        <w:rPr>
                          <w:color w:val="auto"/>
                        </w:rPr>
                        <w:t xml:space="preserve"> med starka befogenheter på områden av gemensamt intresse</w:t>
                      </w:r>
                    </w:p>
                    <w:p>
                      <w:pPr>
                        <w:pStyle w:val="Contenudecadre"/>
                        <w:rPr>
                          <w:b w:val="false"/>
                          <w:b w:val="false"/>
                          <w:color w:val="auto"/>
                        </w:rPr>
                      </w:pPr>
                      <w:r>
                        <w:rPr>
                          <w:b w:val="false"/>
                          <w:color w:val="auto"/>
                        </w:rPr>
                      </w:r>
                    </w:p>
                    <w:p>
                      <w:pPr>
                        <w:pStyle w:val="Contenudecadre"/>
                        <w:spacing w:before="57" w:after="57"/>
                        <w:rPr/>
                      </w:pPr>
                      <w:r>
                        <w:rPr>
                          <w:color w:val="auto"/>
                        </w:rPr>
                        <w:t xml:space="preserve">6. Erbjuda livslånga </w:t>
                      </w:r>
                      <w:r>
                        <w:rPr>
                          <w:b/>
                          <w:color w:val="auto"/>
                        </w:rPr>
                        <w:t>utbytesprogram</w:t>
                      </w:r>
                    </w:p>
                  </w:txbxContent>
                </v:textbox>
              </v:rect>
            </w:pict>
          </mc:Fallback>
        </mc:AlternateContent>
      </w:r>
      <w:r>
        <w:rPr/>
        <w:t>Presentation av de viktigaste resultaten</w:t>
      </w:r>
    </w:p>
    <w:p>
      <w:pPr>
        <w:pStyle w:val="P68B1DB1Normal24"/>
        <w:rPr/>
      </w:pPr>
      <w:r>
        <w:rPr/>
        <w:t xml:space="preserve"> </w:t>
      </w:r>
      <w:r>
        <w:rPr/>
        <w:t>(originalet var i form av en illustration)</w:t>
      </w:r>
    </w:p>
    <w:p>
      <w:pPr>
        <w:pStyle w:val="Normal"/>
        <w:rPr/>
      </w:pPr>
      <w:r>
        <w:rPr/>
        <w:drawing>
          <wp:anchor behindDoc="0" distT="0" distB="0" distL="0" distR="0" simplePos="0" locked="0" layoutInCell="1" allowOverlap="1" relativeHeight="41">
            <wp:simplePos x="0" y="0"/>
            <wp:positionH relativeFrom="column">
              <wp:posOffset>39370</wp:posOffset>
            </wp:positionH>
            <wp:positionV relativeFrom="paragraph">
              <wp:posOffset>95250</wp:posOffset>
            </wp:positionV>
            <wp:extent cx="3488690" cy="5027930"/>
            <wp:effectExtent l="0" t="0" r="0" b="0"/>
            <wp:wrapSquare wrapText="largest"/>
            <wp:docPr id="85" name="Bild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Källa: Förändringar som vann flest röster vid den nationella konferensen om Europas framtid (15–17 oktober 2021)</w:t>
      </w:r>
      <w:r>
        <w:br w:type="page"/>
      </w:r>
    </w:p>
    <w:p>
      <w:pPr>
        <w:pStyle w:val="Normal"/>
        <w:rPr/>
      </w:pPr>
      <w:r>
        <w:rPr/>
        <w:drawing>
          <wp:anchor behindDoc="0" distT="0" distB="0" distL="0" distR="0" simplePos="0" locked="0" layoutInCell="1" allowOverlap="1" relativeHeight="40">
            <wp:simplePos x="0" y="0"/>
            <wp:positionH relativeFrom="column">
              <wp:posOffset>-7620</wp:posOffset>
            </wp:positionH>
            <wp:positionV relativeFrom="paragraph">
              <wp:posOffset>635</wp:posOffset>
            </wp:positionV>
            <wp:extent cx="3395345" cy="4848225"/>
            <wp:effectExtent l="0" t="0" r="0" b="0"/>
            <wp:wrapSquare wrapText="largest"/>
            <wp:docPr id="86" name="Bild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8">
                <wp:simplePos x="0" y="0"/>
                <wp:positionH relativeFrom="column">
                  <wp:posOffset>3481070</wp:posOffset>
                </wp:positionH>
                <wp:positionV relativeFrom="paragraph">
                  <wp:posOffset>94615</wp:posOffset>
                </wp:positionV>
                <wp:extent cx="2610485" cy="3150870"/>
                <wp:effectExtent l="0" t="0" r="0" b="0"/>
                <wp:wrapSquare wrapText="bothSides"/>
                <wp:docPr id="87" name="Ram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Dela europeiska kulturer genom att </w:t>
                            </w:r>
                            <w:r>
                              <w:rPr>
                                <w:b/>
                                <w:color w:val="auto"/>
                              </w:rPr>
                              <w:t>förena evenemang och evenemang</w:t>
                            </w:r>
                          </w:p>
                          <w:p>
                            <w:pPr>
                              <w:pStyle w:val="Contenudecadre"/>
                              <w:rPr>
                                <w:b w:val="false"/>
                                <w:b w:val="false"/>
                                <w:color w:val="auto"/>
                              </w:rPr>
                            </w:pPr>
                            <w:r>
                              <w:rPr>
                                <w:b w:val="false"/>
                                <w:color w:val="auto"/>
                              </w:rPr>
                            </w:r>
                          </w:p>
                          <w:p>
                            <w:pPr>
                              <w:pStyle w:val="Contenudecadre"/>
                              <w:rPr>
                                <w:color w:val="auto"/>
                              </w:rPr>
                            </w:pPr>
                            <w:r>
                              <w:rPr>
                                <w:color w:val="auto"/>
                              </w:rPr>
                              <w:t xml:space="preserve">8.Harmonisera </w:t>
                            </w:r>
                            <w:r>
                              <w:rPr>
                                <w:b/>
                                <w:color w:val="auto"/>
                              </w:rPr>
                              <w:t>hälsa</w:t>
                            </w:r>
                            <w:r>
                              <w:rPr>
                                <w:color w:val="auto"/>
                              </w:rPr>
                              <w:t xml:space="preserve"> och göra den tillgänglig för alla européer genom en gemensam hälsopolitik</w:t>
                            </w:r>
                          </w:p>
                          <w:p>
                            <w:pPr>
                              <w:pStyle w:val="Contenudecadre"/>
                              <w:rPr>
                                <w:b w:val="false"/>
                                <w:b w:val="false"/>
                                <w:color w:val="auto"/>
                              </w:rPr>
                            </w:pPr>
                            <w:r>
                              <w:rPr>
                                <w:b w:val="false"/>
                                <w:color w:val="auto"/>
                              </w:rPr>
                            </w:r>
                          </w:p>
                          <w:p>
                            <w:pPr>
                              <w:pStyle w:val="Contenudecadre"/>
                              <w:rPr>
                                <w:color w:val="auto"/>
                              </w:rPr>
                            </w:pPr>
                            <w:r>
                              <w:rPr>
                                <w:color w:val="auto"/>
                              </w:rPr>
                              <w:t xml:space="preserve">9. Utveckla och styra </w:t>
                            </w:r>
                            <w:r>
                              <w:rPr>
                                <w:b/>
                                <w:color w:val="auto"/>
                              </w:rPr>
                              <w:t>strategiska kanaler</w:t>
                            </w:r>
                            <w:r>
                              <w:rPr>
                                <w:color w:val="auto"/>
                              </w:rPr>
                              <w:t xml:space="preserve"> på europeisk nivå för att säkerställa vår suveränitet</w:t>
                            </w:r>
                          </w:p>
                          <w:p>
                            <w:pPr>
                              <w:pStyle w:val="Contenudecadre"/>
                              <w:rPr>
                                <w:b w:val="false"/>
                                <w:b w:val="false"/>
                                <w:color w:val="auto"/>
                              </w:rPr>
                            </w:pPr>
                            <w:r>
                              <w:rPr>
                                <w:b w:val="false"/>
                                <w:color w:val="auto"/>
                              </w:rPr>
                            </w:r>
                          </w:p>
                          <w:p>
                            <w:pPr>
                              <w:pStyle w:val="Contenudecadre"/>
                              <w:spacing w:before="57" w:after="57"/>
                              <w:rPr/>
                            </w:pPr>
                            <w:r>
                              <w:rPr>
                                <w:color w:val="auto"/>
                              </w:rPr>
                              <w:t xml:space="preserve">10. Förbättra </w:t>
                            </w:r>
                            <w:r>
                              <w:rPr>
                                <w:b/>
                                <w:color w:val="auto"/>
                              </w:rPr>
                              <w:t>skyddet av miljöer och ekosystem</w:t>
                            </w:r>
                            <w:r>
                              <w:rPr>
                                <w:color w:val="auto"/>
                              </w:rPr>
                              <w:t xml:space="preserve"> och skapa </w:t>
                            </w:r>
                            <w:r>
                              <w:rPr>
                                <w:b/>
                                <w:color w:val="auto"/>
                              </w:rPr>
                              <w:t>skyddade områden</w:t>
                            </w:r>
                            <w:r>
                              <w:rPr>
                                <w:color w:val="auto"/>
                              </w:rPr>
                              <w:t xml:space="preserve"> i centrum för stads-, stads- och landsbygdsområden</w:t>
                            </w:r>
                          </w:p>
                        </w:txbxContent>
                      </wps:txbx>
                      <wps:bodyPr lIns="54000" rIns="54000" tIns="54000" bIns="54000">
                        <a:noAutofit/>
                      </wps:bodyPr>
                    </wps:wsp>
                  </a:graphicData>
                </a:graphic>
              </wp:anchor>
            </w:drawing>
          </mc:Choice>
          <mc:Fallback>
            <w:pict>
              <v:rect id="shape_0" ID="Ram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Dela europeiska kulturer genom att </w:t>
                      </w:r>
                      <w:r>
                        <w:rPr>
                          <w:b/>
                          <w:color w:val="auto"/>
                        </w:rPr>
                        <w:t>förena evenemang och evenemang</w:t>
                      </w:r>
                    </w:p>
                    <w:p>
                      <w:pPr>
                        <w:pStyle w:val="Contenudecadre"/>
                        <w:rPr>
                          <w:b w:val="false"/>
                          <w:b w:val="false"/>
                          <w:color w:val="auto"/>
                        </w:rPr>
                      </w:pPr>
                      <w:r>
                        <w:rPr>
                          <w:b w:val="false"/>
                          <w:color w:val="auto"/>
                        </w:rPr>
                      </w:r>
                    </w:p>
                    <w:p>
                      <w:pPr>
                        <w:pStyle w:val="Contenudecadre"/>
                        <w:rPr>
                          <w:color w:val="auto"/>
                        </w:rPr>
                      </w:pPr>
                      <w:r>
                        <w:rPr>
                          <w:color w:val="auto"/>
                        </w:rPr>
                        <w:t xml:space="preserve">8.Harmonisera </w:t>
                      </w:r>
                      <w:r>
                        <w:rPr>
                          <w:b/>
                          <w:color w:val="auto"/>
                        </w:rPr>
                        <w:t>hälsa</w:t>
                      </w:r>
                      <w:r>
                        <w:rPr>
                          <w:color w:val="auto"/>
                        </w:rPr>
                        <w:t xml:space="preserve"> och göra den tillgänglig för alla européer genom en gemensam hälsopolitik</w:t>
                      </w:r>
                    </w:p>
                    <w:p>
                      <w:pPr>
                        <w:pStyle w:val="Contenudecadre"/>
                        <w:rPr>
                          <w:b w:val="false"/>
                          <w:b w:val="false"/>
                          <w:color w:val="auto"/>
                        </w:rPr>
                      </w:pPr>
                      <w:r>
                        <w:rPr>
                          <w:b w:val="false"/>
                          <w:color w:val="auto"/>
                        </w:rPr>
                      </w:r>
                    </w:p>
                    <w:p>
                      <w:pPr>
                        <w:pStyle w:val="Contenudecadre"/>
                        <w:rPr>
                          <w:color w:val="auto"/>
                        </w:rPr>
                      </w:pPr>
                      <w:r>
                        <w:rPr>
                          <w:color w:val="auto"/>
                        </w:rPr>
                        <w:t xml:space="preserve">9. Utveckla och styra </w:t>
                      </w:r>
                      <w:r>
                        <w:rPr>
                          <w:b/>
                          <w:color w:val="auto"/>
                        </w:rPr>
                        <w:t>strategiska kanaler</w:t>
                      </w:r>
                      <w:r>
                        <w:rPr>
                          <w:color w:val="auto"/>
                        </w:rPr>
                        <w:t xml:space="preserve"> på europeisk nivå för att säkerställa vår suveränitet</w:t>
                      </w:r>
                    </w:p>
                    <w:p>
                      <w:pPr>
                        <w:pStyle w:val="Contenudecadre"/>
                        <w:rPr>
                          <w:b w:val="false"/>
                          <w:b w:val="false"/>
                          <w:color w:val="auto"/>
                        </w:rPr>
                      </w:pPr>
                      <w:r>
                        <w:rPr>
                          <w:b w:val="false"/>
                          <w:color w:val="auto"/>
                        </w:rPr>
                      </w:r>
                    </w:p>
                    <w:p>
                      <w:pPr>
                        <w:pStyle w:val="Contenudecadre"/>
                        <w:spacing w:before="57" w:after="57"/>
                        <w:rPr/>
                      </w:pPr>
                      <w:r>
                        <w:rPr>
                          <w:color w:val="auto"/>
                        </w:rPr>
                        <w:t xml:space="preserve">10. Förbättra </w:t>
                      </w:r>
                      <w:r>
                        <w:rPr>
                          <w:b/>
                          <w:color w:val="auto"/>
                        </w:rPr>
                        <w:t>skyddet av miljöer och ekosystem</w:t>
                      </w:r>
                      <w:r>
                        <w:rPr>
                          <w:color w:val="auto"/>
                        </w:rPr>
                        <w:t xml:space="preserve"> och skapa </w:t>
                      </w:r>
                      <w:r>
                        <w:rPr>
                          <w:b/>
                          <w:color w:val="auto"/>
                        </w:rPr>
                        <w:t>skyddade områden</w:t>
                      </w:r>
                      <w:r>
                        <w:rPr>
                          <w:color w:val="auto"/>
                        </w:rPr>
                        <w:t xml:space="preserve"> i centrum för stads-, stads- och landsbygdsområden</w:t>
                      </w:r>
                    </w:p>
                  </w:txbxContent>
                </v:textbox>
              </v:rect>
            </w:pict>
          </mc:Fallback>
        </mc:AlternateContent>
        <mc:AlternateContent>
          <mc:Choice Requires="wps">
            <w:drawing>
              <wp:anchor behindDoc="0" distT="72390" distB="72390" distL="72390" distR="72390" simplePos="0" locked="0" layoutInCell="1" allowOverlap="1" relativeHeight="73">
                <wp:simplePos x="0" y="0"/>
                <wp:positionH relativeFrom="column">
                  <wp:posOffset>118745</wp:posOffset>
                </wp:positionH>
                <wp:positionV relativeFrom="paragraph">
                  <wp:posOffset>5038090</wp:posOffset>
                </wp:positionV>
                <wp:extent cx="5934710" cy="1648460"/>
                <wp:effectExtent l="0" t="0" r="0" b="0"/>
                <wp:wrapSquare wrapText="bothSides"/>
                <wp:docPr id="89" name="Ram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Samråd på nätet ”Ord till ungdomar”</w:t>
                            </w:r>
                          </w:p>
                          <w:p>
                            <w:pPr>
                              <w:pStyle w:val="Contenudecadre"/>
                              <w:rPr>
                                <w:color w:val="auto"/>
                              </w:rPr>
                            </w:pPr>
                            <w:r>
                              <w:rPr>
                                <w:color w:val="auto"/>
                              </w:rPr>
                              <w:t>Den 9 maj 2021 inledde statssekreteraren med ansvar för Europafrågor ett ”ord till ungdomar” som Make.org genomförde mellan maj och juli 2021.</w:t>
                            </w:r>
                          </w:p>
                          <w:p>
                            <w:pPr>
                              <w:pStyle w:val="Contenudecadre"/>
                              <w:rPr>
                                <w:color w:val="auto"/>
                              </w:rPr>
                            </w:pPr>
                            <w:r>
                              <w:rPr>
                                <w:color w:val="auto"/>
                              </w:rPr>
                              <w:t>50 000 ungdomar i åldern 15–30 år svarade på frågan: ”Vad är era prioriteringar för morgondagens Europa?”, med 2918 förslag.</w:t>
                            </w:r>
                          </w:p>
                          <w:p>
                            <w:pPr>
                              <w:pStyle w:val="Contenudecadre"/>
                              <w:spacing w:before="57" w:after="57"/>
                              <w:rPr/>
                            </w:pPr>
                            <w:r>
                              <w:rPr>
                                <w:color w:val="auto"/>
                              </w:rPr>
                              <w:t>De idéer som de franska ungdomarna stöder i samband med detta samråd på nätet är en del av medborgarnas bidrag till konferensen om Europas framtid (se detaljer i del 2 i detta betänkande).</w:t>
                            </w:r>
                          </w:p>
                        </w:txbxContent>
                      </wps:txbx>
                      <wps:bodyPr lIns="54000" rIns="54000" tIns="54000" bIns="54000">
                        <a:noAutofit/>
                      </wps:bodyPr>
                    </wps:wsp>
                  </a:graphicData>
                </a:graphic>
              </wp:anchor>
            </w:drawing>
          </mc:Choice>
          <mc:Fallback>
            <w:pict>
              <v:rect id="shape_0" ID="Ram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Samråd på nätet ”Ord till ungdomar”</w:t>
                      </w:r>
                    </w:p>
                    <w:p>
                      <w:pPr>
                        <w:pStyle w:val="Contenudecadre"/>
                        <w:rPr>
                          <w:color w:val="auto"/>
                        </w:rPr>
                      </w:pPr>
                      <w:r>
                        <w:rPr>
                          <w:color w:val="auto"/>
                        </w:rPr>
                        <w:t>Den 9 maj 2021 inledde statssekreteraren med ansvar för Europafrågor ett ”ord till ungdomar” som Make.org genomförde mellan maj och juli 2021.</w:t>
                      </w:r>
                    </w:p>
                    <w:p>
                      <w:pPr>
                        <w:pStyle w:val="Contenudecadre"/>
                        <w:rPr>
                          <w:color w:val="auto"/>
                        </w:rPr>
                      </w:pPr>
                      <w:r>
                        <w:rPr>
                          <w:color w:val="auto"/>
                        </w:rPr>
                        <w:t>50 000 ungdomar i åldern 15–30 år svarade på frågan: ”Vad är era prioriteringar för morgondagens Europa?”, med 2918 förslag.</w:t>
                      </w:r>
                    </w:p>
                    <w:p>
                      <w:pPr>
                        <w:pStyle w:val="Contenudecadre"/>
                        <w:spacing w:before="57" w:after="57"/>
                        <w:rPr/>
                      </w:pPr>
                      <w:r>
                        <w:rPr>
                          <w:color w:val="auto"/>
                        </w:rPr>
                        <w:t>De idéer som de franska ungdomarna stöder i samband med detta samråd på nätet är en del av medborgarnas bidrag till konferensen om Europas framtid (se detaljer i del 2 i detta betänkande).</w:t>
                      </w:r>
                    </w:p>
                  </w:txbxContent>
                </v:textbox>
              </v:rect>
            </w:pict>
          </mc:Fallback>
        </mc:AlternateContent>
      </w:r>
    </w:p>
    <w:p>
      <w:pPr>
        <w:pStyle w:val="Titre2"/>
        <w:numPr>
          <w:ilvl w:val="1"/>
          <w:numId w:val="2"/>
        </w:numPr>
        <w:rPr/>
      </w:pPr>
      <w:bookmarkStart w:id="209" w:name="__RefHeading___Toc300452_1346298689"/>
      <w:bookmarkEnd w:id="209"/>
      <w:r>
        <w:rPr/>
        <w:t>Presentation av panelerna för regionala konferenser</w:t>
      </w:r>
    </w:p>
    <w:p>
      <w:pPr>
        <w:pStyle w:val="Normal"/>
        <w:rPr/>
      </w:pPr>
      <w:r>
        <w:rPr/>
        <mc:AlternateContent>
          <mc:Choice Requires="wpg">
            <w:drawing>
              <wp:anchor behindDoc="0" distT="0" distB="0" distL="0" distR="0" simplePos="0" locked="0" layoutInCell="1" allowOverlap="1" relativeHeight="47">
                <wp:simplePos x="0" y="0"/>
                <wp:positionH relativeFrom="column">
                  <wp:posOffset>635</wp:posOffset>
                </wp:positionH>
                <wp:positionV relativeFrom="paragraph">
                  <wp:posOffset>25400</wp:posOffset>
                </wp:positionV>
                <wp:extent cx="5971540" cy="8288020"/>
                <wp:effectExtent l="0" t="0" r="0" b="0"/>
                <wp:wrapNone/>
                <wp:docPr id="91" name="Form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7"/>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mångsidig panel bestående av 746 medborgare</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Översikt över deltagarna i de 18 regionala konferenserna</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Bönder</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Hantverkare – Handlare – Företagsledare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Ledande befattningshavare – liberala yrken</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Mellanliggande yrken</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Anställda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Arbetstagare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Pensionärer</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Andra inaktiva</w:t>
                              </w:r>
                            </w:p>
                          </w:txbxContent>
                        </wps:txbx>
                        <wps:bodyPr lIns="90000" rIns="90000" tIns="45000" bIns="45000">
                          <a:noAutofit/>
                        </wps:bodyPr>
                      </wps:wsp>
                    </wpg:wgp>
                  </a:graphicData>
                </a:graphic>
              </wp:anchor>
            </w:drawing>
          </mc:Choice>
          <mc:Fallback>
            <w:pict>
              <v:group id="shape_0" alt="Form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7" o:detectmouseclick="t"/>
                  <w10:wrap type="none"/>
                  <v:stroke color="#3465a4" joinstyle="round" endcap="flat"/>
                </v:shape>
                <v:rect id="shape_0" stroked="f" style="position:absolute;left:229;top:40;width:8897;height:198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mångsidig panel bestående av 746 medborgare</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Översikt över deltagarna i de 18 regionala konferenserna</w:t>
                        </w:r>
                      </w:p>
                    </w:txbxContent>
                  </v:textbox>
                  <w10:wrap type="square"/>
                  <v:fill o:detectmouseclick="t" on="false"/>
                  <v:stroke color="#3465a4" joinstyle="round" endcap="flat"/>
                </v:rect>
                <v:rect id="shape_0" stroked="f" style="position:absolute;left:1;top:9877;width:4112;height:3213">
                  <v:textbo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Bönder</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Hantverkare – Handlare – Företagsledare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Ledande befattningshavare – liberala yrken</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Mellanliggande yrken</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Anställda</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Arbetstagare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Pensionärer</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Andra inaktiva</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8"/>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Konferenser om Europas framtid i hela Frankrike</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regionala konferenser, 13 i metropol och 5 utomeuropeiska</w:t>
                              </w:r>
                            </w:p>
                          </w:txbxContent>
                        </wps:txbx>
                        <wps:bodyPr lIns="90000" rIns="90000" tIns="45000" bIns="45000">
                          <a:noAutofit/>
                        </wps:bodyPr>
                      </wps:wsp>
                    </wpg:wgp>
                  </a:graphicData>
                </a:graphic>
              </wp:anchor>
            </w:drawing>
          </mc:Choice>
          <mc:Fallback>
            <w:pict>
              <v:group id="shape_0" alt="Form2" style="position:absolute;margin-left:0pt;margin-top:2.85pt;width:462.45pt;height:650.75pt" coordorigin="0,57" coordsize="9249,13015">
                <v:shape id="shape_0" stroked="f" style="position:absolute;left:1;top:1652;width:9247;height:11419" type="shapetype_75">
                  <v:imagedata r:id="rId98" o:detectmouseclick="t"/>
                  <w10:wrap type="none"/>
                  <v:stroke color="#3465a4" joinstyle="round" endcap="flat"/>
                </v:shape>
                <v:rect id="shape_0" stroked="f" style="position:absolute;left:0;top:57;width:9248;height:248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Konferenser om Europas framtid i hela Frankrike</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regionala konferenser, 13 i metropol och 5 utomeuropeiska</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59">
                <wp:simplePos x="0" y="0"/>
                <wp:positionH relativeFrom="column">
                  <wp:posOffset>175895</wp:posOffset>
                </wp:positionH>
                <wp:positionV relativeFrom="paragraph">
                  <wp:posOffset>450215</wp:posOffset>
                </wp:positionV>
                <wp:extent cx="5782945" cy="8488045"/>
                <wp:effectExtent l="0" t="0" r="0" b="0"/>
                <wp:wrapTopAndBottom/>
                <wp:docPr id="93" name="Förlag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9"/>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Statens åtaganden</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Öppenhet</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Tull omgående</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Neutralitet</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Metodologiska fördomar</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1560"/>
                            <a:ext cx="4354200" cy="5891040"/>
                          </a:xfrm>
                          <a:prstGeom prst="rect">
                            <a:avLst/>
                          </a:prstGeom>
                          <a:ln>
                            <a:noFill/>
                          </a:ln>
                        </pic:spPr>
                      </pic:pic>
                    </wpg:wgp>
                  </a:graphicData>
                </a:graphic>
              </wp:anchor>
            </w:drawing>
          </mc:Choice>
          <mc:Fallback>
            <w:pict>
              <v:group id="shape_0" alt="Förlag3" style="position:absolute;margin-left:13.85pt;margin-top:35.45pt;width:455.3pt;height:668.3pt" coordorigin="277,709" coordsize="9106,13366">
                <v:shape id="shape_0" stroked="f" style="position:absolute;left:277;top:709;width:9105;height:13365" type="shapetype_75">
                  <v:imagedata r:id="rId99" o:detectmouseclick="t"/>
                  <w10:wrap type="none"/>
                  <v:stroke color="#3465a4" joinstyle="round" endcap="flat"/>
                </v:shape>
                <v:rect id="shape_0" stroked="f" style="position:absolute;left:2017;top:1240;width:5846;height:646">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Statens åtaganden</w:t>
                        </w:r>
                      </w:p>
                    </w:txbxContent>
                  </v:textbox>
                  <w10:wrap type="square"/>
                  <v:fill o:detectmouseclick="t" on="false"/>
                  <v:stroke color="#3465a4" joinstyle="round" endcap="flat"/>
                </v:rect>
                <v:rect id="shape_0" stroked="f" style="position:absolute;left:1488;top:2663;width:1724;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Öppenhet</w:t>
                        </w:r>
                      </w:p>
                    </w:txbxContent>
                  </v:textbox>
                  <w10:wrap type="square"/>
                  <v:fill o:detectmouseclick="t" on="false"/>
                  <v:stroke color="#3465a4" joinstyle="round" endcap="flat"/>
                </v:rect>
                <v:rect id="shape_0" stroked="f" style="position:absolute;left:6509;top:2683;width:1724;height:785">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Tull omgående</w:t>
                        </w:r>
                      </w:p>
                    </w:txbxContent>
                  </v:textbox>
                  <w10:wrap type="square"/>
                  <v:fill o:detectmouseclick="t" on="false"/>
                  <v:stroke color="#3465a4" joinstyle="round" endcap="flat"/>
                </v:rect>
                <v:rect id="shape_0" stroked="f" style="position:absolute;left:4008;top:2701;width:1723;height:463">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Neutralitet</w:t>
                        </w:r>
                      </w:p>
                    </w:txbxContent>
                  </v:textbox>
                  <w10:wrap type="square"/>
                  <v:fill o:detectmouseclick="t" on="false"/>
                  <v:stroke color="#3465a4" joinstyle="round" endcap="flat"/>
                </v:rect>
                <v:rect id="shape_0" stroked="f" style="position:absolute;left:608;top:3917;width:7079;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Metodologiska fördomar</w:t>
                        </w:r>
                      </w:p>
                    </w:txbxContent>
                  </v:textbox>
                  <w10:wrap type="square"/>
                  <v:fill o:detectmouseclick="t" on="false"/>
                  <v:stroke color="#3465a4" joinstyle="round" endcap="flat"/>
                </v:rect>
                <v:shape id="shape_0" stroked="f" style="position:absolute;left:2018;top:4491;width:6856;height:9276" type="shapetype_75">
                  <v:imagedata r:id="rId100" o:detectmouseclick="t"/>
                  <w10:wrap type="none"/>
                  <v:stroke color="#3465a4" joinstyle="round" endcap="flat"/>
                </v:shape>
              </v:group>
            </w:pict>
          </mc:Fallback>
        </mc:AlternateContent>
      </w:r>
      <w:r>
        <w:rPr/>
        <w:t xml:space="preserve">Metodiska åtaganden och partiskhet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Statliga åtaganden om deltagandedemokrati </w:t>
      </w:r>
    </w:p>
    <w:p>
      <w:pPr>
        <w:pStyle w:val="P68B1DB1Normal19"/>
        <w:widowControl w:val="false"/>
        <w:spacing w:lineRule="auto" w:line="240" w:before="0" w:after="0"/>
        <w:ind w:left="0" w:right="0" w:hanging="0"/>
        <w:jc w:val="left"/>
        <w:rPr/>
      </w:pPr>
      <w:r>
        <w:rPr/>
        <w:t>Den franska delen av konferensen om Europas framtid är en del av statens åtaganden om deltagandedemokrati, som bygger på tre principer:</w:t>
      </w:r>
      <w:r>
        <w:rPr>
          <w:b/>
        </w:rPr>
        <w:t xml:space="preserve"> öppenhet, neutralitet och skyldighet omedelbart</w:t>
      </w:r>
      <w:r>
        <w:rPr/>
        <w:t xml:space="preserve">. </w:t>
      </w:r>
    </w:p>
    <w:p>
      <w:pPr>
        <w:pStyle w:val="P68B1DB1Normal19"/>
        <w:widowControl w:val="false"/>
        <w:spacing w:lineRule="auto" w:line="240" w:before="0" w:after="0"/>
        <w:ind w:left="0" w:right="0" w:hanging="0"/>
        <w:jc w:val="both"/>
        <w:rPr/>
      </w:pPr>
      <w:r>
        <w:rPr/>
        <w:t xml:space="preserve">Genom ett deltagandebaserat tillvägagångssätt åtar sig organisatören att respektera en rigorös metod. Metoden för medborgardeltagande måste göra det möjligt för medborgarna att delta på bästa möjliga villkor och uttrycka sina åsikter på ett fritt och motiverat sätt. </w:t>
      </w:r>
    </w:p>
    <w:p>
      <w:pPr>
        <w:pStyle w:val="P68B1DB1Normal33"/>
        <w:widowControl w:val="false"/>
        <w:spacing w:lineRule="auto" w:line="240" w:before="0" w:after="0"/>
        <w:ind w:left="0" w:right="0" w:hanging="0"/>
        <w:jc w:val="left"/>
        <w:rPr/>
      </w:pPr>
      <w:r>
        <w:rPr/>
        <w:t xml:space="preserve">Öppenhet </w:t>
      </w:r>
    </w:p>
    <w:p>
      <w:pPr>
        <w:pStyle w:val="P68B1DB1Normal19"/>
        <w:widowControl w:val="false"/>
        <w:spacing w:lineRule="auto" w:line="240" w:before="0" w:after="0"/>
        <w:ind w:left="0" w:right="0" w:hanging="0"/>
        <w:jc w:val="left"/>
        <w:rPr/>
      </w:pPr>
      <w:r>
        <w:rPr/>
        <w:t xml:space="preserve">Konferensorganisationen har åtagit sig att göra all information om samrådet tillgänglig för medborgarna: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Den ram inom vilken samrådet äger rum, •</w:t>
      </w:r>
      <w:r>
        <w:rPr/>
        <w:t xml:space="preserve"> </w:t>
      </w:r>
      <w:r>
        <w:rPr>
          <w:rFonts w:ascii="Times New Roman" w:hAnsi="Times New Roman"/>
        </w:rPr>
        <w:t xml:space="preserve">Åtaganden gentemot medborgarna.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Syftet med samrådet,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Resultaten av samrådet. </w:t>
      </w:r>
    </w:p>
    <w:p>
      <w:pPr>
        <w:pStyle w:val="Normal"/>
        <w:widowControl w:val="false"/>
        <w:spacing w:lineRule="auto" w:line="240" w:before="0" w:after="0"/>
        <w:ind w:left="0" w:right="0" w:hanging="0"/>
        <w:jc w:val="both"/>
        <w:rPr/>
      </w:pPr>
      <w:r>
        <w:rPr>
          <w:rFonts w:ascii="Times New Roman" w:hAnsi="Times New Roman"/>
          <w:color w:val="000000"/>
          <w:sz w:val="24"/>
        </w:rPr>
        <w:t>Metoden för konferensen om Europas framtid fastställdes således med det ständiga målet att säkerställa öppenhet för medborgarna. Metoden för att rekrytera slumpmässigt utvalda medborgare, metodologiska fördomar och behandlingen av medborgarnas tal var tydligt formulerad. Deltagarna fick också en sammanfattning av sin regionala konferens via e-post i slutet av konferensen. Dessutom kommer alla arbets- och utresehandlingar att offentliggöras i slutet av programmet på plattformen för statens medborgardeltagande</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pPr>
      <w:r>
        <w:rPr/>
        <w:t xml:space="preserve">Neutralitet </w:t>
      </w:r>
    </w:p>
    <w:p>
      <w:pPr>
        <w:pStyle w:val="P68B1DB1Normal19"/>
        <w:widowControl w:val="false"/>
        <w:spacing w:lineRule="auto" w:line="240" w:before="0" w:after="0"/>
        <w:ind w:left="0" w:right="0" w:hanging="0"/>
        <w:jc w:val="both"/>
        <w:rPr/>
      </w:pPr>
      <w:r>
        <w:rPr/>
        <w:t xml:space="preserve">Under ett samråd ska den organiserande gruppen se till att den förblir neutral när det gäller att underlätta utbytet och vid utarbetandet av sammanfattningar där resultaten presenteras. Berörda parter i systemet – facilitatorer, kontaktpersoner och experter – bör inte uttrycka sina egna åsikter eller försöka leda debatten subjektivt. </w:t>
      </w:r>
    </w:p>
    <w:p>
      <w:pPr>
        <w:pStyle w:val="P68B1DB1Normal19"/>
        <w:widowControl w:val="false"/>
        <w:spacing w:lineRule="auto" w:line="240" w:before="0" w:after="0"/>
        <w:ind w:left="0" w:right="0" w:hanging="0"/>
        <w:jc w:val="both"/>
        <w:rPr/>
      </w:pPr>
      <w:r>
        <w:rPr/>
        <w:t xml:space="preserve">Målet om neutralitet eftersträvades i alla skeden av samrådet, vilket särskilt garanterade ett opartiskt urval av deltagare, full frihet i debatterna och bristande inflytande på medborgartal från sponsorn eller intressenterna. Detta krav på neutralitet har förverkligats genom en objektiv och öppen rekryteringsprocess för deltagarna, samstämmiga metodologiska fördomar (omvänd expertis, brist på tematisk utformning av debatter) och ett särskilt fokus på de olika talarnas ställning (stödjare, kontaktpersoner, experter). Slutligen såg organisationen till att värdesätta alla ord och inte filtrera medborgarförslag. </w:t>
      </w:r>
    </w:p>
    <w:p>
      <w:pPr>
        <w:pStyle w:val="P68B1DB1Normal19"/>
        <w:widowControl w:val="false"/>
        <w:spacing w:lineRule="auto" w:line="240" w:before="0" w:after="0"/>
        <w:ind w:left="0" w:right="0" w:hanging="0"/>
        <w:jc w:val="both"/>
        <w:rPr/>
      </w:pPr>
      <w:r>
        <w:rPr/>
        <w:t xml:space="preserve">Ett </w:t>
      </w:r>
      <w:r>
        <w:rPr>
          <w:b/>
        </w:rPr>
        <w:t>kollegium med tre garanter</w:t>
      </w:r>
      <w:r>
        <w:rPr/>
        <w:t xml:space="preserve">, som utnämnts av ordförandena för nationalförsamlingen och Europaparlamentet och av regeringen, har också sett till att alla åsikter uttrycks och beaktas. </w:t>
      </w:r>
    </w:p>
    <w:p>
      <w:pPr>
        <w:pStyle w:val="P68B1DB1Normal33"/>
        <w:widowControl w:val="false"/>
        <w:spacing w:lineRule="auto" w:line="240" w:before="0" w:after="0"/>
        <w:ind w:left="0" w:right="0" w:hanging="0"/>
        <w:jc w:val="left"/>
        <w:rPr/>
      </w:pPr>
      <w:r>
        <w:rPr/>
        <w:t xml:space="preserve">Tull omgående </w:t>
      </w:r>
    </w:p>
    <w:p>
      <w:pPr>
        <w:pStyle w:val="P68B1DB1Normal19"/>
        <w:widowControl w:val="false"/>
        <w:spacing w:lineRule="auto" w:line="240" w:before="0" w:after="0"/>
        <w:ind w:left="0" w:right="0" w:hanging="0"/>
        <w:jc w:val="both"/>
        <w:rPr/>
      </w:pPr>
      <w:r>
        <w:rPr/>
        <w:t xml:space="preserve">Medborgarna, oavsett om de har deltagit i samrådet eller inte, har rätt att få information om vad som har valts om deras förslag och de yttranden de har dragit av dem, och av vilka skäl. Detta kallas för </w:t>
      </w:r>
      <w:r>
        <w:rPr>
          <w:b/>
        </w:rPr>
        <w:t>plikt omedelbart</w:t>
      </w:r>
      <w:r>
        <w:rPr/>
        <w:t xml:space="preserve">. </w:t>
      </w:r>
    </w:p>
    <w:p>
      <w:pPr>
        <w:pStyle w:val="P68B1DB1Normal19"/>
        <w:widowControl w:val="false"/>
        <w:spacing w:lineRule="auto" w:line="240" w:before="0" w:after="0"/>
        <w:ind w:left="0" w:right="0" w:hanging="0"/>
        <w:jc w:val="left"/>
        <w:rPr/>
      </w:pPr>
      <w:r>
        <w:rPr/>
        <w:t xml:space="preserve"> </w:t>
      </w:r>
    </w:p>
    <w:p>
      <w:pPr>
        <w:pStyle w:val="P68B1DB1Normal19"/>
        <w:spacing w:lineRule="auto" w:line="240" w:before="0" w:after="0"/>
        <w:ind w:left="0" w:right="0" w:hanging="0"/>
        <w:jc w:val="both"/>
        <w:rPr/>
      </w:pPr>
      <w:r>
        <w:rPr/>
        <w:t xml:space="preserve">Det definieras av Interdepartmental Centre for Citizen Participation (ICPC) och det interinstitutionella direktoratet för offentlig omvandling (DITP) som ett åtagande från den offentliga beslutsfattaren att ge medborgarna ett tydligt och läsbart svar på resultatet av samrådet. Konkret är skyldigheten att följa upp att återvända till medborgarna för att förklara för dem hur deras bidrag beaktas och påverkar beslutsfattandet och förvaltningens praxis.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Regeringen tog upp denna uppgift som en uppföljning av konferensen om Europas framtid och tillkännagav en ambitiös uppföljningsmekanism efter den nationella konferens som beskrivs i nästa del av denna rapport ( </w:t>
      </w:r>
      <w:r>
        <w:rPr>
          <w:i/>
        </w:rPr>
        <w:t>se metodparter)</w:t>
      </w:r>
      <w:r>
        <w:rPr/>
        <w:t xml:space="preserve">. </w:t>
      </w:r>
    </w:p>
    <w:p>
      <w:pPr>
        <w:pStyle w:val="P68B1DB1Normal19"/>
        <w:widowControl w:val="false"/>
        <w:spacing w:lineRule="auto" w:line="240" w:before="0" w:after="0"/>
        <w:ind w:left="0" w:right="0" w:hanging="0"/>
        <w:jc w:val="both"/>
        <w:rPr/>
      </w:pPr>
      <w:r>
        <w:rPr/>
        <w:t xml:space="preserve"> </w:t>
      </w:r>
    </w:p>
    <w:p>
      <w:pPr>
        <w:pStyle w:val="P68B1DB1Normal33"/>
        <w:spacing w:lineRule="auto" w:line="240" w:before="0" w:after="0"/>
        <w:ind w:left="0" w:right="0" w:hanging="0"/>
        <w:jc w:val="both"/>
        <w:rPr/>
      </w:pPr>
      <w:r>
        <w:rPr/>
        <w:t xml:space="preserve">B. Metodistiska partier </w:t>
      </w:r>
    </w:p>
    <w:p>
      <w:pPr>
        <w:pStyle w:val="P68B1DB1Normal19"/>
        <w:widowControl w:val="false"/>
        <w:spacing w:lineRule="auto" w:line="240" w:before="0" w:after="0"/>
        <w:ind w:left="0" w:right="0" w:hanging="0"/>
        <w:jc w:val="both"/>
        <w:rPr/>
      </w:pPr>
      <w:r>
        <w:rPr/>
        <w:t xml:space="preserve">Dessa tre statliga åtaganden återspeglades i samrådsmetoden i form av </w:t>
      </w:r>
      <w:r>
        <w:rPr>
          <w:b/>
        </w:rPr>
        <w:t>sju starka metodologiska snedvridningar</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Territorialisering och närhet</w:t>
      </w:r>
    </w:p>
    <w:p>
      <w:pPr>
        <w:pStyle w:val="P68B1DB1Normal24"/>
        <w:widowControl w:val="false"/>
        <w:spacing w:lineRule="auto" w:line="240" w:before="0" w:after="0"/>
        <w:ind w:left="0" w:right="0" w:hanging="0"/>
        <w:jc w:val="both"/>
        <w:rPr/>
      </w:pPr>
      <w:r>
        <w:rPr/>
        <w:t xml:space="preserve">Den nationella delen av konferensen om Europas framtid tog formen av 18 regionala konferenser, i de 13 storstadsregionerna och i de fem franska ultramarina regionerna, följt av en nationell konferens i Paris. Genom detta val av att organisera paneler på lokal nivå ville man </w:t>
      </w:r>
      <w:r>
        <w:rPr>
          <w:b/>
        </w:rPr>
        <w:t>samla en röst så nära medborgarna som möjligt</w:t>
      </w:r>
      <w:r>
        <w:rPr/>
        <w:t xml:space="preserve">. Denna partiskhet berikade också samrådet genom att visa linjerna för samförstånd och meningsskiljaktigheter mellan territorierna i olika ämnen.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Mångfald av medborgarnas profiler och användning av dragningen</w:t>
      </w:r>
    </w:p>
    <w:p>
      <w:pPr>
        <w:pStyle w:val="P68B1DB1Normal24"/>
        <w:widowControl w:val="false"/>
        <w:spacing w:lineRule="auto" w:line="240" w:before="0" w:after="0"/>
        <w:ind w:left="0" w:right="0" w:hanging="0"/>
        <w:jc w:val="both"/>
        <w:rPr/>
      </w:pPr>
      <w:r>
        <w:rPr/>
        <w:t xml:space="preserve">Ett mål för rekryteringen av 50 medborgare per regional konferens fastställdes före processen, med undantag för de ultramarina konferenserna Martinique, Mayotte, Guadeloupe och Guyana, med 30–40 medborgare vardera, och Grand Est-konferensen där fem tyska medborgare från de tre gränslandarna också var närvarande. En </w:t>
      </w:r>
      <w:r>
        <w:rPr>
          <w:b/>
        </w:rPr>
        <w:t>slumpmässig generering</w:t>
      </w:r>
      <w:r>
        <w:rPr/>
        <w:t xml:space="preserve"> av telefonnummer gjorde det möjligt att locka många medborgare som inbjöds att delta i regionala konferenser. </w:t>
      </w:r>
    </w:p>
    <w:p>
      <w:pPr>
        <w:pStyle w:val="P68B1DB1Normal24"/>
        <w:widowControl w:val="false"/>
        <w:spacing w:lineRule="auto" w:line="240" w:before="0" w:after="0"/>
        <w:ind w:left="0" w:right="0" w:hanging="0"/>
        <w:jc w:val="both"/>
        <w:rPr/>
      </w:pPr>
      <w:r>
        <w:rPr/>
        <w:t xml:space="preserve">För att vara berättigad måste medborgare som lottas vara över 18 år och vara franska eller permanent bosatta i en stadigvarande situation. Varje regional medborgarpanel måste vara </w:t>
      </w:r>
      <w:r>
        <w:rPr>
          <w:b/>
        </w:rPr>
        <w:t>representativ för den regionala befolkningens mångfald</w:t>
      </w:r>
      <w:r>
        <w:rPr/>
        <w:t xml:space="preserve">och föra samman en </w:t>
      </w:r>
      <w:r>
        <w:rPr>
          <w:b/>
        </w:rPr>
        <w:t>mångfald av åsikter om Europa</w:t>
      </w:r>
      <w:r>
        <w:rPr/>
        <w:t xml:space="preserve">. Den exakta metoden för rekrytering genom lottning anges i bilaga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Insyn i tillvägagångssättet</w:t>
      </w:r>
    </w:p>
    <w:p>
      <w:pPr>
        <w:pStyle w:val="P68B1DB1Normal24"/>
        <w:widowControl w:val="false"/>
        <w:spacing w:lineRule="auto" w:line="240" w:before="0" w:after="0"/>
        <w:ind w:left="0" w:right="0" w:hanging="0"/>
        <w:jc w:val="both"/>
        <w:rPr/>
      </w:pPr>
      <w:r>
        <w:rPr/>
        <w:t xml:space="preserve">Ett </w:t>
      </w:r>
      <w:r>
        <w:rPr>
          <w:b/>
        </w:rPr>
        <w:t>kollegium bestående av tre garanter</w:t>
      </w:r>
      <w:r>
        <w:rPr/>
        <w:t xml:space="preserve"> som utsetts av statssekreteraren för Europafrågor, nationalförsamlingens ordförande och Europaparlamentets talman följde hela processen för att säkerställa dess neutralitet och korrekthet. Borgensmännen har framför allt följande: övervakade uppriktigheten i rekryteringen av medborgare genom lottning, lämnade rekommendationer för urval av experter och säkerställde att debatterna var välorganiserade. I slutet av förfarandet kommer borgensmännen att offentliggöra sitt yttrande om samrådet. Detta dokument kommer att publiceras på den statliga plattformen för medborgardeltagande. </w:t>
      </w:r>
    </w:p>
    <w:p>
      <w:pPr>
        <w:pStyle w:val="P68B1DB1Normal24"/>
        <w:widowControl w:val="false"/>
        <w:spacing w:lineRule="auto" w:line="240" w:before="0" w:after="0"/>
        <w:ind w:left="0" w:right="0" w:hanging="0"/>
        <w:jc w:val="both"/>
        <w:rPr/>
      </w:pPr>
      <w:r>
        <w:rPr/>
        <w:t xml:space="preserve">Kommer också att offentliggöras på plattformen för statens medborgardeltagande: sammanfattningarna av de arton regionala konferenserna, sammanfattningen av alla förändringar som uttrycktes vid de regionala konferenserna, sammanfattningen av den nationella konferensen och slutligen slutrapporten som överlämnats till regeringen. </w:t>
      </w:r>
    </w:p>
    <w:p>
      <w:pPr>
        <w:pStyle w:val="P68B1DB1Normal19"/>
        <w:widowControl w:val="false"/>
        <w:spacing w:lineRule="auto" w:line="240" w:before="0" w:after="0"/>
        <w:ind w:left="0" w:right="0" w:hanging="0"/>
        <w:jc w:val="both"/>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En öppen debatt utan ett påtvingat tema</w:t>
      </w:r>
    </w:p>
    <w:p>
      <w:pPr>
        <w:pStyle w:val="P68B1DB1Normal24"/>
        <w:widowControl w:val="false"/>
        <w:spacing w:lineRule="auto" w:line="240" w:before="215" w:after="0"/>
        <w:ind w:left="1" w:right="0" w:hanging="0"/>
        <w:jc w:val="left"/>
        <w:rPr/>
      </w:pPr>
      <w:r>
        <w:rPr/>
        <w:t xml:space="preserve">I samband med detta nationella samråd formulerades en enda fråga till de deltagande medborgarna: ” </w:t>
      </w:r>
      <w:r>
        <w:rPr>
          <w:i/>
        </w:rPr>
        <w:t>Som franska medborgare, vilka förändringar vill ni ha för Europa?</w:t>
      </w:r>
      <w:r>
        <w:rPr/>
        <w:t xml:space="preserve"> </w:t>
      </w:r>
    </w:p>
    <w:p>
      <w:pPr>
        <w:pStyle w:val="P68B1DB1Normal24"/>
        <w:widowControl w:val="false"/>
        <w:spacing w:lineRule="auto" w:line="240" w:before="235" w:after="0"/>
        <w:ind w:left="1" w:right="0" w:hanging="0"/>
        <w:jc w:val="both"/>
        <w:rPr/>
      </w:pPr>
      <w:r>
        <w:rPr/>
        <w:t xml:space="preserve">Genom den utveckling och metodik som införts kunde medborgarna själva bestämma dagordningen för de önskade förändringarna, utan att begränsas av ett visst tema eller en tidigare normativ ram. </w:t>
      </w:r>
    </w:p>
    <w:p>
      <w:pPr>
        <w:pStyle w:val="Normal"/>
        <w:widowControl w:val="false"/>
        <w:spacing w:lineRule="auto" w:line="240" w:before="233" w:after="0"/>
        <w:ind w:left="1" w:right="1" w:hanging="0"/>
        <w:jc w:val="both"/>
        <w:rPr/>
      </w:pPr>
      <w:r>
        <w:rPr>
          <w:rFonts w:ascii="Times New Roman" w:hAnsi="Times New Roman"/>
          <w:color w:val="000000"/>
        </w:rPr>
        <w:t>Syftet var att ge medborgarna i regionala konferenser full frihet i de ämnen de ville ta upp. Europa- och utrikesministeriet för den nationella delen av konferensen om Europas framtid har därför valt att utveckla en kompletterande strategi för den europeiska övningen, som är uppbyggd kring nio teman: klimatförändringar och miljö, hälsa; en starkare ekonomi, social rättvisa och sysselsättning. EU i världen, värden och rättigheter, rättsstatsprincipen, säkerhet, den digitala omvandlingen. Den europeiska demokratin, migrering; utbildning, kultur, ungdom och idrott. andra idéer</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Temana för utbytet av regionala konferenser definierades således av medborgarna själva och inte av initiativets sponsor.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Omvänd expertis</w:t>
      </w:r>
    </w:p>
    <w:p>
      <w:pPr>
        <w:pStyle w:val="P68B1DB1Normal24"/>
        <w:widowControl w:val="false"/>
        <w:spacing w:lineRule="auto" w:line="240" w:before="218" w:after="0"/>
        <w:ind w:left="1" w:right="0" w:hanging="0"/>
        <w:jc w:val="left"/>
        <w:rPr/>
      </w:pPr>
      <w:r>
        <w:rPr/>
        <w:t xml:space="preserve">För att så lite som möjligt påverka deltagarna i processen att identifiera sina önskemål för Europa </w:t>
      </w:r>
      <w:r>
        <w:rPr>
          <w:b/>
        </w:rPr>
        <w:t>gjordes valet att inte tillhandahålla förhandsinformation eller sakkunskap</w:t>
      </w:r>
      <w:r>
        <w:rPr/>
        <w:t xml:space="preserve"> (t.ex. om Europeiska unionens nuvarande projekt, dess befogenheter eller institutionernas funktion) utan att utgå från medborgarnas frågor själva. Denna metodologiska partiskhet bygger på principen om </w:t>
      </w:r>
      <w:r>
        <w:rPr>
          <w:i/>
        </w:rPr>
        <w:t>omvänd expertis</w:t>
      </w:r>
      <w:r>
        <w:rPr/>
        <w:t xml:space="preserve">, enligt vilken </w:t>
      </w:r>
      <w:r>
        <w:rPr>
          <w:b/>
        </w:rPr>
        <w:t>kollektiv reflektion</w:t>
      </w:r>
      <w:r>
        <w:rPr/>
        <w:t xml:space="preserve"> bygger på medborgarnas erfarenheter och åsikter, som sedan ifrågasätter experter för att stödja deras diskussioner och befästa deras arbetshypoteser. </w:t>
      </w:r>
    </w:p>
    <w:p>
      <w:pPr>
        <w:pStyle w:val="P68B1DB1Normal24"/>
        <w:widowControl w:val="false"/>
        <w:spacing w:lineRule="auto" w:line="240" w:before="232" w:after="0"/>
        <w:ind w:left="0" w:right="0" w:hanging="0"/>
        <w:jc w:val="both"/>
        <w:rPr/>
      </w:pPr>
      <w:r>
        <w:rPr/>
        <w:t xml:space="preserve">För att uppnå detta mål mobiliserades </w:t>
      </w:r>
      <w:r>
        <w:rPr>
          <w:b/>
        </w:rPr>
        <w:t>experter</w:t>
      </w:r>
      <w:r>
        <w:rPr/>
        <w:t xml:space="preserve"> i de olika regionerna (tre i genomsnitt), särskilt från den akademiska världen och Europa direkts informationscentrum i de berörda territorierna. De var närvarande på lördag och söndag för att svara på medborgarnas frågor och talade endast på deras begäran. </w:t>
      </w:r>
      <w:r>
        <w:rPr>
          <w:b/>
        </w:rPr>
        <w:t>Faktagranskare</w:t>
      </w:r>
      <w:r>
        <w:rPr/>
        <w:t xml:space="preserve"> kunde också nås för</w:t>
      </w:r>
      <w:r>
        <w:rPr>
          <w:i/>
        </w:rPr>
        <w:t>att</w:t>
      </w:r>
      <w:r>
        <w:rPr/>
        <w:t xml:space="preserve">snabbt kunna kontrollera de faktiska frågor som togs upp av medborgarna. </w:t>
      </w:r>
    </w:p>
    <w:p>
      <w:pPr>
        <w:pStyle w:val="P68B1DB1Normal24"/>
        <w:widowControl w:val="false"/>
        <w:spacing w:lineRule="auto" w:line="240" w:before="235" w:after="0"/>
        <w:ind w:left="0" w:right="1" w:hanging="0"/>
        <w:jc w:val="both"/>
        <w:rPr/>
      </w:pPr>
      <w:r>
        <w:rPr/>
        <w:t xml:space="preserve">Vid EESK:s nationella synteskonferens deltog 19 experter på hög nivå från den akademiska världen, tankesmedjor och diplomatiska kårer i arbetsgrupperna. Dessa experter följde med en grupp under hela helgen, vilket gjorde det möjligt för dem att fördjupa de förändringar som uttryckts i regionerna.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Kollegialitet och agil styrning</w:t>
      </w:r>
    </w:p>
    <w:p>
      <w:pPr>
        <w:pStyle w:val="P68B1DB1Normal24"/>
        <w:widowControl w:val="false"/>
        <w:spacing w:lineRule="auto" w:line="240" w:before="212" w:after="0"/>
        <w:ind w:left="0" w:right="0" w:hanging="0"/>
        <w:jc w:val="left"/>
        <w:rPr/>
      </w:pPr>
      <w:r>
        <w:rPr/>
        <w:t xml:space="preserve">Hela processen </w:t>
      </w:r>
      <w:r>
        <w:rPr>
          <w:b/>
        </w:rPr>
        <w:t>byggdes gemensamt</w:t>
      </w:r>
      <w:r>
        <w:rPr/>
        <w:t xml:space="preserve"> av ministeriet för Europa och utrikesministeriet (MEAE). </w:t>
      </w:r>
    </w:p>
    <w:p>
      <w:pPr>
        <w:pStyle w:val="P68B1DB1Normal24"/>
        <w:widowControl w:val="false"/>
        <w:spacing w:lineRule="auto" w:line="240"/>
        <w:ind w:left="0" w:right="4" w:hanging="0"/>
        <w:jc w:val="both"/>
        <w:rPr/>
      </w:pPr>
      <w:r>
        <w:rPr/>
        <w:t xml:space="preserve">med stöd av strategin för deltagande från det interministeriella centrumet för medborgardeltagande (ICPC) vid det interministeriella direktoratet för offentlig omvandling (DITP) och ministeriet för parlamentariska förbindelser och medborgardeltagande. Programmet genomfördes av ett leverantörskonsortium bestående av Roland Berger, Wavestone, Missions Publiques och Harris Interactive för styrning av processen, animering av konferenser, utarbetande av medborgare och utarbetande av rapporter och sammanfattningar, i samarbete med de regionala regionerna för den lokala organisationen av regionala konferenser. </w:t>
      </w:r>
    </w:p>
    <w:p>
      <w:pPr>
        <w:pStyle w:val="P68B1DB1Normal24"/>
        <w:widowControl w:val="false"/>
        <w:spacing w:lineRule="auto" w:line="240" w:before="232" w:after="0"/>
        <w:ind w:left="0" w:right="4" w:hanging="0"/>
        <w:jc w:val="left"/>
        <w:rPr/>
      </w:pPr>
      <w:r>
        <w:rPr>
          <w:b/>
        </w:rPr>
        <w:t>Särskild styrning</w:t>
      </w:r>
      <w:r>
        <w:rPr/>
        <w:t xml:space="preserve"> har inrättats kring en projektgrupp under ledning av MEAE, som sammanför CPIC, MRPC och leverantörskonsortiet.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Skyldighet att följa upp och samordna den europeiska övningen</w:t>
      </w:r>
    </w:p>
    <w:p>
      <w:pPr>
        <w:pStyle w:val="P68B1DB1Normal19"/>
        <w:widowControl w:val="false"/>
        <w:spacing w:lineRule="auto" w:line="240" w:before="211" w:after="0"/>
        <w:ind w:left="0" w:right="0" w:hanging="0"/>
        <w:jc w:val="left"/>
        <w:rPr/>
      </w:pPr>
      <w:r>
        <w:rPr/>
        <w:t xml:space="preserve">I samband med den nationella konferensen tillkännagavs flera delar </w:t>
      </w:r>
      <w:r>
        <w:rPr>
          <w:b/>
        </w:rPr>
        <w:t>av de</w:t>
      </w:r>
      <w:r>
        <w:rPr/>
        <w:t xml:space="preserve"> franska institutionernas uppföljningsskyldighet efter det att konferensen om Europas framtid hade genomförts: </w:t>
      </w:r>
    </w:p>
    <w:p>
      <w:pPr>
        <w:pStyle w:val="P68B1DB1Normal34"/>
        <w:widowControl w:val="false"/>
        <w:spacing w:lineRule="auto" w:line="240" w:before="333" w:after="0"/>
        <w:ind w:left="720" w:right="0" w:hanging="359"/>
        <w:jc w:val="both"/>
        <w:rPr/>
      </w:pPr>
      <w:r>
        <w:rPr>
          <w:rFonts w:ascii="Calibri" w:hAnsi="Calibri"/>
        </w:rPr>
        <w:t>Att</w:t>
      </w:r>
      <w:r>
        <w:rPr/>
        <w:t xml:space="preserve"> </w:t>
      </w:r>
      <w:r>
        <w:rPr>
          <w:rFonts w:ascii="Times New Roman" w:hAnsi="Times New Roman"/>
          <w:b/>
        </w:rPr>
        <w:t>tillgängliggöra all information om</w:t>
      </w:r>
      <w:r>
        <w:rPr>
          <w:rFonts w:ascii="Times New Roman" w:hAnsi="Times New Roman"/>
        </w:rPr>
        <w:t xml:space="preserve"> tillvägagångssättet, detta dokument och de sammanfattande rapporterna från de regionala och nationella konferenserna, på ett öppet och tillgängligt sätt för alla på den nya plattform för medborgardeltagande som inleddes i samband med återkomsten till regeringen, </w:t>
      </w:r>
    </w:p>
    <w:p>
      <w:pPr>
        <w:pStyle w:val="P68B1DB1Normal34"/>
        <w:widowControl w:val="false"/>
        <w:spacing w:lineRule="auto" w:line="240" w:before="90" w:after="0"/>
        <w:ind w:left="360" w:right="0" w:hanging="0"/>
        <w:jc w:val="left"/>
        <w:rPr/>
      </w:pPr>
      <w:r>
        <w:rPr>
          <w:rFonts w:ascii="Calibri" w:hAnsi="Calibri"/>
        </w:rPr>
        <w:t>Anordnande</w:t>
      </w:r>
      <w:r>
        <w:rPr/>
        <w:t xml:space="preserve"> </w:t>
      </w:r>
      <w:r>
        <w:rPr>
          <w:rFonts w:ascii="Times New Roman" w:hAnsi="Times New Roman"/>
        </w:rPr>
        <w:t xml:space="preserve">av ett </w:t>
      </w:r>
      <w:r>
        <w:rPr>
          <w:rFonts w:ascii="Times New Roman" w:hAnsi="Times New Roman"/>
          <w:b/>
        </w:rPr>
        <w:t>evenemang för återkomst till regeringen</w:t>
      </w:r>
      <w:r>
        <w:rPr>
          <w:rFonts w:ascii="Times New Roman" w:hAnsi="Times New Roman"/>
        </w:rPr>
        <w:t xml:space="preserve"> av slutrapporten från den nationella delen av konferensen om Europas framtid i november 2021. </w:t>
      </w:r>
    </w:p>
    <w:p>
      <w:pPr>
        <w:pStyle w:val="P68B1DB1Normal34"/>
        <w:widowControl w:val="false"/>
        <w:spacing w:lineRule="auto" w:line="240" w:before="90" w:after="0"/>
        <w:ind w:left="720" w:right="0" w:hanging="359"/>
        <w:jc w:val="both"/>
        <w:rPr/>
      </w:pPr>
      <w:r>
        <w:rPr>
          <w:rFonts w:ascii="Calibri" w:hAnsi="Calibri"/>
        </w:rPr>
        <w:t>Att</w:t>
      </w:r>
      <w:r>
        <w:rPr/>
        <w:t xml:space="preserve"> </w:t>
      </w:r>
      <w:r>
        <w:rPr>
          <w:rFonts w:ascii="Times New Roman" w:hAnsi="Times New Roman"/>
        </w:rPr>
        <w:t xml:space="preserve">inrätta en medborgarövervakningskommitté </w:t>
      </w:r>
      <w:r>
        <w:rPr>
          <w:rFonts w:ascii="Times New Roman" w:hAnsi="Times New Roman"/>
          <w:b/>
        </w:rPr>
        <w:t>för att se till</w:t>
      </w:r>
      <w:r>
        <w:rPr>
          <w:rFonts w:ascii="Times New Roman" w:hAnsi="Times New Roman"/>
        </w:rPr>
        <w:t xml:space="preserve"> att resultatet av processen är i linje med de förslag som lagts fram. Denna kommitté kommer att bestå av 15 medborgare, varav 14 deltagare från de regionala konferenserna och en deltagare från samrådet ”Words </w:t>
      </w:r>
      <w:r>
        <w:rPr>
          <w:rFonts w:ascii="Times New Roman" w:hAnsi="Times New Roman"/>
          <w:i/>
        </w:rPr>
        <w:t>to Youth”</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Leverans</w:t>
      </w:r>
      <w:r>
        <w:rPr/>
        <w:t xml:space="preserve"> </w:t>
      </w:r>
      <w:r>
        <w:rPr>
          <w:rFonts w:ascii="Times New Roman" w:hAnsi="Times New Roman"/>
          <w:b/>
        </w:rPr>
        <w:t>av det franska bidraget till konferensen om Europas framtid till EU-institutionerna</w:t>
      </w:r>
      <w:r>
        <w:rPr>
          <w:rFonts w:ascii="Times New Roman" w:hAnsi="Times New Roman"/>
        </w:rPr>
        <w:t xml:space="preserve"> i januari 2022. </w:t>
      </w:r>
    </w:p>
    <w:p>
      <w:pPr>
        <w:pStyle w:val="P68B1DB1Normal19"/>
        <w:widowControl w:val="false"/>
        <w:spacing w:lineRule="auto" w:line="240" w:before="87" w:after="0"/>
        <w:ind w:left="0" w:right="0" w:hanging="0"/>
        <w:jc w:val="left"/>
        <w:rPr/>
      </w:pPr>
      <w:r>
        <w:rPr/>
        <w:t xml:space="preserve">De franska medborgarnas förslag kommer att diskuteras gemensamt av medlemsstaterna och EU-institutionerna. Som det land som innehar ordförandeskapet för Europeiska unionens råd under första halvåret 2022 kommer det att vara upp till Frankrike att tala medborgarnas röst samtidigt som man arbetar för att fastställa en gemensam ståndpunkt på kontinentnivå.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Första delen: presentation av resultaten från de regionala konferenserna om Europas framtid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Vid var och en av de 18 regionala konferenserna uttryckte medborgarna sina önskemål om Europa 2035 individuellt och sedan som grupp. Mellan 3 och 8 önskegrupper uppstod i varje region, vilket ledde till totalt </w:t>
      </w:r>
      <w:r>
        <w:rPr>
          <w:b/>
        </w:rPr>
        <w:t>101 Europa önskade i hela Frankrike</w:t>
      </w:r>
      <w:r>
        <w:rPr/>
        <w:t xml:space="preserve">. Medborgarna formulerade sedan ändringar som de ansåg nödvändiga för att nå det önskade Europa och illustrerade dem med konkreta åtgärder. Denna process genererade totalt </w:t>
      </w:r>
      <w:r>
        <w:rPr>
          <w:b/>
        </w:rPr>
        <w:t>515 förändringar</w:t>
      </w:r>
      <w:r>
        <w:rPr/>
        <w:t xml:space="preserve"> och </w:t>
      </w:r>
      <w:r>
        <w:rPr>
          <w:b/>
        </w:rPr>
        <w:t xml:space="preserve">1 301 konkreta åtgärder i hela </w:t>
      </w:r>
      <w:r>
        <w:rPr/>
        <w:t xml:space="preserve">Frankrike.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Under de veckor som separerade de regionala konferenserna och den nationella konferensen genomfördes en gruppering av 515 till sammanhängande grupper av projektgruppen. Alla de förändringar som uttrycktes i regionerna var föremål för en lexikologisk analys och avslutades när deras underliggande avsikt verkade liknande eller nära, för att inrätta de nationella konferensarbetsgrupper med en gemensam önskan för Europa. Slutligen </w:t>
      </w:r>
      <w:r>
        <w:rPr>
          <w:b/>
        </w:rPr>
        <w:t>delades de förändringar som identifierades i regionerna in i 14 olika europeiska önskemål</w:t>
      </w:r>
      <w:r>
        <w:rPr/>
        <w:t xml:space="preserve">. </w:t>
      </w:r>
    </w:p>
    <w:p>
      <w:pPr>
        <w:pStyle w:val="Normal"/>
        <w:rPr/>
      </w:pPr>
      <w:r>
        <w:rPr/>
        <mc:AlternateContent>
          <mc:Choice Requires="wpg">
            <w:drawing>
              <wp:anchor behindDoc="0" distT="0" distB="0" distL="0" distR="0" simplePos="0" locked="0" layoutInCell="1" allowOverlap="1" relativeHeight="60">
                <wp:simplePos x="0" y="0"/>
                <wp:positionH relativeFrom="column">
                  <wp:posOffset>436880</wp:posOffset>
                </wp:positionH>
                <wp:positionV relativeFrom="paragraph">
                  <wp:posOffset>92075</wp:posOffset>
                </wp:positionV>
                <wp:extent cx="5765800" cy="1319530"/>
                <wp:effectExtent l="0" t="0" r="0" b="0"/>
                <wp:wrapTopAndBottom/>
                <wp:docPr id="94" name="Förlag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1"/>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Önskningar</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för Europa 2035</w:t>
                              </w:r>
                            </w:p>
                          </w:txbxContent>
                        </wps:txbx>
                        <wps:bodyPr lIns="90000" rIns="90000" tIns="45000" bIns="45000">
                          <a:noAutofit/>
                        </wps:bodyPr>
                      </wps:wsp>
                      <wps:wsp>
                        <wps:cNvSpPr/>
                        <wps:spPr>
                          <a:xfrm>
                            <a:off x="2309400" y="195120"/>
                            <a:ext cx="145404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Förändringar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för att nå detta önskade Europa</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Konkreta förslag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för att genomföra dessa förändringar</w:t>
                              </w:r>
                            </w:p>
                          </w:txbxContent>
                        </wps:txbx>
                        <wps:bodyPr lIns="90000" rIns="90000" tIns="45000" bIns="45000">
                          <a:noAutofit/>
                        </wps:bodyPr>
                      </wps:wsp>
                    </wpg:wgp>
                  </a:graphicData>
                </a:graphic>
              </wp:anchor>
            </w:drawing>
          </mc:Choice>
          <mc:Fallback>
            <w:pict>
              <v:group id="shape_0" alt="Förlag11" style="position:absolute;margin-left:34.4pt;margin-top:7.25pt;width:453.95pt;height:103.85pt" coordorigin="688,145" coordsize="9079,2077">
                <v:shape id="shape_0" stroked="f" style="position:absolute;left:688;top:145;width:9078;height:1696" type="shapetype_75">
                  <v:imagedata r:id="rId101" o:detectmouseclick="t"/>
                  <w10:wrap type="none"/>
                  <v:stroke color="#3465a4" joinstyle="round" endcap="flat"/>
                </v:shape>
                <v:rect id="shape_0" stroked="f" style="position:absolute;left:2354;top:452;width:1722;height:1377">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Önskningar</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för Europa 2035</w:t>
                        </w:r>
                      </w:p>
                    </w:txbxContent>
                  </v:textbox>
                  <w10:wrap type="square"/>
                  <v:fill o:detectmouseclick="t" on="false"/>
                  <v:stroke color="#3465a4" joinstyle="round" endcap="flat"/>
                </v:rect>
                <v:rect id="shape_0" stroked="f" style="position:absolute;left:4325;top:452;width:2289;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Förändringar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för att nå detta önskade Europa</w:t>
                        </w:r>
                      </w:p>
                    </w:txbxContent>
                  </v:textbox>
                  <w10:wrap type="square"/>
                  <v:fill o:detectmouseclick="t" on="false"/>
                  <v:stroke color="#3465a4" joinstyle="round" endcap="flat"/>
                </v:rect>
                <v:rect id="shape_0" stroked="f" style="position:absolute;left:6880;top:270;width:2744;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Konkreta förslag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för att genomföra dessa förändringar</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Fråga till medborgarna</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Vad är din önskan för Europa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Vilka förändringar behövs för att nå detta önskade Europa?</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Vilka konkreta förslag skulle ni lägga fram för att genomföra dessa ändringar?</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Resultat av regionala konferenser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önskningar</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ändringar</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konkreta förslag</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Beställning av 515 regionala förändringar i 14 konsekventa önskemål från organisationsteamet</w:t>
            </w:r>
          </w:p>
        </w:tc>
        <w:tc>
          <w:tcPr>
            <w:tcW w:w="4820"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Gruppering, prioritering och detaljer om förändringar av deltagarna under den nationella konferensen</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Resultatet av den nationella konferensen</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önskningar</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ändringar</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Viktiga genomförandesteg och framgångskriterier för varje förändring</w:t>
            </w:r>
          </w:p>
        </w:tc>
      </w:tr>
    </w:tbl>
    <w:p>
      <w:pPr>
        <w:pStyle w:val="Normal"/>
        <w:rPr/>
      </w:pPr>
      <w:r>
        <w:rPr/>
      </w:r>
      <w:r>
        <w:br w:type="page"/>
      </w:r>
    </w:p>
    <w:p>
      <w:pPr>
        <w:pStyle w:val="P68B1DB1Normal33"/>
        <w:spacing w:lineRule="auto" w:line="240"/>
        <w:rPr/>
      </w:pPr>
      <w:r>
        <w:rPr/>
        <w:t xml:space="preserve">a. Ranking av EU:s 14 önskningar </w:t>
      </w:r>
    </w:p>
    <w:p>
      <w:pPr>
        <w:pStyle w:val="P68B1DB1Normal19"/>
        <w:widowControl w:val="false"/>
        <w:spacing w:lineRule="auto" w:line="240" w:before="322" w:after="0"/>
        <w:ind w:left="0" w:right="0" w:hanging="0"/>
        <w:jc w:val="left"/>
        <w:rPr/>
      </w:pPr>
      <w:r>
        <w:rPr/>
        <w:t xml:space="preserve">I slutet av varje regional konferens röstade deltagande medborgare för att uttrycka sitt stöd för de förändringar som identifierats av de olika arbetsgrupperna.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64">
                <wp:simplePos x="0" y="0"/>
                <wp:positionH relativeFrom="column">
                  <wp:posOffset>635</wp:posOffset>
                </wp:positionH>
                <wp:positionV relativeFrom="paragraph">
                  <wp:posOffset>1340485</wp:posOffset>
                </wp:positionV>
                <wp:extent cx="5111750" cy="6269990"/>
                <wp:effectExtent l="0" t="0" r="0" b="0"/>
                <wp:wrapTopAndBottom/>
                <wp:docPr id="95" name="Ram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pPr>
                            <w:r>
                              <w:rPr>
                                <w:color w:val="auto"/>
                              </w:rPr>
                              <w:t xml:space="preserve">Rangordning av Europas önskemål efter popularitet </w:t>
                            </w:r>
                          </w:p>
                        </w:txbxContent>
                      </wps:txbx>
                      <wps:bodyPr lIns="0" rIns="0" tIns="0" bIns="0">
                        <a:noAutofit/>
                      </wps:bodyPr>
                    </wps:wsp>
                  </a:graphicData>
                </a:graphic>
              </wp:anchor>
            </w:drawing>
          </mc:Choice>
          <mc:Fallback>
            <w:pict>
              <v:rect id="shape_0" ID="Ram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pPr>
                      <w:r>
                        <w:rPr>
                          <w:color w:val="auto"/>
                        </w:rPr>
                        <w:t xml:space="preserve">Rangordning av Europas önskemål efter popularitet </w:t>
                      </w:r>
                    </w:p>
                  </w:txbxContent>
                </v:textbox>
              </v:rect>
            </w:pict>
          </mc:Fallback>
        </mc:AlternateContent>
      </w:r>
      <w:r>
        <w:rPr>
          <w:rFonts w:ascii="Times New Roman" w:hAnsi="Times New Roman"/>
          <w:color w:val="000000"/>
          <w:sz w:val="24"/>
        </w:rPr>
        <w:t xml:space="preserve">På grundval av de grupperingar som genomfördes före den nationella synteskonferensen är det möjligt att – tack vare omröstningarna om förändringarna i varje region – fastställa EU:s önskemål som har varit de mest populära bland medborgarna. Önskemålen ” </w:t>
      </w:r>
      <w:r>
        <w:rPr>
          <w:rFonts w:ascii="Times New Roman" w:hAnsi="Times New Roman"/>
          <w:i/>
          <w:color w:val="000000"/>
          <w:sz w:val="24"/>
        </w:rPr>
        <w:t>ett Europa som sätter utbildningen i framkant”</w:t>
      </w:r>
      <w:r>
        <w:rPr>
          <w:rFonts w:ascii="Times New Roman" w:hAnsi="Times New Roman"/>
          <w:color w:val="000000"/>
          <w:sz w:val="24"/>
        </w:rPr>
        <w:t xml:space="preserve"> och ” </w:t>
      </w:r>
      <w:r>
        <w:rPr>
          <w:rFonts w:ascii="Times New Roman" w:hAnsi="Times New Roman"/>
          <w:i/>
          <w:color w:val="000000"/>
          <w:sz w:val="24"/>
        </w:rPr>
        <w:t>ett närmare och tillgängligt Europa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har välkomnats allmänt, med förändringar som i genomsnitt stöds av 56 % av medborgarna vid regionala konferenser. </w:t>
      </w:r>
    </w:p>
    <w:p>
      <w:pPr>
        <w:pStyle w:val="Normal"/>
        <w:rPr/>
      </w:pPr>
      <w:r>
        <w:rPr/>
        <mc:AlternateContent>
          <mc:Choice Requires="wpg">
            <w:drawing>
              <wp:anchor behindDoc="0" distT="0" distB="0" distL="0" distR="0" simplePos="0" locked="0" layoutInCell="1" allowOverlap="1" relativeHeight="62">
                <wp:simplePos x="0" y="0"/>
                <wp:positionH relativeFrom="column">
                  <wp:posOffset>273050</wp:posOffset>
                </wp:positionH>
                <wp:positionV relativeFrom="paragraph">
                  <wp:posOffset>506095</wp:posOffset>
                </wp:positionV>
                <wp:extent cx="4505960" cy="6283960"/>
                <wp:effectExtent l="0" t="0" r="0" b="0"/>
                <wp:wrapTopAndBottom/>
                <wp:docPr id="97" name="Förlag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2"/>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Vilka förändringar skulle du vilja se genomförda?</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Ett Europa som sätter utbildningen i spetsen</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Ett närmare och tillgängligt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Ett Europa med gemensamma kulturer och identiteter</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Ett Europa engagerat i klimat- och miljöutmaningen</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Ett mer enat Europa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Ett solidariskt Europa som skyddar</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Ett Europa som garanterar respekten för de grundläggande rättigheterna</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Ett konkurrenskraftigt och innovativt Europa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Ett Europa som främjar hållbar utveckling</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Ett mer demokratiskt Europa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Ett Europa med effektivare styrning</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Ett Europa som försvarar sina intressen</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Ett mäktigt Europa i världen</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Ett Europa där varje stats intressen dominerar</w:t>
                              </w:r>
                            </w:p>
                          </w:txbxContent>
                        </wps:txbx>
                        <wps:bodyPr lIns="90000" rIns="90000" tIns="45000" bIns="45000">
                          <a:noAutofit/>
                        </wps:bodyPr>
                      </wps:wsp>
                    </wpg:wgp>
                  </a:graphicData>
                </a:graphic>
              </wp:anchor>
            </w:drawing>
          </mc:Choice>
          <mc:Fallback>
            <w:pict>
              <v:group id="shape_0" alt="Förlag4" style="position:absolute;margin-left:21.5pt;margin-top:39.85pt;width:354.75pt;height:494.75pt" coordorigin="430,797" coordsize="7095,9895">
                <v:shape id="shape_0" stroked="f" style="position:absolute;left:4005;top:1727;width:3121;height:8964" type="shapetype_75">
                  <v:imagedata r:id="rId102" o:detectmouseclick="t"/>
                  <w10:wrap type="none"/>
                  <v:stroke color="#3465a4" joinstyle="round" endcap="flat"/>
                </v:shape>
                <v:rect id="shape_0" stroked="f" style="position:absolute;left:2243;top:797;width:5281;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Vilka förändringar skulle du vilja se genomförda?</w:t>
                        </w:r>
                      </w:p>
                    </w:txbxContent>
                  </v:textbox>
                  <w10:wrap type="square"/>
                  <v:fill o:detectmouseclick="t" on="false"/>
                  <v:stroke color="#3465a4" joinstyle="round" endcap="flat"/>
                </v:rect>
                <v:rect id="shape_0" stroked="f" style="position:absolute;left:430;top:1960;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Ett Europa som sätter utbildningen i spetsen</w:t>
                        </w:r>
                      </w:p>
                    </w:txbxContent>
                  </v:textbox>
                  <w10:wrap type="square"/>
                  <v:fill o:detectmouseclick="t" on="false"/>
                  <v:stroke color="#3465a4" joinstyle="round" endcap="flat"/>
                </v:rect>
                <v:rect id="shape_0" stroked="f" style="position:absolute;left:430;top:2497;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Ett närmare och tillgängligt Europa</w:t>
                        </w:r>
                      </w:p>
                    </w:txbxContent>
                  </v:textbox>
                  <w10:wrap type="square"/>
                  <v:fill o:detectmouseclick="t" on="false"/>
                  <v:stroke color="#3465a4" joinstyle="round" endcap="flat"/>
                </v:rect>
                <v:rect id="shape_0" stroked="f" style="position:absolute;left:430;top:3235;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Ett Europa med gemensamma kulturer och identiteter</w:t>
                        </w:r>
                      </w:p>
                    </w:txbxContent>
                  </v:textbox>
                  <w10:wrap type="square"/>
                  <v:fill o:detectmouseclick="t" on="false"/>
                  <v:stroke color="#3465a4" joinstyle="round" endcap="flat"/>
                </v:rect>
                <v:rect id="shape_0" stroked="f" style="position:absolute;left:430;top:386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Ett Europa engagerat i klimat- och miljöutmaningen</w:t>
                        </w:r>
                      </w:p>
                    </w:txbxContent>
                  </v:textbox>
                  <w10:wrap type="square"/>
                  <v:fill o:detectmouseclick="t" on="false"/>
                  <v:stroke color="#3465a4" joinstyle="round" endcap="flat"/>
                </v:rect>
                <v:rect id="shape_0" stroked="f" style="position:absolute;left:430;top:4463;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Ett mer enat Europa</w:t>
                        </w:r>
                      </w:p>
                    </w:txbxContent>
                  </v:textbox>
                  <w10:wrap type="square"/>
                  <v:fill o:detectmouseclick="t" on="false"/>
                  <v:stroke color="#3465a4" joinstyle="round" endcap="flat"/>
                </v:rect>
                <v:rect id="shape_0" stroked="f" style="position:absolute;left:430;top:4940;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Ett solidariskt Europa som skyddar</w:t>
                        </w:r>
                      </w:p>
                    </w:txbxContent>
                  </v:textbox>
                  <w10:wrap type="square"/>
                  <v:fill o:detectmouseclick="t" on="false"/>
                  <v:stroke color="#3465a4" joinstyle="round" endcap="flat"/>
                </v:rect>
                <v:rect id="shape_0" stroked="f" style="position:absolute;left:430;top:557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Ett Europa som garanterar respekten för de grundläggande rättigheterna</w:t>
                        </w:r>
                      </w:p>
                    </w:txbxContent>
                  </v:textbox>
                  <w10:wrap type="square"/>
                  <v:fill o:detectmouseclick="t" on="false"/>
                  <v:stroke color="#3465a4" joinstyle="round" endcap="flat"/>
                </v:rect>
                <v:rect id="shape_0" stroked="f" style="position:absolute;left:430;top:6259;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Ett konkurrenskraftigt och innovativt Europa</w:t>
                        </w:r>
                      </w:p>
                    </w:txbxContent>
                  </v:textbox>
                  <w10:wrap type="square"/>
                  <v:fill o:detectmouseclick="t" on="false"/>
                  <v:stroke color="#3465a4" joinstyle="round" endcap="flat"/>
                </v:rect>
                <v:rect id="shape_0" stroked="f" style="position:absolute;left:430;top:6959;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Ett Europa som främjar hållbar utveckling</w:t>
                        </w:r>
                      </w:p>
                    </w:txbxContent>
                  </v:textbox>
                  <w10:wrap type="square"/>
                  <v:fill o:detectmouseclick="t" on="false"/>
                  <v:stroke color="#3465a4" joinstyle="round" endcap="flat"/>
                </v:rect>
                <v:rect id="shape_0" stroked="f" style="position:absolute;left:430;top:7482;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Ett mer demokratiskt Europa</w:t>
                        </w:r>
                      </w:p>
                    </w:txbxContent>
                  </v:textbox>
                  <w10:wrap type="square"/>
                  <v:fill o:detectmouseclick="t" on="false"/>
                  <v:stroke color="#3465a4" joinstyle="round" endcap="flat"/>
                </v:rect>
                <v:rect id="shape_0" stroked="f" style="position:absolute;left:430;top:7989;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Ett Europa med effektivare styrning</w:t>
                        </w:r>
                      </w:p>
                    </w:txbxContent>
                  </v:textbox>
                  <w10:wrap type="square"/>
                  <v:fill o:detectmouseclick="t" on="false"/>
                  <v:stroke color="#3465a4" joinstyle="round" endcap="flat"/>
                </v:rect>
                <v:rect id="shape_0" stroked="f" style="position:absolute;left:430;top:8834;width:3491;height:34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Ett Europa som försvarar sina intressen</w:t>
                        </w:r>
                      </w:p>
                    </w:txbxContent>
                  </v:textbox>
                  <w10:wrap type="square"/>
                  <v:fill o:detectmouseclick="t" on="false"/>
                  <v:stroke color="#3465a4" joinstyle="round" endcap="flat"/>
                </v:rect>
                <v:rect id="shape_0" stroked="f" style="position:absolute;left:430;top:9494;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Ett mäktigt Europa i världen</w:t>
                        </w:r>
                      </w:p>
                    </w:txbxContent>
                  </v:textbox>
                  <w10:wrap type="square"/>
                  <v:fill o:detectmouseclick="t" on="false"/>
                  <v:stroke color="#3465a4" joinstyle="round" endcap="flat"/>
                </v:rect>
                <v:rect id="shape_0" stroked="f" style="position:absolute;left:430;top:10052;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Ett Europa där varje stats intressen dominerar</w:t>
                        </w:r>
                      </w:p>
                    </w:txbxContent>
                  </v:textbox>
                  <w10:wrap type="square"/>
                  <v:fill o:detectmouseclick="t" on="false"/>
                  <v:stroke color="#3465a4" joinstyle="round" endcap="flat"/>
                </v:rect>
              </v:group>
            </w:pict>
          </mc:Fallback>
        </mc:AlternateContent>
      </w:r>
      <w:r>
        <w:br w:type="page"/>
      </w:r>
    </w:p>
    <w:p>
      <w:pPr>
        <w:pStyle w:val="P68B1DB1Normal33"/>
        <w:rPr/>
      </w:pPr>
      <w:r>
        <w:rPr/>
        <w:t xml:space="preserve">B. Presentation av de 14 prioriterade ändringarna till följd av den nationella konferensen </w:t>
      </w:r>
    </w:p>
    <w:p>
      <w:pPr>
        <w:pStyle w:val="P68B1DB1Normal19"/>
        <w:widowControl w:val="false"/>
        <w:spacing w:lineRule="exact" w:line="388" w:before="322" w:after="0"/>
        <w:ind w:left="0" w:right="0" w:hanging="0"/>
        <w:jc w:val="left"/>
        <w:rPr/>
      </w:pPr>
      <w:r>
        <w:rPr/>
        <w:t xml:space="preserve">Vid den nationella synteskonferensen arbetade de 100 deltagande medborgarna på en av de 14 etablerade önskemålsgrupperna. I slutet av arbetet valde varje grupp ut att representera sin önskan om Europa </w:t>
      </w:r>
      <w:r>
        <w:rPr>
          <w:b/>
        </w:rPr>
        <w:t>en prioriterad förändring som skulle införas senast 2035</w:t>
      </w:r>
      <w:r>
        <w:rPr/>
        <w:t xml:space="preserve">. Dessa 14 prioriterade ändringar föreslogs sedan vid omröstningen av 100 medborgare på den nationella konferensens sista dag. Resultatet av denna omröstning anges nedan, i fallande ordning beroende på antalet röster som erhålls för varje ändring. </w:t>
      </w:r>
    </w:p>
    <w:p>
      <w:pPr>
        <w:pStyle w:val="P68B1DB1Normal19"/>
        <w:widowControl w:val="false"/>
        <w:spacing w:lineRule="exact" w:line="413" w:before="332" w:after="0"/>
        <w:ind w:left="0" w:right="708" w:hanging="0"/>
        <w:jc w:val="left"/>
        <w:rPr/>
      </w:pPr>
      <w:r>
        <w:rPr/>
        <w:t xml:space="preserve">Den förändring som fick flest röster från de 100 medborgarna i den nationella konferensen är ” </w:t>
      </w:r>
      <w:r>
        <w:rPr>
          <w:i/>
        </w:rPr>
        <w:t>Utveckla energi nykterhet att konsumera mindre genom att stoppa det överflödiga”</w:t>
      </w:r>
      <w:r>
        <w:rPr/>
        <w:t xml:space="preserve">. </w:t>
      </w:r>
    </w:p>
    <w:p>
      <w:pPr>
        <w:pStyle w:val="P68B1DB1Normal39"/>
        <w:widowControl w:val="false"/>
        <w:spacing w:lineRule="exact" w:line="199" w:before="42" w:after="0"/>
        <w:ind w:left="0" w:right="0" w:hanging="0"/>
        <w:jc w:val="left"/>
        <w:rPr/>
      </w:pPr>
      <w:r>
        <w:rPr/>
        <w:t xml:space="preserve"> </w:t>
      </w:r>
    </w:p>
    <w:p>
      <w:pPr>
        <w:pStyle w:val="P68B1DB1Normal40"/>
        <w:widowControl w:val="false"/>
        <w:spacing w:lineRule="auto" w:line="240"/>
        <w:ind w:left="208" w:right="0" w:hanging="0"/>
        <w:jc w:val="left"/>
        <w:rPr/>
      </w:pPr>
      <w:r>
        <w:rPr>
          <w:b/>
          <w:sz w:val="34"/>
        </w:rPr>
        <w:t xml:space="preserve">14 </w:t>
      </w:r>
      <w:r>
        <w:rPr>
          <w:sz w:val="30"/>
        </w:rPr>
        <w:t>viktiga förändringar för Europa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Utveckla energi nykterhet för att konsumera mindre av det överflödiga</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Stärka Europeiska unionens gemensamma försvar och säkerhet</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Främja kollektiva ekonomiska resultat genom en självständig, konkurrenskraftig och värderad industri av Europeiska unionen</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Inrättande av en medborgarmakt på flera nivåer: deltagande, beslut, kontroll</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Att gå till en federation av europeiska stater med starka befogenheter på områden av gemensamt intresse</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Föreslå livslånga utbytesprogram</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Delning av europeiska kulturer genom att sammanföra händelser och evenemang</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Harmonisera hälsan och göra den tillgänglig för alla européer genom en gemensam hälsopolitik</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Utveckla och lotsa strategiska kanaler på europeisk nivå för att säkerställa vår suveränitet</w:t>
      </w:r>
    </w:p>
    <w:p>
      <w:pPr>
        <w:pStyle w:val="P68B1DB1Normal41"/>
        <w:widowControl w:val="false"/>
        <w:spacing w:lineRule="auto" w:line="240" w:before="193" w:after="0"/>
        <w:ind w:left="324" w:right="0" w:hanging="0"/>
        <w:jc w:val="left"/>
        <w:rPr/>
      </w:pPr>
      <w:r>
        <w:rPr>
          <w:color w:val="FFFFFF"/>
        </w:rPr>
        <w:t>10</w:t>
      </w:r>
      <w:r>
        <w:rPr>
          <w:color w:val="000000"/>
        </w:rPr>
        <w:t>(10)Förbättra skyddet av miljöer och ekosystem och skapa skyddade områden i centrum för stads-, stads- och landsbygdsområden</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Inrättande av europeiska kontor i territorierna för att lyssna på och ge råd till medborgarna</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Förena val till Europaparlamentet för de 27 staterna och förbättra medborgarnas närhet genom att ersätta den nuvarande omröstningen med en engångsröst på regional nivå</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Fastställande av en gemensam politik för att förbättra mottagandet och den sociala och yrkesmässiga integrationen av migranter (inklusive irreguljära migranter)</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Att bevara särdragen (livsmedelsmärkning, hantverksmässig produktion, traditioner) i de olika europeiska regionerna för att undvika en enhetlig livsstil och säkerställa produkternas spårbarhet och kvalitet. </w:t>
      </w:r>
    </w:p>
    <w:p>
      <w:pPr>
        <w:pStyle w:val="Normal"/>
        <w:spacing w:lineRule="auto" w:line="240"/>
        <w:rPr/>
      </w:pPr>
      <w:r>
        <w:rPr/>
      </w:r>
    </w:p>
    <w:p>
      <w:pPr>
        <w:pStyle w:val="Normal"/>
        <w:rPr/>
      </w:pPr>
      <w:r>
        <w:rPr/>
        <w:t xml:space="preserve">För varje prioriterad förändring gav medborgarna i den berörda gruppen en definition av förändring, förslag till konkreta åtgärder som skulle genomföras för dess genomförande och angav kriterierna för framgång senast 2035. </w:t>
      </w:r>
    </w:p>
    <w:p>
      <w:pPr>
        <w:pStyle w:val="Normal"/>
        <w:rPr/>
      </w:pPr>
      <w:r>
        <w:rPr/>
      </w:r>
      <w:r>
        <w:br w:type="page"/>
      </w:r>
    </w:p>
    <w:p>
      <w:pPr>
        <w:pStyle w:val="P68B1DB1Normal42"/>
        <w:widowControl w:val="false"/>
        <w:spacing w:lineRule="auto" w:line="240" w:before="237" w:after="0"/>
        <w:ind w:left="0" w:right="0" w:hanging="0"/>
        <w:jc w:val="left"/>
        <w:rPr/>
      </w:pPr>
      <w:r>
        <w:rPr/>
        <w:t xml:space="preserve">Förändring 1 – Utveckla energi nykterhet för att konsumera mindre genom att stoppa det överflödiga </w:t>
      </w:r>
    </w:p>
    <w:p>
      <w:pPr>
        <w:pStyle w:val="P68B1DB1Normal43"/>
        <w:widowControl w:val="false"/>
        <w:spacing w:lineRule="auto" w:line="240" w:before="347" w:after="0"/>
        <w:ind w:left="0" w:right="0" w:hanging="0"/>
        <w:jc w:val="left"/>
        <w:rPr/>
      </w:pPr>
      <w:r>
        <w:rPr/>
        <w:t xml:space="preserve">Det associerade Europas önskan: Ett Europa engagerat i klimat- och miljöutmaningen </w:t>
      </w:r>
    </w:p>
    <w:p>
      <w:pPr>
        <w:pStyle w:val="P68B1DB1Normal33"/>
        <w:widowControl w:val="false"/>
        <w:spacing w:lineRule="auto" w:line="240" w:before="323" w:after="0"/>
        <w:ind w:left="0" w:right="0" w:hanging="0"/>
        <w:jc w:val="left"/>
        <w:rPr/>
      </w:pPr>
      <w:r>
        <w:rPr/>
        <w:t xml:space="preserve">Vad innebär denna förändring? </w:t>
      </w:r>
    </w:p>
    <w:p>
      <w:pPr>
        <w:pStyle w:val="P68B1DB1Normal7"/>
        <w:widowControl w:val="false"/>
        <w:spacing w:lineRule="auto" w:line="240" w:before="76" w:after="0"/>
        <w:ind w:left="0" w:right="0" w:hanging="0"/>
        <w:jc w:val="left"/>
        <w:rPr/>
      </w:pPr>
      <w:r>
        <w:rPr>
          <w:i/>
          <w:color w:val="000000"/>
        </w:rPr>
        <w:t>Nyckelord: Utveckling av förnybar energi, minskad energiförbrukning</w:t>
      </w:r>
      <w:r>
        <w:rPr>
          <w:b/>
          <w:color w:val="273375"/>
        </w:rPr>
        <w:t xml:space="preserve"> </w:t>
      </w:r>
    </w:p>
    <w:p>
      <w:pPr>
        <w:pStyle w:val="P68B1DB1Normal19"/>
        <w:widowControl w:val="false"/>
        <w:spacing w:lineRule="auto" w:line="240" w:before="248" w:after="0"/>
        <w:ind w:left="0" w:right="9" w:hanging="0"/>
        <w:jc w:val="both"/>
        <w:rPr/>
      </w:pPr>
      <w:r>
        <w:rPr/>
        <w:t xml:space="preserve">Denna ändring syftar till att främja en minskad energiförbrukning i Europa och utveckling av förnybar energi. Medborgarnas prioritering visar sin önskan att inkludera Europa och dess invånare i en </w:t>
      </w:r>
      <w:r>
        <w:rPr>
          <w:b/>
        </w:rPr>
        <w:t>beslutsam strategi</w:t>
      </w:r>
      <w:r>
        <w:rPr/>
        <w:t xml:space="preserve"> för klimat- och miljöutmaningen. </w:t>
      </w:r>
    </w:p>
    <w:p>
      <w:pPr>
        <w:pStyle w:val="P68B1DB1Normal33"/>
        <w:widowControl w:val="false"/>
        <w:spacing w:lineRule="auto" w:line="240" w:before="333" w:after="0"/>
        <w:ind w:left="0" w:right="0" w:hanging="0"/>
        <w:jc w:val="left"/>
        <w:rPr/>
      </w:pPr>
      <w:r>
        <w:rPr/>
        <w:t xml:space="preserve">Vilka är de viktigaste stegen och framgångskriterierna? </w:t>
      </w:r>
    </w:p>
    <w:p>
      <w:pPr>
        <w:pStyle w:val="P68B1DB1Normal19"/>
        <w:widowControl w:val="false"/>
        <w:spacing w:lineRule="auto" w:line="240" w:before="237" w:after="0"/>
        <w:ind w:left="0" w:right="9" w:hanging="0"/>
        <w:jc w:val="both"/>
        <w:rPr/>
      </w:pPr>
      <w:r>
        <w:rPr/>
        <w:t xml:space="preserve">Denna förändring återspeglas i utvecklingen </w:t>
      </w:r>
      <w:r>
        <w:rPr>
          <w:b/>
        </w:rPr>
        <w:t>av ambitiösa forskningsprogram</w:t>
      </w:r>
      <w:r>
        <w:rPr/>
        <w:t xml:space="preserve"> om förnybara energikällor och </w:t>
      </w:r>
      <w:r>
        <w:rPr>
          <w:b/>
        </w:rPr>
        <w:t>användningen av europeiska investeringsfonder</w:t>
      </w:r>
      <w:r>
        <w:rPr/>
        <w:t xml:space="preserve"> med direkt deltagande i företag inom sektorn. </w:t>
      </w:r>
    </w:p>
    <w:p>
      <w:pPr>
        <w:pStyle w:val="P68B1DB1Normal19"/>
        <w:widowControl w:val="false"/>
        <w:spacing w:lineRule="auto" w:line="240" w:before="326" w:after="0"/>
        <w:ind w:left="0" w:right="9" w:hanging="0"/>
        <w:jc w:val="both"/>
        <w:rPr/>
      </w:pPr>
      <w:r>
        <w:rPr/>
        <w:t xml:space="preserve">För medborgarna skulle denna förändring bli framgångsrik om </w:t>
      </w:r>
      <w:r>
        <w:rPr>
          <w:b/>
        </w:rPr>
        <w:t>bindande mål för energianvändningen</w:t>
      </w:r>
      <w:r>
        <w:rPr/>
        <w:t xml:space="preserve"> och</w:t>
      </w:r>
      <w:r>
        <w:rPr>
          <w:b/>
        </w:rPr>
        <w:t>nyckelindikatorer för nykterhet</w:t>
      </w:r>
      <w:r>
        <w:rPr/>
        <w:t xml:space="preserve"> infördes, t.ex. en minskning av den europeiska bilparken eller köttkonsumtionen. Ambitionen är också att lyckas fastställa konsumtionskvoter </w:t>
      </w:r>
      <w:r>
        <w:rPr>
          <w:b/>
        </w:rPr>
        <w:t>för varje sektor</w:t>
      </w:r>
      <w:r>
        <w:rPr/>
        <w:t xml:space="preserve"> med hänsyn till fluktuationerna i företagens konsumtion och respektera sekretessen för deras uppgifter. </w:t>
      </w:r>
    </w:p>
    <w:p>
      <w:pPr>
        <w:pStyle w:val="Normal"/>
        <w:spacing w:lineRule="auto" w:line="240"/>
        <w:rPr/>
      </w:pPr>
      <w:r>
        <w:rPr/>
      </w:r>
    </w:p>
    <w:p>
      <w:pPr>
        <w:pStyle w:val="P68B1DB1Normal42"/>
        <w:spacing w:lineRule="auto" w:line="240"/>
        <w:rPr/>
      </w:pPr>
      <w:r>
        <w:rPr/>
        <w:t xml:space="preserve">Ändring 2 – Stärka Europeiska unionens gemensamma försvar och säkerhet </w:t>
      </w:r>
    </w:p>
    <w:p>
      <w:pPr>
        <w:pStyle w:val="P68B1DB1Normal43"/>
        <w:widowControl w:val="false"/>
        <w:spacing w:lineRule="auto" w:line="240" w:before="347" w:after="0"/>
        <w:ind w:left="0" w:right="0" w:hanging="0"/>
        <w:jc w:val="left"/>
        <w:rPr/>
      </w:pPr>
      <w:r>
        <w:rPr/>
        <w:t xml:space="preserve">Det associerade Europas önskan: Ett mäktigt Europa i världen </w:t>
      </w:r>
    </w:p>
    <w:p>
      <w:pPr>
        <w:pStyle w:val="P68B1DB1Normal33"/>
        <w:widowControl w:val="false"/>
        <w:spacing w:lineRule="auto" w:line="240" w:before="321" w:after="0"/>
        <w:ind w:left="0" w:right="0" w:hanging="0"/>
        <w:jc w:val="left"/>
        <w:rPr/>
      </w:pPr>
      <w:r>
        <w:rPr/>
        <w:t xml:space="preserve">Vad innebär denna förändring? </w:t>
      </w:r>
    </w:p>
    <w:p>
      <w:pPr>
        <w:pStyle w:val="P68B1DB1Normal7"/>
        <w:widowControl w:val="false"/>
        <w:spacing w:lineRule="auto" w:line="240" w:before="78" w:after="0"/>
        <w:ind w:left="0" w:right="0" w:hanging="0"/>
        <w:jc w:val="left"/>
        <w:rPr/>
      </w:pPr>
      <w:r>
        <w:rPr>
          <w:i/>
          <w:color w:val="000000"/>
        </w:rPr>
        <w:t>Nyckelord: Europeisk armé, strategisk autonomi</w:t>
      </w:r>
      <w:r>
        <w:rPr>
          <w:b/>
          <w:color w:val="273375"/>
        </w:rPr>
        <w:t xml:space="preserve"> </w:t>
      </w:r>
    </w:p>
    <w:p>
      <w:pPr>
        <w:pStyle w:val="P68B1DB1Normal19"/>
        <w:widowControl w:val="false"/>
        <w:spacing w:lineRule="auto" w:line="240" w:before="201" w:after="0"/>
        <w:ind w:left="0" w:right="10" w:hanging="0"/>
        <w:jc w:val="left"/>
        <w:rPr/>
      </w:pPr>
      <w:r>
        <w:rPr/>
        <w:t>Denna förändring är ett svar på medborgarnas enhälliga vilja att uppnå</w:t>
      </w:r>
      <w:r>
        <w:rPr>
          <w:b/>
        </w:rPr>
        <w:t>självständighet</w:t>
      </w:r>
      <w:r>
        <w:rPr/>
        <w:t xml:space="preserve"> i försvaret och säkerheten i Europa, så att de inte är beroende av utländska makter. </w:t>
      </w:r>
    </w:p>
    <w:p>
      <w:pPr>
        <w:pStyle w:val="P68B1DB1Normal33"/>
        <w:widowControl w:val="false"/>
        <w:spacing w:lineRule="auto" w:line="240" w:before="330" w:after="0"/>
        <w:ind w:left="0" w:right="0" w:hanging="0"/>
        <w:jc w:val="left"/>
        <w:rPr/>
      </w:pPr>
      <w:r>
        <w:rPr/>
        <w:t xml:space="preserve">Vilka är de viktigaste stegen och framgångskriterierna? </w:t>
      </w:r>
    </w:p>
    <w:p>
      <w:pPr>
        <w:pStyle w:val="P68B1DB1Normal19"/>
        <w:widowControl w:val="false"/>
        <w:spacing w:lineRule="auto" w:line="240" w:before="198" w:after="0"/>
        <w:ind w:left="0" w:right="10" w:hanging="0"/>
        <w:jc w:val="left"/>
        <w:rPr/>
      </w:pPr>
      <w:r>
        <w:rPr/>
        <w:t>Framgången med denna förändring skulle först och främst leda till att en</w:t>
      </w:r>
      <w:r>
        <w:rPr>
          <w:b/>
        </w:rPr>
        <w:t xml:space="preserve"> EU-kommissionär med ansvar</w:t>
      </w:r>
      <w:r>
        <w:rPr/>
        <w:t xml:space="preserve"> för försvar och säkerhet utnämns. </w:t>
      </w:r>
    </w:p>
    <w:p>
      <w:pPr>
        <w:pStyle w:val="P68B1DB1Normal19"/>
        <w:widowControl w:val="false"/>
        <w:spacing w:lineRule="auto" w:line="240" w:before="203" w:after="0"/>
        <w:ind w:left="0" w:right="10" w:hanging="0"/>
        <w:jc w:val="both"/>
        <w:rPr/>
      </w:pPr>
      <w:r>
        <w:rPr/>
        <w:t>I försvarsfrågor skulle inrättandet av en</w:t>
      </w:r>
      <w:r>
        <w:rPr>
          <w:b/>
        </w:rPr>
        <w:t xml:space="preserve"> permanent, reaktiv och projekterbar armé</w:t>
      </w:r>
      <w:r>
        <w:rPr/>
        <w:t xml:space="preserve"> runt om i världen göra det möjligt för Europa att skydda sina gränser och vid behov ingripa på begäran av tredjeländer. </w:t>
      </w:r>
    </w:p>
    <w:p>
      <w:pPr>
        <w:pStyle w:val="P68B1DB1Normal19"/>
        <w:widowControl w:val="false"/>
        <w:spacing w:lineRule="auto" w:line="240" w:before="206" w:after="0"/>
        <w:ind w:left="0" w:right="10" w:hanging="0"/>
        <w:jc w:val="both"/>
        <w:rPr/>
      </w:pPr>
      <w:r>
        <w:rPr/>
        <w:t xml:space="preserve">När det gäller säkerhet bör Europa i medborgarnas ögon garantera försörjningstryggheten och skydda </w:t>
      </w:r>
      <w:r>
        <w:rPr>
          <w:b/>
        </w:rPr>
        <w:t>sin</w:t>
      </w:r>
      <w:r>
        <w:rPr/>
        <w:t xml:space="preserve"> </w:t>
      </w:r>
      <w:r>
        <w:rPr>
          <w:b/>
        </w:rPr>
        <w:t>strategiska forskning</w:t>
      </w:r>
      <w:r>
        <w:rPr/>
        <w:t xml:space="preserve"> inom prioriterade sektorer som rymd, cybersäkerhet, medicinsk sektor och miljö. Ett bättre </w:t>
      </w:r>
      <w:r>
        <w:rPr>
          <w:b/>
        </w:rPr>
        <w:t>skydd av de yttre gränserna</w:t>
      </w:r>
      <w:r>
        <w:rPr/>
        <w:t xml:space="preserve"> bör också bidra till att stoppa olaglig invandring och människohandel. </w:t>
      </w:r>
    </w:p>
    <w:p>
      <w:pPr>
        <w:pStyle w:val="Normal"/>
        <w:spacing w:lineRule="auto" w:line="240"/>
        <w:rPr/>
      </w:pPr>
      <w:r>
        <w:rPr/>
      </w:r>
    </w:p>
    <w:p>
      <w:pPr>
        <w:pStyle w:val="P68B1DB1Normal42"/>
        <w:spacing w:lineRule="auto" w:line="240"/>
        <w:rPr/>
      </w:pPr>
      <w:r>
        <w:rPr/>
        <w:t xml:space="preserve">Förändring 3 – Främja kollektiva ekonomiska resultat genom en självständig, konkurrenskraftig och värderad industri av Europeiska unionen </w:t>
      </w:r>
    </w:p>
    <w:p>
      <w:pPr>
        <w:pStyle w:val="P68B1DB1Normal43"/>
        <w:widowControl w:val="false"/>
        <w:spacing w:lineRule="auto" w:line="240" w:before="347" w:after="0"/>
        <w:ind w:left="0" w:right="0" w:hanging="0"/>
        <w:jc w:val="left"/>
        <w:rPr/>
      </w:pPr>
      <w:r>
        <w:rPr/>
        <w:t xml:space="preserve">Det associerade Europas önskan: Ett Europa som försvarar sina intressen </w:t>
      </w:r>
    </w:p>
    <w:p>
      <w:pPr>
        <w:pStyle w:val="P68B1DB1Normal33"/>
        <w:widowControl w:val="false"/>
        <w:spacing w:lineRule="auto" w:line="240" w:before="323" w:after="0"/>
        <w:ind w:left="0" w:right="0" w:hanging="0"/>
        <w:jc w:val="left"/>
        <w:rPr/>
      </w:pPr>
      <w:r>
        <w:rPr/>
        <w:t xml:space="preserve">Vad innebär denna förändring? </w:t>
      </w:r>
    </w:p>
    <w:p>
      <w:pPr>
        <w:pStyle w:val="P68B1DB1Normal44"/>
        <w:widowControl w:val="false"/>
        <w:spacing w:lineRule="auto" w:line="240" w:before="84" w:after="0"/>
        <w:ind w:left="0" w:right="10" w:hanging="0"/>
        <w:jc w:val="left"/>
        <w:rPr/>
      </w:pPr>
      <w:r>
        <w:rPr/>
        <w:t xml:space="preserve">Nyckelord: </w:t>
      </w:r>
    </w:p>
    <w:p>
      <w:pPr>
        <w:pStyle w:val="P68B1DB1Normal7"/>
        <w:widowControl w:val="false"/>
        <w:spacing w:lineRule="auto" w:line="240"/>
        <w:ind w:left="0" w:right="10" w:hanging="0"/>
        <w:jc w:val="left"/>
        <w:rPr/>
      </w:pPr>
      <w:r>
        <w:rPr>
          <w:i/>
          <w:color w:val="000000"/>
        </w:rPr>
        <w:t>Europeisk preferens, skydd av know-how, utveckling av europeiska mästare</w:t>
      </w:r>
      <w:r>
        <w:rPr>
          <w:b/>
          <w:color w:val="273375"/>
        </w:rPr>
        <w:t xml:space="preserve"> </w:t>
      </w:r>
    </w:p>
    <w:p>
      <w:pPr>
        <w:pStyle w:val="P68B1DB1Normal19"/>
        <w:widowControl w:val="false"/>
        <w:spacing w:lineRule="auto" w:line="240" w:before="321" w:after="0"/>
        <w:ind w:left="0" w:right="10" w:hanging="0"/>
        <w:jc w:val="both"/>
        <w:rPr/>
      </w:pPr>
      <w:r>
        <w:rPr/>
        <w:t xml:space="preserve">Denna ändring syftar till att uppnå tre mål: stärka en politik </w:t>
      </w:r>
      <w:r>
        <w:rPr>
          <w:b/>
        </w:rPr>
        <w:t>för ”</w:t>
      </w:r>
      <w:r>
        <w:rPr/>
        <w:t xml:space="preserve"> </w:t>
      </w:r>
      <w:r>
        <w:rPr>
          <w:b/>
        </w:rPr>
        <w:t>europeisk preferens”</w:t>
      </w:r>
      <w:r>
        <w:rPr/>
        <w:t xml:space="preserve"> inom unionen, garantera </w:t>
      </w:r>
      <w:r>
        <w:rPr>
          <w:b/>
        </w:rPr>
        <w:t>skyddet av viktiga varor och know-how</w:t>
      </w:r>
      <w:r>
        <w:rPr/>
        <w:t xml:space="preserve"> och skapa </w:t>
      </w:r>
      <w:r>
        <w:rPr>
          <w:b/>
        </w:rPr>
        <w:t>”europeiska mästare”.</w:t>
      </w:r>
      <w:r>
        <w:rPr/>
        <w:t xml:space="preserve"> </w:t>
      </w:r>
    </w:p>
    <w:p>
      <w:pPr>
        <w:pStyle w:val="P68B1DB1Normal33"/>
        <w:widowControl w:val="false"/>
        <w:spacing w:lineRule="auto" w:line="240" w:before="323" w:after="0"/>
        <w:ind w:left="0" w:right="0" w:hanging="0"/>
        <w:jc w:val="left"/>
        <w:rPr/>
      </w:pPr>
      <w:r>
        <w:rPr/>
        <w:t xml:space="preserve">Vilka är de viktigaste stegen och framgångskriterierna? </w:t>
      </w:r>
    </w:p>
    <w:p>
      <w:pPr>
        <w:pStyle w:val="P68B1DB1Normal19"/>
        <w:widowControl w:val="false"/>
        <w:spacing w:lineRule="auto" w:line="240" w:before="316" w:after="0"/>
        <w:ind w:left="0" w:right="10" w:hanging="0"/>
        <w:jc w:val="both"/>
        <w:rPr/>
      </w:pPr>
      <w:r>
        <w:rPr/>
        <w:t xml:space="preserve">För att uppnå dessa mål krävs först och </w:t>
      </w:r>
      <w:r>
        <w:rPr>
          <w:b/>
        </w:rPr>
        <w:t>främst en europeisk preferenspolitik inom</w:t>
      </w:r>
      <w:r>
        <w:rPr/>
        <w:t xml:space="preserve"> ramen för anbudsförfaranden och införande av en </w:t>
      </w:r>
      <w:r>
        <w:rPr>
          <w:b/>
        </w:rPr>
        <w:t>koldioxidskatt</w:t>
      </w:r>
      <w:r>
        <w:rPr/>
        <w:t xml:space="preserve"> på import. </w:t>
      </w:r>
    </w:p>
    <w:p>
      <w:pPr>
        <w:pStyle w:val="P68B1DB1Normal19"/>
        <w:widowControl w:val="false"/>
        <w:spacing w:lineRule="auto" w:line="240" w:before="332" w:after="0"/>
        <w:ind w:left="0" w:right="10" w:hanging="0"/>
        <w:jc w:val="left"/>
        <w:rPr/>
      </w:pPr>
      <w:r>
        <w:rPr/>
        <w:t xml:space="preserve">Skyddet av know-how skulle leda till ökad kontroll över utländska återköp och investeringar och utveckling av </w:t>
      </w:r>
      <w:r>
        <w:rPr>
          <w:b/>
        </w:rPr>
        <w:t>utlokaliseringsstöd</w:t>
      </w:r>
      <w:r>
        <w:rPr/>
        <w:t xml:space="preserve">. </w:t>
      </w:r>
    </w:p>
    <w:p>
      <w:pPr>
        <w:pStyle w:val="P68B1DB1Normal19"/>
        <w:widowControl w:val="false"/>
        <w:spacing w:lineRule="auto" w:line="240" w:before="323" w:after="0"/>
        <w:ind w:left="0" w:right="10" w:hanging="0"/>
        <w:jc w:val="both"/>
        <w:rPr/>
      </w:pPr>
      <w:r>
        <w:rPr/>
        <w:t xml:space="preserve">Slutligen innebär skapandet av ”europeiska mästare” att uppmuntra europeiska </w:t>
      </w:r>
      <w:r>
        <w:rPr>
          <w:b/>
        </w:rPr>
        <w:t>industriallianser</w:t>
      </w:r>
      <w:r>
        <w:rPr/>
        <w:t xml:space="preserve"> inom strategiska sektorer och främja offentliga riskkapitalinvesteringar. </w:t>
      </w:r>
    </w:p>
    <w:p>
      <w:pPr>
        <w:pStyle w:val="P68B1DB1Normal45"/>
        <w:widowControl w:val="false"/>
        <w:spacing w:lineRule="auto" w:line="240" w:before="333" w:after="0"/>
        <w:ind w:left="0" w:right="13" w:hanging="0"/>
        <w:jc w:val="both"/>
        <w:rPr/>
      </w:pPr>
      <w:r>
        <w:rPr/>
        <w:t xml:space="preserve">Framgången med denna förändring förverkligas för medborgarna genom att utveckla europeiska industriallianser inom viktiga sektorer, öka antalet omlokaliseringar av företag och förbättra handelsbalansen.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Ändring 4 – Att stärka medborgarnas makt på flera nivåer: deltagande, beslut, kontroll </w:t>
      </w:r>
    </w:p>
    <w:p>
      <w:pPr>
        <w:pStyle w:val="P68B1DB1Normal43"/>
        <w:widowControl w:val="false"/>
        <w:spacing w:lineRule="auto" w:line="240" w:before="347" w:after="0"/>
        <w:ind w:left="0" w:right="0" w:hanging="0"/>
        <w:jc w:val="left"/>
        <w:rPr/>
      </w:pPr>
      <w:r>
        <w:rPr/>
        <w:t xml:space="preserve">Det associerade Europas önskan: Ett mer demokratiskt Europa </w:t>
      </w:r>
    </w:p>
    <w:p>
      <w:pPr>
        <w:pStyle w:val="P68B1DB1Normal33"/>
        <w:widowControl w:val="false"/>
        <w:spacing w:lineRule="auto" w:line="240" w:before="323" w:after="0"/>
        <w:ind w:left="0" w:right="0" w:hanging="0"/>
        <w:jc w:val="left"/>
        <w:rPr/>
      </w:pPr>
      <w:r>
        <w:rPr/>
        <w:t xml:space="preserve">Vad innebär denna förändring? </w:t>
      </w:r>
    </w:p>
    <w:p>
      <w:pPr>
        <w:pStyle w:val="P68B1DB1Normal7"/>
        <w:widowControl w:val="false"/>
        <w:spacing w:lineRule="auto" w:line="240" w:before="84" w:after="0"/>
        <w:ind w:left="0" w:right="10" w:hanging="0"/>
        <w:jc w:val="left"/>
        <w:rPr/>
      </w:pPr>
      <w:r>
        <w:rPr>
          <w:i/>
          <w:color w:val="000000"/>
        </w:rPr>
        <w:t>Nyckelord: ökat valdeltagande, europeisk nöjdhetsbarometer, generalisering av medborgarsamråd</w:t>
      </w:r>
      <w:r>
        <w:rPr>
          <w:b/>
          <w:color w:val="273375"/>
        </w:rPr>
        <w:t xml:space="preserve"> </w:t>
      </w:r>
    </w:p>
    <w:p>
      <w:pPr>
        <w:pStyle w:val="P68B1DB1Normal19"/>
        <w:widowControl w:val="false"/>
        <w:spacing w:lineRule="auto" w:line="240" w:before="324" w:after="0"/>
        <w:ind w:left="0" w:right="10" w:hanging="0"/>
        <w:jc w:val="both"/>
        <w:rPr/>
      </w:pPr>
      <w:r>
        <w:rPr/>
        <w:t xml:space="preserve">I och med denna förändring föreslår medborgarna att man utvecklar en ” </w:t>
      </w:r>
      <w:r>
        <w:rPr>
          <w:i/>
        </w:rPr>
        <w:t xml:space="preserve">fullständig medborgarupplevelse”  </w:t>
      </w:r>
      <w:r>
        <w:rPr/>
        <w:t xml:space="preserve">för EU-medborgarna och ökar sitt </w:t>
      </w:r>
      <w:r>
        <w:rPr>
          <w:b/>
        </w:rPr>
        <w:t>deltagande</w:t>
      </w:r>
      <w:r>
        <w:rPr/>
        <w:t xml:space="preserve"> i alla skeden av beslutsprocesserna. Det återspeglar medborgarnas vilja </w:t>
      </w:r>
      <w:r>
        <w:rPr>
          <w:b/>
        </w:rPr>
        <w:t>att göra sina röster hörda</w:t>
      </w:r>
      <w:r>
        <w:rPr/>
        <w:t xml:space="preserve"> och påverka den offentliga politiken som påverkar deras dagliga liv. </w:t>
      </w:r>
    </w:p>
    <w:p>
      <w:pPr>
        <w:pStyle w:val="P68B1DB1Normal33"/>
        <w:widowControl w:val="false"/>
        <w:spacing w:lineRule="auto" w:line="240" w:before="330" w:after="0"/>
        <w:ind w:left="0" w:right="0" w:hanging="0"/>
        <w:jc w:val="left"/>
        <w:rPr/>
      </w:pPr>
      <w:r>
        <w:rPr/>
        <w:t xml:space="preserve">Vilka är de viktigaste stegen och framgångskriterierna? </w:t>
      </w:r>
    </w:p>
    <w:p>
      <w:pPr>
        <w:pStyle w:val="P68B1DB1Normal24"/>
        <w:widowControl w:val="false"/>
        <w:spacing w:lineRule="auto" w:line="240" w:before="323" w:after="0"/>
        <w:ind w:left="0" w:right="13" w:hanging="0"/>
        <w:jc w:val="both"/>
        <w:rPr/>
      </w:pPr>
      <w:r>
        <w:rPr/>
        <w:t>Det är framför allt medborgarna som ska utveckla och upprätthålla medborgarinitiativen</w:t>
      </w:r>
      <w:r>
        <w:rPr>
          <w:b/>
        </w:rPr>
        <w:t xml:space="preserve">. </w:t>
      </w:r>
      <w:r>
        <w:rPr/>
        <w:t xml:space="preserve">För detta ändamål skulle flera hävstänger kunna införas: inrättande av en </w:t>
      </w:r>
      <w:r>
        <w:rPr>
          <w:b/>
        </w:rPr>
        <w:t>permanent rådgivande kammare</w:t>
      </w:r>
      <w:r>
        <w:rPr/>
        <w:t xml:space="preserve">, registrering av </w:t>
      </w:r>
      <w:r>
        <w:rPr>
          <w:b/>
        </w:rPr>
        <w:t>medborgarmakt i</w:t>
      </w:r>
      <w:r>
        <w:rPr/>
        <w:t xml:space="preserve"> EU-fördragen eller upprättande av en </w:t>
      </w:r>
      <w:r>
        <w:rPr>
          <w:b/>
        </w:rPr>
        <w:t>etikett</w:t>
      </w:r>
      <w:r>
        <w:rPr/>
        <w:t xml:space="preserve"> som intygar de lagar som har varit föremål för ett medborgarsamråd. </w:t>
      </w:r>
    </w:p>
    <w:p>
      <w:pPr>
        <w:pStyle w:val="P68B1DB1Normal19"/>
        <w:widowControl w:val="false"/>
        <w:spacing w:lineRule="auto" w:line="240" w:before="230" w:after="0"/>
        <w:ind w:left="0" w:right="10" w:hanging="0"/>
        <w:jc w:val="both"/>
        <w:rPr/>
      </w:pPr>
      <w:r>
        <w:rPr/>
        <w:t xml:space="preserve">Framgången för denna förändring kommer att framgå av ökningen av indikatorer som </w:t>
      </w:r>
      <w:r>
        <w:rPr>
          <w:b/>
        </w:rPr>
        <w:t>valdeltagandet, intresset</w:t>
      </w:r>
      <w:r>
        <w:rPr/>
        <w:t xml:space="preserve"> och </w:t>
      </w:r>
      <w:r>
        <w:rPr>
          <w:b/>
        </w:rPr>
        <w:t>förtroendet</w:t>
      </w:r>
      <w:r>
        <w:rPr/>
        <w:t xml:space="preserve"> för Europeiska unionen och </w:t>
      </w:r>
      <w:r>
        <w:rPr>
          <w:b/>
        </w:rPr>
        <w:t>närvaron av europeiska webbplatser</w:t>
      </w:r>
      <w:r>
        <w:rPr/>
        <w:t xml:space="preserve">. Ökningen av antalet beslut som fattas efter ett medborgarsamråd och den ökade användningen av </w:t>
      </w:r>
      <w:r>
        <w:rPr>
          <w:b/>
        </w:rPr>
        <w:t>europeiska medborgarinitiativ</w:t>
      </w:r>
      <w:r>
        <w:rPr/>
        <w:t xml:space="preserve">ses också som framgångsmarkörer. </w:t>
      </w:r>
    </w:p>
    <w:p>
      <w:pPr>
        <w:pStyle w:val="P68B1DB1Normal19"/>
        <w:widowControl w:val="false"/>
        <w:spacing w:lineRule="auto" w:line="240" w:before="90" w:after="0"/>
        <w:ind w:left="0" w:right="0" w:hanging="0"/>
        <w:jc w:val="left"/>
        <w:rPr/>
      </w:pPr>
      <w:r>
        <w:rPr/>
        <w:t xml:space="preserve"> </w:t>
      </w:r>
    </w:p>
    <w:p>
      <w:pPr>
        <w:pStyle w:val="P68B1DB1Normal42"/>
        <w:spacing w:lineRule="auto" w:line="240"/>
        <w:rPr/>
      </w:pPr>
      <w:r>
        <w:rPr/>
        <w:t xml:space="preserve">Ändring 5 – Mot en federation av europeiska stater med starka befogenheter på områden av gemensamt intresse </w:t>
      </w:r>
    </w:p>
    <w:p>
      <w:pPr>
        <w:pStyle w:val="P68B1DB1Normal43"/>
        <w:widowControl w:val="false"/>
        <w:spacing w:lineRule="auto" w:line="240" w:before="347" w:after="0"/>
        <w:ind w:left="0" w:right="0" w:hanging="0"/>
        <w:jc w:val="left"/>
        <w:rPr/>
      </w:pPr>
      <w:r>
        <w:rPr/>
        <w:t xml:space="preserve">Det associerade Europas önskan: Ett mer enat Europa </w:t>
      </w:r>
    </w:p>
    <w:p>
      <w:pPr>
        <w:pStyle w:val="P68B1DB1Normal33"/>
        <w:widowControl w:val="false"/>
        <w:spacing w:lineRule="auto" w:line="240" w:before="323" w:after="0"/>
        <w:ind w:left="0" w:right="0" w:hanging="0"/>
        <w:jc w:val="left"/>
        <w:rPr/>
      </w:pPr>
      <w:r>
        <w:rPr/>
        <w:t xml:space="preserve">Vad innebär denna förändring? </w:t>
      </w:r>
    </w:p>
    <w:p>
      <w:pPr>
        <w:pStyle w:val="P68B1DB1Normal7"/>
        <w:widowControl w:val="false"/>
        <w:spacing w:lineRule="auto" w:line="240" w:before="76" w:after="0"/>
        <w:ind w:left="0" w:right="0" w:hanging="0"/>
        <w:jc w:val="left"/>
        <w:rPr/>
      </w:pPr>
      <w:r>
        <w:rPr>
          <w:i/>
          <w:color w:val="000000"/>
        </w:rPr>
        <w:t>Nyckelord: institutionell enighet, tillträdande ordförande, förstärkning av EU:s befogenheter</w:t>
      </w:r>
      <w:r>
        <w:rPr>
          <w:b/>
          <w:color w:val="273375"/>
        </w:rPr>
        <w:t xml:space="preserve"> </w:t>
      </w:r>
    </w:p>
    <w:p>
      <w:pPr>
        <w:pStyle w:val="P68B1DB1Normal19"/>
        <w:widowControl w:val="false"/>
        <w:spacing w:lineRule="auto" w:line="240" w:before="244" w:after="0"/>
        <w:ind w:left="0" w:right="10" w:hanging="0"/>
        <w:jc w:val="both"/>
        <w:rPr/>
      </w:pPr>
      <w:r>
        <w:rPr/>
        <w:t>Denna förändring återspeglar medborgarnas ambition att</w:t>
      </w:r>
      <w:r>
        <w:rPr>
          <w:b/>
        </w:rPr>
        <w:t>ena</w:t>
      </w:r>
      <w:r>
        <w:rPr/>
        <w:t xml:space="preserve"> de europeiska politiska institutionerna. Den modell som visas är en federation av stater med målet </w:t>
      </w:r>
      <w:r>
        <w:rPr>
          <w:b/>
        </w:rPr>
        <w:t>att stärka Europeiska unionens delade eller exklusiva befogenheter</w:t>
      </w:r>
      <w:r>
        <w:rPr/>
        <w:t xml:space="preserve">, dock utan att gå mot en federal stat. </w:t>
      </w:r>
    </w:p>
    <w:p>
      <w:pPr>
        <w:pStyle w:val="P68B1DB1Normal33"/>
        <w:widowControl w:val="false"/>
        <w:spacing w:lineRule="auto" w:line="240" w:before="330" w:after="0"/>
        <w:ind w:left="0" w:right="0" w:hanging="0"/>
        <w:jc w:val="left"/>
        <w:rPr/>
      </w:pPr>
      <w:r>
        <w:rPr/>
        <w:t xml:space="preserve">Vilka är de viktigaste milstolparna och framgångskriterierna? </w:t>
      </w:r>
    </w:p>
    <w:p>
      <w:pPr>
        <w:pStyle w:val="P68B1DB1Normal19"/>
        <w:widowControl w:val="false"/>
        <w:spacing w:lineRule="auto" w:line="240" w:before="239" w:after="0"/>
        <w:ind w:left="0" w:right="10" w:hanging="0"/>
        <w:jc w:val="both"/>
        <w:rPr/>
      </w:pPr>
      <w:r>
        <w:rPr/>
        <w:t xml:space="preserve">Internt skulle denna förändring kunna innebära utveckling </w:t>
      </w:r>
      <w:r>
        <w:rPr>
          <w:b/>
        </w:rPr>
        <w:t>av medborgarnas deltagande</w:t>
      </w:r>
      <w:r>
        <w:rPr/>
        <w:t xml:space="preserve">, inrättande av </w:t>
      </w:r>
      <w:r>
        <w:rPr>
          <w:b/>
        </w:rPr>
        <w:t>europeiska ministerier i medlemsstaterna</w:t>
      </w:r>
      <w:r>
        <w:rPr/>
        <w:t xml:space="preserve"> och, på längre sikt,</w:t>
      </w:r>
      <w:r>
        <w:rPr>
          <w:b/>
        </w:rPr>
        <w:t xml:space="preserve">val </w:t>
      </w:r>
      <w:r>
        <w:rPr/>
        <w:t xml:space="preserve">av Europeiska kommissionens ordförande </w:t>
      </w:r>
      <w:r>
        <w:rPr>
          <w:b/>
        </w:rPr>
        <w:t>genom allmänna val</w:t>
      </w:r>
      <w:r>
        <w:rPr/>
        <w:t xml:space="preserve">. </w:t>
      </w:r>
    </w:p>
    <w:p>
      <w:pPr>
        <w:pStyle w:val="P68B1DB1Normal19"/>
        <w:widowControl w:val="false"/>
        <w:spacing w:lineRule="auto" w:line="240" w:before="327" w:after="0"/>
        <w:ind w:left="0" w:right="10" w:hanging="0"/>
        <w:jc w:val="left"/>
        <w:rPr/>
      </w:pPr>
      <w:r>
        <w:rPr/>
        <w:t xml:space="preserve">Externt skulle stärkandet av den europeiska rösten utomlands omsättas i en </w:t>
      </w:r>
      <w:r>
        <w:rPr>
          <w:b/>
        </w:rPr>
        <w:t xml:space="preserve">inkarnation </w:t>
      </w:r>
      <w:r>
        <w:rPr/>
        <w:t>genom en</w:t>
      </w:r>
      <w:r>
        <w:rPr>
          <w:b/>
        </w:rPr>
        <w:t xml:space="preserve"> unik företrädare</w:t>
      </w:r>
      <w:r>
        <w:rPr/>
        <w:t xml:space="preserve"> </w:t>
      </w:r>
      <w:r>
        <w:rPr>
          <w:b/>
        </w:rPr>
        <w:t>för Europa</w:t>
      </w:r>
      <w:r>
        <w:rPr/>
        <w:t xml:space="preserve"> på den internationella arenan. </w:t>
      </w:r>
    </w:p>
    <w:p>
      <w:pPr>
        <w:pStyle w:val="P68B1DB1Normal24"/>
        <w:widowControl w:val="false"/>
        <w:spacing w:lineRule="auto" w:line="240" w:before="324" w:after="0"/>
        <w:ind w:left="0" w:right="15" w:hanging="0"/>
        <w:jc w:val="left"/>
        <w:rPr/>
      </w:pPr>
      <w:r>
        <w:rPr/>
        <w:t xml:space="preserve">Denna federation av stater skulle också gynnas av en ökad </w:t>
      </w:r>
      <w:r>
        <w:rPr>
          <w:b/>
        </w:rPr>
        <w:t>EU-budget</w:t>
      </w:r>
      <w:r>
        <w:rPr/>
        <w:t xml:space="preserve">, med ambitionen att nå 10 % av BNP (jämfört med 2 % för närvarande).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pPr>
      <w:r>
        <w:rPr/>
        <w:t xml:space="preserve">Ändring 6 – Föreslå livslånga utbytesprogram </w:t>
      </w:r>
    </w:p>
    <w:p>
      <w:pPr>
        <w:pStyle w:val="P68B1DB1Normal43"/>
        <w:widowControl w:val="false"/>
        <w:spacing w:lineRule="auto" w:line="240" w:before="349" w:after="0"/>
        <w:ind w:left="0" w:right="0" w:hanging="0"/>
        <w:jc w:val="left"/>
        <w:rPr/>
      </w:pPr>
      <w:r>
        <w:rPr/>
        <w:t xml:space="preserve">Det associerade Europas önskan: Ett Europa som sätter utbildningen i spetsen </w:t>
      </w:r>
    </w:p>
    <w:p>
      <w:pPr>
        <w:pStyle w:val="P68B1DB1Normal33"/>
        <w:widowControl w:val="false"/>
        <w:spacing w:lineRule="auto" w:line="240" w:before="326" w:after="0"/>
        <w:ind w:left="0" w:right="0" w:hanging="0"/>
        <w:jc w:val="left"/>
        <w:rPr/>
      </w:pPr>
      <w:r>
        <w:rPr/>
        <w:t xml:space="preserve">Vad innebär denna förändring? </w:t>
      </w:r>
    </w:p>
    <w:p>
      <w:pPr>
        <w:pStyle w:val="P68B1DB1Normal44"/>
        <w:widowControl w:val="false"/>
        <w:spacing w:lineRule="auto" w:line="240" w:before="326" w:after="0"/>
        <w:ind w:left="0" w:right="0" w:hanging="0"/>
        <w:jc w:val="left"/>
        <w:rPr/>
      </w:pPr>
      <w:r>
        <w:rPr/>
        <w:t xml:space="preserve">Nyckelord: skolutbyten, Erasmus </w:t>
      </w:r>
    </w:p>
    <w:p>
      <w:pPr>
        <w:pStyle w:val="P68B1DB1Normal19"/>
        <w:widowControl w:val="false"/>
        <w:spacing w:lineRule="auto" w:line="240" w:before="330" w:after="0"/>
        <w:ind w:left="0" w:right="0" w:hanging="0"/>
        <w:jc w:val="both"/>
        <w:rPr/>
      </w:pPr>
      <w:r>
        <w:rPr/>
        <w:t xml:space="preserve">Denna förändring är allmänt berömd och återspeglar vikten för medborgarna av möten och erfarenheter utomlands, som en kraftfull jäsning av den europeiska känslan. Ambitionen är att flytta </w:t>
      </w:r>
      <w:r>
        <w:rPr>
          <w:i/>
        </w:rPr>
        <w:t xml:space="preserve">”från akademisk kunskap till ett </w:t>
      </w:r>
      <w:r>
        <w:rPr>
          <w:b/>
          <w:i/>
        </w:rPr>
        <w:t>levt, erfaret och känsligt förhållningssätt</w:t>
      </w:r>
      <w:r>
        <w:rPr>
          <w:i/>
        </w:rPr>
        <w:t>till Europa</w:t>
      </w:r>
      <w:r>
        <w:rPr/>
        <w:t xml:space="preserve">” och att förstå utbildning i vid bemärkelse som </w:t>
      </w:r>
      <w:r>
        <w:rPr>
          <w:b/>
        </w:rPr>
        <w:t xml:space="preserve">livslångt lärande. </w:t>
      </w:r>
    </w:p>
    <w:p>
      <w:pPr>
        <w:pStyle w:val="P68B1DB1Normal33"/>
        <w:widowControl w:val="false"/>
        <w:spacing w:lineRule="auto" w:line="240" w:before="323" w:after="0"/>
        <w:ind w:left="0" w:right="0" w:hanging="0"/>
        <w:jc w:val="left"/>
        <w:rPr/>
      </w:pPr>
      <w:r>
        <w:rPr/>
        <w:t xml:space="preserve">Vilka är de viktigaste stegen och framgångskriterierna? </w:t>
      </w:r>
    </w:p>
    <w:p>
      <w:pPr>
        <w:pStyle w:val="P68B1DB1Normal24"/>
        <w:widowControl w:val="false"/>
        <w:spacing w:lineRule="auto" w:line="240" w:before="317" w:after="0"/>
        <w:ind w:left="0" w:right="4" w:hanging="0"/>
        <w:jc w:val="both"/>
        <w:rPr/>
      </w:pPr>
      <w:r>
        <w:rPr/>
        <w:t xml:space="preserve">Framgången med en sådan förändring beror främst på införandet </w:t>
      </w:r>
      <w:r>
        <w:rPr>
          <w:b/>
        </w:rPr>
        <w:t>av ett utökat rörlighetserbjudande,</w:t>
      </w:r>
      <w:r>
        <w:rPr/>
        <w:t xml:space="preserve"> bland annat skolutbyten, partnersamverkan, resor och yrkesmässig rörlighet. För medborgarna måste detta erbjudande vara tillgängligt för alla, särskilt för dem med låga resurser eller funktionshinder. Erasmusprogrammet skulle till exempel kunna omfatta alla européer utan ålders- eller resursbegränsningar. Dessa program måste utformas som </w:t>
      </w:r>
      <w:r>
        <w:rPr>
          <w:b/>
        </w:rPr>
        <w:t>mångsidiga, inkluderande</w:t>
      </w:r>
      <w:r>
        <w:rPr>
          <w:b/>
          <w:sz w:val="20"/>
        </w:rPr>
        <w:t xml:space="preserve"> </w:t>
      </w:r>
      <w:r>
        <w:rPr>
          <w:b/>
        </w:rPr>
        <w:t>och tillgängliga</w:t>
      </w:r>
      <w:r>
        <w:rPr/>
        <w:t xml:space="preserve"> med förenklade administrativa förfaranden. </w:t>
      </w:r>
    </w:p>
    <w:p>
      <w:pPr>
        <w:pStyle w:val="P68B1DB1Normal24"/>
        <w:widowControl w:val="false"/>
        <w:spacing w:lineRule="auto" w:line="240" w:before="232" w:after="0"/>
        <w:ind w:left="0" w:right="3" w:hanging="0"/>
        <w:jc w:val="both"/>
        <w:rPr/>
      </w:pPr>
      <w:r>
        <w:rPr/>
        <w:t xml:space="preserve">Utöver rörlighet nämndes också vikten </w:t>
      </w:r>
      <w:r>
        <w:rPr>
          <w:b/>
        </w:rPr>
        <w:t>av att utveckla broar mellan utbildningssystemen</w:t>
      </w:r>
      <w:r>
        <w:rPr/>
        <w:t xml:space="preserve"> (motsvarande examensbevis osv.) och att öka Europas attraktionskraft för att undvika kompetensläckage utomlands.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Ändring 7 – Delning av europeiska kulturer genom att sammanföra händelser och evenemang </w:t>
      </w:r>
    </w:p>
    <w:p>
      <w:pPr>
        <w:pStyle w:val="P68B1DB1Normal43"/>
        <w:widowControl w:val="false"/>
        <w:spacing w:lineRule="auto" w:line="240" w:before="347" w:after="0"/>
        <w:ind w:left="0" w:right="0" w:hanging="0"/>
        <w:jc w:val="left"/>
        <w:rPr/>
      </w:pPr>
      <w:r>
        <w:rPr/>
        <w:t xml:space="preserve">Det associerade Europas önskan: Ett Europa med gemensamma kulturer och identiteter </w:t>
      </w:r>
    </w:p>
    <w:p>
      <w:pPr>
        <w:pStyle w:val="P68B1DB1Normal33"/>
        <w:widowControl w:val="false"/>
        <w:spacing w:lineRule="auto" w:line="240" w:before="326" w:after="0"/>
        <w:ind w:left="0" w:right="0" w:hanging="0"/>
        <w:jc w:val="left"/>
        <w:rPr/>
      </w:pPr>
      <w:r>
        <w:rPr/>
        <w:t xml:space="preserve">Vad innebär denna förändring? </w:t>
      </w:r>
    </w:p>
    <w:p>
      <w:pPr>
        <w:pStyle w:val="P68B1DB1Normal44"/>
        <w:widowControl w:val="false"/>
        <w:spacing w:lineRule="auto" w:line="240" w:before="206" w:after="0"/>
        <w:ind w:left="0" w:right="0" w:hanging="0"/>
        <w:jc w:val="left"/>
        <w:rPr/>
      </w:pPr>
      <w:r>
        <w:rPr/>
        <w:t xml:space="preserve">Nyckelord: Europeiska festivalen, Europeiska allmänna högtiden, Världsutställningen i Europa </w:t>
      </w:r>
    </w:p>
    <w:p>
      <w:pPr>
        <w:pStyle w:val="P68B1DB1Normal19"/>
        <w:widowControl w:val="false"/>
        <w:spacing w:lineRule="auto" w:line="240" w:before="246" w:after="0"/>
        <w:ind w:left="0" w:right="10" w:hanging="0"/>
        <w:jc w:val="left"/>
        <w:rPr/>
      </w:pPr>
      <w:r>
        <w:rPr/>
        <w:t xml:space="preserve">Denna förändring syftar </w:t>
      </w:r>
      <w:r>
        <w:rPr>
          <w:b/>
        </w:rPr>
        <w:t>till att skapa och leva en europeisk anda</w:t>
      </w:r>
      <w:r>
        <w:rPr/>
        <w:t xml:space="preserve"> genom gemensamma erfarenheter, evenemang och festliga evenemang. </w:t>
      </w:r>
    </w:p>
    <w:p>
      <w:pPr>
        <w:pStyle w:val="P68B1DB1Normal33"/>
        <w:widowControl w:val="false"/>
        <w:spacing w:lineRule="auto" w:line="240" w:before="330" w:after="0"/>
        <w:ind w:left="0" w:right="0" w:hanging="0"/>
        <w:jc w:val="left"/>
        <w:rPr/>
      </w:pPr>
      <w:r>
        <w:rPr/>
        <w:t xml:space="preserve">Vilka är de viktigaste stegen och framgångskriterierna? </w:t>
      </w:r>
    </w:p>
    <w:p>
      <w:pPr>
        <w:pStyle w:val="P68B1DB1Normal19"/>
        <w:widowControl w:val="false"/>
        <w:spacing w:lineRule="auto" w:line="240" w:before="239" w:after="0"/>
        <w:ind w:left="0" w:right="10" w:hanging="0"/>
        <w:jc w:val="both"/>
        <w:rPr/>
      </w:pPr>
      <w:r>
        <w:rPr/>
        <w:t xml:space="preserve">De evenemang som medborgarna föreställer sig är avsedda att vara </w:t>
      </w:r>
      <w:r>
        <w:rPr>
          <w:b/>
        </w:rPr>
        <w:t>roliga, enande och populära</w:t>
      </w:r>
      <w:r>
        <w:rPr/>
        <w:t xml:space="preserve"> att delas av det största antalet. För att göra detta bör de involvera </w:t>
      </w:r>
      <w:r>
        <w:rPr>
          <w:b/>
        </w:rPr>
        <w:t>alla målgrupper</w:t>
      </w:r>
      <w:r>
        <w:rPr/>
        <w:t xml:space="preserve"> (inklusive barn, skolpublik, ungdomar och Erasmusstudenter) och äga rum på </w:t>
      </w:r>
      <w:r>
        <w:rPr>
          <w:b/>
        </w:rPr>
        <w:t>olika platser</w:t>
      </w:r>
      <w:r>
        <w:rPr/>
        <w:t xml:space="preserve"> (pensionshus, skolor, offentliga förvaltningar, fängelser osv.). </w:t>
      </w:r>
    </w:p>
    <w:p>
      <w:pPr>
        <w:pStyle w:val="P68B1DB1Normal24"/>
        <w:widowControl w:val="false"/>
        <w:spacing w:lineRule="auto" w:line="240" w:before="327" w:after="0"/>
        <w:ind w:left="0" w:right="13" w:hanging="0"/>
        <w:jc w:val="both"/>
        <w:rPr/>
      </w:pPr>
      <w:r>
        <w:rPr/>
        <w:t xml:space="preserve">Framför allt planerades två evenemang för att sammanföra européerna: en </w:t>
      </w:r>
      <w:r>
        <w:rPr>
          <w:b/>
        </w:rPr>
        <w:t>universell utställning av Europa</w:t>
      </w:r>
      <w:r>
        <w:rPr/>
        <w:t xml:space="preserve"> som skulle göra det möjligt att representera alla medlemsstater och en </w:t>
      </w:r>
      <w:r>
        <w:rPr>
          <w:b/>
        </w:rPr>
        <w:t>omarbetning av Europadagen</w:t>
      </w:r>
      <w:r>
        <w:rPr/>
        <w:t xml:space="preserve">den 9 maj, som särskilt skulle omfatta ett utbildningsevenemang så </w:t>
      </w:r>
      <w:r>
        <w:rPr>
          <w:i/>
        </w:rPr>
        <w:t>att ”vi inte glömmer den fred som är kopplad till Europa och dess värderingar</w:t>
      </w:r>
      <w:r>
        <w:rPr/>
        <w:t xml:space="preserve">”. Samtidigt skulle europeiska företrädare kunna träffa skolbarnen på kontinenten i sina skolor för att stärka närheten till och förståelsen för medborgarna i Europa redan från tidig ålder. </w:t>
      </w:r>
    </w:p>
    <w:p>
      <w:pPr>
        <w:pStyle w:val="P68B1DB1Normal19"/>
        <w:widowControl w:val="false"/>
        <w:spacing w:lineRule="auto" w:line="240" w:before="112" w:after="0"/>
        <w:ind w:left="0" w:right="0" w:hanging="0"/>
        <w:jc w:val="left"/>
        <w:rPr/>
      </w:pPr>
      <w:r>
        <w:rPr/>
        <w:t xml:space="preserve"> </w:t>
      </w:r>
    </w:p>
    <w:p>
      <w:pPr>
        <w:pStyle w:val="P68B1DB1Normal42"/>
        <w:spacing w:lineRule="auto" w:line="240"/>
        <w:rPr/>
      </w:pPr>
      <w:r>
        <w:rPr/>
        <w:t xml:space="preserve">Ändring 8 – Harmonisera hälsan och göra den tillgänglig för alla européer genom en gemensam hälsopolitik </w:t>
      </w:r>
    </w:p>
    <w:p>
      <w:pPr>
        <w:pStyle w:val="P68B1DB1Normal43"/>
        <w:widowControl w:val="false"/>
        <w:spacing w:lineRule="auto" w:line="240" w:before="347" w:after="0"/>
        <w:ind w:left="0" w:right="0" w:hanging="0"/>
        <w:jc w:val="left"/>
        <w:rPr/>
      </w:pPr>
      <w:r>
        <w:rPr/>
        <w:t xml:space="preserve">Det associerade Europas önskan: Ett solidariskt Europa som skyddar </w:t>
      </w:r>
    </w:p>
    <w:p>
      <w:pPr>
        <w:pStyle w:val="P68B1DB1Normal33"/>
        <w:widowControl w:val="false"/>
        <w:spacing w:lineRule="auto" w:line="240" w:before="326" w:after="0"/>
        <w:ind w:left="0" w:right="0" w:hanging="0"/>
        <w:jc w:val="left"/>
        <w:rPr/>
      </w:pPr>
      <w:r>
        <w:rPr/>
        <w:t xml:space="preserve">Vad innebär denna förändring? </w:t>
      </w:r>
    </w:p>
    <w:p>
      <w:pPr>
        <w:pStyle w:val="P68B1DB1Normal7"/>
        <w:widowControl w:val="false"/>
        <w:spacing w:lineRule="auto" w:line="240" w:before="86" w:after="0"/>
        <w:ind w:left="0" w:right="10" w:hanging="0"/>
        <w:jc w:val="left"/>
        <w:rPr/>
      </w:pPr>
      <w:r>
        <w:rPr>
          <w:i/>
          <w:color w:val="000000"/>
        </w:rPr>
        <w:t>Nyckelord: allmän hälso- och sjukvård, harmonisering av vården, hälsa som en grundläggande rättighet</w:t>
      </w:r>
      <w:r>
        <w:rPr>
          <w:b/>
          <w:color w:val="273375"/>
        </w:rPr>
        <w:t xml:space="preserve"> </w:t>
      </w:r>
    </w:p>
    <w:p>
      <w:pPr>
        <w:pStyle w:val="P68B1DB1Normal19"/>
        <w:widowControl w:val="false"/>
        <w:spacing w:lineRule="auto" w:line="240" w:before="248" w:after="0"/>
        <w:ind w:left="0" w:right="10" w:hanging="0"/>
        <w:jc w:val="both"/>
        <w:rPr/>
      </w:pPr>
      <w:r>
        <w:rPr/>
        <w:t xml:space="preserve">För att garantera tillgång till hälso- och sjukvård för alla européer och </w:t>
      </w:r>
      <w:r>
        <w:rPr>
          <w:i/>
        </w:rPr>
        <w:t>för att tillgodose behovet av ”skydd och solidaritet</w:t>
      </w:r>
      <w:r>
        <w:rPr/>
        <w:t xml:space="preserve">” </w:t>
      </w:r>
      <w:r>
        <w:rPr>
          <w:b/>
        </w:rPr>
        <w:t>föreslogs enhälligt ett överstatligt</w:t>
      </w:r>
      <w:r>
        <w:rPr/>
        <w:t xml:space="preserve"> hälso- och sjukvårdssystem. Den skulle bygga på rättvis finansiering mellan medlemsstaterna och bygga på de bästa EU-systemen. En sådan förändring återspeglar medborgarnas vilja att se Europa spela en mer aktiv roll när det gäller att skydda sina invånare, särskilt på hälsoområdet, där åtgärder hittills anses alltför blygsamma. </w:t>
      </w:r>
    </w:p>
    <w:p>
      <w:pPr>
        <w:pStyle w:val="P68B1DB1Normal33"/>
        <w:widowControl w:val="false"/>
        <w:spacing w:lineRule="auto" w:line="240" w:before="330" w:after="0"/>
        <w:ind w:left="0" w:right="0" w:hanging="0"/>
        <w:jc w:val="left"/>
        <w:rPr/>
      </w:pPr>
      <w:r>
        <w:rPr/>
        <w:t xml:space="preserve">Vilka är de viktigaste stegen och framgångskriterierna? </w:t>
      </w:r>
    </w:p>
    <w:p>
      <w:pPr>
        <w:pStyle w:val="P68B1DB1Normal19"/>
        <w:widowControl w:val="false"/>
        <w:spacing w:lineRule="auto" w:line="240" w:before="239" w:after="0"/>
        <w:ind w:left="0" w:right="10" w:hanging="0"/>
        <w:jc w:val="both"/>
        <w:rPr/>
      </w:pPr>
      <w:r>
        <w:rPr/>
        <w:t xml:space="preserve">För att genomföra denna förändring godkändes principen om </w:t>
      </w:r>
      <w:r>
        <w:rPr>
          <w:b/>
        </w:rPr>
        <w:t>allmän europeisk social trygghet</w:t>
      </w:r>
      <w:r>
        <w:rPr/>
        <w:t xml:space="preserve"> av majoriteten. Det gick dock inte att besluta om hur detta system ska genomföras. Medan vissa argumenterar för </w:t>
      </w:r>
      <w:r>
        <w:rPr>
          <w:i/>
        </w:rPr>
        <w:t xml:space="preserve">”en centralisering av uppgifter som gör det möjligt för [europeiska] hälso- och sjukvårdspersonal att få tillgång till alla patienters sjukdomshistoria, </w:t>
      </w:r>
      <w:r>
        <w:rPr/>
        <w:t xml:space="preserve">uppfattar andra denna åtgärd som </w:t>
      </w:r>
      <w:r>
        <w:rPr>
          <w:i/>
        </w:rPr>
        <w:t>”ett ytterligare frihetsberövande och ett system för kontroll”.</w:t>
      </w:r>
      <w:r>
        <w:rPr/>
        <w:t xml:space="preserve"> </w:t>
      </w:r>
    </w:p>
    <w:p>
      <w:pPr>
        <w:pStyle w:val="P68B1DB1Normal24"/>
        <w:widowControl w:val="false"/>
        <w:spacing w:lineRule="auto" w:line="240" w:before="329" w:after="0"/>
        <w:ind w:left="0" w:right="14" w:hanging="0"/>
        <w:jc w:val="both"/>
        <w:rPr/>
      </w:pPr>
      <w:r>
        <w:rPr>
          <w:b/>
        </w:rPr>
        <w:t xml:space="preserve">Öppenhet </w:t>
      </w:r>
      <w:r>
        <w:rPr/>
        <w:t>och</w:t>
      </w:r>
      <w:r>
        <w:rPr>
          <w:b/>
        </w:rPr>
        <w:t>harmonisering av lagstiftningskrav över hela</w:t>
      </w:r>
      <w:r>
        <w:rPr/>
        <w:t xml:space="preserve"> kontinenten, liksom en </w:t>
      </w:r>
      <w:r>
        <w:rPr>
          <w:b/>
        </w:rPr>
        <w:t>europeisk hälsoplan, har</w:t>
      </w:r>
      <w:r>
        <w:rPr/>
        <w:t xml:space="preserve"> dock identifierats som förutsättningar för en betydande omvandling. </w:t>
      </w:r>
    </w:p>
    <w:p>
      <w:pPr>
        <w:pStyle w:val="P68B1DB1Normal19"/>
        <w:spacing w:lineRule="auto" w:line="240"/>
        <w:rPr/>
      </w:pPr>
      <w:r>
        <w:rPr/>
        <w:t xml:space="preserve"> </w:t>
      </w:r>
    </w:p>
    <w:p>
      <w:pPr>
        <w:pStyle w:val="P68B1DB1Normal42"/>
        <w:widowControl w:val="false"/>
        <w:spacing w:lineRule="auto" w:line="240" w:before="237" w:after="0"/>
        <w:ind w:left="0" w:right="0" w:hanging="0"/>
        <w:jc w:val="left"/>
        <w:rPr/>
      </w:pPr>
      <w:r>
        <w:rPr/>
        <w:t xml:space="preserve">Ändring 9 – Utveckla och leda strategiska kanaler på europeisk nivå för att säkerställa vår suveränitet </w:t>
      </w:r>
    </w:p>
    <w:p>
      <w:pPr>
        <w:pStyle w:val="P68B1DB1Normal43"/>
        <w:widowControl w:val="false"/>
        <w:spacing w:lineRule="auto" w:line="240" w:before="347" w:after="0"/>
        <w:ind w:left="0" w:right="0" w:hanging="0"/>
        <w:jc w:val="left"/>
        <w:rPr/>
      </w:pPr>
      <w:r>
        <w:rPr/>
        <w:t xml:space="preserve">Det associerade Europas önskan: Ett konkurrenskraftigt och innovativt Europa </w:t>
      </w:r>
    </w:p>
    <w:p>
      <w:pPr>
        <w:pStyle w:val="P68B1DB1Normal33"/>
        <w:widowControl w:val="false"/>
        <w:spacing w:lineRule="auto" w:line="240" w:before="326" w:after="0"/>
        <w:ind w:left="0" w:right="0" w:hanging="0"/>
        <w:jc w:val="left"/>
        <w:rPr/>
      </w:pPr>
      <w:r>
        <w:rPr/>
        <w:t xml:space="preserve">Vad innebär denna förändring? </w:t>
      </w:r>
    </w:p>
    <w:p>
      <w:pPr>
        <w:pStyle w:val="P68B1DB1Normal7"/>
        <w:widowControl w:val="false"/>
        <w:spacing w:lineRule="auto" w:line="240" w:before="86" w:after="0"/>
        <w:ind w:left="0" w:right="9" w:hanging="0"/>
        <w:jc w:val="left"/>
        <w:rPr/>
      </w:pPr>
      <w:r>
        <w:rPr>
          <w:i/>
          <w:color w:val="000000"/>
        </w:rPr>
        <w:t>Nyckelord: utveckling av europeiska mästare, kontroll av utländska investeringar, digitalt oberoende och energi</w:t>
      </w:r>
      <w:r>
        <w:rPr>
          <w:b/>
          <w:color w:val="273375"/>
        </w:rPr>
        <w:t xml:space="preserve"> </w:t>
      </w:r>
    </w:p>
    <w:p>
      <w:pPr>
        <w:pStyle w:val="P68B1DB1Normal19"/>
        <w:widowControl w:val="false"/>
        <w:spacing w:lineRule="auto" w:line="240" w:before="248" w:after="0"/>
        <w:ind w:left="0" w:right="9" w:hanging="0"/>
        <w:jc w:val="both"/>
        <w:rPr/>
      </w:pPr>
      <w:r>
        <w:rPr/>
        <w:t xml:space="preserve">Pilotprojekt för strategiska sektorer som hälsa, livsmedel, energi, digital teknik, försvar, transport och nya material på europeisk nivå svarar mot medborgarnas </w:t>
      </w:r>
      <w:r>
        <w:rPr>
          <w:b/>
        </w:rPr>
        <w:t>behov av suveränitet</w:t>
      </w:r>
      <w:r>
        <w:rPr/>
        <w:t>. Detta skulle begränsa konkurrensen mellan europeiska företag, främja</w:t>
      </w:r>
      <w:r>
        <w:rPr>
          <w:b/>
        </w:rPr>
        <w:t>framväxten av kontinentala mästare</w:t>
      </w:r>
      <w:r>
        <w:rPr/>
        <w:t xml:space="preserve"> och </w:t>
      </w:r>
      <w:r>
        <w:rPr>
          <w:b/>
        </w:rPr>
        <w:t>återindustrialisera Europa</w:t>
      </w:r>
      <w:r>
        <w:rPr/>
        <w:t xml:space="preserve"> genom en europeisk preferens. </w:t>
      </w:r>
    </w:p>
    <w:p>
      <w:pPr>
        <w:pStyle w:val="P68B1DB1Normal33"/>
        <w:widowControl w:val="false"/>
        <w:spacing w:lineRule="auto" w:line="240" w:before="325" w:after="0"/>
        <w:ind w:left="0" w:right="0" w:hanging="0"/>
        <w:jc w:val="left"/>
        <w:rPr/>
      </w:pPr>
      <w:r>
        <w:rPr/>
        <w:t xml:space="preserve">Vilka är de viktigaste stegen och framgångskriterierna? </w:t>
      </w:r>
    </w:p>
    <w:p>
      <w:pPr>
        <w:pStyle w:val="P68B1DB1Normal19"/>
        <w:widowControl w:val="false"/>
        <w:spacing w:lineRule="auto" w:line="240" w:before="237" w:after="0"/>
        <w:ind w:left="0" w:right="9" w:hanging="0"/>
        <w:jc w:val="both"/>
        <w:rPr/>
      </w:pPr>
      <w:r>
        <w:rPr/>
        <w:t xml:space="preserve">För att uppnå denna suveränitet skulle en </w:t>
      </w:r>
      <w:r>
        <w:rPr>
          <w:b/>
        </w:rPr>
        <w:t>europeisk myndighet</w:t>
      </w:r>
      <w:r>
        <w:rPr/>
        <w:t xml:space="preserve"> kunna få i uppdrag att leda dessa sektorer genom att utfärda tillstånd att köpa upp europeiska företag av utländska konkurrenter och se till att importerade produkter uppfyller samma standarder som EU:s produktion. På medellång sikt bör</w:t>
      </w:r>
      <w:r>
        <w:rPr>
          <w:b/>
        </w:rPr>
        <w:t xml:space="preserve"> 30–50 %</w:t>
      </w:r>
      <w:r>
        <w:rPr/>
        <w:t xml:space="preserve"> av den europeiska konsumtionen i dessa strategiska sektorer </w:t>
      </w:r>
      <w:r>
        <w:rPr>
          <w:b/>
        </w:rPr>
        <w:t>produceras på kontinenten</w:t>
      </w:r>
      <w:r>
        <w:rPr/>
        <w:t xml:space="preserve"> och upp till </w:t>
      </w:r>
      <w:r>
        <w:rPr>
          <w:b/>
        </w:rPr>
        <w:t>70 %</w:t>
      </w:r>
      <w:r>
        <w:rPr/>
        <w:t xml:space="preserve"> på lång sikt. Att uppfylla dessa kriterier skulle säkerställa</w:t>
      </w:r>
      <w:r>
        <w:rPr>
          <w:b/>
        </w:rPr>
        <w:t>självförsörjning</w:t>
      </w:r>
      <w:r>
        <w:rPr/>
        <w:t xml:space="preserve"> och</w:t>
      </w:r>
      <w:r>
        <w:rPr>
          <w:b/>
        </w:rPr>
        <w:t xml:space="preserve"> inflytande</w:t>
      </w:r>
      <w:r>
        <w:rPr/>
        <w:t>och till och med</w:t>
      </w:r>
      <w:r>
        <w:rPr>
          <w:b/>
        </w:rPr>
        <w:t xml:space="preserve">export </w:t>
      </w:r>
      <w:r>
        <w:rPr/>
        <w:t xml:space="preserve">av den europeiska industrimodellen. </w:t>
      </w:r>
    </w:p>
    <w:p>
      <w:pPr>
        <w:pStyle w:val="Normal"/>
        <w:spacing w:lineRule="auto" w:line="240"/>
        <w:rPr/>
      </w:pPr>
      <w:r>
        <w:rPr/>
      </w:r>
    </w:p>
    <w:p>
      <w:pPr>
        <w:pStyle w:val="P68B1DB1Normal42"/>
        <w:spacing w:lineRule="auto" w:line="240"/>
        <w:rPr/>
      </w:pPr>
      <w:r>
        <w:rPr/>
        <w:t xml:space="preserve">Ändring 10 – Förbättra skyddet av miljöer och ekosystem och skapa skyddade områden i centrum för stads-, stads- och landsbygdsområden </w:t>
      </w:r>
    </w:p>
    <w:p>
      <w:pPr>
        <w:pStyle w:val="P68B1DB1Normal43"/>
        <w:widowControl w:val="false"/>
        <w:spacing w:lineRule="auto" w:line="240" w:before="347" w:after="0"/>
        <w:ind w:left="0" w:right="0" w:hanging="0"/>
        <w:jc w:val="left"/>
        <w:rPr/>
      </w:pPr>
      <w:r>
        <w:rPr/>
        <w:t xml:space="preserve">Det associerade Europas önskan: Ett Europa som främjar hållbar utveckling </w:t>
      </w:r>
    </w:p>
    <w:p>
      <w:pPr>
        <w:pStyle w:val="P68B1DB1Normal33"/>
        <w:widowControl w:val="false"/>
        <w:spacing w:lineRule="auto" w:line="240" w:before="326" w:after="0"/>
        <w:ind w:left="0" w:right="0" w:hanging="0"/>
        <w:jc w:val="left"/>
        <w:rPr/>
      </w:pPr>
      <w:r>
        <w:rPr/>
        <w:t xml:space="preserve">Vad innebär denna förändring? </w:t>
      </w:r>
    </w:p>
    <w:p>
      <w:pPr>
        <w:pStyle w:val="P68B1DB1Normal7"/>
        <w:widowControl w:val="false"/>
        <w:spacing w:lineRule="auto" w:line="240" w:before="78" w:after="0"/>
        <w:ind w:left="0" w:right="0" w:hanging="0"/>
        <w:jc w:val="left"/>
        <w:rPr/>
      </w:pPr>
      <w:r>
        <w:rPr>
          <w:i/>
          <w:color w:val="000000"/>
        </w:rPr>
        <w:t>Nyckelord: mer miljövänlig urbanisering, respekt och skydd av mark</w:t>
      </w:r>
      <w:r>
        <w:rPr>
          <w:b/>
          <w:color w:val="273375"/>
        </w:rPr>
        <w:t xml:space="preserve"> </w:t>
      </w:r>
    </w:p>
    <w:p>
      <w:pPr>
        <w:pStyle w:val="P68B1DB1Normal19"/>
        <w:widowControl w:val="false"/>
        <w:spacing w:lineRule="auto" w:line="240" w:before="321" w:after="0"/>
        <w:ind w:left="0" w:right="9" w:hanging="0"/>
        <w:jc w:val="both"/>
        <w:rPr/>
      </w:pPr>
      <w:r>
        <w:rPr/>
        <w:t xml:space="preserve">Syftet är att </w:t>
      </w:r>
      <w:r>
        <w:rPr>
          <w:b/>
        </w:rPr>
        <w:t>begränsa urbaniseringens negativa effekter på marken</w:t>
      </w:r>
      <w:r>
        <w:rPr/>
        <w:t xml:space="preserve">. Kraftfulla åtgärder skulle </w:t>
      </w:r>
      <w:r>
        <w:rPr>
          <w:b/>
        </w:rPr>
        <w:t xml:space="preserve">begränsa katastrofer i samband </w:t>
      </w:r>
      <w:r>
        <w:rPr/>
        <w:t>med markförstöring såsom jordskred och</w:t>
      </w:r>
      <w:r>
        <w:rPr>
          <w:b/>
        </w:rPr>
        <w:t>förbättra livskvaliteten i stadsområden</w:t>
      </w:r>
      <w:r>
        <w:rPr/>
        <w:t xml:space="preserve">, särskilt genom plantering av träd. </w:t>
      </w:r>
    </w:p>
    <w:p>
      <w:pPr>
        <w:pStyle w:val="P68B1DB1Normal33"/>
        <w:widowControl w:val="false"/>
        <w:spacing w:lineRule="auto" w:line="240" w:before="330" w:after="0"/>
        <w:ind w:left="0" w:right="0" w:hanging="0"/>
        <w:jc w:val="left"/>
        <w:rPr/>
      </w:pPr>
      <w:r>
        <w:rPr/>
        <w:t xml:space="preserve">Vilka är de viktigaste stegen och framgångskriterierna? </w:t>
      </w:r>
    </w:p>
    <w:p>
      <w:pPr>
        <w:pStyle w:val="P68B1DB1Normal19"/>
        <w:widowControl w:val="false"/>
        <w:spacing w:lineRule="auto" w:line="240" w:before="318" w:after="0"/>
        <w:ind w:left="0" w:right="9" w:hanging="0"/>
        <w:jc w:val="both"/>
        <w:rPr/>
      </w:pPr>
      <w:r>
        <w:rPr/>
        <w:t xml:space="preserve">Det föreslogs att åtgärder skulle vidtas på två nivåer: för det första att </w:t>
      </w:r>
      <w:r>
        <w:rPr>
          <w:b/>
        </w:rPr>
        <w:t>vända trenden med nya konstruktioner</w:t>
      </w:r>
      <w:r>
        <w:rPr/>
        <w:t xml:space="preserve"> för att minska graden av hårdgörning av marken, och </w:t>
      </w:r>
      <w:r>
        <w:rPr>
          <w:b/>
        </w:rPr>
        <w:t>för det andra att uppmuntra återställandet av marken</w:t>
      </w:r>
      <w:r>
        <w:rPr/>
        <w:t xml:space="preserve"> att ”återvända </w:t>
      </w:r>
      <w:r>
        <w:rPr>
          <w:i/>
        </w:rPr>
        <w:t>till naturen vad som tillhör den</w:t>
      </w:r>
      <w:r>
        <w:rPr/>
        <w:t xml:space="preserve">”. </w:t>
      </w:r>
    </w:p>
    <w:p>
      <w:pPr>
        <w:pStyle w:val="Normal"/>
        <w:spacing w:lineRule="auto" w:line="240"/>
        <w:rPr/>
      </w:pPr>
      <w:r>
        <w:rPr/>
      </w:r>
    </w:p>
    <w:p>
      <w:pPr>
        <w:pStyle w:val="P68B1DB1Normal42"/>
        <w:spacing w:lineRule="auto" w:line="240"/>
        <w:rPr/>
      </w:pPr>
      <w:r>
        <w:rPr/>
        <w:t xml:space="preserve">Ändring 11 – Inrättande av europeiska kontor i territorierna för att lyssna på och ge råd till medborgarna </w:t>
      </w:r>
    </w:p>
    <w:p>
      <w:pPr>
        <w:pStyle w:val="P68B1DB1Normal43"/>
        <w:widowControl w:val="false"/>
        <w:spacing w:lineRule="auto" w:line="240" w:before="347" w:after="0"/>
        <w:ind w:left="0" w:right="0" w:hanging="0"/>
        <w:jc w:val="left"/>
        <w:rPr/>
      </w:pPr>
      <w:r>
        <w:rPr/>
        <w:t xml:space="preserve">Det associerade Europas önskan: Ett närmare och tillgängligt Europa </w:t>
      </w:r>
    </w:p>
    <w:p>
      <w:pPr>
        <w:pStyle w:val="P68B1DB1Normal33"/>
        <w:widowControl w:val="false"/>
        <w:spacing w:lineRule="auto" w:line="240" w:before="326" w:after="0"/>
        <w:ind w:left="0" w:right="0" w:hanging="0"/>
        <w:jc w:val="left"/>
        <w:rPr/>
      </w:pPr>
      <w:r>
        <w:rPr/>
        <w:t xml:space="preserve">Vad innebär denna förändring? </w:t>
      </w:r>
    </w:p>
    <w:p>
      <w:pPr>
        <w:pStyle w:val="P68B1DB1Normal44"/>
        <w:widowControl w:val="false"/>
        <w:spacing w:lineRule="auto" w:line="240" w:before="326" w:after="0"/>
        <w:ind w:left="0" w:right="0" w:hanging="0"/>
        <w:jc w:val="left"/>
        <w:rPr/>
      </w:pPr>
      <w:r>
        <w:rPr/>
        <w:t xml:space="preserve">Nyckelord: Hus i Europa, referent Europa lokalt, bättre tillgång till information </w:t>
      </w:r>
    </w:p>
    <w:p>
      <w:pPr>
        <w:pStyle w:val="P68B1DB1Normal19"/>
        <w:widowControl w:val="false"/>
        <w:spacing w:lineRule="auto" w:line="240" w:before="326" w:after="0"/>
        <w:ind w:left="0" w:right="11" w:hanging="0"/>
        <w:jc w:val="both"/>
        <w:rPr/>
      </w:pPr>
      <w:r>
        <w:rPr/>
        <w:t xml:space="preserve">Syftet med denna förändring är att ge konkreta svar på </w:t>
      </w:r>
      <w:r>
        <w:rPr>
          <w:b/>
        </w:rPr>
        <w:t>bristen på förkroppsligande av Europeiska unionen</w:t>
      </w:r>
      <w:r>
        <w:rPr/>
        <w:t xml:space="preserve"> i vardagen, som uppmärksammats av många deltagare, och att arbeta för att föra Europa och dess medborgare närmare varandra. </w:t>
      </w:r>
    </w:p>
    <w:p>
      <w:pPr>
        <w:pStyle w:val="P68B1DB1Normal33"/>
        <w:widowControl w:val="false"/>
        <w:spacing w:lineRule="auto" w:line="240" w:before="333" w:after="0"/>
        <w:ind w:left="0" w:right="0" w:hanging="0"/>
        <w:jc w:val="left"/>
        <w:rPr/>
      </w:pPr>
      <w:r>
        <w:rPr/>
        <w:t xml:space="preserve">Vilka är de viktigaste stegen och framgångskriterierna? </w:t>
      </w:r>
    </w:p>
    <w:p>
      <w:pPr>
        <w:pStyle w:val="P68B1DB1Normal24"/>
        <w:widowControl w:val="false"/>
        <w:spacing w:lineRule="auto" w:line="240" w:before="317" w:after="0"/>
        <w:ind w:left="0" w:right="14" w:hanging="0"/>
        <w:jc w:val="both"/>
        <w:rPr/>
      </w:pPr>
      <w:r>
        <w:rPr/>
        <w:t xml:space="preserve">För att ta itu med detta avstånd mellan EU och medborgarna </w:t>
      </w:r>
      <w:r>
        <w:rPr>
          <w:b/>
        </w:rPr>
        <w:t>skulle en expert</w:t>
      </w:r>
      <w:r>
        <w:rPr/>
        <w:t xml:space="preserve"> kunna utses till varje rådhus med uppdrag att lyssna och ge råd till medborgarna. Informationen i denna rapport skulle kunna vara socioekonomisk, särskilt när det gäller tillgången till europeiskt eller informativt stöd, till exempel om lobbyisternas roll. Informationen skulle riktas till både allmänheten och yrkesverksamma, särskilt för att ge råd till små och medelstora företag och hjälpa projektledare att få tillgång till EU-medel. På lång sikt skulle denna förändring kunna leda till att det skapas </w:t>
      </w:r>
      <w:r>
        <w:rPr>
          <w:b/>
        </w:rPr>
        <w:t>platser avsedda för Europa</w:t>
      </w:r>
      <w:r>
        <w:rPr/>
        <w:t xml:space="preserve">, liknande de befintliga husen i Europa, men på kommunal nivå som möjliggör ett fint territoriellt nätverk. </w:t>
      </w:r>
    </w:p>
    <w:p>
      <w:pPr>
        <w:pStyle w:val="P68B1DB1Normal24"/>
        <w:widowControl w:val="false"/>
        <w:spacing w:lineRule="auto" w:line="240" w:before="235" w:after="0"/>
        <w:ind w:left="0" w:right="15" w:hanging="0"/>
        <w:jc w:val="both"/>
        <w:rPr/>
      </w:pPr>
      <w:r>
        <w:rPr/>
        <w:t xml:space="preserve">Framgången med denna förändring skulle vara fullständig om varje medborgare ” </w:t>
      </w:r>
      <w:r>
        <w:rPr>
          <w:i/>
        </w:rPr>
        <w:t>som en uppenbar</w:t>
      </w:r>
      <w:r>
        <w:rPr/>
        <w:t xml:space="preserve">” känner till existensen av denna referens och denna plats för resurser avsedda för Europa som skulle tillhandahålla resurser, lyssnande, information och råd. </w:t>
      </w:r>
    </w:p>
    <w:p>
      <w:pPr>
        <w:pStyle w:val="P68B1DB1Normal19"/>
        <w:widowControl w:val="false"/>
        <w:spacing w:lineRule="auto" w:line="240" w:before="153" w:after="0"/>
        <w:ind w:left="0" w:right="0" w:hanging="0"/>
        <w:jc w:val="left"/>
        <w:rPr/>
      </w:pPr>
      <w:r>
        <w:rPr/>
        <w:t xml:space="preserve"> </w:t>
      </w:r>
    </w:p>
    <w:p>
      <w:pPr>
        <w:pStyle w:val="P68B1DB1Normal42"/>
        <w:widowControl w:val="false"/>
        <w:spacing w:lineRule="auto" w:line="240" w:before="237" w:after="0"/>
        <w:ind w:left="0" w:right="0" w:hanging="0"/>
        <w:jc w:val="both"/>
        <w:rPr/>
      </w:pPr>
      <w:r>
        <w:rPr/>
        <w:t xml:space="preserve">Ändring 12 – Att förena valet av Europaparlamentet för de 27 staterna och förbättra medborgarnas närhet genom att ersätta den nuvarande omröstningen med en engångsröst på regional nivå </w:t>
      </w:r>
    </w:p>
    <w:p>
      <w:pPr>
        <w:pStyle w:val="P68B1DB1Normal43"/>
        <w:widowControl w:val="false"/>
        <w:spacing w:lineRule="auto" w:line="240" w:before="347" w:after="0"/>
        <w:ind w:left="0" w:right="0" w:hanging="0"/>
        <w:jc w:val="left"/>
        <w:rPr/>
      </w:pPr>
      <w:r>
        <w:rPr/>
        <w:t xml:space="preserve">Det associerade Europas önskan: Ett Europa med effektivare styrning </w:t>
      </w:r>
    </w:p>
    <w:p>
      <w:pPr>
        <w:pStyle w:val="P68B1DB1Normal33"/>
        <w:widowControl w:val="false"/>
        <w:spacing w:lineRule="auto" w:line="240" w:before="328" w:after="0"/>
        <w:ind w:left="0" w:right="0" w:hanging="0"/>
        <w:jc w:val="left"/>
        <w:rPr/>
      </w:pPr>
      <w:r>
        <w:rPr/>
        <w:t xml:space="preserve">Vad innebär denna förändring? </w:t>
      </w:r>
    </w:p>
    <w:p>
      <w:pPr>
        <w:pStyle w:val="P68B1DB1Normal7"/>
        <w:widowControl w:val="false"/>
        <w:spacing w:lineRule="auto" w:line="240" w:before="76" w:after="0"/>
        <w:ind w:left="0" w:right="0" w:hanging="0"/>
        <w:jc w:val="left"/>
        <w:rPr/>
      </w:pPr>
      <w:r>
        <w:rPr>
          <w:i/>
          <w:color w:val="000000"/>
        </w:rPr>
        <w:t>Nyckelord: institutionella förändringar, följt av medborgarna av åtgärder under hela mandatperioden</w:t>
      </w:r>
      <w:r>
        <w:rPr>
          <w:b/>
          <w:color w:val="273375"/>
        </w:rPr>
        <w:t xml:space="preserve"> </w:t>
      </w:r>
    </w:p>
    <w:p>
      <w:pPr>
        <w:pStyle w:val="P68B1DB1Normal19"/>
        <w:widowControl w:val="false"/>
        <w:spacing w:lineRule="auto" w:line="240" w:before="275" w:after="0"/>
        <w:ind w:left="0" w:right="10" w:hanging="0"/>
        <w:jc w:val="both"/>
        <w:rPr/>
      </w:pPr>
      <w:r>
        <w:rPr/>
        <w:t xml:space="preserve">Denna förändring återspeglar medborgarnas önskan att stärka sin </w:t>
      </w:r>
      <w:r>
        <w:rPr>
          <w:b/>
        </w:rPr>
        <w:t>närhet till valda</w:t>
      </w:r>
      <w:r>
        <w:rPr/>
        <w:t xml:space="preserve"> tjänstemän och att följa sina handlingar under hela sitt mandat. Den är ett svar på den utbredda iakttagelsen av bristen på översättning av medborgarnas oro till konkreta åtgärder av de valda företrädarna för Europaparlamentet. </w:t>
      </w:r>
    </w:p>
    <w:p>
      <w:pPr>
        <w:pStyle w:val="P68B1DB1Normal33"/>
        <w:widowControl w:val="false"/>
        <w:spacing w:lineRule="auto" w:line="240" w:before="381" w:after="0"/>
        <w:ind w:left="0" w:right="0" w:hanging="0"/>
        <w:jc w:val="left"/>
        <w:rPr/>
      </w:pPr>
      <w:r>
        <w:rPr/>
        <w:t xml:space="preserve">Vilka är de viktigaste stegen och framgångskriterierna? </w:t>
      </w:r>
    </w:p>
    <w:p>
      <w:pPr>
        <w:pStyle w:val="P68B1DB1Normal19"/>
        <w:widowControl w:val="false"/>
        <w:spacing w:lineRule="auto" w:line="240" w:before="316" w:after="0"/>
        <w:ind w:left="0" w:right="10" w:hanging="0"/>
        <w:jc w:val="both"/>
        <w:rPr/>
      </w:pPr>
      <w:r>
        <w:rPr/>
        <w:t xml:space="preserve">Ändringen av valsättet skulle bestå av </w:t>
      </w:r>
      <w:r>
        <w:rPr>
          <w:b/>
        </w:rPr>
        <w:t>en sammanslagning av röstningssystemet på</w:t>
      </w:r>
      <w:r>
        <w:rPr/>
        <w:t xml:space="preserve"> europeisk nivå och övergången från nationella till regionala valkretsar, som beräknas vara möjlig senast 2035. </w:t>
      </w:r>
    </w:p>
    <w:p>
      <w:pPr>
        <w:pStyle w:val="Normal"/>
        <w:spacing w:lineRule="auto" w:line="240"/>
        <w:rPr/>
      </w:pPr>
      <w:r>
        <w:rPr/>
      </w:r>
    </w:p>
    <w:p>
      <w:pPr>
        <w:pStyle w:val="P68B1DB1Normal42"/>
        <w:spacing w:lineRule="auto" w:line="240"/>
        <w:rPr/>
      </w:pPr>
      <w:r>
        <w:rPr/>
        <w:t xml:space="preserve">Ändring 13 – Fastställande av en gemensam politik för att förbättra mottagandet och den sociala och yrkesmässiga integrationen av migranter (inklusive irreguljära migranter) </w:t>
      </w:r>
    </w:p>
    <w:p>
      <w:pPr>
        <w:pStyle w:val="P68B1DB1Normal43"/>
        <w:widowControl w:val="false"/>
        <w:spacing w:lineRule="auto" w:line="240" w:before="347" w:after="0"/>
        <w:ind w:left="0" w:right="0" w:hanging="0"/>
        <w:jc w:val="left"/>
        <w:rPr/>
      </w:pPr>
      <w:r>
        <w:rPr/>
        <w:t xml:space="preserve">Det associerade Europas önskan: Ett Europa som garanterar respekten för de grundläggande rättigheterna </w:t>
      </w:r>
    </w:p>
    <w:p>
      <w:pPr>
        <w:pStyle w:val="P68B1DB1Normal33"/>
        <w:widowControl w:val="false"/>
        <w:spacing w:lineRule="auto" w:line="240" w:before="328" w:after="0"/>
        <w:ind w:left="0" w:right="0" w:hanging="0"/>
        <w:jc w:val="left"/>
        <w:rPr/>
      </w:pPr>
      <w:r>
        <w:rPr/>
        <w:t xml:space="preserve">Vad innebär denna förändring? </w:t>
      </w:r>
    </w:p>
    <w:p>
      <w:pPr>
        <w:pStyle w:val="P68B1DB1Normal7"/>
        <w:widowControl w:val="false"/>
        <w:spacing w:lineRule="auto" w:line="240" w:before="76" w:after="0"/>
        <w:ind w:left="0" w:right="0" w:hanging="0"/>
        <w:jc w:val="left"/>
        <w:rPr/>
      </w:pPr>
      <w:r>
        <w:rPr>
          <w:i/>
          <w:color w:val="000000"/>
        </w:rPr>
        <w:t>Nyckelord: Europeiska migrationsbyrån, som säkerställer ett anständigt mottagande i hela Europa</w:t>
      </w:r>
      <w:r>
        <w:rPr>
          <w:b/>
          <w:color w:val="273375"/>
        </w:rPr>
        <w:t xml:space="preserve"> </w:t>
      </w:r>
    </w:p>
    <w:p>
      <w:pPr>
        <w:pStyle w:val="P68B1DB1Normal19"/>
        <w:widowControl w:val="false"/>
        <w:spacing w:lineRule="auto" w:line="240" w:before="248" w:after="0"/>
        <w:ind w:left="0" w:right="10" w:hanging="0"/>
        <w:jc w:val="both"/>
        <w:rPr/>
      </w:pPr>
      <w:r>
        <w:rPr/>
        <w:t xml:space="preserve">Denna förändring syftar till att förbättra mottagandet av migranter inom Europeiska unionen, ett problem som medborgarna enhälligt har identifierat som en </w:t>
      </w:r>
      <w:r>
        <w:rPr>
          <w:b/>
        </w:rPr>
        <w:t>nödsituation</w:t>
      </w:r>
      <w:r>
        <w:rPr/>
        <w:t xml:space="preserve">. I brytning med den nuvarande situationen förefaller upprättandet av en </w:t>
      </w:r>
      <w:r>
        <w:rPr>
          <w:b/>
        </w:rPr>
        <w:t>gemensam, samordnad och solidarisk invandringspolitik</w:t>
      </w:r>
      <w:r>
        <w:rPr/>
        <w:t xml:space="preserve"> vara en viktig drivkraft för fred.</w:t>
      </w:r>
      <w:r>
        <w:rPr>
          <w:b/>
        </w:rPr>
        <w:t xml:space="preserve"> </w:t>
      </w:r>
    </w:p>
    <w:p>
      <w:pPr>
        <w:pStyle w:val="P68B1DB1Normal33"/>
        <w:widowControl w:val="false"/>
        <w:spacing w:lineRule="auto" w:line="240" w:before="325" w:after="0"/>
        <w:ind w:left="0" w:right="0" w:hanging="0"/>
        <w:jc w:val="left"/>
        <w:rPr/>
      </w:pPr>
      <w:r>
        <w:rPr/>
        <w:t xml:space="preserve">Vilka är de viktigaste stegen och framgångskriterierna? </w:t>
      </w:r>
    </w:p>
    <w:p>
      <w:pPr>
        <w:pStyle w:val="P68B1DB1Normal19"/>
        <w:widowControl w:val="false"/>
        <w:spacing w:lineRule="auto" w:line="240" w:before="243" w:after="0"/>
        <w:ind w:left="0" w:right="10" w:hanging="0"/>
        <w:jc w:val="left"/>
        <w:rPr/>
      </w:pPr>
      <w:r>
        <w:rPr/>
        <w:t xml:space="preserve">Framgången med en sådan förändring skulle leda till ett gradvis genomförande av en gemensam politik för mottagande av migranter. </w:t>
      </w:r>
    </w:p>
    <w:p>
      <w:pPr>
        <w:pStyle w:val="P68B1DB1Normal19"/>
        <w:widowControl w:val="false"/>
        <w:spacing w:lineRule="auto" w:line="240" w:before="326" w:after="0"/>
        <w:ind w:left="0" w:right="10" w:hanging="0"/>
        <w:jc w:val="both"/>
        <w:rPr/>
      </w:pPr>
      <w:r>
        <w:rPr/>
        <w:t xml:space="preserve">Ett </w:t>
      </w:r>
      <w:r>
        <w:rPr>
          <w:b/>
        </w:rPr>
        <w:t>medborgarinitiativ</w:t>
      </w:r>
      <w:r>
        <w:rPr/>
        <w:t xml:space="preserve"> bör hänskjuta frågan till kommissionen och på medellång sikt göra det möjligt att anta en </w:t>
      </w:r>
      <w:r>
        <w:rPr>
          <w:b/>
        </w:rPr>
        <w:t>gemensam standard</w:t>
      </w:r>
      <w:r>
        <w:rPr/>
        <w:t xml:space="preserve"> som fastställer en ram för mottagande och social integration av migranter. På lång sikt skulle denna standard stödjas av inrättandet av en </w:t>
      </w:r>
      <w:r>
        <w:rPr>
          <w:b/>
        </w:rPr>
        <w:t>specialiserad europeisk invandringsbyrå</w:t>
      </w:r>
      <w:r>
        <w:rPr/>
        <w:t xml:space="preserve"> och erkännandet av migrationspolitiken som en behörighet för Europeiska unionen. </w:t>
      </w:r>
    </w:p>
    <w:p>
      <w:pPr>
        <w:pStyle w:val="Normal"/>
        <w:spacing w:lineRule="auto" w:line="240"/>
        <w:rPr/>
      </w:pPr>
      <w:r>
        <w:rPr/>
      </w:r>
    </w:p>
    <w:p>
      <w:pPr>
        <w:pStyle w:val="P68B1DB1Normal42"/>
        <w:spacing w:lineRule="auto" w:line="240"/>
        <w:rPr/>
      </w:pPr>
      <w:r>
        <w:rPr/>
        <w:t xml:space="preserve">Ändring 14 – Bevara särdragen (livsmedelsmärkning, hantverksmässig produktion, traditioner) i de olika europeiska regionerna för att undvika en enhetlig livsstil och säkerställa produkternas spårbarhet och kvalitet </w:t>
      </w:r>
    </w:p>
    <w:p>
      <w:pPr>
        <w:pStyle w:val="P68B1DB1Normal43"/>
        <w:widowControl w:val="false"/>
        <w:spacing w:lineRule="auto" w:line="240" w:before="347" w:after="0"/>
        <w:ind w:left="0" w:right="912" w:hanging="0"/>
        <w:jc w:val="left"/>
        <w:rPr/>
      </w:pPr>
      <w:r>
        <w:rPr/>
        <w:t xml:space="preserve">Det associerade Europas önskan: Ett Europa där varje stats intressen dominerar </w:t>
      </w:r>
    </w:p>
    <w:p>
      <w:pPr>
        <w:pStyle w:val="P68B1DB1Normal33"/>
        <w:widowControl w:val="false"/>
        <w:spacing w:lineRule="auto" w:line="240" w:before="347" w:after="0"/>
        <w:ind w:left="0" w:right="912" w:hanging="0"/>
        <w:jc w:val="left"/>
        <w:rPr/>
      </w:pPr>
      <w:r>
        <w:rPr/>
        <w:t xml:space="preserve">Vad innebär denna förändring? </w:t>
      </w:r>
    </w:p>
    <w:p>
      <w:pPr>
        <w:pStyle w:val="P68B1DB1Normal7"/>
        <w:widowControl w:val="false"/>
        <w:spacing w:lineRule="auto" w:line="240" w:before="76" w:after="0"/>
        <w:ind w:left="0" w:right="0" w:hanging="0"/>
        <w:jc w:val="left"/>
        <w:rPr/>
      </w:pPr>
      <w:r>
        <w:rPr>
          <w:i/>
          <w:color w:val="000000"/>
        </w:rPr>
        <w:t>Nyckelord: Europeiska märkningar som värdesätter mångfalden av kulturer och traditioner</w:t>
      </w:r>
      <w:r>
        <w:rPr>
          <w:b/>
          <w:color w:val="273375"/>
        </w:rPr>
        <w:t xml:space="preserve"> </w:t>
      </w:r>
    </w:p>
    <w:p>
      <w:pPr>
        <w:pStyle w:val="P68B1DB1Normal19"/>
        <w:widowControl w:val="false"/>
        <w:spacing w:lineRule="auto" w:line="240" w:before="323" w:after="0"/>
        <w:ind w:left="0" w:right="10" w:hanging="0"/>
        <w:jc w:val="both"/>
        <w:rPr/>
      </w:pPr>
      <w:r>
        <w:rPr/>
        <w:t xml:space="preserve">Syftet med denna förändring är att bevara </w:t>
      </w:r>
      <w:r>
        <w:rPr>
          <w:b/>
        </w:rPr>
        <w:t>mångfalden i europeiska traditioner och produktioner</w:t>
      </w:r>
      <w:r>
        <w:rPr/>
        <w:t xml:space="preserve"> och</w:t>
      </w:r>
      <w:r>
        <w:rPr>
          <w:b/>
        </w:rPr>
        <w:t xml:space="preserve">att undvika en standardisering </w:t>
      </w:r>
      <w:r>
        <w:rPr/>
        <w:t>av livsstilar, ofta kallad kritik av Europeiska unionen.</w:t>
      </w:r>
      <w:r>
        <w:rPr>
          <w:b/>
        </w:rPr>
        <w:t xml:space="preserve"> </w:t>
      </w:r>
    </w:p>
    <w:p>
      <w:pPr>
        <w:pStyle w:val="P68B1DB1Normal33"/>
        <w:widowControl w:val="false"/>
        <w:spacing w:lineRule="auto" w:line="240" w:before="325" w:after="0"/>
        <w:ind w:left="0" w:right="0" w:hanging="0"/>
        <w:jc w:val="left"/>
        <w:rPr/>
      </w:pPr>
      <w:r>
        <w:rPr/>
        <w:t xml:space="preserve">Vilka är de viktigaste stegen och framgångskriterierna? </w:t>
      </w:r>
    </w:p>
    <w:p>
      <w:pPr>
        <w:pStyle w:val="P68B1DB1Normal19"/>
        <w:widowControl w:val="false"/>
        <w:spacing w:lineRule="auto" w:line="240" w:before="322" w:after="0"/>
        <w:ind w:left="0" w:right="10" w:hanging="0"/>
        <w:jc w:val="both"/>
        <w:rPr/>
      </w:pPr>
      <w:r>
        <w:rPr/>
        <w:t xml:space="preserve">För medborgarna är huvudsyftet att göra den befintliga databasen med en förteckning över de olika </w:t>
      </w:r>
      <w:r>
        <w:rPr>
          <w:b/>
        </w:rPr>
        <w:t>europeiska och nationella märkningarna</w:t>
      </w:r>
      <w:r>
        <w:rPr/>
        <w:t xml:space="preserve"> mer tillgänglig. För att göra detta föreslås skapandet av en webbplats </w:t>
      </w:r>
      <w:r>
        <w:rPr>
          <w:i/>
        </w:rPr>
        <w:t>med tre klick</w:t>
      </w:r>
      <w:r>
        <w:rPr/>
        <w:t xml:space="preserve">: ett klick för att komma åt webbplatsen, ett andra för att visa en karta över Europeiska unionens regioner och ett för att visa beskrivningen av etiketterna för varje region. </w:t>
      </w:r>
    </w:p>
    <w:p>
      <w:pPr>
        <w:pStyle w:val="Normal"/>
        <w:widowControl w:val="false"/>
        <w:spacing w:lineRule="auto" w:line="240" w:before="327" w:after="0"/>
        <w:ind w:left="0" w:right="14" w:hanging="0"/>
        <w:jc w:val="left"/>
        <w:rPr/>
      </w:pPr>
      <w:r>
        <w:rPr>
          <w:rFonts w:ascii="Times New Roman" w:hAnsi="Times New Roman"/>
          <w:color w:val="000000"/>
        </w:rPr>
        <w:t xml:space="preserve">Framgången med denna förändring skulle bestå av ökad </w:t>
      </w:r>
      <w:r>
        <w:rPr>
          <w:rFonts w:ascii="Times New Roman" w:hAnsi="Times New Roman"/>
          <w:b/>
          <w:color w:val="000000"/>
        </w:rPr>
        <w:t>kommunikation</w:t>
      </w:r>
      <w:r>
        <w:rPr>
          <w:rFonts w:ascii="Times New Roman" w:hAnsi="Times New Roman"/>
          <w:color w:val="000000"/>
        </w:rPr>
        <w:t xml:space="preserve"> om befintliga resultat, vilket skulle leda till en bättre </w:t>
      </w:r>
      <w:r>
        <w:rPr>
          <w:rFonts w:ascii="Times New Roman" w:hAnsi="Times New Roman"/>
          <w:b/>
          <w:color w:val="000000"/>
        </w:rPr>
        <w:t>förståelse</w:t>
      </w:r>
      <w:r>
        <w:rPr>
          <w:rFonts w:ascii="Times New Roman" w:hAnsi="Times New Roman"/>
          <w:color w:val="000000"/>
        </w:rPr>
        <w:t xml:space="preserve"> för mångfalden i de europeiska kulturerna hos medborgarna.</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Andra delen: presentation av resultaten av samrådet ”Words to Youth”</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pPr>
      <w:r>
        <w:rPr/>
        <w:t xml:space="preserve">Datum för samrådet </w:t>
      </w:r>
    </w:p>
    <w:p>
      <w:pPr>
        <w:pStyle w:val="P68B1DB1Normal19"/>
        <w:widowControl w:val="false"/>
        <w:spacing w:lineRule="auto" w:line="240" w:before="34" w:after="0"/>
        <w:ind w:left="0" w:right="0" w:hanging="0"/>
        <w:jc w:val="center"/>
        <w:rPr/>
      </w:pPr>
      <w:r>
        <w:rPr/>
        <w:t>från och med den 9 maj 2021 till den 18 juli 2021</w:t>
      </w:r>
      <w:r>
        <w:rPr>
          <w:b/>
        </w:rPr>
        <w:t xml:space="preserve"> </w:t>
      </w:r>
    </w:p>
    <w:p>
      <w:pPr>
        <w:pStyle w:val="P68B1DB1Normal47"/>
        <w:widowControl w:val="false"/>
        <w:spacing w:lineRule="auto" w:line="240" w:before="102" w:after="0"/>
        <w:ind w:left="0" w:right="0" w:hanging="0"/>
        <w:jc w:val="center"/>
        <w:rPr/>
      </w:pPr>
      <w:r>
        <w:rPr/>
        <w:t xml:space="preserve"> </w:t>
      </w:r>
    </w:p>
    <w:p>
      <w:pPr>
        <w:pStyle w:val="P68B1DB1Normal48"/>
        <w:widowControl w:val="false"/>
        <w:spacing w:lineRule="auto" w:line="240" w:before="26" w:after="0"/>
        <w:ind w:left="0" w:right="0" w:hanging="0"/>
        <w:jc w:val="center"/>
        <w:rPr/>
      </w:pPr>
      <w:r>
        <w:rPr>
          <w:b/>
        </w:rPr>
        <w:t>Deltagarsiffror</w:t>
      </w:r>
      <w:r>
        <w:rPr/>
        <w:t xml:space="preserve"> </w:t>
      </w:r>
    </w:p>
    <w:p>
      <w:pPr>
        <w:pStyle w:val="P68B1DB1Normal19"/>
        <w:widowControl w:val="false"/>
        <w:spacing w:lineRule="auto" w:line="240" w:before="26" w:after="0"/>
        <w:ind w:left="0" w:right="0" w:hanging="0"/>
        <w:jc w:val="center"/>
        <w:rPr/>
      </w:pPr>
      <w:r>
        <w:rPr/>
        <w:t xml:space="preserve">50 008 deltagare </w:t>
      </w:r>
    </w:p>
    <w:p>
      <w:pPr>
        <w:pStyle w:val="P68B1DB1Normal19"/>
        <w:widowControl w:val="false"/>
        <w:spacing w:lineRule="auto" w:line="240" w:before="92" w:after="0"/>
        <w:ind w:left="0" w:right="0" w:hanging="0"/>
        <w:jc w:val="center"/>
        <w:rPr/>
      </w:pPr>
      <w:r>
        <w:rPr/>
        <w:t xml:space="preserve">2 918 förslag </w:t>
      </w:r>
    </w:p>
    <w:p>
      <w:pPr>
        <w:pStyle w:val="P68B1DB1Normal19"/>
        <w:widowControl w:val="false"/>
        <w:spacing w:lineRule="auto" w:line="240" w:before="90" w:after="0"/>
        <w:ind w:left="0" w:right="0" w:hanging="0"/>
        <w:jc w:val="center"/>
        <w:rPr/>
      </w:pPr>
      <w:r>
        <w:rPr/>
        <w:t xml:space="preserve">338 330 röster </w:t>
      </w:r>
    </w:p>
    <w:p>
      <w:pPr>
        <w:pStyle w:val="P68B1DB1Normal49"/>
        <w:widowControl w:val="false"/>
        <w:spacing w:lineRule="auto" w:line="240" w:before="106" w:after="0"/>
        <w:ind w:left="4819" w:right="0" w:hanging="0"/>
        <w:jc w:val="left"/>
        <w:rPr/>
      </w:pPr>
      <w:r>
        <w:rPr/>
        <w:t xml:space="preserve"> </w:t>
      </w:r>
    </w:p>
    <w:p>
      <w:pPr>
        <w:pStyle w:val="P68B1DB1Normal50"/>
        <w:widowControl w:val="false"/>
        <w:spacing w:lineRule="auto" w:line="240" w:before="30" w:after="0"/>
        <w:ind w:left="0" w:right="28" w:hanging="0"/>
        <w:jc w:val="both"/>
        <w:rPr/>
      </w:pPr>
      <w:r>
        <w:rPr/>
        <w:t xml:space="preserve">Samrådet ”Walk to Youth” inleddes på initiativ av det statliga sekretariatet för Europafrågor. Detta samråd äger rum inom ramen för konferensen om Europas framtid, en aldrig tidigare skådad deltagandedemokrati som leds av EU-institutionerna, vars mål är att göra det möjligt för alla EU-medborgare att uttrycka sina åsikter om vad de förväntar sig av Europeiska unionen. Erfarenheterna från samrådet kommer att ligga till grund för arbetet vid konferensen om Europas framtid och det franska ordförandeskapet för Europeiska unionens råd. </w:t>
      </w:r>
    </w:p>
    <w:p>
      <w:pPr>
        <w:pStyle w:val="P68B1DB1Normal51"/>
        <w:widowControl w:val="false"/>
        <w:spacing w:lineRule="auto" w:line="240" w:before="210" w:after="0"/>
        <w:ind w:left="0" w:right="0" w:hanging="0"/>
        <w:jc w:val="left"/>
        <w:rPr/>
      </w:pPr>
      <w:r>
        <w:rPr/>
        <w:t xml:space="preserve">4 huvudlektioner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En enorm mobilisering av ungdomar: mer än</w:t>
      </w:r>
      <w:r>
        <w:rPr>
          <w:rFonts w:ascii="Times New Roman" w:hAnsi="Times New Roman"/>
          <w:b/>
        </w:rPr>
        <w:t xml:space="preserve"> 50 000 unga franska medborgare deltog </w:t>
      </w:r>
      <w:r>
        <w:rPr>
          <w:rFonts w:ascii="Times New Roman" w:hAnsi="Times New Roman"/>
        </w:rPr>
        <w:t xml:space="preserve">i samrådet, över alla territorier.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Det</w:t>
      </w:r>
      <w:r>
        <w:rPr>
          <w:rFonts w:ascii="Times New Roman" w:hAnsi="Times New Roman"/>
        </w:rPr>
        <w:t xml:space="preserve"> viktigaste samförståndet </w:t>
      </w:r>
      <w:r>
        <w:rPr>
          <w:rFonts w:ascii="Times New Roman" w:hAnsi="Times New Roman"/>
          <w:b/>
        </w:rPr>
        <w:t>gäller EU:s politik för att bekämpa klimatförändringar, omlokalisering  av produktionen till Europa, återupplivandet av den europeiska demokratin, EU:s betydelse i världen (ekonomi, forskning, mänskliga rättigheter, diplomati).</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Idén om ett mer kraftfullt och enat Europa går igenom hela samrådet</w:t>
      </w:r>
      <w:r>
        <w:rPr>
          <w:rFonts w:ascii="Times New Roman" w:hAnsi="Times New Roman"/>
        </w:rPr>
        <w:t xml:space="preserve"> och når samförstånd på flera punkter: </w:t>
      </w:r>
    </w:p>
    <w:p>
      <w:pPr>
        <w:pStyle w:val="P68B1DB1Normal34"/>
        <w:widowControl w:val="false"/>
        <w:spacing w:lineRule="auto" w:line="240" w:before="92" w:after="0"/>
        <w:ind w:left="360" w:right="0" w:hanging="0"/>
        <w:jc w:val="left"/>
        <w:rPr/>
      </w:pPr>
      <w:r>
        <w:rPr>
          <w:rFonts w:ascii="Times New Roman" w:hAnsi="Times New Roman"/>
        </w:rPr>
        <w:t>Ett</w:t>
      </w:r>
      <w:r>
        <w:rPr/>
        <w:t xml:space="preserve"> </w:t>
      </w:r>
      <w:r>
        <w:rPr>
          <w:rFonts w:ascii="Times New Roman" w:hAnsi="Times New Roman"/>
        </w:rPr>
        <w:t xml:space="preserve">starkare Europa ekonomiskt (särskilt genom omlokalisering) för att hantera Kina eller USA </w:t>
      </w:r>
    </w:p>
    <w:p>
      <w:pPr>
        <w:pStyle w:val="P68B1DB1Normal34"/>
        <w:widowControl w:val="false"/>
        <w:spacing w:lineRule="auto" w:line="240" w:before="92" w:after="0"/>
        <w:ind w:left="360" w:right="0" w:hanging="0"/>
        <w:jc w:val="left"/>
        <w:rPr/>
      </w:pPr>
      <w:r>
        <w:rPr>
          <w:rFonts w:ascii="Times New Roman" w:hAnsi="Times New Roman"/>
        </w:rPr>
        <w:t>Ett</w:t>
      </w:r>
      <w:r>
        <w:rPr/>
        <w:t xml:space="preserve"> </w:t>
      </w:r>
      <w:r>
        <w:rPr>
          <w:rFonts w:ascii="Times New Roman" w:hAnsi="Times New Roman"/>
        </w:rPr>
        <w:t xml:space="preserve">diplomatiskt Europa som väger mer på den internationella arenan </w:t>
      </w:r>
    </w:p>
    <w:p>
      <w:pPr>
        <w:pStyle w:val="P68B1DB1Normal34"/>
        <w:widowControl w:val="false"/>
        <w:spacing w:lineRule="auto" w:line="240" w:before="85" w:after="0"/>
        <w:ind w:left="360" w:right="1483" w:hanging="0"/>
        <w:jc w:val="left"/>
        <w:rPr/>
      </w:pPr>
      <w:r>
        <w:rPr>
          <w:rFonts w:ascii="Times New Roman" w:hAnsi="Times New Roman"/>
        </w:rPr>
        <w:t>EU</w:t>
      </w:r>
      <w:r>
        <w:rPr/>
        <w:t xml:space="preserve"> </w:t>
      </w:r>
      <w:r>
        <w:rPr>
          <w:rFonts w:ascii="Times New Roman" w:hAnsi="Times New Roman"/>
        </w:rPr>
        <w:t>-ledare i kampen mot klimatförändringarna i världen</w:t>
      </w:r>
    </w:p>
    <w:p>
      <w:pPr>
        <w:pStyle w:val="P68B1DB1Normal34"/>
        <w:widowControl w:val="false"/>
        <w:spacing w:lineRule="auto" w:line="240" w:before="85" w:after="0"/>
        <w:ind w:left="360" w:right="1483" w:hanging="0"/>
        <w:jc w:val="left"/>
        <w:rPr/>
      </w:pPr>
      <w:r>
        <w:rPr>
          <w:rFonts w:ascii="Times New Roman" w:hAnsi="Times New Roman"/>
        </w:rPr>
        <w:t>Ett</w:t>
      </w:r>
      <w:r>
        <w:rPr/>
        <w:t xml:space="preserve"> </w:t>
      </w:r>
      <w:r>
        <w:rPr>
          <w:rFonts w:ascii="Times New Roman" w:hAnsi="Times New Roman"/>
        </w:rPr>
        <w:t xml:space="preserve">Europa som förs samman av sina ungdomar </w:t>
      </w:r>
    </w:p>
    <w:p>
      <w:pPr>
        <w:pStyle w:val="P68B1DB1Normal34"/>
        <w:widowControl w:val="false"/>
        <w:spacing w:lineRule="auto" w:line="240" w:before="85" w:after="0"/>
        <w:ind w:left="360" w:right="0" w:hanging="0"/>
        <w:jc w:val="left"/>
        <w:rPr/>
      </w:pPr>
      <w:r>
        <w:rPr>
          <w:rFonts w:ascii="Times New Roman" w:hAnsi="Times New Roman"/>
        </w:rPr>
        <w:t>Ett</w:t>
      </w:r>
      <w:r>
        <w:rPr/>
        <w:t xml:space="preserve"> </w:t>
      </w:r>
      <w:r>
        <w:rPr>
          <w:rFonts w:ascii="Times New Roman" w:hAnsi="Times New Roman"/>
        </w:rPr>
        <w:t xml:space="preserve">enat Europa inom forskning och innovation </w:t>
      </w:r>
    </w:p>
    <w:p>
      <w:pPr>
        <w:pStyle w:val="P68B1DB1Normal19"/>
        <w:widowControl w:val="false"/>
        <w:spacing w:lineRule="auto" w:line="240" w:before="88" w:after="0"/>
        <w:ind w:left="720" w:right="0" w:hanging="0"/>
        <w:jc w:val="left"/>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Fyra kompletterande idéer</w:t>
      </w:r>
      <w:r>
        <w:rPr>
          <w:rFonts w:ascii="Times New Roman" w:hAnsi="Times New Roman"/>
        </w:rPr>
        <w:t xml:space="preserve"> till dem från medborgarpanelerna välkomnades också av ungdomar: </w:t>
      </w:r>
    </w:p>
    <w:p>
      <w:pPr>
        <w:pStyle w:val="P68B1DB1Normal34"/>
        <w:widowControl w:val="false"/>
        <w:spacing w:lineRule="auto" w:line="240" w:before="90" w:after="0"/>
        <w:ind w:left="360" w:right="0" w:hanging="0"/>
        <w:jc w:val="left"/>
        <w:rPr/>
      </w:pPr>
      <w:r>
        <w:rPr>
          <w:rFonts w:ascii="Times New Roman" w:hAnsi="Times New Roman"/>
        </w:rPr>
        <w:t>En</w:t>
      </w:r>
      <w:r>
        <w:rPr/>
        <w:t xml:space="preserve"> </w:t>
      </w:r>
      <w:r>
        <w:rPr>
          <w:rFonts w:ascii="Times New Roman" w:hAnsi="Times New Roman"/>
        </w:rPr>
        <w:t xml:space="preserve">miljömässigt och socialt ansvarsfull europeisk ekonomi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Ett Europa som är mer geografiskt förbundet med järnväg </w:t>
      </w:r>
    </w:p>
    <w:p>
      <w:pPr>
        <w:pStyle w:val="P68B1DB1Normal34"/>
        <w:widowControl w:val="false"/>
        <w:spacing w:lineRule="auto" w:line="240" w:before="85" w:after="0"/>
        <w:ind w:left="360" w:right="0" w:hanging="0"/>
        <w:jc w:val="left"/>
        <w:rPr/>
      </w:pPr>
      <w:r>
        <w:rPr>
          <w:rFonts w:ascii="Times New Roman" w:hAnsi="Times New Roman"/>
        </w:rPr>
        <w:t>Ett</w:t>
      </w:r>
      <w:r>
        <w:rPr/>
        <w:t xml:space="preserve"> </w:t>
      </w:r>
      <w:r>
        <w:rPr>
          <w:rFonts w:ascii="Times New Roman" w:hAnsi="Times New Roman"/>
        </w:rPr>
        <w:t xml:space="preserve">finanspolitiskt rättvisare Europa </w:t>
      </w:r>
    </w:p>
    <w:p>
      <w:pPr>
        <w:pStyle w:val="P68B1DB1Normal34"/>
        <w:widowControl w:val="false"/>
        <w:spacing w:lineRule="auto" w:line="240" w:before="88" w:after="0"/>
        <w:ind w:left="360" w:right="0" w:hanging="0"/>
        <w:jc w:val="left"/>
        <w:rPr/>
      </w:pPr>
      <w:r>
        <w:rPr>
          <w:rFonts w:ascii="Times New Roman" w:hAnsi="Times New Roman"/>
        </w:rPr>
        <w:t>EU:s</w:t>
      </w:r>
      <w:r>
        <w:rPr/>
        <w:t xml:space="preserve"> </w:t>
      </w:r>
      <w:r>
        <w:rPr>
          <w:rFonts w:ascii="Times New Roman" w:hAnsi="Times New Roman"/>
        </w:rPr>
        <w:t xml:space="preserve">kraftfulla insatser till stöd för kvinnors rättigheter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populära idéer och 13 kontroversiella idéer spridda över de nio temana vid konferensen om Europas framtid </w:t>
      </w:r>
    </w:p>
    <w:p>
      <w:pPr>
        <w:pStyle w:val="P68B1DB1Normal19"/>
        <w:widowControl w:val="false"/>
        <w:spacing w:lineRule="auto" w:line="240" w:before="80"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38761D"/>
        </w:rPr>
        <w:t>De hyllade idéerna bygger</w:t>
      </w:r>
      <w:r>
        <w:rPr>
          <w:color w:val="000000"/>
        </w:rPr>
        <w:t xml:space="preserve"> på de förslag som till största delen stöds av deltagarna i samrådet. De förslag som hyllas är de förslag som får mest stöd, och de kapitaliserar i genomsnitt </w:t>
      </w:r>
      <w:r>
        <w:rPr>
          <w:b/>
          <w:color w:val="000000"/>
        </w:rPr>
        <w:t>79 % av ”rösterna för”</w:t>
      </w:r>
      <w:r>
        <w:rPr>
          <w:color w:val="000000"/>
        </w:rPr>
        <w:t xml:space="preserve">. </w:t>
      </w:r>
    </w:p>
    <w:p>
      <w:pPr>
        <w:pStyle w:val="P68B1DB1Normal44"/>
        <w:widowControl w:val="false"/>
        <w:spacing w:lineRule="auto" w:line="240" w:before="94"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FF9900"/>
        </w:rPr>
        <w:t>De kontroversiella idéerna bygger</w:t>
      </w:r>
      <w:r>
        <w:rPr>
          <w:color w:val="000000"/>
        </w:rPr>
        <w:t xml:space="preserve"> på de förslag som deltagarna i samrådet mest diskuterade, med en balans mellan röster för och emot. De kontroversiella förslagen är de mest omdiskuterade förslagen från samrådet, som i genomsnitt utnyttjar </w:t>
      </w:r>
      <w:r>
        <w:rPr>
          <w:b/>
          <w:color w:val="000000"/>
        </w:rPr>
        <w:t>40 % av ”rösterna för”</w:t>
      </w:r>
      <w:r>
        <w:rPr>
          <w:color w:val="000000"/>
        </w:rPr>
        <w:t xml:space="preserve"> och </w:t>
      </w:r>
      <w:r>
        <w:rPr>
          <w:b/>
          <w:color w:val="000000"/>
        </w:rPr>
        <w:t>38 % av ”rösterna emot”</w:t>
      </w:r>
      <w:r>
        <w:rPr>
          <w:color w:val="000000"/>
        </w:rPr>
        <w:t xml:space="preserve">. </w:t>
      </w:r>
    </w:p>
    <w:p>
      <w:pPr>
        <w:pStyle w:val="P68B1DB1Normal44"/>
        <w:widowControl w:val="false"/>
        <w:spacing w:lineRule="auto" w:line="240" w:before="96" w:after="0"/>
        <w:ind w:left="0" w:right="0" w:hanging="0"/>
        <w:jc w:val="left"/>
        <w:rPr/>
      </w:pPr>
      <w:r>
        <w:rPr/>
        <w:t xml:space="preserve"> </w:t>
      </w:r>
    </w:p>
    <w:p>
      <w:pPr>
        <w:pStyle w:val="Normal"/>
        <w:widowControl w:val="false"/>
        <w:spacing w:lineRule="auto" w:line="240" w:before="90" w:after="0"/>
        <w:ind w:left="0" w:right="0" w:hanging="0"/>
        <w:jc w:val="both"/>
        <w:rPr>
          <w:rFonts w:ascii="Times New Roman" w:hAnsi="Times New Roman"/>
          <w:color w:val="000000"/>
          <w:sz w:val="24"/>
        </w:rPr>
      </w:pPr>
      <w:r>
        <w:rPr>
          <w:rFonts w:ascii="Times New Roman" w:hAnsi="Times New Roman"/>
          <w:color w:val="000000"/>
          <w:sz w:val="24"/>
        </w:rPr>
        <w:t xml:space="preserve">Analysen av dessa förslag identifierade 22 hyllade idéer och 13 kontroversiella idéer. Dessa 22 hyllade idéer och de 13 kontroversiella idéerna delades in i nio axlar som motsvarar huvudteman för konferensen om Europas framtid. </w:t>
      </w:r>
      <w:r>
        <w:br w:type="page"/>
      </w:r>
    </w:p>
    <w:p>
      <w:pPr>
        <w:pStyle w:val="Normal"/>
        <w:widowControl w:val="false"/>
        <w:spacing w:lineRule="auto" w:line="240" w:before="85" w:after="0"/>
        <w:ind w:left="0" w:right="0" w:hanging="0"/>
        <w:jc w:val="left"/>
        <w:rPr/>
      </w:pPr>
      <w:r>
        <w:rPr/>
        <w:t>Syntes av hyllade och kontroversiella idéer</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10"/>
      </w:tblGrid>
      <w:tr>
        <w:trPr/>
        <w:tc>
          <w:tcPr>
            <w:tcW w:w="9638"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pPr>
            <w:r>
              <w:rPr/>
              <w:t>Klimatförändringar och miljö</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Införande av en starkare europeisk ekologisk politik</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På väg mot ett mer hållbart jordbruk</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Kraftfullare insatser för att skydda den biologiska mångfalden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Utveckling av järnvägstransporter i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Påskynda energiomställningen</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Begränsa förpackningar och förbättra avfallshanteringen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Öka medvetenheten om miljön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Främjande av miljöansvariga byggprocesser</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Investera mer i kärnkraft</w:t>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pPr>
            <w:r>
              <w:rPr/>
              <w:t>Europeisk demokrati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Bättre kommunikation om EU:s roll och arbete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Att förändra EU:s demokratiska funktion</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Kampen mot desinformation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Att göra Europa till en federation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Ge medlemsstaterna större självständighet</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Stärka EU:s verkställande makt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Att ge ungdomar en plats i EU:s institutioner</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pPr>
            <w:r>
              <w:rPr/>
              <w:t>Ekonomi, social rättvisa och sysselsättning</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Omlokalisera produktionen till Europa för ökad självständighet</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Att göra affärspraxis och handel mer ansvarsfulla</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Bekämpning av skatteflykt och optimering</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Harmonisering av EU:s löner</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Att skapa en universell inkomst</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Omorientering av Europa mot en antikapitalistisk modell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pPr>
            <w:r>
              <w:rPr/>
              <w:t>Utbildning, kultur, ungdom och idrott</w:t>
            </w:r>
          </w:p>
        </w:tc>
        <w:tc>
          <w:tcPr>
            <w:tcW w:w="482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pPr>
            <w:r>
              <w:rPr/>
              <w:t>Digital transformation</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Göra det möjligt för ungdomar att utbyta mer med andra EU-länder</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Uppmuntra inlärning av icke-engelska språk</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Investeringar i vetenskaplig, digital och miljörelaterad forskning</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Öka medvetenheten om digital teknik och dess faror</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Att göra EU-vistelser obligatoriska för ungdomar</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Utveckla kryptovalutor i Europa</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pPr>
            <w:r>
              <w:rPr/>
              <w:t>Värderingar och rättigheter, rättsstatsprincipen, säkerhet</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pPr>
            <w:r>
              <w:rPr/>
              <w:t>Hälsa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Förstärkning av EU:s åtgärder för att respektera de mänskliga rättigheterna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Stärka kvinnors rättigheter</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Investera i hälsa</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Förbättra kvaliteten på våra livsmedelsprodukter</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pPr>
            <w:r>
              <w:rPr/>
              <w:t>EU i världen</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pPr>
            <w:r>
              <w:rPr/>
              <w:t xml:space="preserve">Invandring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Att EU ska kunna väga internationellt</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Inrättande av en europeisk försvarsmakt</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Minska eller åtfölja invandringen i Europa</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Dominerande idé (&gt; 10 hyllade förslag)</w:t>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Unik idé (&amp;10 hyllade förslag)</w:t>
      </w:r>
    </w:p>
    <w:p>
      <w:pPr>
        <w:pStyle w:val="Contenudetableau"/>
        <w:spacing w:lineRule="auto" w:line="240"/>
        <w:jc w:val="center"/>
        <w:rPr>
          <w:rFonts w:ascii="Times New Roman" w:hAnsi="Times New Roman" w:eastAsia="SimSun" w:cs="Mangal"/>
          <w:color w:val="F58220"/>
          <w:sz w:val="18"/>
        </w:rPr>
      </w:pPr>
      <w:r>
        <w:rPr>
          <w:rFonts w:eastAsia="SimSun" w:cs="Mangal" w:ascii="Times New Roman" w:hAnsi="Times New Roman"/>
          <w:color w:val="F58220"/>
          <w:sz w:val="18"/>
        </w:rPr>
        <w:t>Kontroversiellt förslag (&gt; 3 kontroversiella förslag)</w:t>
      </w:r>
      <w:r>
        <w:br w:type="page"/>
      </w:r>
    </w:p>
    <w:p>
      <w:pPr>
        <w:pStyle w:val="Titre2"/>
        <w:numPr>
          <w:ilvl w:val="1"/>
          <w:numId w:val="2"/>
        </w:numPr>
        <w:rPr/>
      </w:pPr>
      <w:bookmarkStart w:id="213" w:name="__RefHeading___Toc300458_1346298689"/>
      <w:bookmarkEnd w:id="213"/>
      <w:r>
        <w:rPr/>
        <w:t xml:space="preserve">Slutsats </w:t>
      </w:r>
    </w:p>
    <w:p>
      <w:pPr>
        <w:pStyle w:val="P68B1DB1Normal33"/>
        <w:widowControl w:val="false"/>
        <w:spacing w:lineRule="exact" w:line="399" w:before="293" w:after="0"/>
        <w:ind w:left="0" w:right="0" w:hanging="0"/>
        <w:jc w:val="left"/>
        <w:rPr/>
      </w:pPr>
      <w:r>
        <w:rPr/>
        <w:t xml:space="preserve"> </w:t>
      </w:r>
    </w:p>
    <w:p>
      <w:pPr>
        <w:pStyle w:val="P68B1DB1Normal33"/>
        <w:widowControl w:val="false"/>
        <w:spacing w:lineRule="exact" w:line="399" w:before="81" w:after="0"/>
        <w:ind w:left="0" w:right="0" w:hanging="0"/>
        <w:jc w:val="left"/>
        <w:rPr/>
      </w:pPr>
      <w:r>
        <w:rPr/>
        <w:t xml:space="preserve"> </w:t>
      </w:r>
    </w:p>
    <w:p>
      <w:pPr>
        <w:pStyle w:val="P68B1DB1Normal33"/>
        <w:widowControl w:val="false"/>
        <w:spacing w:lineRule="exact" w:line="399" w:before="83" w:after="0"/>
        <w:ind w:left="0" w:right="0" w:hanging="0"/>
        <w:jc w:val="left"/>
        <w:rPr/>
      </w:pPr>
      <w:r>
        <w:rPr/>
        <w:t xml:space="preserve"> </w:t>
      </w:r>
    </w:p>
    <w:p>
      <w:pPr>
        <w:pStyle w:val="P68B1DB1Normal65"/>
        <w:widowControl w:val="false"/>
        <w:spacing w:lineRule="exact" w:line="416" w:before="88" w:after="0"/>
        <w:ind w:left="0" w:right="0" w:hanging="0"/>
        <w:jc w:val="left"/>
        <w:rPr/>
      </w:pPr>
      <w:r>
        <w:rPr/>
        <w:t>”</w:t>
      </w:r>
      <w:r>
        <w:rPr/>
        <w:t xml:space="preserve">Med ett ord, för er, kommer Europa år 2035 att behöva vara...”: </w:t>
      </w:r>
    </w:p>
    <w:p>
      <w:pPr>
        <w:pStyle w:val="Normal"/>
        <w:widowControl w:val="false"/>
        <w:spacing w:lineRule="exact" w:line="430" w:before="2454" w:after="0"/>
        <w:ind w:left="0" w:right="0" w:hanging="0"/>
        <w:jc w:val="center"/>
        <w:rPr>
          <w:rFonts w:ascii="Times New Roman" w:hAnsi="Times New Roman"/>
          <w:i/>
          <w:i/>
          <w:color w:val="632423"/>
          <w:sz w:val="24"/>
        </w:rPr>
      </w:pPr>
      <w:r>
        <w:drawing>
          <wp:anchor behindDoc="0" distT="0" distB="0" distL="0" distR="0" simplePos="0" locked="0" layoutInCell="1" allowOverlap="1" relativeHeight="45">
            <wp:simplePos x="0" y="0"/>
            <wp:positionH relativeFrom="column">
              <wp:align>center</wp:align>
            </wp:positionH>
            <wp:positionV relativeFrom="paragraph">
              <wp:posOffset>635</wp:posOffset>
            </wp:positionV>
            <wp:extent cx="6120130" cy="1558290"/>
            <wp:effectExtent l="0" t="0" r="0" b="0"/>
            <wp:wrapSquare wrapText="largest"/>
            <wp:docPr id="98" name="Bild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S</w:t>
      </w:r>
      <w:r>
        <w:rPr>
          <w:rFonts w:ascii="Times New Roman" w:hAnsi="Times New Roman"/>
          <w:i/>
          <w:color w:val="632423"/>
          <w:sz w:val="24"/>
        </w:rPr>
        <w:t xml:space="preserve">var från medborgarna i den nationella konferensen på den slutliga frågan: </w:t>
      </w:r>
    </w:p>
    <w:p>
      <w:pPr>
        <w:pStyle w:val="P68B1DB1Normal66"/>
        <w:widowControl w:val="false"/>
        <w:spacing w:lineRule="exact" w:line="430" w:before="95" w:after="0"/>
        <w:ind w:left="0" w:right="0" w:hanging="0"/>
        <w:jc w:val="center"/>
        <w:rPr/>
      </w:pPr>
      <w:r>
        <w:rPr/>
        <w:t xml:space="preserve">I ett nötskal, för dig, Europa år 2035 måste vara...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Nationella paneler: Tyskland</w:t>
      </w:r>
    </w:p>
    <w:p>
      <w:pPr>
        <w:pStyle w:val="P68B1DB1Normal67"/>
        <w:spacing w:lineRule="auto" w:line="240"/>
        <w:rPr/>
      </w:pPr>
      <w:r>
        <w:rPr/>
        <w:t xml:space="preserve">Nationell medborgarpanel om Europas framtid i Berlin </w:t>
      </w:r>
    </w:p>
    <w:p>
      <w:pPr>
        <w:pStyle w:val="P68B1DB1Normal19"/>
        <w:widowControl w:val="false"/>
        <w:spacing w:lineRule="exact" w:line="388" w:before="206" w:after="0"/>
        <w:ind w:left="3422" w:right="0" w:hanging="0"/>
        <w:jc w:val="left"/>
        <w:rPr/>
      </w:pPr>
      <w:r>
        <w:rPr/>
        <w:t xml:space="preserve">— </w:t>
      </w:r>
      <w:r>
        <w:rPr/>
        <w:t xml:space="preserve">Medborgarnas rekommendationer — </w:t>
      </w:r>
    </w:p>
    <w:p>
      <w:pPr>
        <w:pStyle w:val="P68B1DB1Normal52"/>
        <w:widowControl w:val="false"/>
        <w:spacing w:lineRule="exact" w:line="317" w:before="288" w:after="0"/>
        <w:ind w:left="276" w:right="113" w:hanging="0"/>
        <w:jc w:val="both"/>
        <w:rPr/>
      </w:pPr>
      <w:r>
        <w:rPr>
          <w:color w:val="000000"/>
        </w:rPr>
        <w:t xml:space="preserve">Tyskland höll sin nationella medborgarpanel om Europas framtid den 5, 8, 15 och 16 januari. Urvalsprocessen för medborgarna följde det stratifierade slumpmässiga urvalet av deltagare i de europeiska medborgarpanelerna. 12 000 tyska medborgare inbjöds att delta. av de svarande valdes omkring 100 ut, med beaktande av Förbundsrepubliken Tysklands aktuella folkräkningsdata, för att återspegla mångfalden i det tyska samhället och befolkningen som helhet. Under den nationella medborgarpanelen diskuterade deltagarna fem teman: EU i världen, en starkare ekonomi, klimatförändringar och miljö, social rättvisa; EU:s värderingar och rättsstatsprincipen. Därefter utarbetade de konkreta rekommendationer för vart och ett av dessa teman, som antogs vid den slutliga plenarsessionen den 16 januari: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pPr>
      <w:r>
        <w:rPr/>
        <w:t xml:space="preserve">Runda bord 1: </w:t>
      </w:r>
    </w:p>
    <w:p>
      <w:pPr>
        <w:pStyle w:val="P68B1DB1Normal68"/>
        <w:widowControl w:val="false"/>
        <w:spacing w:lineRule="exact" w:line="400" w:before="196" w:after="0"/>
        <w:ind w:left="0" w:right="0" w:hanging="0"/>
        <w:jc w:val="left"/>
        <w:rPr/>
      </w:pPr>
      <w:r>
        <w:rPr/>
        <w:t xml:space="preserve">Att koppla utrikeshandelsintressen till klimatpolitiska åtgärder </w:t>
      </w:r>
    </w:p>
    <w:p>
      <w:pPr>
        <w:pStyle w:val="P68B1DB1Normal20"/>
        <w:widowControl w:val="false"/>
        <w:spacing w:lineRule="exact" w:line="337" w:before="192" w:after="0"/>
        <w:ind w:left="276" w:right="123" w:hanging="0"/>
        <w:jc w:val="both"/>
        <w:rPr/>
      </w:pPr>
      <w:r>
        <w:rPr/>
        <w:t xml:space="preserve">Vi rekommenderar att EU (särskilt Europeiska kommissionen) lanserar ett investeringspaket för klimatvänlig teknik och klimatinnovationer, inklusive finansieringsprogram. Detta åtgärdspaket bör finansieras genom klimatrelaterade importtullar, som särskilt skulle påverkas och föras vidare som ekonomisk ersättning för klimatskador. I detta sammanhang skulle ett system med punkter för bedömning av hållbarhet införas för vissa produkter. En tydlig EU-position och ett starkt och innovativt Europa skulle bidra till att uppnå de globala klimatmålen. Detta skulle bidra till att befästa Europeiska unionens roll som en global pionjär och ansvarsfull modell, som garanterar välstånd och kan leda till hållbara förändringar på global nivå. Dessa mål är viktiga för oss, eftersom EU på ett hållbart sätt bidrar till kampen mot klimatförändringarna, som på lång sikt skulle kunna spela en nyckelroll för att befästa den globala freden.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pPr>
      <w:r>
        <w:rPr/>
        <w:t xml:space="preserve">Runda bord 2: </w:t>
      </w:r>
    </w:p>
    <w:p>
      <w:pPr>
        <w:pStyle w:val="P68B1DB1Normal68"/>
        <w:widowControl w:val="false"/>
        <w:spacing w:lineRule="exact" w:line="338" w:before="321" w:after="0"/>
        <w:ind w:left="0" w:right="131" w:hanging="0"/>
        <w:jc w:val="left"/>
        <w:rPr/>
      </w:pPr>
      <w:r>
        <w:rPr/>
        <w:t xml:space="preserve">Skapa incitament för att genomföra produktionen i EU, särskilt när det gäller råvaror </w:t>
      </w:r>
    </w:p>
    <w:p>
      <w:pPr>
        <w:pStyle w:val="P68B1DB1Normal20"/>
        <w:widowControl w:val="false"/>
        <w:spacing w:lineRule="exact" w:line="337" w:before="208" w:after="0"/>
        <w:ind w:left="276" w:right="121" w:hanging="0"/>
        <w:jc w:val="both"/>
        <w:rPr/>
      </w:pPr>
      <w:r>
        <w:rPr/>
        <w:t xml:space="preserve">För att underlätta produktionen av råvaror i EU rekommenderar vi att man påskyndar och standardiserar godkännandeförfarandena, minskar byråkratin och beviljar subventioner till företag som flyttar till EU och/eller etablerar produktionsanläggningar i EU. EU bör massivt främja förnybar energi för att minska energikostnaderna. </w:t>
      </w:r>
    </w:p>
    <w:p>
      <w:pPr>
        <w:pStyle w:val="P68B1DB1Normal20"/>
        <w:widowControl w:val="false"/>
        <w:spacing w:lineRule="exact" w:line="336" w:before="216" w:after="0"/>
        <w:ind w:left="276" w:right="121" w:hanging="0"/>
        <w:jc w:val="both"/>
        <w:rPr/>
      </w:pPr>
      <w:r>
        <w:rPr/>
        <w:t xml:space="preserve">Genom dessa åtgärder vill vi förkorta leveranskedjorna och göra dem mer klimatvänliga, bidra till att stärka EU och skapa arbetstillfällen där mänskliga rättigheter respekteras. </w:t>
      </w:r>
    </w:p>
    <w:p>
      <w:pPr>
        <w:pStyle w:val="Normal"/>
        <w:widowControl w:val="false"/>
        <w:spacing w:lineRule="exact" w:line="336" w:before="219" w:after="0"/>
        <w:ind w:left="276" w:right="121" w:hanging="0"/>
        <w:jc w:val="both"/>
        <w:rPr>
          <w:rFonts w:ascii="Calibri" w:hAnsi="Calibri"/>
          <w:color w:val="000000"/>
          <w:sz w:val="24"/>
        </w:rPr>
      </w:pPr>
      <w:r>
        <w:rPr>
          <w:rFonts w:ascii="Calibri" w:hAnsi="Calibri"/>
          <w:color w:val="000000"/>
          <w:sz w:val="24"/>
        </w:rPr>
        <w:t xml:space="preserve">Dessa mål är viktiga för oss eftersom omlokaliseringen av produktionen till EU skulle göra EU mer självständigt internationellt och mindre politiskt sårbart. </w:t>
      </w:r>
      <w:r>
        <w:br w:type="page"/>
      </w:r>
    </w:p>
    <w:p>
      <w:pPr>
        <w:pStyle w:val="P68B1DB1Normal44"/>
        <w:widowControl w:val="false"/>
        <w:spacing w:lineRule="exact" w:line="383" w:before="247" w:after="0"/>
        <w:ind w:left="276" w:right="0" w:hanging="0"/>
        <w:jc w:val="left"/>
        <w:rPr/>
      </w:pPr>
      <w:r>
        <w:rPr/>
        <w:t xml:space="preserve">Runda bord 1: </w:t>
      </w:r>
    </w:p>
    <w:p>
      <w:pPr>
        <w:pStyle w:val="P68B1DB1Normal68"/>
        <w:widowControl w:val="false"/>
        <w:spacing w:lineRule="exact" w:line="400" w:before="196" w:after="0"/>
        <w:ind w:left="0" w:right="0" w:hanging="0"/>
        <w:jc w:val="left"/>
        <w:rPr/>
      </w:pPr>
      <w:r>
        <w:rPr/>
        <w:t xml:space="preserve">Digi-Score – ett poängsystem för en stark EU-omfattande digital ekonomi </w:t>
      </w:r>
    </w:p>
    <w:p>
      <w:pPr>
        <w:pStyle w:val="P68B1DB1Normal20"/>
        <w:widowControl w:val="false"/>
        <w:spacing w:lineRule="exact" w:line="337" w:before="192" w:after="0"/>
        <w:ind w:left="276" w:right="119" w:hanging="0"/>
        <w:jc w:val="both"/>
        <w:rPr/>
      </w:pPr>
      <w:r>
        <w:rPr/>
        <w:t xml:space="preserve">Vi föreslår inrättandet av en allmänt tillgänglig digital instrumentpanel, Digi-Score, som förvaltas av Europeiska kommissionen (GD CNECT). Detta skulle vara ett exakt rangordningssystem för att ange och jämföra EU-företagens nuvarande digitala mognadsgrad. Med detta förslag vill vi uppmuntra till ökad digitalisering i hela Europa. Företag med låga digitala poäng skulle ha rätt till riktat stöd för att hjälpa dem att komma ikapp. </w:t>
      </w:r>
    </w:p>
    <w:p>
      <w:pPr>
        <w:pStyle w:val="P68B1DB1Normal20"/>
        <w:widowControl w:val="false"/>
        <w:spacing w:lineRule="exact" w:line="338" w:before="219" w:after="0"/>
        <w:ind w:left="276" w:right="121" w:hanging="0"/>
        <w:jc w:val="both"/>
        <w:rPr/>
      </w:pPr>
      <w:r>
        <w:rPr/>
        <w:t xml:space="preserve">Detta mål är viktigt för oss eftersom det skulle bidra till att bana väg för ökad produktivitet, effektivitet och försäljning och därigenom stärka Europas roll som bas för produktionen. </w:t>
      </w:r>
    </w:p>
    <w:p>
      <w:pPr>
        <w:pStyle w:val="P68B1DB1Normal20"/>
        <w:widowControl w:val="false"/>
        <w:spacing w:lineRule="exact" w:line="385" w:before="137" w:after="0"/>
        <w:ind w:left="0" w:right="0" w:hanging="0"/>
        <w:jc w:val="left"/>
        <w:rPr/>
      </w:pPr>
      <w:r>
        <w:rPr/>
        <w:t xml:space="preserve"> </w:t>
      </w:r>
    </w:p>
    <w:p>
      <w:pPr>
        <w:pStyle w:val="P68B1DB1Normal44"/>
        <w:widowControl w:val="false"/>
        <w:spacing w:lineRule="exact" w:line="383" w:before="271" w:after="0"/>
        <w:ind w:left="276" w:right="0" w:hanging="0"/>
        <w:jc w:val="left"/>
        <w:rPr/>
      </w:pPr>
      <w:r>
        <w:rPr/>
        <w:t xml:space="preserve">Runda bord 2: </w:t>
      </w:r>
    </w:p>
    <w:p>
      <w:pPr>
        <w:pStyle w:val="P68B1DB1Normal68"/>
        <w:widowControl w:val="false"/>
        <w:spacing w:lineRule="exact" w:line="400" w:before="209" w:after="0"/>
        <w:ind w:left="0" w:right="0" w:hanging="0"/>
        <w:jc w:val="left"/>
        <w:rPr/>
      </w:pPr>
      <w:r>
        <w:rPr/>
        <w:t xml:space="preserve">Informationsplattform för utbyte av kunskaper och erfarenheter på EU-nivå </w:t>
      </w:r>
    </w:p>
    <w:p>
      <w:pPr>
        <w:pStyle w:val="P68B1DB1Normal20"/>
        <w:widowControl w:val="false"/>
        <w:spacing w:lineRule="exact" w:line="337"/>
        <w:ind w:left="276" w:right="119" w:hanging="0"/>
        <w:jc w:val="both"/>
        <w:rPr/>
      </w:pPr>
      <w:r>
        <w:rPr/>
        <w:t xml:space="preserve">Vi rekommenderar att EU inrättar en informationsplattform för utbyte av kunskaper och erfarenheter på EU-nivå. Vårt mål är att utbyta information om befintlig gränsöverskridande utbildningsverksamhet i EU, att presentera exempel på bästa praxis och att ge medborgarna möjlighet att presentera nya idéer för gränsöverskridande utbyten. Dessutom kan ytterligare information lämnas om tillgängliga tekniska expertforum (t.ex. om energi, miljö eller digital omställning). </w:t>
      </w:r>
    </w:p>
    <w:p>
      <w:pPr>
        <w:pStyle w:val="P68B1DB1Normal20"/>
        <w:widowControl w:val="false"/>
        <w:spacing w:lineRule="exact" w:line="337" w:before="216" w:after="0"/>
        <w:ind w:left="276" w:right="121" w:hanging="0"/>
        <w:jc w:val="both"/>
        <w:rPr/>
      </w:pPr>
      <w:r>
        <w:rPr/>
        <w:t xml:space="preserve">Vi anser att detta är viktigt eftersom medborgarna behöver insyn i den gränsöverskridande utbildningsverksamhet som finns tillgänglig. De bör få bättre vägledning på EU-nivå om befintliga forum och plattformar. </w:t>
      </w:r>
    </w:p>
    <w:p>
      <w:pPr>
        <w:pStyle w:val="Normal"/>
        <w:spacing w:lineRule="auto" w:line="240"/>
        <w:rPr/>
      </w:pPr>
      <w:r>
        <w:rPr/>
      </w:r>
      <w:r>
        <w:br w:type="page"/>
      </w:r>
    </w:p>
    <w:p>
      <w:pPr>
        <w:pStyle w:val="P68B1DB1Normal44"/>
        <w:spacing w:lineRule="auto" w:line="240"/>
        <w:rPr/>
      </w:pPr>
      <w:r>
        <w:rPr/>
        <w:t xml:space="preserve">Runda bord 1: </w:t>
      </w:r>
    </w:p>
    <w:p>
      <w:pPr>
        <w:pStyle w:val="P68B1DB1Normal68"/>
        <w:widowControl w:val="false"/>
        <w:spacing w:lineRule="exact" w:line="400" w:before="196" w:after="0"/>
        <w:ind w:left="0" w:right="0" w:hanging="0"/>
        <w:jc w:val="left"/>
        <w:rPr/>
      </w:pPr>
      <w:r>
        <w:rPr/>
        <w:t xml:space="preserve">Förordning om produktlivsgaranti </w:t>
      </w:r>
    </w:p>
    <w:p>
      <w:pPr>
        <w:pStyle w:val="P68B1DB1Normal20"/>
        <w:widowControl w:val="false"/>
        <w:spacing w:lineRule="exact" w:line="337" w:before="192" w:after="0"/>
        <w:ind w:left="276" w:right="119" w:hanging="0"/>
        <w:jc w:val="both"/>
        <w:rPr/>
      </w:pPr>
      <w:r>
        <w:rPr/>
        <w:t xml:space="preserve">Vi rekommenderar att EU antar lagstiftning för att fastställa en förlängd, garanterad och specifik livslängd för varje produkt som tillverkas och säljs i EU, och för att vara öppen för konsumenterna i detta avseende. </w:t>
      </w:r>
    </w:p>
    <w:p>
      <w:pPr>
        <w:pStyle w:val="P68B1DB1Normal20"/>
        <w:widowControl w:val="false"/>
        <w:spacing w:lineRule="exact" w:line="336" w:before="219" w:after="0"/>
        <w:ind w:left="276" w:right="126" w:hanging="0"/>
        <w:jc w:val="both"/>
        <w:rPr/>
      </w:pPr>
      <w:r>
        <w:rPr/>
        <w:t xml:space="preserve">Resurserna är begränsade och detta skulle spara pengar och minska avfall, vilket skulle gynna miljön, klimatet och konsumenterna. </w:t>
      </w:r>
    </w:p>
    <w:p>
      <w:pPr>
        <w:pStyle w:val="P68B1DB1Normal20"/>
        <w:widowControl w:val="false"/>
        <w:spacing w:lineRule="exact" w:line="338" w:before="216" w:after="0"/>
        <w:ind w:left="276" w:right="131" w:hanging="0"/>
        <w:jc w:val="left"/>
        <w:rPr/>
      </w:pPr>
      <w:r>
        <w:rPr/>
        <w:t xml:space="preserve">Vi vill uppmuntra tillverkare att få ut mer hållbara och reparerbara produkter på marknaden. </w:t>
      </w:r>
    </w:p>
    <w:p>
      <w:pPr>
        <w:pStyle w:val="P68B1DB1Normal69"/>
        <w:widowControl w:val="false"/>
        <w:spacing w:lineRule="exact" w:line="332" w:before="138" w:after="0"/>
        <w:ind w:left="0" w:right="0" w:hanging="0"/>
        <w:jc w:val="left"/>
        <w:rPr/>
      </w:pPr>
      <w:r>
        <w:rPr/>
        <w:t xml:space="preserve"> </w:t>
      </w:r>
    </w:p>
    <w:p>
      <w:pPr>
        <w:pStyle w:val="P68B1DB1Normal44"/>
        <w:widowControl w:val="false"/>
        <w:spacing w:lineRule="exact" w:line="383" w:before="107" w:after="0"/>
        <w:ind w:left="276" w:right="0" w:hanging="0"/>
        <w:jc w:val="left"/>
        <w:rPr/>
      </w:pPr>
      <w:r>
        <w:rPr/>
        <w:t xml:space="preserve">Runda bord 2: </w:t>
      </w:r>
    </w:p>
    <w:p>
      <w:pPr>
        <w:pStyle w:val="P68B1DB1Normal68"/>
        <w:widowControl w:val="false"/>
        <w:spacing w:lineRule="exact" w:line="400" w:before="321" w:after="0"/>
        <w:ind w:left="0" w:right="0" w:hanging="0"/>
        <w:jc w:val="left"/>
        <w:rPr/>
      </w:pPr>
      <w:r>
        <w:rPr/>
        <w:t xml:space="preserve">Långsiktig EU-kampanj för hållbar konsumtion och livsstil </w:t>
      </w:r>
    </w:p>
    <w:p>
      <w:pPr>
        <w:pStyle w:val="P68B1DB1Normal20"/>
        <w:widowControl w:val="false"/>
        <w:spacing w:lineRule="exact" w:line="336"/>
        <w:ind w:left="276" w:right="126" w:hanging="0"/>
        <w:jc w:val="left"/>
        <w:rPr/>
      </w:pPr>
      <w:r>
        <w:rPr/>
        <w:t xml:space="preserve">Vi rekommenderar att ett europeiskt organ, inklusive filialer i EU-länderna, har egna medel och leder denna kampanj. </w:t>
      </w:r>
    </w:p>
    <w:p>
      <w:pPr>
        <w:pStyle w:val="P68B1DB1Normal20"/>
        <w:widowControl w:val="false"/>
        <w:spacing w:lineRule="exact" w:line="336" w:before="219" w:after="0"/>
        <w:ind w:left="276" w:right="128" w:hanging="0"/>
        <w:jc w:val="both"/>
        <w:rPr/>
      </w:pPr>
      <w:r>
        <w:rPr/>
        <w:t xml:space="preserve">Vårt mål är att se till att alla EU-medborgare känner igen sig i en gemensam identitet, blir mer medvetna om behovet av hållbar konsumtion och livsstil och antar denna livsstil. </w:t>
      </w:r>
    </w:p>
    <w:p>
      <w:pPr>
        <w:pStyle w:val="P68B1DB1Normal20"/>
        <w:widowControl w:val="false"/>
        <w:spacing w:lineRule="exact" w:line="336" w:before="216" w:after="0"/>
        <w:ind w:left="276" w:right="128" w:hanging="0"/>
        <w:jc w:val="left"/>
        <w:rPr/>
      </w:pPr>
      <w:r>
        <w:rPr/>
        <w:t xml:space="preserve">Dessa mål är viktiga för oss eftersom vi vill väcka en inneboende motivation för en hållbar livsstil. </w:t>
      </w:r>
    </w:p>
    <w:p>
      <w:pPr>
        <w:pStyle w:val="Normal"/>
        <w:spacing w:lineRule="auto" w:line="240"/>
        <w:rPr/>
      </w:pPr>
      <w:r>
        <w:rPr/>
      </w:r>
      <w:r>
        <w:br w:type="page"/>
      </w:r>
    </w:p>
    <w:p>
      <w:pPr>
        <w:pStyle w:val="P68B1DB1Normal44"/>
        <w:widowControl w:val="false"/>
        <w:spacing w:lineRule="exact" w:line="383" w:before="247" w:after="0"/>
        <w:ind w:left="276" w:right="0" w:hanging="0"/>
        <w:jc w:val="left"/>
        <w:rPr/>
      </w:pPr>
      <w:r>
        <w:rPr/>
        <w:t xml:space="preserve">Runda bord 1: </w:t>
      </w:r>
    </w:p>
    <w:p>
      <w:pPr>
        <w:pStyle w:val="P68B1DB1Normal68"/>
        <w:widowControl w:val="false"/>
        <w:spacing w:lineRule="exact" w:line="400" w:before="88" w:after="0"/>
        <w:ind w:left="0" w:right="0" w:hanging="0"/>
        <w:jc w:val="left"/>
        <w:rPr/>
      </w:pPr>
      <w:r>
        <w:rPr/>
        <w:t xml:space="preserve">Att skapa fler utbytesmöjligheter för studenter i Europa </w:t>
      </w:r>
    </w:p>
    <w:p>
      <w:pPr>
        <w:pStyle w:val="P68B1DB1Normal20"/>
        <w:widowControl w:val="false"/>
        <w:spacing w:lineRule="exact" w:line="293" w:before="162" w:after="0"/>
        <w:ind w:left="276" w:right="123" w:hanging="0"/>
        <w:jc w:val="both"/>
        <w:rPr/>
      </w:pPr>
      <w:r>
        <w:rPr/>
        <w:t xml:space="preserve">Vi rekommenderar att Europeiska unionen, utöver Erasmusprogrammet, antar en förordning om ett utbytesprogram för elever och studenter mellan 14 och 25 år, oavsett deras ursprung, kön och utbildningsnivå. Detta utbytesprogram bör systematiskt inrättas och främjas av skolor på lokal nivå. Varje elev bör ha möjlighet att delta i utbytesprogrammet när som helst under sin skolgång. Kommissionen bör därför lägga fram ett förslag för Europaparlamentet och Europeiska rådet. </w:t>
      </w:r>
    </w:p>
    <w:p>
      <w:pPr>
        <w:pStyle w:val="P68B1DB1Normal20"/>
        <w:widowControl w:val="false"/>
        <w:spacing w:lineRule="exact" w:line="293" w:before="168" w:after="0"/>
        <w:ind w:left="276" w:right="123" w:hanging="0"/>
        <w:jc w:val="both"/>
        <w:rPr/>
      </w:pPr>
      <w:r>
        <w:rPr/>
        <w:t xml:space="preserve">Vårt mål är att ge studenter, oavsett deras akademiska resultat och ekonomiskt stöd från sina föräldrar, möjlighet att delta i utbytesprogram i hela Europa. En kultur av europeiskt utbyte bör främjas från skolåldern. Framför allt är det viktigt att utbytesprogram är lättillgängliga och fria från byråkrati. Genom detta utbytesprogram vill vi skapa europeisk solidaritet och minska språkbarriärerna. I detta sammanhang måste lika utbildning och deltagande i utbildning beaktas för att stärka interkulturella färdigheter och kommunikationsfärdigheter. </w:t>
      </w:r>
    </w:p>
    <w:p>
      <w:pPr>
        <w:pStyle w:val="P68B1DB1Normal20"/>
        <w:widowControl w:val="false"/>
        <w:spacing w:lineRule="exact" w:line="293" w:before="168" w:after="0"/>
        <w:ind w:left="276" w:right="123" w:hanging="0"/>
        <w:jc w:val="both"/>
        <w:rPr/>
      </w:pPr>
      <w:r>
        <w:rPr/>
        <w:t xml:space="preserve">Dessa mål är viktiga för oss eftersom de kan bidra till att främja den europeiska sammanhållningen, stärka respekten och samarbetet och förmedla europeiska värderingar från tidig ålder, så att Europas mångfald kan ses som en möjlighet. </w:t>
      </w:r>
    </w:p>
    <w:p>
      <w:pPr>
        <w:pStyle w:val="P68B1DB1Normal20"/>
        <w:widowControl w:val="false"/>
        <w:spacing w:lineRule="exact" w:line="385" w:before="92" w:after="0"/>
        <w:ind w:left="0" w:right="0" w:hanging="0"/>
        <w:jc w:val="left"/>
        <w:rPr/>
      </w:pPr>
      <w:r>
        <w:rPr/>
        <w:t xml:space="preserve"> </w:t>
      </w:r>
    </w:p>
    <w:p>
      <w:pPr>
        <w:pStyle w:val="P68B1DB1Normal44"/>
        <w:widowControl w:val="false"/>
        <w:spacing w:lineRule="exact" w:line="383" w:before="112" w:after="0"/>
        <w:ind w:left="276" w:right="0" w:hanging="0"/>
        <w:jc w:val="left"/>
        <w:rPr/>
      </w:pPr>
      <w:r>
        <w:rPr/>
        <w:t xml:space="preserve">Runda bord 2: </w:t>
      </w:r>
    </w:p>
    <w:p>
      <w:pPr>
        <w:pStyle w:val="P68B1DB1Normal68"/>
        <w:widowControl w:val="false"/>
        <w:spacing w:lineRule="exact" w:line="400" w:before="205" w:after="0"/>
        <w:ind w:left="0" w:right="0" w:hanging="0"/>
        <w:jc w:val="left"/>
        <w:rPr/>
      </w:pPr>
      <w:r>
        <w:rPr/>
        <w:t xml:space="preserve">Fastställande av en grundlön som är specifik för sysselsättningen </w:t>
      </w:r>
    </w:p>
    <w:p>
      <w:pPr>
        <w:pStyle w:val="P68B1DB1Normal20"/>
        <w:widowControl w:val="false"/>
        <w:spacing w:lineRule="exact" w:line="293"/>
        <w:ind w:left="276" w:right="121" w:hanging="0"/>
        <w:jc w:val="both"/>
        <w:rPr/>
      </w:pPr>
      <w:r>
        <w:rPr/>
        <w:t xml:space="preserve">Vi rekommenderar att kommissionsledamoten med ansvar för sysselsättning och sociala rättigheter lägger fram ett förslag för Europaparlamentet om att fastställa en grundlön som är specifik för sysselsättningen i alla medlemsstater. Denna grundlön bör bestå av en minimiinkomst som är tillräcklig för att trygga uppehället och ett särskilt komplement till sysselsättningen. </w:t>
      </w:r>
    </w:p>
    <w:p>
      <w:pPr>
        <w:pStyle w:val="P68B1DB1Normal20"/>
        <w:widowControl w:val="false"/>
        <w:spacing w:lineRule="exact" w:line="293" w:before="173" w:after="0"/>
        <w:ind w:left="276" w:right="121" w:hanging="0"/>
        <w:jc w:val="both"/>
        <w:rPr/>
      </w:pPr>
      <w:r>
        <w:rPr/>
        <w:t xml:space="preserve">Vårt mål är att se till att yrkesmässiga prestationer och löner är jämförbara i hela EU, för att stärka den sociala rättvisan. Detta mål är viktigt för oss eftersom det skulle säkerställa att arbetsmarknaden respekterar en grundläggande EU-princip: jämförbara levnads- och arbetsvillkor, oavsett personens bosättnings- och arbetsort. </w:t>
      </w:r>
    </w:p>
    <w:p>
      <w:pPr>
        <w:pStyle w:val="Normal"/>
        <w:spacing w:lineRule="auto" w:line="240"/>
        <w:rPr/>
      </w:pPr>
      <w:r>
        <w:rPr/>
      </w:r>
      <w:r>
        <w:br w:type="page"/>
      </w:r>
    </w:p>
    <w:p>
      <w:pPr>
        <w:pStyle w:val="P68B1DB1Normal44"/>
        <w:spacing w:lineRule="auto" w:line="240"/>
        <w:rPr/>
      </w:pPr>
      <w:r>
        <w:rPr/>
        <w:t xml:space="preserve">Runda bord 1: </w:t>
      </w:r>
    </w:p>
    <w:p>
      <w:pPr>
        <w:pStyle w:val="P68B1DB1Normal68"/>
        <w:widowControl w:val="false"/>
        <w:spacing w:lineRule="exact" w:line="400" w:before="196" w:after="0"/>
        <w:ind w:left="0" w:right="0" w:hanging="0"/>
        <w:jc w:val="left"/>
        <w:rPr/>
      </w:pPr>
      <w:r>
        <w:rPr/>
        <w:t xml:space="preserve">Förkroppsliga europeiska värderingar och kommunicera dem genom att vädja till känslor </w:t>
      </w:r>
    </w:p>
    <w:p>
      <w:pPr>
        <w:pStyle w:val="P68B1DB1Normal20"/>
        <w:widowControl w:val="false"/>
        <w:spacing w:lineRule="exact" w:line="338" w:before="192" w:after="0"/>
        <w:ind w:left="276" w:right="126" w:hanging="0"/>
        <w:jc w:val="both"/>
        <w:rPr/>
      </w:pPr>
      <w:r>
        <w:rPr/>
        <w:t xml:space="preserve">Vi rekommenderar att de europeiska värderingarna blir mer konkreta och kommunicerar med fler känslor. Vi skulle till exempel kunna uppnå detta genom ett ”integrationspaket” som omfattar medier, interaktiva inslag och större medborgardeltagande. </w:t>
      </w:r>
    </w:p>
    <w:p>
      <w:pPr>
        <w:pStyle w:val="P68B1DB1Normal20"/>
        <w:widowControl w:val="false"/>
        <w:spacing w:lineRule="exact" w:line="336" w:before="216" w:after="0"/>
        <w:ind w:left="276" w:right="126" w:hanging="0"/>
        <w:jc w:val="left"/>
        <w:rPr/>
      </w:pPr>
      <w:r>
        <w:rPr/>
        <w:t xml:space="preserve">Vårt mål är att alla som bor i EU ska känna till och omfamna gemensamma värderingar. </w:t>
      </w:r>
    </w:p>
    <w:p>
      <w:pPr>
        <w:pStyle w:val="P68B1DB1Normal20"/>
        <w:widowControl w:val="false"/>
        <w:spacing w:lineRule="exact" w:line="337" w:before="216" w:after="0"/>
        <w:ind w:left="276" w:right="119" w:hanging="0"/>
        <w:jc w:val="both"/>
        <w:rPr/>
      </w:pPr>
      <w:r>
        <w:rPr/>
        <w:t xml:space="preserve">Detta mål är viktigt för oss eftersom det utgör grunden för vår samexistens inom vår värdegemenskap. Dessa värden är för lite kända eftersom den personliga länken saknas. Vi måste göra det här sambandet. </w:t>
      </w:r>
    </w:p>
    <w:p>
      <w:pPr>
        <w:pStyle w:val="P68B1DB1Normal20"/>
        <w:widowControl w:val="false"/>
        <w:spacing w:lineRule="exact" w:line="385" w:before="135" w:after="0"/>
        <w:ind w:left="0" w:right="0" w:hanging="0"/>
        <w:jc w:val="left"/>
        <w:rPr/>
      </w:pPr>
      <w:r>
        <w:rPr/>
        <w:t xml:space="preserve"> </w:t>
      </w:r>
    </w:p>
    <w:p>
      <w:pPr>
        <w:pStyle w:val="P68B1DB1Normal44"/>
        <w:widowControl w:val="false"/>
        <w:spacing w:lineRule="exact" w:line="383" w:before="114" w:after="0"/>
        <w:ind w:left="276" w:right="0" w:hanging="0"/>
        <w:jc w:val="left"/>
        <w:rPr/>
      </w:pPr>
      <w:r>
        <w:rPr/>
        <w:t xml:space="preserve">Runda bord 2: </w:t>
      </w:r>
    </w:p>
    <w:p>
      <w:pPr>
        <w:pStyle w:val="P68B1DB1Normal68"/>
        <w:widowControl w:val="false"/>
        <w:spacing w:lineRule="exact" w:line="400" w:before="211" w:after="0"/>
        <w:ind w:left="0" w:right="0" w:hanging="0"/>
        <w:jc w:val="left"/>
        <w:rPr/>
      </w:pPr>
      <w:r>
        <w:rPr/>
        <w:t xml:space="preserve">Livet i EU </w:t>
      </w:r>
    </w:p>
    <w:p>
      <w:pPr>
        <w:pStyle w:val="P68B1DB1Normal20"/>
        <w:widowControl w:val="false"/>
        <w:spacing w:lineRule="exact" w:line="337" w:before="191" w:after="0"/>
        <w:ind w:left="276" w:right="116" w:hanging="0"/>
        <w:jc w:val="both"/>
        <w:rPr/>
      </w:pPr>
      <w:r>
        <w:rPr/>
        <w:t xml:space="preserve">Vi rekommenderar att EU inrättar ett eget utbildnings- och informationstv-program för att öka medvetenheten bland alla EU-medborgare om våra gemensamma värderingar och säkerställa enkel och obehindrad tillgång till denna information för alla. Dessa mål är viktiga för oss eftersom vi vill bättre förstå den allmänna opinionen i vart och ett av EU-länderna. På detta sätt vill vi stärka den gemensamma grunden och bidra till att sammanföra medborgarna för att främja större solidaritet och utbilda dem i rättsstatsprincipen för att bevara demokratin.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Nationella paneler: Italien</w:t>
      </w:r>
    </w:p>
    <w:p>
      <w:pPr>
        <w:pStyle w:val="P68B1DB1Normal70"/>
        <w:spacing w:lineRule="auto" w:line="240"/>
        <w:jc w:val="center"/>
        <w:rPr/>
      </w:pPr>
      <w:r>
        <w:rPr/>
        <w:t xml:space="preserve">Medborgarpanelen ger rekommendationer inför konferensen om Europas framtid den 11–12 mars 2022 </w:t>
      </w:r>
    </w:p>
    <w:p>
      <w:pPr>
        <w:pStyle w:val="P68B1DB1Normal71"/>
        <w:widowControl w:val="false"/>
        <w:spacing w:lineRule="exact" w:line="916" w:before="147" w:after="0"/>
        <w:ind w:left="2234" w:right="0" w:hanging="0"/>
        <w:jc w:val="left"/>
        <w:rPr/>
      </w:pPr>
      <w:r>
        <w:rPr/>
        <w:t xml:space="preserve">Sammanfattande rapport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 den 16 mars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6">
            <wp:simplePos x="0" y="0"/>
            <wp:positionH relativeFrom="column">
              <wp:posOffset>50800</wp:posOffset>
            </wp:positionH>
            <wp:positionV relativeFrom="paragraph">
              <wp:posOffset>155575</wp:posOffset>
            </wp:positionV>
            <wp:extent cx="810895" cy="956310"/>
            <wp:effectExtent l="0" t="0" r="0" b="0"/>
            <wp:wrapSquare wrapText="largest"/>
            <wp:docPr id="99"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42" descr=""/>
                    <pic:cNvPicPr>
                      <a:picLocks noChangeAspect="1" noChangeArrowheads="1"/>
                    </pic:cNvPicPr>
                  </pic:nvPicPr>
                  <pic:blipFill>
                    <a:blip r:embed="rId104"/>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p>
      <w:pPr>
        <w:pStyle w:val="TOAHeading"/>
        <w:rPr/>
      </w:pPr>
      <w:r>
        <w:rPr/>
        <w:t>Innehållsförteckning</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Vägledande principer för processen att organisera panelen </w:t>
      </w:r>
    </w:p>
    <w:p>
      <w:pPr>
        <w:pStyle w:val="P68B1DB1Normal34"/>
        <w:widowControl w:val="false"/>
        <w:spacing w:lineRule="auto" w:line="240"/>
        <w:ind w:left="0" w:right="0" w:hanging="0"/>
        <w:jc w:val="left"/>
        <w:rPr/>
      </w:pPr>
      <w:r>
        <w:rPr/>
        <w:t xml:space="preserve"> </w:t>
      </w:r>
      <w:r>
        <w:rPr/>
        <w:t xml:space="preserve">Hela processen för att genomföra panelen utformades så att den överensstämmer med riktlinjerna i riktlinjerna för nationella medborgarpaneler inom ramen för konferensen om Europas framtid. Närmare bestämt: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Syfte:</w:t>
      </w:r>
      <w:r>
        <w:rPr>
          <w:b/>
          <w:color w:val="000000"/>
        </w:rPr>
        <w:t xml:space="preserve"> </w:t>
      </w:r>
    </w:p>
    <w:p>
      <w:pPr>
        <w:pStyle w:val="P68B1DB1Normal34"/>
        <w:widowControl w:val="false"/>
        <w:spacing w:lineRule="auto" w:line="240"/>
        <w:ind w:left="720" w:right="0" w:hanging="0"/>
        <w:jc w:val="left"/>
        <w:rPr/>
      </w:pPr>
      <w:r>
        <w:rPr/>
        <w:t xml:space="preserve">Alla som inbjudits att delta i panelen fyllde i ett frågeformulär om deltagande som innehöll projektets mål och syften, med särskilda hänvisningar till konferensen om Europas framtid, de ämnen som behandlades och villkoren för deltagande.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Öppenhet: </w:t>
      </w:r>
    </w:p>
    <w:p>
      <w:pPr>
        <w:pStyle w:val="P68B1DB1Normal34"/>
        <w:widowControl w:val="false"/>
        <w:spacing w:lineRule="auto" w:line="240"/>
        <w:ind w:left="720" w:right="0" w:hanging="0"/>
        <w:jc w:val="left"/>
        <w:rPr/>
      </w:pPr>
      <w:r>
        <w:rPr/>
        <w:t xml:space="preserve">Alla dokument som presenterade initiativet gjordes tillgängliga för deltagarna på olika sätt, alltid med hänvisning till konferensens officiella webbplats. Dokumenten skickades via e-post till alla deltagare.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Inkludering: </w:t>
      </w:r>
    </w:p>
    <w:p>
      <w:pPr>
        <w:pStyle w:val="P68B1DB1Normal75"/>
        <w:widowControl w:val="false"/>
        <w:spacing w:lineRule="auto" w:line="240"/>
        <w:ind w:left="708" w:right="0" w:hanging="0"/>
        <w:jc w:val="left"/>
        <w:rPr/>
      </w:pPr>
      <w:r>
        <w:rPr>
          <w:color w:val="000000"/>
        </w:rPr>
        <w:t xml:space="preserve">Inbjudan att delta skickades via olika kanaler: e-posta till </w:t>
      </w:r>
      <w:r>
        <w:rPr>
          <w:color w:val="ED7D31"/>
        </w:rPr>
        <w:t>SWG</w:t>
      </w:r>
      <w:r>
        <w:rPr>
          <w:color w:val="000000"/>
        </w:rPr>
        <w:t xml:space="preserve"> -communitymedlemmar och dela länken till ansökningsformuläret via Twitter och LinkedIn. Detta resulterade i totalt över 400 åtkomster till ansökningsformuläret och 245 ansökningar. Urvalet av deltagare (slumpmässigt) genomfördes på ett sådant sätt att olika personer av kön, ålder, socialt ursprung, bosättningsort och yrkesstatus garanteras.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Representativitet: </w:t>
      </w:r>
    </w:p>
    <w:p>
      <w:pPr>
        <w:pStyle w:val="P68B1DB1Normal34"/>
        <w:widowControl w:val="false"/>
        <w:spacing w:lineRule="auto" w:line="240"/>
        <w:ind w:left="708" w:right="0" w:hanging="0"/>
        <w:jc w:val="left"/>
        <w:rPr/>
      </w:pPr>
      <w:r>
        <w:rPr/>
        <w:t xml:space="preserve">Även om provstorleken inte är representativ i statistisk mening, var provet utformat för att uppnå maximal heterogenitet bland deltagarna för att reproducera en mikrokosmos av målgruppen.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Information: </w:t>
      </w:r>
    </w:p>
    <w:p>
      <w:pPr>
        <w:pStyle w:val="Normal"/>
        <w:widowControl w:val="false"/>
        <w:spacing w:lineRule="auto" w:line="240"/>
        <w:ind w:left="720" w:right="0" w:hanging="0"/>
        <w:jc w:val="left"/>
        <w:rPr/>
      </w:pPr>
      <w:r>
        <w:rPr>
          <w:color w:val="000000"/>
        </w:rPr>
        <w:t xml:space="preserve">Alla deltagare fick ett brett utbud av information om konferensen och om de ämnen som diskuterades under panelen. Projektets mål och villkor erinrades om för deltagarna i inledningen, i enlighet med principerna om neutralitet och fullständighet. Alla deltagare fick möjlighet att begära mer information och detaljer om evenemanget via direkta telefonnummer till projektledare inom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Överläggningsgrupper: </w:t>
      </w:r>
    </w:p>
    <w:p>
      <w:pPr>
        <w:pStyle w:val="P68B1DB1Normal76"/>
        <w:widowControl w:val="false"/>
        <w:spacing w:lineRule="auto" w:line="240"/>
        <w:ind w:left="720" w:right="0" w:hanging="0"/>
        <w:jc w:val="left"/>
        <w:rPr/>
      </w:pPr>
      <w:r>
        <w:rPr/>
        <w:t xml:space="preserve">Huvudsyftet med hela processen var att formulera konkreta rekommendationer, som deltagarna i stor utsträckning delade, som skulle riktas till Europeiska unionen. Det sätt på vilket arbetet organiserades och grupperna ledde resulterade i en process med fokus på insamling av deltagarnas indikationer, deras behandling och syntes samt deras verifiering och validering av grupperna själva under en efterföljande arbetssession.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Kalender: </w:t>
      </w:r>
    </w:p>
    <w:p>
      <w:pPr>
        <w:pStyle w:val="P68B1DB1Normal76"/>
        <w:widowControl w:val="false"/>
        <w:spacing w:lineRule="auto" w:line="240"/>
        <w:ind w:left="720" w:right="0" w:hanging="0"/>
        <w:jc w:val="left"/>
        <w:rPr/>
      </w:pPr>
      <w:r>
        <w:rPr/>
        <w:t xml:space="preserve">En avslappnad atmosfär skapades under arbetssessionerna, vilket gav deltagarna all tid som behövs för att fördjupa de teman som de hade blivit inbjudna att överlägga, uttrycka sina åsikter och lyssna på andras. Av samma skäl beslutades att de två huvudgrupperna skulle delas upp i två undergrupper. Dessutom spreds arbetet över två dagar för att de idéer som formulerades skulle kunna baseras.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Uppföljning:</w:t>
      </w:r>
      <w:r>
        <w:rPr>
          <w:color w:val="000000"/>
        </w:rPr>
        <w:t xml:space="preserve"> </w:t>
      </w:r>
    </w:p>
    <w:p>
      <w:pPr>
        <w:pStyle w:val="P68B1DB1Normal76"/>
        <w:widowControl w:val="false"/>
        <w:spacing w:lineRule="auto" w:line="240"/>
        <w:ind w:left="720" w:right="0" w:hanging="0"/>
        <w:jc w:val="left"/>
        <w:rPr/>
      </w:pPr>
      <w:r>
        <w:rPr/>
        <w:t xml:space="preserve">Den sista dagen genomförde alla grupper kontrollen och valideringen av de första utkasten till rekommendationer som gjordes under den första fasen av arbetet. När rapporten om resultaten hade överlämnats till den europeiska utredningsavdelningen vid ordförandeskapet i ministerrådet och bemyndigandet av denna överlämnades den slutliga versionen av rekommendationerna till alla paneldeltagare. Under alla omständigheter inbjöds deltagarna att fortsätta att övervaka konferensens aktiviteter på webbplatsen och genom de uppdateringar som ska offentliggöras.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Integritet: </w:t>
      </w:r>
    </w:p>
    <w:p>
      <w:pPr>
        <w:pStyle w:val="Normal"/>
        <w:widowControl w:val="false"/>
        <w:spacing w:lineRule="auto" w:line="240"/>
        <w:ind w:left="720" w:right="0" w:hanging="0"/>
        <w:jc w:val="left"/>
        <w:rPr/>
      </w:pPr>
      <w:r>
        <w:rPr>
          <w:color w:val="000000"/>
        </w:rPr>
        <w:t xml:space="preserve">Hela arbetsprocessen genomfördes självständigt av SWG, </w:t>
      </w:r>
      <w:r>
        <w:rPr>
          <w:color w:val="ED7D31"/>
        </w:rPr>
        <w:t>beroende</w:t>
      </w:r>
      <w:r>
        <w:rPr>
          <w:color w:val="000000"/>
        </w:rPr>
        <w:t xml:space="preserve"> på vilket uppdrag som mottogs. Den europeiska utredningsavdelningen under ministerrådets ordförandeskap informerades kontinuerligt om initiativets olika skeden och resultaten.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Skydd av privatlivet: </w:t>
      </w:r>
    </w:p>
    <w:p>
      <w:pPr>
        <w:pStyle w:val="P68B1DB1Normal76"/>
        <w:widowControl w:val="false"/>
        <w:spacing w:lineRule="auto" w:line="240"/>
        <w:ind w:left="721" w:right="0" w:hanging="0"/>
        <w:jc w:val="left"/>
        <w:rPr/>
      </w:pPr>
      <w:r>
        <w:rPr/>
        <w:t xml:space="preserve">Deltagarnas integritet var fullt garanterad. För att få delta i panelen måste alla kandidater underteckna det formulär för informerat samtycke som krävs enligt lag.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Betyg: </w:t>
      </w:r>
    </w:p>
    <w:p>
      <w:pPr>
        <w:pStyle w:val="P68B1DB1Normal76"/>
        <w:widowControl w:val="false"/>
        <w:spacing w:lineRule="auto" w:line="240"/>
        <w:ind w:left="721" w:right="0" w:hanging="0"/>
        <w:jc w:val="left"/>
        <w:rPr/>
      </w:pPr>
      <w:r>
        <w:rPr/>
        <w:t xml:space="preserve">I slutet av processen skickades ett frågeformulär till alla deltagare för att bedöma deras erfarenheter. Resultaten sammanfattas i denna rapport. </w:t>
      </w:r>
    </w:p>
    <w:p>
      <w:pPr>
        <w:pStyle w:val="P68B1DB1Titre277"/>
        <w:numPr>
          <w:ilvl w:val="0"/>
          <w:numId w:val="2"/>
        </w:numPr>
        <w:rPr/>
      </w:pPr>
      <w:bookmarkStart w:id="217" w:name="__RefHeading___Toc300310_1346298689"/>
      <w:bookmarkEnd w:id="217"/>
      <w:r>
        <w:rPr/>
        <w:t xml:space="preserve">2. Urval av deltagare och metod för deltagande </w:t>
      </w:r>
    </w:p>
    <w:p>
      <w:pPr>
        <w:pStyle w:val="P68B1DB1Normal74"/>
        <w:widowControl w:val="false"/>
        <w:spacing w:lineRule="auto" w:line="240" w:before="208" w:after="0"/>
        <w:ind w:left="0" w:right="0" w:hanging="0"/>
        <w:jc w:val="left"/>
        <w:rPr/>
      </w:pPr>
      <w:r>
        <w:rPr/>
        <w:t xml:space="preserve">Urval </w:t>
      </w:r>
    </w:p>
    <w:p>
      <w:pPr>
        <w:pStyle w:val="P68B1DB1Normal76"/>
        <w:widowControl w:val="false"/>
        <w:spacing w:lineRule="auto" w:line="240" w:before="90" w:after="0"/>
        <w:ind w:left="0" w:right="6" w:hanging="0"/>
        <w:jc w:val="left"/>
        <w:rPr/>
      </w:pPr>
      <w:r>
        <w:rPr/>
        <w:t xml:space="preserve">Syftet med kommunikationsfasen före evenemanget var att välja ut minst 50 italienska medborgare som var intresserade av att delta i initiativet. </w:t>
      </w:r>
    </w:p>
    <w:p>
      <w:pPr>
        <w:pStyle w:val="Normal"/>
        <w:widowControl w:val="false"/>
        <w:spacing w:lineRule="auto" w:line="240" w:before="90" w:after="0"/>
        <w:ind w:left="0" w:right="4" w:hanging="0"/>
        <w:jc w:val="both"/>
        <w:rPr/>
      </w:pPr>
      <w:r>
        <w:rPr>
          <w:color w:val="000000"/>
        </w:rPr>
        <w:t xml:space="preserve">För detta ändamål skapades ett kort formulär för självansökan i form av ett frågeformulär som ska fyllas i online på SWG- </w:t>
      </w:r>
      <w:r>
        <w:rPr>
          <w:color w:val="ED7D31"/>
        </w:rPr>
        <w:t>plattformen</w:t>
      </w:r>
      <w:r>
        <w:rPr>
          <w:color w:val="000000"/>
        </w:rPr>
        <w:t xml:space="preserve">, genom vilket alla som var intresserade av att delta i initiativet kunde ansöka, med angivande av vilka uppgifter som behövde föras in i de grupper från vilka deltagarna slumpmässigt valdes ut. De nödvändiga villkoren för deltagande var följande: har en internetuppkoppling, en enhet utrustad med en mikrofon och en videokamera, samt signera konferensavtalet.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52">
            <wp:simplePos x="0" y="0"/>
            <wp:positionH relativeFrom="column">
              <wp:posOffset>58420</wp:posOffset>
            </wp:positionH>
            <wp:positionV relativeFrom="paragraph">
              <wp:posOffset>1365885</wp:posOffset>
            </wp:positionV>
            <wp:extent cx="187960" cy="187960"/>
            <wp:effectExtent l="0" t="0" r="0" b="0"/>
            <wp:wrapSquare wrapText="largest"/>
            <wp:docPr id="100" name="Bild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44" descr=""/>
                    <pic:cNvPicPr>
                      <a:picLocks noChangeAspect="1" noChangeArrowheads="1"/>
                    </pic:cNvPicPr>
                  </pic:nvPicPr>
                  <pic:blipFill>
                    <a:blip r:embed="rId105"/>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49530</wp:posOffset>
            </wp:positionH>
            <wp:positionV relativeFrom="paragraph">
              <wp:posOffset>958850</wp:posOffset>
            </wp:positionV>
            <wp:extent cx="287020" cy="287020"/>
            <wp:effectExtent l="0" t="0" r="0" b="0"/>
            <wp:wrapSquare wrapText="largest"/>
            <wp:docPr id="101" name="Bild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43" descr=""/>
                    <pic:cNvPicPr>
                      <a:picLocks noChangeAspect="1" noChangeArrowheads="1"/>
                    </pic:cNvPicPr>
                  </pic:nvPicPr>
                  <pic:blipFill>
                    <a:blip r:embed="rId106"/>
                    <a:stretch>
                      <a:fillRect/>
                    </a:stretch>
                  </pic:blipFill>
                  <pic:spPr bwMode="auto">
                    <a:xfrm>
                      <a:off x="0" y="0"/>
                      <a:ext cx="287020" cy="287020"/>
                    </a:xfrm>
                    <a:prstGeom prst="rect">
                      <a:avLst/>
                    </a:prstGeom>
                  </pic:spPr>
                </pic:pic>
              </a:graphicData>
            </a:graphic>
          </wp:anchor>
        </w:drawing>
      </w:r>
      <w:r>
        <w:rPr>
          <w:color w:val="000000"/>
        </w:rPr>
        <w:t>A</w:t>
      </w:r>
      <w:r>
        <w:rPr>
          <w:color w:val="000000"/>
        </w:rPr>
        <w:t>nsökningsformuläret distribuerades på sociala nätverk</w:t>
      </w:r>
      <w:r>
        <w:rPr>
          <w:color w:val="ED7D31"/>
        </w:rPr>
        <w:t>från</w:t>
      </w:r>
      <w:r>
        <w:rPr>
          <w:color w:val="000000"/>
        </w:rPr>
        <w:t xml:space="preserve">SWG:s konton. För detta ändamål publicerades sex inlägg på Twitter och ett på LinkedIn, med följande resultat: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Sociala nätverk</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Datum</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Antal visningar</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Tillgång till ansökningsblanketten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Svenska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tjänster mellan 8 och 10 mars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Svenska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inlägg den 8 mars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Samtidigt uppmanades medlemmar av SWG- </w:t>
      </w:r>
      <w:r>
        <w:rPr>
          <w:color w:val="ED7D31"/>
        </w:rPr>
        <w:t>gemenskapen</w:t>
      </w:r>
      <w:r>
        <w:rPr>
          <w:color w:val="000000"/>
        </w:rPr>
        <w:t xml:space="preserve"> att ansöka, i linje med en inbjudansstrategi som syftar till att säkerställa maximal representativitet för den italienska befolkningen, inte bara när det gäller sociala särdrag utan också i fråga om idéer, kulturella inriktningar och värderingar. </w:t>
      </w:r>
    </w:p>
    <w:p>
      <w:pPr>
        <w:pStyle w:val="P68B1DB1Normal76"/>
        <w:widowControl w:val="false"/>
        <w:spacing w:lineRule="exact" w:line="253" w:before="71" w:after="0"/>
        <w:ind w:left="1" w:right="0" w:hanging="0"/>
        <w:jc w:val="both"/>
        <w:rPr/>
      </w:pPr>
      <w:r>
        <w:rPr/>
        <w:t xml:space="preserve">Ansökningarna kan lämnas in mellan den 8 mars kl. 8.00 och 10 mars 2022 kl. 16.00. Totalt genererade processen 420 tillgång till ansökningsformuläret och 225 fullständiga ansökningar mottogs. </w:t>
      </w:r>
    </w:p>
    <w:p>
      <w:pPr>
        <w:pStyle w:val="P68B1DB1Normal76"/>
        <w:widowControl w:val="false"/>
        <w:spacing w:lineRule="exact" w:line="253" w:before="67" w:after="0"/>
        <w:ind w:left="1" w:right="2" w:hanging="0"/>
        <w:jc w:val="both"/>
        <w:rPr/>
      </w:pPr>
      <w:r>
        <w:rPr/>
        <w:t xml:space="preserve">Totalt </w:t>
      </w:r>
      <w:r>
        <w:rPr>
          <w:b/>
        </w:rPr>
        <w:t>140</w:t>
      </w:r>
      <w:r>
        <w:rPr/>
        <w:t xml:space="preserve"> personer var faktiskt berättigade, varav 70 valdes ut på grundval av ett kriterium för att säkerställa en balanserad närvaro i fråga om kön, geografisk fördelning, ålder och utbildningsnivå. </w:t>
      </w:r>
    </w:p>
    <w:p>
      <w:pPr>
        <w:pStyle w:val="P68B1DB1Normal76"/>
        <w:widowControl w:val="false"/>
        <w:spacing w:lineRule="exact" w:line="253" w:before="73" w:after="0"/>
        <w:ind w:left="1" w:right="1" w:hanging="0"/>
        <w:jc w:val="both"/>
        <w:rPr/>
      </w:pPr>
      <w:r>
        <w:rPr/>
        <w:t xml:space="preserve">I samband med urvalsförfarandet ägnades särskild uppmärksamhet åt principen om rimlig sannolikhet vid urvalet av deltagare, tillsammans med förfaranden som bygger på ett slumpmässigt kriterium. </w:t>
      </w:r>
    </w:p>
    <w:p>
      <w:pPr>
        <w:pStyle w:val="P68B1DB1Normal76"/>
        <w:widowControl w:val="false"/>
        <w:spacing w:lineRule="exact" w:line="253" w:before="71" w:after="0"/>
        <w:ind w:left="1" w:right="0" w:hanging="0"/>
        <w:jc w:val="both"/>
        <w:rPr/>
      </w:pPr>
      <w:r>
        <w:rPr/>
        <w:t xml:space="preserve">Urvalets slumpmässiga karaktär var en central del av projektet för att säkerställa att tillträdesprocessen var rättvis. I initiativets anda föreföll det dock viktigt att införa en strategi som inte bara syftar till att involvera så många människor som möjligt, utan också att säkerställa största möjliga heterogenitet bland de utvalda för att främja maximal delaktighet. </w:t>
      </w:r>
    </w:p>
    <w:p>
      <w:pPr>
        <w:pStyle w:val="P68B1DB1Normal34"/>
        <w:widowControl w:val="false"/>
        <w:spacing w:lineRule="exact" w:line="393" w:before="70" w:after="0"/>
        <w:ind w:left="0" w:right="0" w:hanging="0"/>
        <w:jc w:val="left"/>
        <w:rPr/>
      </w:pPr>
      <w:r>
        <w:rPr/>
        <w:t xml:space="preserve"> </w:t>
      </w:r>
    </w:p>
    <w:p>
      <w:pPr>
        <w:pStyle w:val="P68B1DB1Normal76"/>
        <w:widowControl w:val="false"/>
        <w:spacing w:lineRule="exact" w:line="362" w:before="69" w:after="0"/>
        <w:ind w:left="0" w:right="0" w:hanging="0"/>
        <w:jc w:val="left"/>
        <w:rPr/>
      </w:pPr>
      <w:r>
        <w:rPr/>
        <w:t>Sammanfattningsvis var fördelningen av berättigade personer följande:</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63">
                <wp:simplePos x="0" y="0"/>
                <wp:positionH relativeFrom="column">
                  <wp:posOffset>0</wp:posOffset>
                </wp:positionH>
                <wp:positionV relativeFrom="paragraph">
                  <wp:posOffset>132715</wp:posOffset>
                </wp:positionV>
                <wp:extent cx="6059805" cy="3775710"/>
                <wp:effectExtent l="0" t="0" r="0" b="0"/>
                <wp:wrapTopAndBottom/>
                <wp:docPr id="102" name="Förlag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7"/>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Fördelning av berättigade kandidater</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kön</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åldersgrupp</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år</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år</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år gammal</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Utbildningsnivå</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Lågt</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Nordöstra</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Högskola, yrkesutbildning</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Genomsnitt</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Gymnasiet</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Upphöjd</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Kandidatexamen, magisterexamen eller mer</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Västerbottens län</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Bostadsort</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Södra och öar</w:t>
                              </w:r>
                            </w:p>
                          </w:txbxContent>
                        </wps:txbx>
                        <wps:bodyPr lIns="90000" rIns="90000" tIns="45000" bIns="45000">
                          <a:noAutofit/>
                        </wps:bodyPr>
                      </wps:wsp>
                    </wpg:wgp>
                  </a:graphicData>
                </a:graphic>
              </wp:anchor>
            </w:drawing>
          </mc:Choice>
          <mc:Fallback>
            <w:pict>
              <v:group id="shape_0" alt="Förlag4" style="position:absolute;margin-left:0pt;margin-top:10.45pt;width:477.1pt;height:297.25pt" coordorigin="0,209" coordsize="9542,5945">
                <v:shape id="shape_0" stroked="f" style="position:absolute;left:0;top:976;width:9526;height:5177" type="shapetype_75">
                  <v:imagedata r:id="rId107" o:detectmouseclick="t"/>
                  <w10:wrap type="none"/>
                  <v:stroke color="#3465a4" joinstyle="round" endcap="flat"/>
                </v:shape>
                <v:rect id="shape_0" stroked="f" style="position:absolute;left:2284;top:209;width:6128;height:96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Fördelning av berättigade kandidater</w:t>
                        </w:r>
                      </w:p>
                    </w:txbxContent>
                  </v:textbox>
                  <w10:wrap type="square"/>
                  <v:fill o:detectmouseclick="t" on="false"/>
                  <v:stroke color="#3465a4" joinstyle="round" endcap="flat"/>
                </v:rect>
                <v:rect id="shape_0" stroked="f" style="position:absolute;left:771;top:2019;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kön</w:t>
                        </w:r>
                      </w:p>
                    </w:txbxContent>
                  </v:textbox>
                  <w10:wrap type="square"/>
                  <v:fill o:detectmouseclick="t" on="false"/>
                  <v:stroke color="#3465a4" joinstyle="round" endcap="flat"/>
                </v:rect>
                <v:rect id="shape_0" stroked="f" style="position:absolute;left:519;top:3413;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åldersgrupp</w:t>
                        </w:r>
                      </w:p>
                    </w:txbxContent>
                  </v:textbox>
                  <w10:wrap type="square"/>
                  <v:fill o:detectmouseclick="t" on="false"/>
                  <v:stroke color="#3465a4" joinstyle="round" endcap="flat"/>
                </v:rect>
                <v:rect id="shape_0" stroked="f" style="position:absolute;left:1608;top:3921;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år</w:t>
                        </w:r>
                      </w:p>
                    </w:txbxContent>
                  </v:textbox>
                  <w10:wrap type="square"/>
                  <v:fill o:detectmouseclick="t" on="false"/>
                  <v:stroke color="#3465a4" joinstyle="round" endcap="flat"/>
                </v:rect>
                <v:rect id="shape_0" stroked="f" style="position:absolute;left:1555;top:4524;width:1325;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år</w:t>
                        </w:r>
                      </w:p>
                    </w:txbxContent>
                  </v:textbox>
                  <w10:wrap type="square"/>
                  <v:fill o:detectmouseclick="t" on="false"/>
                  <v:stroke color="#3465a4" joinstyle="round" endcap="flat"/>
                </v:rect>
                <v:rect id="shape_0" stroked="f" style="position:absolute;left:1568;top:5035;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år gammal</w:t>
                        </w:r>
                      </w:p>
                    </w:txbxContent>
                  </v:textbox>
                  <w10:wrap type="square"/>
                  <v:fill o:detectmouseclick="t" on="false"/>
                  <v:stroke color="#3465a4" joinstyle="round" endcap="flat"/>
                </v:rect>
                <v:rect id="shape_0" stroked="f" style="position:absolute;left:3320;top:2032;width:26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Utbildningsnivå</w:t>
                        </w:r>
                      </w:p>
                    </w:txbxContent>
                  </v:textbox>
                  <w10:wrap type="square"/>
                  <v:fill o:detectmouseclick="t" on="false"/>
                  <v:stroke color="#3465a4" joinstyle="round" endcap="flat"/>
                </v:rect>
                <v:rect id="shape_0" stroked="f" style="position:absolute;left:4328;top:2541;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Lågt</w:t>
                        </w:r>
                      </w:p>
                    </w:txbxContent>
                  </v:textbox>
                  <w10:wrap type="square"/>
                  <v:fill o:detectmouseclick="t" on="false"/>
                  <v:stroke color="#3465a4" joinstyle="round" endcap="flat"/>
                </v:rect>
                <v:rect id="shape_0" stroked="f" style="position:absolute;left:8017;top:2313;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Nordöstra</w:t>
                        </w:r>
                      </w:p>
                    </w:txbxContent>
                  </v:textbox>
                  <w10:wrap type="square"/>
                  <v:fill o:detectmouseclick="t" on="false"/>
                  <v:stroke color="#3465a4" joinstyle="round" endcap="flat"/>
                </v:rect>
                <v:rect id="shape_0" stroked="f" style="position:absolute;left:3188;top:2943;width:279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Högskola, yrkesutbildning</w:t>
                        </w:r>
                      </w:p>
                    </w:txbxContent>
                  </v:textbox>
                  <w10:wrap type="square"/>
                  <v:fill o:detectmouseclick="t" on="false"/>
                  <v:stroke color="#3465a4" joinstyle="round" endcap="flat"/>
                </v:rect>
                <v:rect id="shape_0" stroked="f" style="position:absolute;left:4408;top:3613;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Genomsnitt</w:t>
                        </w:r>
                      </w:p>
                    </w:txbxContent>
                  </v:textbox>
                  <w10:wrap type="square"/>
                  <v:fill o:detectmouseclick="t" on="false"/>
                  <v:stroke color="#3465a4" joinstyle="round" endcap="flat"/>
                </v:rect>
                <v:rect id="shape_0" stroked="f" style="position:absolute;left:3413;top:4069;width:2332;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Gymnasiet</w:t>
                        </w:r>
                      </w:p>
                    </w:txbxContent>
                  </v:textbox>
                  <w10:wrap type="square"/>
                  <v:fill o:detectmouseclick="t" on="false"/>
                  <v:stroke color="#3465a4" joinstyle="round" endcap="flat"/>
                </v:rect>
                <v:rect id="shape_0" stroked="f" style="position:absolute;left:4435;top:4847;width:1323;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Upphöjd</w:t>
                        </w:r>
                      </w:p>
                    </w:txbxContent>
                  </v:textbox>
                  <w10:wrap type="square"/>
                  <v:fill o:detectmouseclick="t" on="false"/>
                  <v:stroke color="#3465a4" joinstyle="round" endcap="flat"/>
                </v:rect>
                <v:rect id="shape_0" stroked="f" style="position:absolute;left:3134;top:5209;width:3036;height:60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Kandidatexamen, magisterexamen eller mer</w:t>
                        </w:r>
                      </w:p>
                    </w:txbxContent>
                  </v:textbox>
                  <w10:wrap type="square"/>
                  <v:fill o:detectmouseclick="t" on="false"/>
                  <v:stroke color="#3465a4" joinstyle="round" endcap="flat"/>
                </v:rect>
                <v:rect id="shape_0" stroked="f" style="position:absolute;left:6371;top:2662;width:132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Västerbottens län</w:t>
                        </w:r>
                      </w:p>
                    </w:txbxContent>
                  </v:textbox>
                  <w10:wrap type="square"/>
                  <v:fill o:detectmouseclick="t" on="false"/>
                  <v:stroke color="#3465a4" joinstyle="round" endcap="flat"/>
                </v:rect>
                <v:rect id="shape_0" stroked="f" style="position:absolute;left:6505;top:2032;width:263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Bostadsort</w:t>
                        </w:r>
                      </w:p>
                    </w:txbxContent>
                  </v:textbox>
                  <w10:wrap type="square"/>
                  <v:fill o:detectmouseclick="t" on="false"/>
                  <v:stroke color="#3465a4" joinstyle="round" endcap="flat"/>
                </v:rect>
                <v:rect id="shape_0" stroked="f" style="position:absolute;left:8217;top:3198;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359;top:4686;width:16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Södra och öar</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När de 70 kandidaterna valdes ut, på morgonen, fick de ett telefonsamtal för att bekräfta sitt deltagande. Dessa samtal gjordes av SWG:s kontaktcenter </w:t>
      </w:r>
      <w:r>
        <w:rPr>
          <w:color w:val="ED7D31"/>
        </w:rPr>
        <w:t>med</w:t>
      </w:r>
      <w:r>
        <w:rPr>
          <w:color w:val="000000"/>
        </w:rPr>
        <w:t xml:space="preserve"> hjälp av CATI-metoden (Computer Assisted Telephone Survey). I slutet av denna fas bekräftade totalt 59 personer sitt deltagande och registrerades. </w:t>
      </w:r>
      <w:r>
        <w:rPr>
          <w:b/>
          <w:color w:val="BD1271"/>
        </w:rPr>
        <w:t>Av dessa deltog 55 aktivt i panelen.</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pPr>
      <w:r>
        <w:rPr/>
        <w:t xml:space="preserve">Panelmedlemmarnas sociala fördelning och åldersfördelning var följande: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65">
                <wp:simplePos x="0" y="0"/>
                <wp:positionH relativeFrom="column">
                  <wp:posOffset>635</wp:posOffset>
                </wp:positionH>
                <wp:positionV relativeFrom="paragraph">
                  <wp:posOffset>41275</wp:posOffset>
                </wp:positionV>
                <wp:extent cx="6157595" cy="3623310"/>
                <wp:effectExtent l="0" t="0" r="0" b="0"/>
                <wp:wrapTopAndBottom/>
                <wp:docPr id="103" name="Förlag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8"/>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Fördelning av aktiva deltagare</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kön</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åldersgrupp</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år</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år</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år gammal</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Utbildningsnivå</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Lågt</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Nordöstra</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Högskola, yrkesutbildning</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Genomsnitt</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Gymnasiet</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Upphöjd</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Kandidatexamen, magisterexamen eller mer</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Västerbottens län</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Bostadsort</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Södra och öar</w:t>
                              </w:r>
                            </w:p>
                          </w:txbxContent>
                        </wps:txbx>
                        <wps:bodyPr lIns="90000" rIns="90000" tIns="45000" bIns="45000">
                          <a:noAutofit/>
                        </wps:bodyPr>
                      </wps:wsp>
                    </wpg:wgp>
                  </a:graphicData>
                </a:graphic>
              </wp:anchor>
            </w:drawing>
          </mc:Choice>
          <mc:Fallback>
            <w:pict>
              <v:group id="shape_0" alt="Förlag5" style="position:absolute;margin-left:0.05pt;margin-top:3.25pt;width:484.8pt;height:285.3pt" coordorigin="1,65" coordsize="9696,5706">
                <v:shape id="shape_0" stroked="f" style="position:absolute;left:1;top:787;width:9545;height:4982" type="shapetype_75">
                  <v:imagedata r:id="rId108" o:detectmouseclick="t"/>
                  <w10:wrap type="none"/>
                  <v:stroke color="#3465a4" joinstyle="round" endcap="flat"/>
                </v:shape>
                <v:rect id="shape_0" stroked="f" style="position:absolute;left:2328;top:65;width:6200;height:66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Fördelning av aktiva deltagare</w:t>
                        </w:r>
                      </w:p>
                    </w:txbxContent>
                  </v:textbox>
                  <w10:wrap type="square"/>
                  <v:fill o:detectmouseclick="t" on="false"/>
                  <v:stroke color="#3465a4" joinstyle="round" endcap="flat"/>
                </v:rect>
                <v:rect id="shape_0" stroked="f" style="position:absolute;left:825;top:1657;width:171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kön</w:t>
                        </w:r>
                      </w:p>
                    </w:txbxContent>
                  </v:textbox>
                  <w10:wrap type="square"/>
                  <v:fill o:detectmouseclick="t" on="false"/>
                  <v:stroke color="#3465a4" joinstyle="round" endcap="flat"/>
                </v:rect>
                <v:rect id="shape_0" stroked="f" style="position:absolute;left:570;top:3038;width:17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åldersgrupp</w:t>
                        </w:r>
                      </w:p>
                    </w:txbxContent>
                  </v:textbox>
                  <w10:wrap type="square"/>
                  <v:fill o:detectmouseclick="t" on="false"/>
                  <v:stroke color="#3465a4" joinstyle="round" endcap="flat"/>
                </v:rect>
                <v:rect id="shape_0" stroked="f" style="position:absolute;left:1670;top:3541;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år</w:t>
                        </w:r>
                      </w:p>
                    </w:txbxContent>
                  </v:textbox>
                  <w10:wrap type="square"/>
                  <v:fill o:detectmouseclick="t" on="false"/>
                  <v:stroke color="#3465a4" joinstyle="round" endcap="flat"/>
                </v:rect>
                <v:rect id="shape_0" stroked="f" style="position:absolute;left:1618;top:4138;width:1340;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år</w:t>
                        </w:r>
                      </w:p>
                    </w:txbxContent>
                  </v:textbox>
                  <w10:wrap type="square"/>
                  <v:fill o:detectmouseclick="t" on="false"/>
                  <v:stroke color="#3465a4" joinstyle="round" endcap="flat"/>
                </v:rect>
                <v:rect id="shape_0" stroked="f" style="position:absolute;left:1631;top:4643;width:1340;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år gammal</w:t>
                        </w:r>
                      </w:p>
                    </w:txbxContent>
                  </v:textbox>
                  <w10:wrap type="square"/>
                  <v:fill o:detectmouseclick="t" on="false"/>
                  <v:stroke color="#3465a4" joinstyle="round" endcap="flat"/>
                </v:rect>
                <v:rect id="shape_0" stroked="f" style="position:absolute;left:3403;top:1670;width:265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Utbildningsnivå</w:t>
                        </w:r>
                      </w:p>
                    </w:txbxContent>
                  </v:textbox>
                  <w10:wrap type="square"/>
                  <v:fill o:detectmouseclick="t" on="false"/>
                  <v:stroke color="#3465a4" joinstyle="round" endcap="flat"/>
                </v:rect>
                <v:rect id="shape_0" stroked="f" style="position:absolute;left:4423;top:2175;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Lågt</w:t>
                        </w:r>
                      </w:p>
                    </w:txbxContent>
                  </v:textbox>
                  <w10:wrap type="square"/>
                  <v:fill o:detectmouseclick="t" on="false"/>
                  <v:stroke color="#3465a4" joinstyle="round" endcap="flat"/>
                </v:rect>
                <v:rect id="shape_0" stroked="f" style="position:absolute;left:8155;top:1949;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Nordöstra</w:t>
                        </w:r>
                      </w:p>
                    </w:txbxContent>
                  </v:textbox>
                  <w10:wrap type="square"/>
                  <v:fill o:detectmouseclick="t" on="false"/>
                  <v:stroke color="#3465a4" joinstyle="round" endcap="flat"/>
                </v:rect>
                <v:rect id="shape_0" stroked="f" style="position:absolute;left:3269;top:2573;width:2829;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Högskola, yrkesutbildning</w:t>
                        </w:r>
                      </w:p>
                    </w:txbxContent>
                  </v:textbox>
                  <w10:wrap type="square"/>
                  <v:fill o:detectmouseclick="t" on="false"/>
                  <v:stroke color="#3465a4" joinstyle="round" endcap="flat"/>
                </v:rect>
                <v:rect id="shape_0" stroked="f" style="position:absolute;left:4504;top:3236;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Genomsnitt</w:t>
                        </w:r>
                      </w:p>
                    </w:txbxContent>
                  </v:textbox>
                  <w10:wrap type="square"/>
                  <v:fill o:detectmouseclick="t" on="false"/>
                  <v:stroke color="#3465a4" joinstyle="round" endcap="flat"/>
                </v:rect>
                <v:rect id="shape_0" stroked="f" style="position:absolute;left:3497;top:3687;width:235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Gymnasiet</w:t>
                        </w:r>
                      </w:p>
                    </w:txbxContent>
                  </v:textbox>
                  <w10:wrap type="square"/>
                  <v:fill o:detectmouseclick="t" on="false"/>
                  <v:stroke color="#3465a4" joinstyle="round" endcap="flat"/>
                </v:rect>
                <v:rect id="shape_0" stroked="f" style="position:absolute;left:4531;top:4458;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Upphöjd</w:t>
                        </w:r>
                      </w:p>
                    </w:txbxContent>
                  </v:textbox>
                  <w10:wrap type="square"/>
                  <v:fill o:detectmouseclick="t" on="false"/>
                  <v:stroke color="#3465a4" joinstyle="round" endcap="flat"/>
                </v:rect>
                <v:rect id="shape_0" stroked="f" style="position:absolute;left:3215;top:4816;width:3071;height:59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Kandidatexamen, magisterexamen eller mer</w:t>
                        </w:r>
                      </w:p>
                    </w:txbxContent>
                  </v:textbox>
                  <w10:wrap type="square"/>
                  <v:fill o:detectmouseclick="t" on="false"/>
                  <v:stroke color="#3465a4" joinstyle="round" endcap="flat"/>
                </v:rect>
                <v:rect id="shape_0" stroked="f" style="position:absolute;left:6490;top:2294;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Västerbottens län</w:t>
                        </w:r>
                      </w:p>
                    </w:txbxContent>
                  </v:textbox>
                  <w10:wrap type="square"/>
                  <v:fill o:detectmouseclick="t" on="false"/>
                  <v:stroke color="#3465a4" joinstyle="round" endcap="flat"/>
                </v:rect>
                <v:rect id="shape_0" stroked="f" style="position:absolute;left:6624;top:1670;width:266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Bostadsort</w:t>
                        </w:r>
                      </w:p>
                    </w:txbxContent>
                  </v:textbox>
                  <w10:wrap type="square"/>
                  <v:fill o:detectmouseclick="t" on="false"/>
                  <v:stroke color="#3465a4" joinstyle="round" endcap="flat"/>
                </v:rect>
                <v:rect id="shape_0" stroked="f" style="position:absolute;left:8356;top:2825;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477;top:4297;width:1635;height:41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Södra och öar</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pPr>
      <w:r>
        <w:rPr/>
        <w:t xml:space="preserve">Här är resultaten av urvalsprocessen: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66">
                <wp:simplePos x="0" y="0"/>
                <wp:positionH relativeFrom="column">
                  <wp:posOffset>10160</wp:posOffset>
                </wp:positionH>
                <wp:positionV relativeFrom="paragraph">
                  <wp:posOffset>144780</wp:posOffset>
                </wp:positionV>
                <wp:extent cx="6047740" cy="3640455"/>
                <wp:effectExtent l="0" t="0" r="0" b="0"/>
                <wp:wrapNone/>
                <wp:docPr id="104" name="Förlag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9"/>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Ansökningsprocessen</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ansökningsblanketten</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Fullständiga applikationer</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Berättigade kandidater</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Antagen till panelen</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Aktiva deltagare</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mars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mars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mars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mars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mars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mars 2022</w:t>
                              </w:r>
                            </w:p>
                          </w:txbxContent>
                        </wps:txbx>
                        <wps:bodyPr lIns="90000" rIns="90000" tIns="45000" bIns="45000">
                          <a:noAutofit/>
                        </wps:bodyPr>
                      </wps:wsp>
                    </wpg:wgp>
                  </a:graphicData>
                </a:graphic>
              </wp:anchor>
            </w:drawing>
          </mc:Choice>
          <mc:Fallback>
            <w:pict>
              <v:group id="shape_0" alt="Förlag6" style="position:absolute;margin-left:0.8pt;margin-top:11.4pt;width:476.1pt;height:286.6pt" coordorigin="16,228" coordsize="9522,5732">
                <v:shape id="shape_0" stroked="f" style="position:absolute;left:2410;top:949;width:4571;height:5010" type="shapetype_75">
                  <v:imagedata r:id="rId109" o:detectmouseclick="t"/>
                  <w10:wrap type="none"/>
                  <v:stroke color="#3465a4" joinstyle="round" endcap="flat"/>
                </v:shape>
                <v:rect id="shape_0" stroked="f" style="position:absolute;left:1108;top:228;width:7315;height:63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Ansökningsprocessen</w:t>
                        </w:r>
                      </w:p>
                    </w:txbxContent>
                  </v:textbox>
                  <w10:wrap type="square"/>
                  <v:fill o:detectmouseclick="t" on="false"/>
                  <v:stroke color="#3465a4" joinstyle="round" endcap="flat"/>
                </v:rect>
                <v:rect id="shape_0" stroked="f" style="position:absolute;left:16;top:1292;width:2518;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ansökningsblanketten</w:t>
                        </w:r>
                      </w:p>
                    </w:txbxContent>
                  </v:textbox>
                  <w10:wrap type="square"/>
                  <v:fill o:detectmouseclick="t" on="false"/>
                  <v:stroke color="#3465a4" joinstyle="round" endcap="flat"/>
                </v:rect>
                <v:rect id="shape_0" stroked="f" style="position:absolute;left:16;top:1959;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Fullständiga applikationer</w:t>
                        </w:r>
                      </w:p>
                    </w:txbxContent>
                  </v:textbox>
                  <w10:wrap type="square"/>
                  <v:fill o:detectmouseclick="t" on="false"/>
                  <v:stroke color="#3465a4" joinstyle="round" endcap="flat"/>
                </v:rect>
                <v:rect id="shape_0" stroked="f" style="position:absolute;left:16;top:2586;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Berättigade kandidater</w:t>
                        </w:r>
                      </w:p>
                    </w:txbxContent>
                  </v:textbox>
                  <w10:wrap type="square"/>
                  <v:fill o:detectmouseclick="t" on="false"/>
                  <v:stroke color="#3465a4" joinstyle="round" endcap="flat"/>
                </v:rect>
                <v:rect id="shape_0" stroked="f" style="position:absolute;left:16;top:3252;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Antagen till panelen</w:t>
                        </w:r>
                      </w:p>
                    </w:txbxContent>
                  </v:textbox>
                  <w10:wrap type="square"/>
                  <v:fill o:detectmouseclick="t" on="false"/>
                  <v:stroke color="#3465a4" joinstyle="round" endcap="flat"/>
                </v:rect>
                <v:rect id="shape_0" stroked="f" style="position:absolute;left:16;top:3918;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Aktiva deltagare</w:t>
                        </w:r>
                      </w:p>
                    </w:txbxContent>
                  </v:textbox>
                  <w10:wrap type="square"/>
                  <v:fill o:detectmouseclick="t" on="false"/>
                  <v:stroke color="#3465a4" joinstyle="round" endcap="flat"/>
                </v:rect>
                <v:rect id="shape_0" stroked="f" style="position:absolute;left:6993;top:1164;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mars 2022</w:t>
                        </w:r>
                      </w:p>
                    </w:txbxContent>
                  </v:textbox>
                  <w10:wrap type="square"/>
                  <v:fill o:detectmouseclick="t" on="false"/>
                  <v:stroke color="#3465a4" joinstyle="round" endcap="flat"/>
                </v:rect>
                <v:rect id="shape_0" stroked="f" style="position:absolute;left:7020;top:1960;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mars 2022</w:t>
                        </w:r>
                      </w:p>
                    </w:txbxContent>
                  </v:textbox>
                  <w10:wrap type="square"/>
                  <v:fill o:detectmouseclick="t" on="false"/>
                  <v:stroke color="#3465a4" joinstyle="round" endcap="flat"/>
                </v:rect>
                <v:rect id="shape_0" stroked="f" style="position:absolute;left:6993;top:1165;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mars 2022</w:t>
                        </w:r>
                      </w:p>
                    </w:txbxContent>
                  </v:textbox>
                  <w10:wrap type="square"/>
                  <v:fill o:detectmouseclick="t" on="false"/>
                  <v:stroke color="#3465a4" joinstyle="round" endcap="flat"/>
                </v:rect>
                <v:rect id="shape_0" stroked="f" style="position:absolute;left:7007;top:2613;width:2517;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mars 2022</w:t>
                        </w:r>
                      </w:p>
                    </w:txbxContent>
                  </v:textbox>
                  <w10:wrap type="square"/>
                  <v:fill o:detectmouseclick="t" on="false"/>
                  <v:stroke color="#3465a4" joinstyle="round" endcap="flat"/>
                </v:rect>
                <v:rect id="shape_0" stroked="f" style="position:absolute;left:6993;top:3241;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mars 2022</w:t>
                        </w:r>
                      </w:p>
                    </w:txbxContent>
                  </v:textbox>
                  <w10:wrap type="square"/>
                  <v:fill o:detectmouseclick="t" on="false"/>
                  <v:stroke color="#3465a4" joinstyle="round" endcap="flat"/>
                </v:rect>
                <v:rect id="shape_0" stroked="f" style="position:absolute;left:6952;top:3817;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mars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pPr>
      <w:r>
        <w:rPr/>
        <w:t xml:space="preserve">Kommunikationsutrustning </w:t>
      </w:r>
    </w:p>
    <w:p>
      <w:pPr>
        <w:pStyle w:val="P68B1DB1Normal76"/>
        <w:widowControl w:val="false"/>
        <w:spacing w:lineRule="exact" w:line="379" w:before="200" w:after="0"/>
        <w:ind w:left="0" w:right="2" w:hanging="0"/>
        <w:jc w:val="left"/>
        <w:rPr/>
      </w:pPr>
      <w:r>
        <w:rPr/>
        <w:t xml:space="preserve">För att säkerställa en hög nivå av motivation och deltagande från början gjordes följande dokument tillgängliga för alla deltagare: </w:t>
      </w:r>
    </w:p>
    <w:p>
      <w:pPr>
        <w:pStyle w:val="P68B1DB1Normal76"/>
        <w:widowControl w:val="false"/>
        <w:spacing w:lineRule="exact" w:line="252" w:before="192" w:after="0"/>
        <w:ind w:left="720" w:right="0" w:hanging="0"/>
        <w:jc w:val="left"/>
        <w:rPr/>
      </w:pPr>
      <w:r>
        <w:rPr/>
        <w:t xml:space="preserve">• </w:t>
      </w:r>
      <w:r>
        <w:rPr/>
        <w:t xml:space="preserve">presentationsbladen </w:t>
      </w:r>
      <w:r>
        <w:rPr>
          <w:b/>
        </w:rPr>
        <w:t xml:space="preserve">för konferensen om Europas framtid och de nationella panelerna. </w:t>
      </w:r>
    </w:p>
    <w:p>
      <w:pPr>
        <w:pStyle w:val="P68B1DB1Normal76"/>
        <w:widowControl w:val="false"/>
        <w:spacing w:lineRule="exact" w:line="379"/>
        <w:ind w:left="720" w:right="0" w:hanging="0"/>
        <w:jc w:val="left"/>
        <w:rPr/>
      </w:pPr>
      <w:r>
        <w:rPr/>
        <w:t xml:space="preserve">• </w:t>
      </w:r>
      <w:r>
        <w:rPr>
          <w:b/>
        </w:rPr>
        <w:t xml:space="preserve">stadgan för konferensen om Europas framtid, </w:t>
      </w:r>
    </w:p>
    <w:p>
      <w:pPr>
        <w:pStyle w:val="P68B1DB1Normal76"/>
        <w:widowControl w:val="false"/>
        <w:spacing w:lineRule="exact" w:line="379"/>
        <w:ind w:left="720" w:right="0" w:hanging="0"/>
        <w:jc w:val="left"/>
        <w:rPr/>
      </w:pPr>
      <w:r>
        <w:rPr/>
        <w:t xml:space="preserve">• </w:t>
      </w:r>
      <w:r>
        <w:rPr>
          <w:b/>
        </w:rPr>
        <w:t xml:space="preserve">de ämnen som ska diskuteras under panelerna, </w:t>
      </w:r>
    </w:p>
    <w:p>
      <w:pPr>
        <w:pStyle w:val="P68B1DB1Normal76"/>
        <w:widowControl w:val="false"/>
        <w:spacing w:lineRule="exact" w:line="379"/>
        <w:ind w:left="721" w:right="0" w:hanging="0"/>
        <w:jc w:val="left"/>
        <w:rPr/>
      </w:pPr>
      <w:r>
        <w:rPr/>
        <w:t xml:space="preserve">• </w:t>
      </w:r>
      <w:r>
        <w:rPr>
          <w:b/>
        </w:rPr>
        <w:t xml:space="preserve">teknisk och organisatorisk information som krävs för deltagande. </w:t>
      </w:r>
    </w:p>
    <w:p>
      <w:pPr>
        <w:pStyle w:val="P68B1DB1Titre277"/>
        <w:numPr>
          <w:ilvl w:val="0"/>
          <w:numId w:val="2"/>
        </w:numPr>
        <w:rPr/>
      </w:pPr>
      <w:bookmarkStart w:id="218" w:name="__RefHeading___Toc300312_1346298689"/>
      <w:bookmarkEnd w:id="218"/>
      <w:r>
        <w:rPr/>
        <w:t xml:space="preserve">3. Panelens organisation </w:t>
      </w:r>
    </w:p>
    <w:p>
      <w:pPr>
        <w:pStyle w:val="P68B1DB1Normal76"/>
        <w:widowControl w:val="false"/>
        <w:spacing w:lineRule="exact" w:line="272" w:before="231" w:after="0"/>
        <w:ind w:left="0" w:right="0" w:hanging="0"/>
        <w:jc w:val="both"/>
        <w:rPr/>
      </w:pPr>
      <w:r>
        <w:rPr/>
        <w:t xml:space="preserve">För att möjliggöra maximalt deltagande, inklusive personer med yrkesmässiga åtaganden, anordnades panelen under två på varandra följande halvdagar, varav en på helgerna, enligt följande tidsplan: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Fredagen den 11 mars kl. 16.00–18.00.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Lördag 12 mars från 10 till 12:00 </w:t>
      </w:r>
    </w:p>
    <w:p>
      <w:pPr>
        <w:pStyle w:val="Normal"/>
        <w:widowControl w:val="false"/>
        <w:spacing w:lineRule="exact" w:line="286" w:before="83" w:after="0"/>
        <w:ind w:left="0" w:right="1" w:hanging="0"/>
        <w:jc w:val="both"/>
        <w:rPr/>
      </w:pPr>
      <w:r>
        <w:rPr>
          <w:color w:val="000000"/>
        </w:rPr>
        <w:t xml:space="preserve">Syftet med detta val var å ena sidan att underlätta arbetstagarnas deltagande i initiativet och å andra sidan att dela upp närvarotiden för att uppmuntra större uppmärksamhet och deltagande samt att ytterligare reflektera över de teman och förslag som lagts fram. Paneldeltagarna kopplade till de två arbetssessionerna med hjälp av GoToMeeting-plattformen och delades in i fyra grupper (två för varje temaområde), ledda av en SWG- </w:t>
      </w:r>
      <w:r>
        <w:rPr>
          <w:color w:val="ED7D31"/>
        </w:rPr>
        <w:t>moderator</w:t>
      </w:r>
      <w:r>
        <w:rPr>
          <w:color w:val="000000"/>
        </w:rPr>
        <w:t xml:space="preserve"> och assistenter till en person som ansvarar för att skriva förhandlingarna. Moderatorerna underlättade grupperna genom två olika diskussionsvägar (en för varje temaområde), i syfte att i så stor utsträckning som möjligt involvera alla utvalda personer och säkerställa en strategi som bygger på maximal inkludering och neutralitet. </w:t>
      </w:r>
    </w:p>
    <w:p>
      <w:pPr>
        <w:pStyle w:val="Titre2"/>
        <w:numPr>
          <w:ilvl w:val="1"/>
          <w:numId w:val="2"/>
        </w:numPr>
        <w:rPr/>
      </w:pPr>
      <w:bookmarkStart w:id="219" w:name="__RefHeading___Toc300314_1346298689"/>
      <w:bookmarkEnd w:id="219"/>
      <w:r>
        <w:rPr>
          <w:color w:val="BD1271"/>
        </w:rPr>
        <w:t>4. Arbetsprogram</w:t>
      </w:r>
      <w:r>
        <w:rPr/>
        <w:t xml:space="preserve"> </w:t>
      </w:r>
    </w:p>
    <w:p>
      <w:pPr>
        <w:pStyle w:val="P68B1DB1Normal80"/>
        <w:widowControl w:val="false"/>
        <w:spacing w:lineRule="exact" w:line="393" w:before="85" w:after="0"/>
        <w:ind w:left="0" w:right="0" w:hanging="0"/>
        <w:jc w:val="left"/>
        <w:rPr/>
      </w:pPr>
      <w:r>
        <w:rPr/>
        <w:t xml:space="preserve">Första sammanträdet (fredagen den 11 mars 2022) </w:t>
      </w:r>
    </w:p>
    <w:p>
      <w:pPr>
        <w:pStyle w:val="P68B1DB1Normal76"/>
        <w:widowControl w:val="false"/>
        <w:spacing w:lineRule="exact" w:line="362" w:before="208" w:after="0"/>
        <w:ind w:left="360" w:right="0" w:hanging="0"/>
        <w:jc w:val="left"/>
        <w:rPr/>
      </w:pPr>
      <w:r>
        <w:rPr/>
        <w:t xml:space="preserve">• </w:t>
      </w:r>
      <w:r>
        <w:rPr/>
        <w:t xml:space="preserve">00 – Öppnandet av det virtuella rummet och möjligheten för deltagarna att ansluta sig till plattformen för att kontrollera att deras ljud- och videosystem fungerar korrekt. </w:t>
      </w:r>
    </w:p>
    <w:p>
      <w:pPr>
        <w:pStyle w:val="P68B1DB1Normal76"/>
        <w:widowControl w:val="false"/>
        <w:spacing w:lineRule="exact" w:line="362"/>
        <w:ind w:left="360" w:right="0" w:hanging="0"/>
        <w:jc w:val="left"/>
        <w:rPr/>
      </w:pPr>
      <w:r>
        <w:rPr/>
        <w:t xml:space="preserve">• </w:t>
      </w:r>
      <w:r>
        <w:rPr/>
        <w:t xml:space="preserve">16:00 – Introduktion av moderator: förklaring av skälen till initiativet och beskrivning av arbetets struktur. </w:t>
      </w:r>
    </w:p>
    <w:p>
      <w:pPr>
        <w:pStyle w:val="P68B1DB1Normal76"/>
        <w:widowControl w:val="false"/>
        <w:spacing w:lineRule="exact" w:line="362"/>
        <w:ind w:left="360" w:right="0" w:hanging="0"/>
        <w:jc w:val="left"/>
        <w:rPr/>
      </w:pPr>
      <w:r>
        <w:rPr/>
        <w:t xml:space="preserve">• </w:t>
      </w:r>
      <w:r>
        <w:rPr/>
        <w:t xml:space="preserve">15:00 – Fördelning av deltagare i grupper baserat på de preferenser som anges under ansökningsfasen. </w:t>
      </w:r>
    </w:p>
    <w:p>
      <w:pPr>
        <w:pStyle w:val="P68B1DB1Normal76"/>
        <w:widowControl w:val="false"/>
        <w:spacing w:lineRule="exact" w:line="362"/>
        <w:ind w:left="360" w:right="0" w:hanging="0"/>
        <w:jc w:val="left"/>
        <w:rPr/>
      </w:pPr>
      <w:r>
        <w:rPr/>
        <w:t xml:space="preserve">• </w:t>
      </w:r>
      <w:r>
        <w:rPr/>
        <w:t xml:space="preserve">16:20 – Inledning av gruppdiskussionen. </w:t>
      </w:r>
    </w:p>
    <w:p>
      <w:pPr>
        <w:pStyle w:val="P68B1DB1Normal76"/>
        <w:widowControl w:val="false"/>
        <w:spacing w:lineRule="exact" w:line="362"/>
        <w:ind w:left="360" w:right="0" w:hanging="0"/>
        <w:jc w:val="left"/>
        <w:rPr/>
      </w:pPr>
      <w:r>
        <w:rPr/>
        <w:t xml:space="preserve">• </w:t>
      </w:r>
      <w:r>
        <w:rPr/>
        <w:t xml:space="preserve">Kl. 20.00 – Avslut av sessionen. </w:t>
      </w:r>
    </w:p>
    <w:p>
      <w:pPr>
        <w:pStyle w:val="P68B1DB1Normal80"/>
        <w:widowControl w:val="false"/>
        <w:spacing w:lineRule="exact" w:line="393" w:before="248" w:after="0"/>
        <w:ind w:left="0" w:right="0" w:hanging="0"/>
        <w:jc w:val="left"/>
        <w:rPr/>
      </w:pPr>
      <w:r>
        <w:rPr/>
        <w:t xml:space="preserve">Andra sammanträdet (lördag 12 mars 2022) </w:t>
      </w:r>
    </w:p>
    <w:p>
      <w:pPr>
        <w:pStyle w:val="P68B1DB1Normal76"/>
        <w:widowControl w:val="false"/>
        <w:spacing w:lineRule="exact" w:line="362" w:before="208" w:after="0"/>
        <w:ind w:left="360" w:right="0" w:hanging="0"/>
        <w:jc w:val="left"/>
        <w:rPr/>
      </w:pPr>
      <w:r>
        <w:rPr/>
        <w:t xml:space="preserve">• </w:t>
      </w:r>
      <w:r>
        <w:rPr/>
        <w:t xml:space="preserve">10 – Återupptagande av arbetet genom att läsa resultaten av arbetet den första dagen. </w:t>
      </w:r>
    </w:p>
    <w:p>
      <w:pPr>
        <w:pStyle w:val="P68B1DB1Normal76"/>
        <w:widowControl w:val="false"/>
        <w:spacing w:lineRule="exact" w:line="254"/>
        <w:ind w:left="360" w:right="140" w:hanging="0"/>
        <w:jc w:val="left"/>
        <w:rPr/>
      </w:pPr>
      <w:r>
        <w:rPr/>
        <w:t xml:space="preserve">• </w:t>
      </w:r>
      <w:r>
        <w:rPr/>
        <w:t xml:space="preserve">Kl. 10.15 – Fortsatt diskussion, djupgående diskussioner och kommentarer från deltagarna. </w:t>
      </w:r>
    </w:p>
    <w:p>
      <w:pPr>
        <w:pStyle w:val="Normal"/>
        <w:widowControl w:val="false"/>
        <w:spacing w:lineRule="exact" w:line="362"/>
        <w:ind w:left="360" w:right="0" w:hanging="0"/>
        <w:jc w:val="left"/>
        <w:rPr/>
      </w:pPr>
      <w:r>
        <w:rPr>
          <w:color w:val="000000"/>
        </w:rPr>
        <w:t xml:space="preserve">• </w:t>
      </w:r>
      <w:r>
        <w:rPr>
          <w:color w:val="000000"/>
        </w:rPr>
        <w:t>12.00 – Slutförande av arbetet</w:t>
      </w:r>
      <w:r>
        <w:rPr>
          <w:color w:val="FF0000"/>
        </w:rPr>
        <w:t>.</w:t>
      </w:r>
      <w:r>
        <w:rPr>
          <w:color w:val="000000"/>
        </w:rPr>
        <w:t xml:space="preserve"> </w:t>
      </w:r>
    </w:p>
    <w:p>
      <w:pPr>
        <w:pStyle w:val="P68B1DB1Normal34"/>
        <w:widowControl w:val="false"/>
        <w:spacing w:lineRule="exact" w:line="393"/>
        <w:ind w:left="360" w:right="0" w:hanging="0"/>
        <w:jc w:val="left"/>
        <w:rPr/>
      </w:pPr>
      <w:r>
        <w:rPr/>
        <w:t xml:space="preserve"> </w:t>
      </w:r>
    </w:p>
    <w:p>
      <w:pPr>
        <w:pStyle w:val="Normal"/>
        <w:spacing w:lineRule="auto" w:line="240" w:before="5420" w:after="57"/>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6120130" cy="3441700"/>
            <wp:effectExtent l="0" t="0" r="0" b="0"/>
            <wp:wrapTopAndBottom/>
            <wp:docPr id="105" name="Bild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45" descr=""/>
                    <pic:cNvPicPr>
                      <a:picLocks noChangeAspect="1" noChangeArrowheads="1"/>
                    </pic:cNvPicPr>
                  </pic:nvPicPr>
                  <pic:blipFill>
                    <a:blip r:embed="rId110"/>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pPr>
      <w:bookmarkStart w:id="220" w:name="__RefHeading___Toc300316_1346298689"/>
      <w:bookmarkEnd w:id="220"/>
      <w:r>
        <w:rPr/>
        <w:t xml:space="preserve">5. Rekommendationer gjorda </w:t>
      </w:r>
    </w:p>
    <w:p>
      <w:pPr>
        <w:pStyle w:val="Titre3"/>
        <w:numPr>
          <w:ilvl w:val="2"/>
          <w:numId w:val="2"/>
        </w:numPr>
        <w:rPr/>
      </w:pPr>
      <w:bookmarkStart w:id="221" w:name="__RefHeading___Toc300318_1346298689"/>
      <w:bookmarkEnd w:id="221"/>
      <w:r>
        <w:rPr>
          <w:color w:val="FFFFFF"/>
          <w:highlight w:val="darkCyan"/>
        </w:rPr>
        <w:t>En starkare ekonomi, social rättvisa och sysselsättning</w:t>
      </w:r>
      <w:r>
        <w:rPr/>
        <w:t xml:space="preserve"> </w:t>
      </w:r>
    </w:p>
    <w:p>
      <w:pPr>
        <w:pStyle w:val="P68B1DB1Normal19"/>
        <w:widowControl w:val="false"/>
        <w:spacing w:lineRule="auto" w:line="240" w:before="106" w:after="0"/>
        <w:ind w:left="0" w:right="0" w:hanging="0"/>
        <w:jc w:val="left"/>
        <w:rPr/>
      </w:pPr>
      <w:r>
        <w:rPr/>
        <w:t xml:space="preserve"> </w:t>
      </w:r>
    </w:p>
    <w:p>
      <w:pPr>
        <w:pStyle w:val="P68B1DB1Titre481"/>
        <w:numPr>
          <w:ilvl w:val="0"/>
          <w:numId w:val="2"/>
        </w:numPr>
        <w:rPr/>
      </w:pPr>
      <w:bookmarkStart w:id="222" w:name="__RefHeading___Toc300428_1346298689"/>
      <w:bookmarkEnd w:id="222"/>
      <w:r>
        <w:rPr/>
        <w:t xml:space="preserve">1. Att övervinna det senaste århundradets produktionsmodell </w:t>
      </w:r>
    </w:p>
    <w:p>
      <w:pPr>
        <w:pStyle w:val="P68B1DB1Normal76"/>
        <w:widowControl w:val="false"/>
        <w:spacing w:lineRule="auto" w:line="240" w:before="80" w:after="0"/>
        <w:ind w:left="0" w:right="1" w:hanging="0"/>
        <w:jc w:val="both"/>
        <w:rPr/>
      </w:pPr>
      <w:r>
        <w:rPr/>
        <w:t xml:space="preserve">Paneldeltagarna ansåg att de senaste globala händelserna (covid-19-pandemin och konflikten mellan Ryssland och Ukraina) skenbart visade på begränsningarna i den nuvarande europeiska produktionsmodellen och betonade behovet av att se över ett tillvägagångssätt som många beskriver som ”hörande till det senaste århundradet”.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2" w:hanging="0"/>
        <w:jc w:val="both"/>
        <w:rPr/>
      </w:pPr>
      <w:r>
        <w:rPr/>
        <w:t xml:space="preserve">Bevis på Europas beroende av import av energi och livsmedel från länder utanför Europeiska unionen, liksom upptäckten (under pandemin) att vi inte på egen hand kan producera den mängd medicintekniska produkter och vacciner som behövs för att bekämpa virusets spridning, har gett upphov till intrycket att vårt ekonomiska system lider av strukturell svaghet på grund av brist på självförsörjning.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3" w:hanging="0"/>
        <w:jc w:val="both"/>
        <w:rPr/>
      </w:pPr>
      <w:r>
        <w:rPr/>
        <w:t xml:space="preserve">Samtidigt anser deltagarna tydligt att en starkare ekonomi, som kan skapa arbetstillfällen inom ramen för social rättvisa, måste kunna förvärva viktiga tekniska tillgångar. För att göra detta är det viktigt att stödja ett utbildningssystem med ständigt ökande uppmärksamhet på STEM-relaterade ämnen.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b/>
        </w:rPr>
        <w:t>Teknisk innovation, hållbar energi, men även turism och kultur</w:t>
      </w:r>
      <w:r>
        <w:rPr/>
        <w:t xml:space="preserve"> verkar vara tre grundläggande områden för utvecklingen av morgondagens europeiska ekonomi, med särskild tonvikt på att upprätthålla basproduktionen för att undvika risken för ett alltför stort beroende av tredjeländer av försörjningen av viktiga produkter och råvaror. </w:t>
      </w:r>
    </w:p>
    <w:p>
      <w:pPr>
        <w:pStyle w:val="P68B1DB1Normal82"/>
        <w:widowControl w:val="false"/>
        <w:spacing w:lineRule="auto" w:line="240"/>
        <w:ind w:left="4819" w:right="0" w:hanging="0"/>
        <w:jc w:val="left"/>
        <w:rPr/>
      </w:pPr>
      <w:r>
        <w:rPr/>
        <w:t xml:space="preserve"> </w:t>
      </w:r>
    </w:p>
    <w:p>
      <w:pPr>
        <w:pStyle w:val="P68B1DB1Normal83"/>
        <w:widowControl w:val="false"/>
        <w:spacing w:lineRule="auto" w:line="240" w:before="84" w:after="0"/>
        <w:ind w:left="3000" w:right="0" w:hanging="0"/>
        <w:jc w:val="left"/>
        <w:rPr/>
      </w:pPr>
      <w:r>
        <w:rPr/>
        <w:t xml:space="preserve">REKOMMENDATIONER I KORTHET </w:t>
      </w:r>
    </w:p>
    <w:p>
      <w:pPr>
        <w:pStyle w:val="P68B1DB1Normal84"/>
        <w:widowControl w:val="false"/>
        <w:spacing w:lineRule="auto" w:line="240" w:before="69" w:after="0"/>
        <w:ind w:left="283" w:right="0" w:hanging="0"/>
        <w:jc w:val="left"/>
        <w:rPr/>
      </w:pPr>
      <w:r>
        <w:rPr>
          <w:color w:val="BD1271"/>
        </w:rPr>
        <w:t xml:space="preserve">1. </w:t>
      </w:r>
      <w:r>
        <w:rPr>
          <w:color w:val="000000"/>
        </w:rPr>
        <w:t>Vidta effektiva åtgärder mot klimatförändringar och alternativ energi.</w:t>
      </w:r>
    </w:p>
    <w:p>
      <w:pPr>
        <w:pStyle w:val="P68B1DB1Normal84"/>
        <w:widowControl w:val="false"/>
        <w:spacing w:lineRule="auto" w:line="240"/>
        <w:ind w:left="283" w:right="0" w:hanging="0"/>
        <w:jc w:val="left"/>
        <w:rPr/>
      </w:pPr>
      <w:r>
        <w:rPr>
          <w:color w:val="BD1271"/>
        </w:rPr>
        <w:t xml:space="preserve">2. </w:t>
      </w:r>
      <w:r>
        <w:rPr>
          <w:color w:val="000000"/>
        </w:rPr>
        <w:t>Investera i turism och kulturekonomi och värdera de många små resmålen i Europa.</w:t>
      </w:r>
    </w:p>
    <w:p>
      <w:pPr>
        <w:pStyle w:val="P68B1DB1Normal84"/>
        <w:widowControl w:val="false"/>
        <w:spacing w:lineRule="auto" w:line="240"/>
        <w:ind w:left="283" w:right="0" w:hanging="0"/>
        <w:jc w:val="left"/>
        <w:rPr/>
      </w:pPr>
      <w:r>
        <w:rPr>
          <w:color w:val="BD1271"/>
        </w:rPr>
        <w:t xml:space="preserve">3. </w:t>
      </w:r>
      <w:r>
        <w:rPr>
          <w:color w:val="000000"/>
        </w:rPr>
        <w:t>Fokus på teknik och innovation som drivkrafter för tillväxt.</w:t>
      </w:r>
    </w:p>
    <w:p>
      <w:pPr>
        <w:pStyle w:val="P68B1DB1Normal84"/>
        <w:widowControl w:val="false"/>
        <w:spacing w:lineRule="auto" w:line="240"/>
        <w:ind w:left="283" w:right="0" w:hanging="0"/>
        <w:jc w:val="left"/>
        <w:rPr/>
      </w:pPr>
      <w:r>
        <w:rPr>
          <w:color w:val="BD1271"/>
        </w:rPr>
        <w:t xml:space="preserve">4. </w:t>
      </w:r>
      <w:r>
        <w:rPr>
          <w:color w:val="000000"/>
        </w:rPr>
        <w:t>Minska beroendet av råvaror, energikällor och jordbruk från andra länder.</w:t>
      </w:r>
    </w:p>
    <w:p>
      <w:pPr>
        <w:pStyle w:val="P68B1DB1Normal84"/>
        <w:widowControl w:val="false"/>
        <w:spacing w:lineRule="auto" w:line="240"/>
        <w:ind w:left="283" w:right="0" w:hanging="0"/>
        <w:jc w:val="left"/>
        <w:rPr/>
      </w:pPr>
      <w:r>
        <w:rPr>
          <w:color w:val="BD1271"/>
        </w:rPr>
        <w:t xml:space="preserve">5. </w:t>
      </w:r>
      <w:r>
        <w:rPr>
          <w:color w:val="000000"/>
        </w:rPr>
        <w:t>Uppmuntra ungdomar att studera vetenskapliga ämnen.</w:t>
      </w:r>
    </w:p>
    <w:p>
      <w:pPr>
        <w:pStyle w:val="P68B1DB1Normal85"/>
        <w:widowControl w:val="false"/>
        <w:spacing w:lineRule="exact" w:line="460"/>
        <w:ind w:left="0" w:right="0" w:hanging="0"/>
        <w:jc w:val="left"/>
        <w:rPr/>
      </w:pPr>
      <w:r>
        <w:rPr/>
        <w:t xml:space="preserve"> </w:t>
      </w:r>
    </w:p>
    <w:p>
      <w:pPr>
        <w:pStyle w:val="P68B1DB1Titre481"/>
        <w:numPr>
          <w:ilvl w:val="0"/>
          <w:numId w:val="2"/>
        </w:numPr>
        <w:rPr/>
      </w:pPr>
      <w:bookmarkStart w:id="223" w:name="__RefHeading___Toc300430_1346298689"/>
      <w:bookmarkEnd w:id="223"/>
      <w:r>
        <w:rPr/>
        <w:t xml:space="preserve">2. Generativa och inkluderande produktionsregler </w:t>
      </w:r>
    </w:p>
    <w:p>
      <w:pPr>
        <w:pStyle w:val="P68B1DB1Normal76"/>
        <w:widowControl w:val="false"/>
        <w:spacing w:lineRule="auto" w:line="240" w:before="91" w:after="0"/>
        <w:ind w:left="0" w:right="2" w:hanging="0"/>
        <w:jc w:val="both"/>
        <w:rPr/>
      </w:pPr>
      <w:r>
        <w:rPr/>
        <w:t xml:space="preserve">För att övervinna det senaste århundradets ekonomiska logik är det också nödvändigt att se över de regler och förfaranden som styr affärsverksamheten. Det finns fyra rekommendationer i denna mening, som alla svarar på en gemensam logik: å ena sidan förenklingen av reglerna och å andra sidan upprätthållandet av en hög grad av vaksamhet mot överträdelser (särskilt när det gäller förfalskning och illojal konkurrens). </w:t>
      </w:r>
    </w:p>
    <w:p>
      <w:pPr>
        <w:pStyle w:val="P68B1DB1Normal76"/>
        <w:widowControl w:val="false"/>
        <w:spacing w:lineRule="auto" w:line="240" w:before="15" w:after="0"/>
        <w:ind w:left="0" w:right="2" w:hanging="0"/>
        <w:jc w:val="both"/>
        <w:rPr/>
      </w:pPr>
      <w:r>
        <w:rPr/>
        <w:t xml:space="preserve">Stor uppmärksamhet ägnas åt behovet av ekonomiska regler som i första hand är generativa, vilket i så hög grad som möjligt minskar de val som kräver standardisering av produktionsprocesserna (hotar specifika lokala produktioner med djupa kulturella rötter), men också förstörelsen av jordbruksvaror på grund av behovet av att bibehålla förutbestämda produktionsmängder. </w:t>
      </w:r>
    </w:p>
    <w:p>
      <w:pPr>
        <w:pStyle w:val="P68B1DB1Normal83"/>
        <w:widowControl w:val="false"/>
        <w:spacing w:lineRule="auto" w:line="240" w:before="6"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REKOMMENDATIONER I KORTHET </w:t>
      </w:r>
    </w:p>
    <w:p>
      <w:pPr>
        <w:pStyle w:val="P68B1DB1Normal84"/>
        <w:widowControl w:val="false"/>
        <w:spacing w:lineRule="auto" w:line="240" w:before="72" w:after="0"/>
        <w:ind w:left="142" w:right="0" w:hanging="0"/>
        <w:jc w:val="left"/>
        <w:rPr/>
      </w:pPr>
      <w:r>
        <w:rPr>
          <w:color w:val="BD1271"/>
        </w:rPr>
        <w:t xml:space="preserve">1. </w:t>
      </w:r>
      <w:r>
        <w:rPr>
          <w:color w:val="000000"/>
        </w:rPr>
        <w:t>Minska byråkratin (tillstånd, certifieringar).</w:t>
      </w:r>
    </w:p>
    <w:p>
      <w:pPr>
        <w:pStyle w:val="P68B1DB1Normal84"/>
        <w:widowControl w:val="false"/>
        <w:spacing w:lineRule="auto" w:line="240"/>
        <w:ind w:left="142" w:right="0" w:hanging="0"/>
        <w:jc w:val="left"/>
        <w:rPr/>
      </w:pPr>
      <w:r>
        <w:rPr>
          <w:color w:val="BD1271"/>
        </w:rPr>
        <w:t xml:space="preserve">2. </w:t>
      </w:r>
      <w:r>
        <w:rPr>
          <w:color w:val="000000"/>
        </w:rPr>
        <w:t>Minska standardiseringen av produkterna och erkänna lokala och regionala särdrag när det gäller kultur och produktion (respekt för produktionstraditioner).</w:t>
      </w:r>
    </w:p>
    <w:p>
      <w:pPr>
        <w:pStyle w:val="P68B1DB1Normal84"/>
        <w:widowControl w:val="false"/>
        <w:spacing w:lineRule="auto" w:line="240"/>
        <w:ind w:left="142" w:right="417" w:hanging="0"/>
        <w:jc w:val="left"/>
        <w:rPr/>
      </w:pPr>
      <w:r>
        <w:rPr>
          <w:color w:val="BD1271"/>
        </w:rPr>
        <w:t xml:space="preserve">3. </w:t>
      </w:r>
      <w:r>
        <w:rPr>
          <w:color w:val="000000"/>
        </w:rPr>
        <w:t>Överskrida logiken i kvoterna i jordbruksproduktionen och den resulterande destruktionen av överskottsproduktionen.</w:t>
      </w:r>
    </w:p>
    <w:p>
      <w:pPr>
        <w:pStyle w:val="P68B1DB1Normal84"/>
        <w:widowControl w:val="false"/>
        <w:spacing w:lineRule="auto" w:line="240"/>
        <w:ind w:left="142" w:right="0" w:hanging="0"/>
        <w:jc w:val="left"/>
        <w:rPr/>
      </w:pPr>
      <w:r>
        <w:rPr>
          <w:color w:val="BD1271"/>
        </w:rPr>
        <w:t xml:space="preserve">4. </w:t>
      </w:r>
      <w:r>
        <w:rPr>
          <w:color w:val="000000"/>
        </w:rPr>
        <w:t>Bekämpning av varumärkesförfalskning och illojal konkurrens.</w:t>
      </w:r>
    </w:p>
    <w:p>
      <w:pPr>
        <w:pStyle w:val="P68B1DB1Normal86"/>
        <w:widowControl w:val="false"/>
        <w:spacing w:lineRule="auto" w:line="240"/>
        <w:ind w:left="0" w:right="0" w:hanging="0"/>
        <w:jc w:val="left"/>
        <w:rPr/>
      </w:pPr>
      <w:r>
        <w:rPr/>
        <w:t xml:space="preserve"> </w:t>
      </w:r>
    </w:p>
    <w:p>
      <w:pPr>
        <w:pStyle w:val="P68B1DB1Titre487"/>
        <w:numPr>
          <w:ilvl w:val="0"/>
          <w:numId w:val="2"/>
        </w:numPr>
        <w:rPr/>
      </w:pPr>
      <w:bookmarkStart w:id="224" w:name="__RefHeading___Toc300432_1346298689"/>
      <w:bookmarkEnd w:id="224"/>
      <w:r>
        <w:rPr/>
        <w:t xml:space="preserve">3. Att mäta tillväxten mot lycka i befolkningen snarare än mängden produkter </w:t>
      </w:r>
    </w:p>
    <w:p>
      <w:pPr>
        <w:pStyle w:val="P68B1DB1Normal76"/>
        <w:widowControl w:val="false"/>
        <w:spacing w:lineRule="auto" w:line="240" w:before="88" w:after="0"/>
        <w:ind w:left="0" w:right="0" w:hanging="0"/>
        <w:jc w:val="both"/>
        <w:rPr/>
      </w:pPr>
      <w:r>
        <w:rPr/>
        <w:t xml:space="preserve">Att gå längre än det senaste århundradets produktionsmodell innebär inte bara att man ändrar produktionsmetoderna utan också utvecklar en ny kultur där tillväxtindikatorerna inte bara är inriktade på mängden producerade varor utan också på förmågan att garantera medborgarna ett mål om lycka. I denna nya ekonomi kan varor inte stå i centrum för överväganden när det gäller effekter och investeringar, men denna plats måste återvända till människor. Detta innebär att man går från ett system med indikatorer baserat på mängden producerade varor (BNP) till ett system som kan mäta välfärden som produceras för människor (BIB – brutto inhemsk lycka). </w:t>
      </w:r>
    </w:p>
    <w:p>
      <w:pPr>
        <w:pStyle w:val="P68B1DB1Normal83"/>
        <w:widowControl w:val="false"/>
        <w:spacing w:lineRule="auto" w:line="240" w:before="8" w:after="0"/>
        <w:ind w:left="4819" w:right="0" w:hanging="0"/>
        <w:jc w:val="left"/>
        <w:rPr/>
      </w:pPr>
      <w:r>
        <w:rPr/>
        <w:t xml:space="preserve"> </w:t>
      </w:r>
    </w:p>
    <w:p>
      <w:pPr>
        <w:pStyle w:val="P68B1DB1Normal83"/>
        <w:widowControl w:val="false"/>
        <w:spacing w:lineRule="auto" w:line="240" w:before="69" w:after="0"/>
        <w:ind w:left="3079" w:right="0" w:hanging="0"/>
        <w:jc w:val="left"/>
        <w:rPr/>
      </w:pPr>
      <w:r>
        <w:rPr/>
        <w:t xml:space="preserve">REKOMMENDATION I KORTHET </w:t>
      </w:r>
    </w:p>
    <w:p>
      <w:pPr>
        <w:pStyle w:val="P68B1DB1Normal84"/>
        <w:widowControl w:val="false"/>
        <w:spacing w:lineRule="auto" w:line="240" w:before="69" w:after="0"/>
        <w:ind w:left="142" w:right="0" w:hanging="0"/>
        <w:jc w:val="left"/>
        <w:rPr/>
      </w:pPr>
      <w:r>
        <w:rPr>
          <w:color w:val="BD1271"/>
        </w:rPr>
        <w:t xml:space="preserve">1. </w:t>
      </w:r>
      <w:r>
        <w:rPr>
          <w:color w:val="000000"/>
        </w:rPr>
        <w:t>Utveckla en ekonomi som är mer inriktad på produktion av lycka (bruttohushållslycka) än på varor (bruttonationalprodukt).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pPr>
      <w:bookmarkStart w:id="225" w:name="__RefHeading___Toc300434_1346298689"/>
      <w:bookmarkEnd w:id="225"/>
      <w:r>
        <w:rPr/>
        <w:t xml:space="preserve">4. Större integration mellan staterna </w:t>
      </w:r>
    </w:p>
    <w:p>
      <w:pPr>
        <w:pStyle w:val="P68B1DB1Normal76"/>
        <w:widowControl w:val="false"/>
        <w:spacing w:lineRule="auto" w:line="240" w:before="49" w:after="0"/>
        <w:ind w:left="0" w:right="0" w:hanging="0"/>
        <w:jc w:val="both"/>
        <w:rPr/>
      </w:pPr>
      <w:r>
        <w:rPr/>
        <w:t xml:space="preserve">Vad som står klart för alla, även bland dem som är mindre nöjda med den nuvarande organisationen och de resultat som hittills uppnåtts av Europeiska unionen, är att en monetär union inte är tillräcklig och att Europa måste kunna utvecklas med ökande styrka som en sammanhängande politisk enhet som kan förhandla med en röst utanför och agera med större solidaritet internt. En starkare union är en viktig aspekt för att stärka Europeiska unionens politiska, handelsmässiga och produktiva styrka: de grundläggande lagarnas homogenitet och ett integrerat och sammanhängande system för beskattning av företag och medborgare, där löner och tjänster till medborgarna anpassas. Endast på detta sätt kommer vi att ha ett Europa som kan minska de sociala skillnaderna och främja livskvaliteten. </w:t>
      </w:r>
    </w:p>
    <w:p>
      <w:pPr>
        <w:pStyle w:val="P68B1DB1Normal76"/>
        <w:widowControl w:val="false"/>
        <w:spacing w:lineRule="auto" w:line="240" w:before="1" w:after="0"/>
        <w:ind w:left="0" w:right="2" w:hanging="0"/>
        <w:jc w:val="both"/>
        <w:rPr/>
      </w:pPr>
      <w:r>
        <w:rPr/>
        <w:t xml:space="preserve">Detta innebär att man inte går tillbaka till de senaste årens resultat och bevarar begreppet välfärdsstat, som paneldeltagarna har identifierat som de mest avancerade i världen och den mest oroade över att säkerställa lika möjligheter och social rättvisa för sina medborgare. </w:t>
      </w:r>
    </w:p>
    <w:p>
      <w:pPr>
        <w:pStyle w:val="P68B1DB1Normal83"/>
        <w:widowControl w:val="false"/>
        <w:spacing w:lineRule="auto" w:line="240" w:before="72" w:after="0"/>
        <w:ind w:left="3000" w:right="0" w:hanging="0"/>
        <w:jc w:val="left"/>
        <w:rPr/>
      </w:pPr>
      <w:r>
        <w:rPr/>
        <w:t xml:space="preserve">REKOMMENDATIONER I KORTHET </w:t>
      </w:r>
    </w:p>
    <w:p>
      <w:pPr>
        <w:pStyle w:val="P68B1DB1Normal84"/>
        <w:widowControl w:val="false"/>
        <w:spacing w:lineRule="auto" w:line="240" w:before="69" w:after="0"/>
        <w:ind w:left="283" w:right="0" w:hanging="0"/>
        <w:jc w:val="left"/>
        <w:rPr/>
      </w:pPr>
      <w:r>
        <w:rPr>
          <w:color w:val="BD1271"/>
        </w:rPr>
        <w:t xml:space="preserve">1. </w:t>
      </w:r>
      <w:r>
        <w:rPr>
          <w:color w:val="000000"/>
        </w:rPr>
        <w:t>Kompromissa inte om sociala rättigheter (folkhälsa, offentlig utbildning, arbetsmarknadspolitik).</w:t>
      </w:r>
    </w:p>
    <w:p>
      <w:pPr>
        <w:pStyle w:val="P68B1DB1Normal84"/>
        <w:widowControl w:val="false"/>
        <w:spacing w:lineRule="auto" w:line="240"/>
        <w:ind w:left="283" w:right="0" w:hanging="0"/>
        <w:jc w:val="left"/>
        <w:rPr/>
      </w:pPr>
      <w:r>
        <w:rPr>
          <w:color w:val="BD1271"/>
        </w:rPr>
        <w:t xml:space="preserve">2. </w:t>
      </w:r>
      <w:r>
        <w:rPr>
          <w:color w:val="000000"/>
        </w:rPr>
        <w:t>Konsolidera vad som har gjorts när det gäller den gemensamma valutan och sammankopplingen av betalningssystem och telekommunikation.</w:t>
      </w:r>
    </w:p>
    <w:p>
      <w:pPr>
        <w:pStyle w:val="P68B1DB1Normal88"/>
        <w:widowControl w:val="false"/>
        <w:spacing w:lineRule="auto" w:line="240"/>
        <w:ind w:left="0" w:right="0" w:hanging="0"/>
        <w:jc w:val="left"/>
        <w:rPr/>
      </w:pPr>
      <w:r>
        <w:rPr/>
        <w:t xml:space="preserve"> </w:t>
      </w:r>
    </w:p>
    <w:p>
      <w:pPr>
        <w:pStyle w:val="P68B1DB1Normal76"/>
        <w:widowControl w:val="false"/>
        <w:spacing w:lineRule="auto" w:line="240" w:before="57" w:after="0"/>
        <w:ind w:left="0" w:right="0" w:hanging="0"/>
        <w:jc w:val="both"/>
        <w:rPr/>
      </w:pPr>
      <w:r>
        <w:rPr/>
        <w:t xml:space="preserve">I dag verkar dock allt som har gjorts i det förflutna inte längre vara tillräckligt, och framtidens Europa måste ta ett avgörande steg framåt när det gäller integrationen mellan medlemsstaterna, enligt en intern vision som inte längre bygger på konkurrens utan på samarbete, så att alla EU-medborgare kan ha samma system för garantier och möjligheter i alla unionens medlemsstater. </w:t>
      </w:r>
    </w:p>
    <w:p>
      <w:pPr>
        <w:pStyle w:val="P68B1DB1Normal34"/>
        <w:widowControl w:val="false"/>
        <w:spacing w:lineRule="auto" w:line="240" w:before="3" w:after="0"/>
        <w:ind w:left="0" w:right="0" w:hanging="0"/>
        <w:jc w:val="left"/>
        <w:rPr/>
      </w:pPr>
      <w:r>
        <w:rPr/>
        <w:t xml:space="preserve"> </w:t>
      </w:r>
    </w:p>
    <w:p>
      <w:pPr>
        <w:pStyle w:val="P68B1DB1Normal83"/>
        <w:widowControl w:val="false"/>
        <w:spacing w:lineRule="auto" w:line="240" w:before="81" w:after="0"/>
        <w:ind w:left="3000" w:right="0" w:hanging="0"/>
        <w:jc w:val="left"/>
        <w:rPr/>
      </w:pPr>
      <w:r>
        <w:rPr/>
        <w:t xml:space="preserve">REKOMMENDATIONER I KORTHET </w:t>
      </w:r>
    </w:p>
    <w:p>
      <w:pPr>
        <w:pStyle w:val="P68B1DB1Normal84"/>
        <w:widowControl w:val="false"/>
        <w:spacing w:lineRule="auto" w:line="240" w:before="72" w:after="0"/>
        <w:ind w:left="283" w:right="0" w:hanging="0"/>
        <w:jc w:val="left"/>
        <w:rPr/>
      </w:pPr>
      <w:r>
        <w:rPr>
          <w:color w:val="BD1271"/>
        </w:rPr>
        <w:t xml:space="preserve">1. </w:t>
      </w:r>
      <w:r>
        <w:rPr>
          <w:color w:val="000000"/>
        </w:rPr>
        <w:t>Gå bortom själviskheten i stater och tendensen att söka individuella fördelar på bekostnad av andra.</w:t>
      </w:r>
    </w:p>
    <w:p>
      <w:pPr>
        <w:pStyle w:val="P68B1DB1Normal84"/>
        <w:widowControl w:val="false"/>
        <w:spacing w:lineRule="auto" w:line="240"/>
        <w:ind w:left="283" w:right="0" w:hanging="0"/>
        <w:jc w:val="left"/>
        <w:rPr/>
      </w:pPr>
      <w:r>
        <w:rPr>
          <w:color w:val="BD1271"/>
        </w:rPr>
        <w:t xml:space="preserve">2. </w:t>
      </w:r>
      <w:r>
        <w:rPr>
          <w:color w:val="000000"/>
        </w:rPr>
        <w:t>Upprätta ett system med samma lagar, skattesystem, rättigheter och skyldigheter i alla länder.</w:t>
      </w:r>
    </w:p>
    <w:p>
      <w:pPr>
        <w:pStyle w:val="P68B1DB1Normal84"/>
        <w:widowControl w:val="false"/>
        <w:spacing w:lineRule="auto" w:line="240"/>
        <w:ind w:left="283" w:right="0" w:hanging="0"/>
        <w:jc w:val="left"/>
        <w:rPr/>
      </w:pPr>
      <w:r>
        <w:rPr>
          <w:color w:val="BD1271"/>
        </w:rPr>
        <w:t xml:space="preserve">3. </w:t>
      </w:r>
      <w:r>
        <w:rPr>
          <w:color w:val="000000"/>
        </w:rPr>
        <w:t>Samordnade skattesystem mellan olika stater, särskilt när det gäller företag (inga frizoner eller låg beskattning).</w:t>
      </w:r>
    </w:p>
    <w:p>
      <w:pPr>
        <w:pStyle w:val="P68B1DB1Normal84"/>
        <w:widowControl w:val="false"/>
        <w:spacing w:lineRule="auto" w:line="240"/>
        <w:ind w:left="283" w:right="416" w:hanging="0"/>
        <w:jc w:val="left"/>
        <w:rPr/>
      </w:pPr>
      <w:r>
        <w:rPr>
          <w:color w:val="BD1271"/>
        </w:rPr>
        <w:t xml:space="preserve">4. </w:t>
      </w:r>
      <w:r>
        <w:rPr>
          <w:color w:val="000000"/>
        </w:rPr>
        <w:t>Konsekventa priser på produkter och garantier för lika köpkraft mellan olika stater.</w:t>
      </w:r>
    </w:p>
    <w:p>
      <w:pPr>
        <w:pStyle w:val="P68B1DB1Normal84"/>
        <w:widowControl w:val="false"/>
        <w:spacing w:lineRule="auto" w:line="240"/>
        <w:ind w:left="283" w:right="416" w:hanging="0"/>
        <w:jc w:val="left"/>
        <w:rPr/>
      </w:pPr>
      <w:r>
        <w:rPr>
          <w:color w:val="BD1271"/>
        </w:rPr>
        <w:t xml:space="preserve">5. </w:t>
      </w:r>
      <w:r>
        <w:rPr>
          <w:color w:val="000000"/>
        </w:rPr>
        <w:t>Minska löneskillnaderna mellan olika stater och geografiska regioner inom samma land.</w:t>
      </w:r>
    </w:p>
    <w:p>
      <w:pPr>
        <w:pStyle w:val="P68B1DB1Normal84"/>
        <w:widowControl w:val="false"/>
        <w:spacing w:lineRule="auto" w:line="240"/>
        <w:ind w:left="283" w:right="416" w:hanging="0"/>
        <w:jc w:val="left"/>
        <w:rPr/>
      </w:pPr>
      <w:r>
        <w:rPr>
          <w:color w:val="BD1271"/>
        </w:rPr>
        <w:t xml:space="preserve">6. </w:t>
      </w:r>
      <w:r>
        <w:rPr>
          <w:color w:val="000000"/>
        </w:rPr>
        <w:t>Göra flera medlemsstaters statsskuld till ett gemensamt ansvar.</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pPr>
      <w:bookmarkStart w:id="226" w:name="__RefHeading___Toc300436_1346298689"/>
      <w:bookmarkEnd w:id="226"/>
      <w:r>
        <w:rPr/>
        <w:t xml:space="preserve">5. Integrationspolitik </w:t>
      </w:r>
    </w:p>
    <w:p>
      <w:pPr>
        <w:pStyle w:val="P68B1DB1Normal76"/>
        <w:widowControl w:val="false"/>
        <w:spacing w:lineRule="auto" w:line="240" w:before="88" w:after="0"/>
        <w:ind w:left="0" w:right="0" w:hanging="0"/>
        <w:jc w:val="both"/>
        <w:rPr/>
      </w:pPr>
      <w:r>
        <w:rPr/>
        <w:t xml:space="preserve">Ett rättvist Europa som kan erbjuda sina medborgare lycka är ett Europa för alla som alltid ägnar stor uppmärksamhet åt kampen mot ojämlikhet. Rekommendationerna visar vägen framåt för att uppnå långvariga mål (t.ex. jämställdhet) och fastställer nya krav i samband med den kulturella omvandlingen av moderna samhällen (digital ojämlikhet och rätten att leva i en hälsosam miljö). </w:t>
      </w:r>
    </w:p>
    <w:p>
      <w:pPr>
        <w:pStyle w:val="P68B1DB1Normal89"/>
        <w:widowControl w:val="false"/>
        <w:spacing w:lineRule="auto" w:line="240" w:before="74"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REKOMMENDATIONER I KORTHET </w:t>
      </w:r>
    </w:p>
    <w:p>
      <w:pPr>
        <w:pStyle w:val="P68B1DB1Normal84"/>
        <w:widowControl w:val="false"/>
        <w:spacing w:lineRule="auto" w:line="240" w:before="69" w:after="0"/>
        <w:ind w:left="283" w:right="0" w:hanging="0"/>
        <w:jc w:val="left"/>
        <w:rPr/>
      </w:pPr>
      <w:r>
        <w:rPr>
          <w:color w:val="BD1271"/>
        </w:rPr>
        <w:t xml:space="preserve">1. </w:t>
      </w:r>
      <w:r>
        <w:rPr>
          <w:color w:val="000000"/>
        </w:rPr>
        <w:t>Uppnå full jämställdhet, bland annat genom att stärka föräldraledigheten och barnomsorgen.</w:t>
      </w:r>
    </w:p>
    <w:p>
      <w:pPr>
        <w:pStyle w:val="P68B1DB1Normal84"/>
        <w:widowControl w:val="false"/>
        <w:spacing w:lineRule="auto" w:line="240"/>
        <w:ind w:left="283" w:right="0" w:hanging="0"/>
        <w:jc w:val="left"/>
        <w:rPr/>
      </w:pPr>
      <w:r>
        <w:rPr>
          <w:color w:val="BD1271"/>
        </w:rPr>
        <w:t xml:space="preserve">2. </w:t>
      </w:r>
      <w:r>
        <w:rPr>
          <w:color w:val="000000"/>
        </w:rPr>
        <w:t>Att ta itu med digitala ojämlikheter.</w:t>
      </w:r>
    </w:p>
    <w:p>
      <w:pPr>
        <w:pStyle w:val="P68B1DB1Normal84"/>
        <w:widowControl w:val="false"/>
        <w:spacing w:lineRule="auto" w:line="240"/>
        <w:ind w:left="283" w:right="0" w:hanging="0"/>
        <w:jc w:val="left"/>
        <w:rPr/>
      </w:pPr>
      <w:r>
        <w:rPr>
          <w:color w:val="BD1271"/>
        </w:rPr>
        <w:t xml:space="preserve">3. </w:t>
      </w:r>
      <w:r>
        <w:rPr>
          <w:color w:val="000000"/>
        </w:rPr>
        <w:t>Se till att alla EU-medborgare kan leva i en hälsosam och hållbar miljö.</w:t>
      </w:r>
    </w:p>
    <w:p>
      <w:pPr>
        <w:pStyle w:val="P68B1DB1Normal84"/>
        <w:widowControl w:val="false"/>
        <w:spacing w:lineRule="auto" w:line="240"/>
        <w:ind w:left="283" w:right="0" w:hanging="0"/>
        <w:jc w:val="left"/>
        <w:rPr/>
      </w:pPr>
      <w:r>
        <w:rPr>
          <w:color w:val="BD1271"/>
        </w:rPr>
        <w:t xml:space="preserve">4. </w:t>
      </w:r>
      <w:r>
        <w:rPr>
          <w:color w:val="000000"/>
        </w:rPr>
        <w:t>Säkerställa möjligheter till social rörlighet och har därför alla möjligheter till personlig utveckling och självbestämmande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Främja förnyelse av generationer på alla nivåer</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Hantera mottagandet av flyktingar och migranter på ett balanserat sätt mellan olika stater.</w:t>
      </w:r>
    </w:p>
    <w:p>
      <w:pPr>
        <w:pStyle w:val="P68B1DB1Normal76"/>
        <w:widowControl w:val="false"/>
        <w:spacing w:lineRule="auto" w:line="240" w:before="106" w:after="0"/>
        <w:ind w:left="0" w:right="0" w:hanging="0"/>
        <w:jc w:val="both"/>
        <w:rPr/>
      </w:pPr>
      <w:r>
        <w:rPr/>
        <w:t xml:space="preserve">Än en gång verkar skolornas och utbildningspolitikens roll vara central, inte bara för att ge ungdomar de färdigheter de behöver för att komma in på arbetsmarknaden, utan också för att bygga upp en europeisk kultur. Efter att ha byggt upp ett Europa av institutioner är det viktigt att bygga ett folkens Europa. I detta avseende läggs tonvikten på att ett gemensamt språk är centralt för att möjliggöra dialog mellan medborgare i olika länder och lika tillgång till tjänster. När esperantos dröm kollapsade väckte Storbritanniens utträde ur Europeiska unionen tvivel om möjligheten att anta engelska som ett gemensamt språk, ett viktigt språk för internationella relationer och inom det vetenskapliga och ekonomiska systemet. </w:t>
      </w:r>
    </w:p>
    <w:p>
      <w:pPr>
        <w:pStyle w:val="P68B1DB1Normal90"/>
        <w:widowControl w:val="false"/>
        <w:spacing w:lineRule="auto" w:line="240" w:before="86" w:after="0"/>
        <w:ind w:left="0" w:right="0" w:hanging="0"/>
        <w:jc w:val="left"/>
        <w:rPr/>
      </w:pPr>
      <w:r>
        <w:rPr/>
        <w:t xml:space="preserve"> </w:t>
      </w:r>
    </w:p>
    <w:p>
      <w:pPr>
        <w:pStyle w:val="P68B1DB1Normal83"/>
        <w:widowControl w:val="false"/>
        <w:spacing w:lineRule="auto" w:line="240" w:before="45" w:after="0"/>
        <w:ind w:left="3142" w:right="0" w:hanging="0"/>
        <w:jc w:val="left"/>
        <w:rPr/>
      </w:pPr>
      <w:r>
        <w:rPr/>
        <w:t xml:space="preserve">REKOMMENDATIONER I KORTHET </w:t>
      </w:r>
    </w:p>
    <w:p>
      <w:pPr>
        <w:pStyle w:val="P68B1DB1Normal84"/>
        <w:widowControl w:val="false"/>
        <w:spacing w:lineRule="auto" w:line="240" w:before="72" w:after="0"/>
        <w:ind w:left="283" w:right="0" w:hanging="0"/>
        <w:jc w:val="left"/>
        <w:rPr/>
      </w:pPr>
      <w:r>
        <w:rPr>
          <w:color w:val="BD1271"/>
        </w:rPr>
        <w:t xml:space="preserve">1. </w:t>
      </w:r>
      <w:r>
        <w:rPr>
          <w:color w:val="000000"/>
        </w:rPr>
        <w:t>Främja antagandet av ett gemensamt språk.</w:t>
      </w:r>
    </w:p>
    <w:p>
      <w:pPr>
        <w:pStyle w:val="P68B1DB1Normal84"/>
        <w:widowControl w:val="false"/>
        <w:spacing w:lineRule="auto" w:line="240"/>
        <w:ind w:left="283" w:right="0" w:hanging="0"/>
        <w:jc w:val="left"/>
        <w:rPr/>
      </w:pPr>
      <w:r>
        <w:rPr>
          <w:color w:val="BD1271"/>
        </w:rPr>
        <w:t xml:space="preserve">2. </w:t>
      </w:r>
      <w:r>
        <w:rPr>
          <w:color w:val="000000"/>
        </w:rPr>
        <w:t>Investera i skolor och undervisning i europeisk historia snarare än i varje nation, liksom i undervisningen om politisk ekonomi och medborgarutbildning.</w:t>
      </w:r>
    </w:p>
    <w:p>
      <w:pPr>
        <w:pStyle w:val="P68B1DB1Normal84"/>
        <w:widowControl w:val="false"/>
        <w:spacing w:lineRule="auto" w:line="240"/>
        <w:ind w:left="283" w:right="417" w:hanging="0"/>
        <w:jc w:val="left"/>
        <w:rPr/>
      </w:pPr>
      <w:r>
        <w:rPr>
          <w:color w:val="BD1271"/>
        </w:rPr>
        <w:t xml:space="preserve">3. </w:t>
      </w:r>
      <w:r>
        <w:rPr>
          <w:color w:val="000000"/>
        </w:rPr>
        <w:t>Tillgång till kultur, utbildning och utbyte mellan studenter och medborgare i olika medlemsstater.</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Integrationspolitiken spelar en viktig roll när det gäller att se till att medborgarna har tillgång till möjligheter. I detta avseende betonade paneldeltagarna att Italien ofta inte kunde använda de EU-medel som ställts till förfogande för detta ändamål. Inkludering och tillgänglighet innebär att EU-institutionerna måste vara närmare sina medborgare och dessa begrepp går hand i hand med mer information och medvetenhet om de rättigheter som EU-medborgarna åtnjuter som sådana. Ur denna synvinkel har betydelsen av ett direkt förhållande mellan EU-institutionerna och medborgarna vuxit fram, utan att nödvändigtvis behöva förmedlas av medlemsstaterna.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REKOMMENDATIONER I KORTHET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Främja användningen av EU-medel för att minska ojämlikheten</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EU-institutionernas tillgänglighet och närhet till medborgarna.</w:t>
      </w:r>
    </w:p>
    <w:p>
      <w:pPr>
        <w:pStyle w:val="P68B1DB1Normal84"/>
        <w:widowControl w:val="false"/>
        <w:spacing w:lineRule="auto" w:line="240"/>
        <w:ind w:left="283" w:right="416" w:hanging="0"/>
        <w:jc w:val="left"/>
        <w:rPr/>
      </w:pPr>
      <w:r>
        <w:rPr>
          <w:color w:val="BD1271"/>
        </w:rPr>
        <w:t xml:space="preserve">3. </w:t>
      </w:r>
      <w:r>
        <w:rPr>
          <w:color w:val="000000"/>
        </w:rPr>
        <w:t>Tydligt informera medborgarna om deras rättigheter och möjligheter och främja medborgarnas direkta tillgång till dem.</w:t>
      </w:r>
    </w:p>
    <w:p>
      <w:pPr>
        <w:pStyle w:val="P68B1DB1Normal91"/>
        <w:widowControl w:val="false"/>
        <w:spacing w:lineRule="auto" w:line="240"/>
        <w:ind w:left="0" w:right="0" w:hanging="0"/>
        <w:jc w:val="left"/>
        <w:rPr/>
      </w:pPr>
      <w:r>
        <w:rPr/>
        <w:t xml:space="preserve"> </w:t>
      </w:r>
    </w:p>
    <w:p>
      <w:pPr>
        <w:pStyle w:val="P68B1DB1Titre481"/>
        <w:numPr>
          <w:ilvl w:val="0"/>
          <w:numId w:val="2"/>
        </w:numPr>
        <w:rPr/>
      </w:pPr>
      <w:bookmarkStart w:id="227" w:name="__RefHeading___Toc300438_1346298689"/>
      <w:bookmarkEnd w:id="227"/>
      <w:r>
        <w:rPr/>
        <w:t xml:space="preserve">6. Sysselsättning </w:t>
      </w:r>
    </w:p>
    <w:p>
      <w:pPr>
        <w:pStyle w:val="Normal"/>
        <w:widowControl w:val="false"/>
        <w:spacing w:lineRule="auto" w:line="240" w:before="97" w:after="0"/>
        <w:ind w:left="0" w:right="1" w:hanging="0"/>
        <w:jc w:val="both"/>
        <w:rPr/>
      </w:pPr>
      <w:r>
        <w:rPr>
          <w:color w:val="000000"/>
        </w:rPr>
        <w:t xml:space="preserve">Sysselsättningsfrågan har ständigt framkommit som ett övergripande inslag och en direkt effekt av EU:s förmåga att följa dess rekommendationer. Under debatten </w:t>
      </w:r>
      <w:r>
        <w:rPr>
          <w:color w:val="FF0000"/>
        </w:rPr>
        <w:t>mellan</w:t>
      </w:r>
      <w:r>
        <w:rPr>
          <w:color w:val="000000"/>
        </w:rPr>
        <w:t xml:space="preserve"> deltagarna stod det klart att sysselsättningsfrågan står i centrum för medborgarnas liv, men att den går hand i hand med stärkandet av ekonomiska och sociala rättsfrågor. En europeisk union där en aktiv arbetsmarknadspolitik förblir central och alltmer samordnad förväntas i hög grad. </w:t>
      </w:r>
    </w:p>
    <w:p>
      <w:pPr>
        <w:pStyle w:val="P68B1DB1Normal34"/>
        <w:widowControl w:val="false"/>
        <w:spacing w:lineRule="auto" w:line="240" w:before="77"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REKOMMENDATIONER I KORTHET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Främja handeln mellan arbetstagare i Europa genom ett europeiskt sysselsättningscentrum.</w:t>
      </w:r>
    </w:p>
    <w:p>
      <w:pPr>
        <w:pStyle w:val="P68B1DB1Normal84"/>
        <w:widowControl w:val="false"/>
        <w:spacing w:lineRule="auto" w:line="240"/>
        <w:ind w:left="283" w:right="0" w:hanging="0"/>
        <w:jc w:val="left"/>
        <w:rPr/>
      </w:pPr>
      <w:r>
        <w:rPr>
          <w:color w:val="BD1271"/>
        </w:rPr>
        <w:t xml:space="preserve">2. </w:t>
      </w:r>
      <w:r>
        <w:rPr>
          <w:color w:val="000000"/>
        </w:rPr>
        <w:t>Ha en integrerad sysselsättningspolitik på EU-nivå.</w:t>
      </w:r>
    </w:p>
    <w:p>
      <w:pPr>
        <w:pStyle w:val="P68B1DB1Normal84"/>
        <w:widowControl w:val="false"/>
        <w:spacing w:lineRule="auto" w:line="240"/>
        <w:ind w:left="283" w:right="0" w:hanging="0"/>
        <w:jc w:val="left"/>
        <w:rPr/>
      </w:pPr>
      <w:r>
        <w:rPr>
          <w:color w:val="BD1271"/>
        </w:rPr>
        <w:t xml:space="preserve">3. </w:t>
      </w:r>
      <w:r>
        <w:rPr>
          <w:color w:val="000000"/>
        </w:rPr>
        <w:t>Skapa incitament för företag som erbjuder arbetstillfällen.</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pPr>
      <w:bookmarkStart w:id="228" w:name="__RefHeading___Toc300320_1346298689"/>
      <w:bookmarkEnd w:id="228"/>
      <w:r>
        <w:rPr/>
        <w:t xml:space="preserve"> </w:t>
      </w:r>
      <w:r>
        <w:rPr/>
        <w:t xml:space="preserve">Europa i världen </w:t>
      </w:r>
    </w:p>
    <w:p>
      <w:pPr>
        <w:pStyle w:val="P68B1DB1Normal76"/>
        <w:widowControl w:val="false"/>
        <w:spacing w:lineRule="exact" w:line="380" w:before="143" w:after="0"/>
        <w:ind w:left="74" w:right="0" w:hanging="0"/>
        <w:jc w:val="both"/>
        <w:rPr/>
      </w:pPr>
      <w:r>
        <w:rPr/>
        <w:t xml:space="preserve">Den senaste tidens internationella händelser och i synnerhet kriget mellan Ryssland och Ukraina har haft ett stort inflytande på uppfattningen om den roll som Europa kommer att spela på internationell nivå. De rekommendationer som samlats in var främst inriktade på att stärka EU (både i fråga om identitet och ekonomisk makt) och att positionera det som en referens- och återhämtningsmodell i sina förbindelser med andra länder.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7">
                <wp:simplePos x="0" y="0"/>
                <wp:positionH relativeFrom="column">
                  <wp:posOffset>-166370</wp:posOffset>
                </wp:positionH>
                <wp:positionV relativeFrom="paragraph">
                  <wp:posOffset>67945</wp:posOffset>
                </wp:positionV>
                <wp:extent cx="6453505" cy="904875"/>
                <wp:effectExtent l="0" t="0" r="0" b="0"/>
                <wp:wrapTopAndBottom/>
                <wp:docPr id="106" name="Förlag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1"/>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den europeiska identiteten</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och institutionerna</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Samarbete och partnerskap</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Politisk och kulturell referenspunkt</w:t>
                              </w:r>
                            </w:p>
                          </w:txbxContent>
                        </wps:txbx>
                        <wps:bodyPr lIns="90000" rIns="90000" tIns="45000" bIns="45000">
                          <a:noAutofit/>
                        </wps:bodyPr>
                      </wps:wsp>
                    </wpg:wgp>
                  </a:graphicData>
                </a:graphic>
              </wp:anchor>
            </w:drawing>
          </mc:Choice>
          <mc:Fallback>
            <w:pict>
              <v:group id="shape_0" alt="Förlag7" style="position:absolute;margin-left:-13.1pt;margin-top:5.35pt;width:508.1pt;height:71.15pt" coordorigin="-262,107" coordsize="10162,1423">
                <v:shape id="shape_0" stroked="f" style="position:absolute;left:438;top:982;width:8699;height:548;rotation:180" type="shapetype_75">
                  <v:imagedata r:id="rId112" o:detectmouseclick="t"/>
                  <w10:wrap type="none"/>
                  <v:stroke color="#3465a4" joinstyle="round" endcap="flat"/>
                </v:shape>
                <v:rect id="shape_0" stroked="f" style="position:absolute;left:-262;top:293;width:2414;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den europeiska identiteten</w:t>
                        </w:r>
                      </w:p>
                    </w:txbxContent>
                  </v:textbox>
                  <w10:wrap type="square"/>
                  <v:fill o:detectmouseclick="t" on="false"/>
                  <v:stroke color="#3465a4" joinstyle="round" endcap="flat"/>
                </v:rect>
                <v:rect id="shape_0" stroked="f" style="position:absolute;left:2065;top:240;width:2576;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och institutionerna</w:t>
                        </w:r>
                      </w:p>
                    </w:txbxContent>
                  </v:textbox>
                  <w10:wrap type="square"/>
                  <v:fill o:detectmouseclick="t" on="false"/>
                  <v:stroke color="#3465a4" joinstyle="round" endcap="flat"/>
                </v:rect>
                <v:rect id="shape_0" stroked="f" style="position:absolute;left:5069;top:107;width:2502;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Samarbete och partnerskap</w:t>
                        </w:r>
                      </w:p>
                    </w:txbxContent>
                  </v:textbox>
                  <w10:wrap type="square"/>
                  <v:fill o:detectmouseclick="t" on="false"/>
                  <v:stroke color="#3465a4" joinstyle="round" endcap="flat"/>
                </v:rect>
                <v:rect id="shape_0" stroked="f" style="position:absolute;left:7369;top:120;width:2530;height:931">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Politisk och kulturell referenspunkt</w:t>
                        </w:r>
                      </w:p>
                    </w:txbxContent>
                  </v:textbox>
                  <w10:wrap type="square"/>
                  <v:fill o:detectmouseclick="t" on="false"/>
                  <v:stroke color="#3465a4" joinstyle="round" endcap="flat"/>
                </v:rect>
              </v:group>
            </w:pict>
          </mc:Fallback>
        </mc:AlternateContent>
      </w:r>
    </w:p>
    <w:p>
      <w:pPr>
        <w:pStyle w:val="P68B1DB1Titre481"/>
        <w:numPr>
          <w:ilvl w:val="0"/>
          <w:numId w:val="2"/>
        </w:numPr>
        <w:rPr/>
      </w:pPr>
      <w:bookmarkStart w:id="229" w:name="__RefHeading___Toc300440_1346298689"/>
      <w:bookmarkEnd w:id="229"/>
      <w:r>
        <w:rPr/>
        <w:t>1. Stärka den europeiska identiteten</w:t>
      </w:r>
    </w:p>
    <w:p>
      <w:pPr>
        <w:pStyle w:val="P68B1DB1Normal76"/>
        <w:widowControl w:val="false"/>
        <w:spacing w:lineRule="auto" w:line="240" w:before="106" w:after="0"/>
        <w:ind w:left="74" w:right="0" w:hanging="0"/>
        <w:jc w:val="both"/>
        <w:rPr/>
      </w:pPr>
      <w:r>
        <w:rPr/>
        <w:t xml:space="preserve">För att erkännas utanför sina gränser måste Europeiska unionen först visa sammanhållning internt, inte bara ekonomiskt och ekonomiskt, utan också i fråga om identitet och värderingar. En identitet som inte skapas genom godkännande utan genom tillvaratagande av lokala särdrag inom ramen för gemensamma väsentliga värden. </w:t>
      </w:r>
    </w:p>
    <w:p>
      <w:pPr>
        <w:pStyle w:val="P68B1DB1Normal76"/>
        <w:widowControl w:val="false"/>
        <w:spacing w:lineRule="auto" w:line="240" w:before="78" w:after="0"/>
        <w:ind w:left="74" w:right="1" w:hanging="0"/>
        <w:jc w:val="both"/>
        <w:rPr/>
      </w:pPr>
      <w:r>
        <w:rPr/>
        <w:t xml:space="preserve">Diskussionen om en eventuell utvidgning av unionens tillämpningsområde genomfördes också med detta i åtanke: enligt vissa paneldeltagare bör det inte ske på ett odifferentierat sätt, utan snarare fokusera på ömsesidigt erkännande av kultur och värderingar snarare än på ekonomiska standarder. </w:t>
      </w:r>
    </w:p>
    <w:p>
      <w:pPr>
        <w:pStyle w:val="P68B1DB1Normal83"/>
        <w:widowControl w:val="false"/>
        <w:spacing w:lineRule="auto" w:line="240" w:before="74" w:after="0"/>
        <w:ind w:left="4894" w:right="0" w:hanging="0"/>
        <w:jc w:val="left"/>
        <w:rPr/>
      </w:pPr>
      <w:r>
        <w:rPr/>
        <w:t xml:space="preserve"> </w:t>
      </w:r>
    </w:p>
    <w:p>
      <w:pPr>
        <w:pStyle w:val="P68B1DB1Normal74"/>
        <w:widowControl w:val="false"/>
        <w:spacing w:lineRule="auto" w:line="240" w:before="33" w:after="0"/>
        <w:ind w:left="3074" w:right="0" w:hanging="0"/>
        <w:jc w:val="left"/>
        <w:rPr/>
      </w:pPr>
      <w:r>
        <w:rPr>
          <w:b/>
          <w:sz w:val="24"/>
        </w:rPr>
        <w:t>REKOMMENDATIONER I KORTHET</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Stärka europeiska kulturella värden och särdrag samt regionala särdrag.</w:t>
      </w:r>
    </w:p>
    <w:p>
      <w:pPr>
        <w:pStyle w:val="P68B1DB1Normal84"/>
        <w:widowControl w:val="false"/>
        <w:spacing w:lineRule="auto" w:line="240"/>
        <w:ind w:left="358" w:right="0" w:hanging="0"/>
        <w:jc w:val="left"/>
        <w:rPr/>
      </w:pPr>
      <w:r>
        <w:rPr>
          <w:color w:val="BD1271"/>
        </w:rPr>
        <w:t xml:space="preserve">2. </w:t>
      </w:r>
      <w:r>
        <w:rPr>
          <w:color w:val="000000"/>
        </w:rPr>
        <w:t>Inrättande av ett institut för europeisk kultur för att främja en kultur av respekt och ömsesidig berikande mellan medborgare i olika stater.</w:t>
      </w:r>
    </w:p>
    <w:p>
      <w:pPr>
        <w:pStyle w:val="P68B1DB1Normal84"/>
        <w:widowControl w:val="false"/>
        <w:spacing w:lineRule="auto" w:line="240"/>
        <w:ind w:left="418" w:right="418" w:hanging="0"/>
        <w:jc w:val="both"/>
        <w:rPr/>
      </w:pPr>
      <w:r>
        <w:rPr>
          <w:color w:val="BD1271"/>
        </w:rPr>
        <w:t xml:space="preserve">3. </w:t>
      </w:r>
      <w:r>
        <w:rPr>
          <w:color w:val="000000"/>
        </w:rPr>
        <w:t>Omdefiniera principerna om tillhörighet för de nya kandidatländerna, med en förstärkning av faktorer som kulturell identitet och värderingar.</w:t>
      </w:r>
    </w:p>
    <w:p>
      <w:pPr>
        <w:pStyle w:val="P68B1DB1Normal34"/>
        <w:widowControl w:val="false"/>
        <w:spacing w:lineRule="auto" w:line="240"/>
        <w:ind w:left="74" w:right="0" w:hanging="0"/>
        <w:jc w:val="left"/>
        <w:rPr/>
      </w:pPr>
      <w:r>
        <w:rPr/>
        <w:t xml:space="preserve"> </w:t>
      </w:r>
    </w:p>
    <w:p>
      <w:pPr>
        <w:pStyle w:val="P68B1DB1Titre481"/>
        <w:numPr>
          <w:ilvl w:val="0"/>
          <w:numId w:val="2"/>
        </w:numPr>
        <w:rPr/>
      </w:pPr>
      <w:bookmarkStart w:id="230" w:name="__RefHeading___Toc300442_1346298689"/>
      <w:bookmarkEnd w:id="230"/>
      <w:r>
        <w:rPr/>
        <w:t xml:space="preserve">2. Stärka ekonomin och institutionerna </w:t>
      </w:r>
    </w:p>
    <w:p>
      <w:pPr>
        <w:pStyle w:val="P68B1DB1Normal76"/>
        <w:widowControl w:val="false"/>
        <w:spacing w:lineRule="auto" w:line="240" w:before="109" w:after="0"/>
        <w:ind w:left="0" w:right="0" w:hanging="0"/>
        <w:jc w:val="both"/>
        <w:rPr/>
      </w:pPr>
      <w:r>
        <w:rPr/>
        <w:t xml:space="preserve">Morgondagens Europa förväntas spela en ledande roll på internationell nivå, som endast kan antas med en stark och oberoende union från andra länder. Det är allmänt erkänt att EU-länderna är fattiga när det gäller råvaror, men det verkar viktigt att EU kan garantera större oberoende när det gäller energiförsörjning, jordbruk och tekniska produkter. </w:t>
      </w:r>
    </w:p>
    <w:p>
      <w:pPr>
        <w:pStyle w:val="P68B1DB1Normal76"/>
        <w:widowControl w:val="false"/>
        <w:spacing w:lineRule="auto" w:line="240" w:before="78" w:after="0"/>
        <w:ind w:left="0" w:right="1" w:hanging="0"/>
        <w:jc w:val="both"/>
        <w:rPr/>
      </w:pPr>
      <w:r>
        <w:rPr/>
        <w:t xml:space="preserve">Detta kräver särskilda investeringar för att komma ikapp på områden som teknik (där Europeiska unionen för närvarande inte verkar spela en ledande roll), men också inom livsmedels- och energisektorerna. </w:t>
      </w:r>
    </w:p>
    <w:p>
      <w:pPr>
        <w:pStyle w:val="P68B1DB1Normal76"/>
        <w:widowControl w:val="false"/>
        <w:spacing w:lineRule="auto" w:line="240" w:before="78" w:after="0"/>
        <w:ind w:left="0" w:right="2" w:hanging="0"/>
        <w:jc w:val="both"/>
        <w:rPr/>
      </w:pPr>
      <w:r>
        <w:rPr/>
        <w:t xml:space="preserve">Kriget mellan Ryssland och Ukraina har också satt i centrum för debatten vikten av en integrerad europeisk försvarspolitik, med en specifik identitet och större autonomi från Nato, utan att ifrågasätta dess medlemskap. </w:t>
      </w:r>
    </w:p>
    <w:p>
      <w:pPr>
        <w:pStyle w:val="P68B1DB1Normal76"/>
        <w:widowControl w:val="false"/>
        <w:spacing w:lineRule="auto" w:line="240" w:before="78" w:after="0"/>
        <w:ind w:left="0" w:right="1" w:hanging="0"/>
        <w:jc w:val="left"/>
        <w:rPr/>
      </w:pPr>
      <w:r>
        <w:rPr/>
        <w:t xml:space="preserve">Slutligen innebär detta tydliga val inför framtiden tillsammans med betydande investeringar i vetenskap och forskning för att öka de unga européernas kompetens.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REKOMMENDATIONER I KORTHET</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Förstärkning av den interna produktionskapaciteten: livsmedelskedjan (särskilt vete) och teknik (mikroprocessorer). </w:t>
      </w:r>
    </w:p>
    <w:p>
      <w:pPr>
        <w:pStyle w:val="P68B1DB1Normal84"/>
        <w:widowControl w:val="false"/>
        <w:spacing w:lineRule="auto" w:line="240"/>
        <w:ind w:left="283" w:right="0" w:hanging="0"/>
        <w:jc w:val="left"/>
        <w:rPr/>
      </w:pPr>
      <w:r>
        <w:rPr>
          <w:color w:val="BD1271"/>
        </w:rPr>
        <w:t xml:space="preserve">2. </w:t>
      </w:r>
      <w:r>
        <w:rPr>
          <w:color w:val="000000"/>
        </w:rPr>
        <w:t>Främja typiska regionala och europeiska produktioner.</w:t>
      </w:r>
    </w:p>
    <w:p>
      <w:pPr>
        <w:pStyle w:val="P68B1DB1Normal84"/>
        <w:widowControl w:val="false"/>
        <w:spacing w:lineRule="auto" w:line="240"/>
        <w:ind w:left="283" w:right="0" w:hanging="0"/>
        <w:jc w:val="left"/>
        <w:rPr/>
      </w:pPr>
      <w:r>
        <w:rPr>
          <w:color w:val="BD1271"/>
        </w:rPr>
        <w:t xml:space="preserve">3. </w:t>
      </w:r>
      <w:r>
        <w:rPr>
          <w:color w:val="000000"/>
        </w:rPr>
        <w:t>Stärka europeiska industrikluster (t.ex. stål).</w:t>
      </w:r>
    </w:p>
    <w:p>
      <w:pPr>
        <w:pStyle w:val="P68B1DB1Normal84"/>
        <w:widowControl w:val="false"/>
        <w:spacing w:lineRule="auto" w:line="240"/>
        <w:ind w:left="283" w:right="0" w:hanging="0"/>
        <w:jc w:val="left"/>
        <w:rPr/>
      </w:pPr>
      <w:r>
        <w:rPr>
          <w:color w:val="BD1271"/>
        </w:rPr>
        <w:t xml:space="preserve">4. </w:t>
      </w:r>
      <w:r>
        <w:rPr>
          <w:color w:val="000000"/>
        </w:rPr>
        <w:t>Stärka den lokala energiproduktionen ur ett ekologiskt perspektiv (gas, sol, vind).</w:t>
      </w:r>
    </w:p>
    <w:p>
      <w:pPr>
        <w:pStyle w:val="P68B1DB1Normal84"/>
        <w:widowControl w:val="false"/>
        <w:spacing w:lineRule="auto" w:line="240"/>
        <w:ind w:left="283" w:right="0" w:hanging="0"/>
        <w:jc w:val="left"/>
        <w:rPr/>
      </w:pPr>
      <w:r>
        <w:rPr>
          <w:color w:val="BD1271"/>
        </w:rPr>
        <w:t xml:space="preserve">5. </w:t>
      </w:r>
      <w:r>
        <w:rPr>
          <w:color w:val="000000"/>
        </w:rPr>
        <w:t>Utveckla flygteknik.</w:t>
      </w:r>
    </w:p>
    <w:p>
      <w:pPr>
        <w:pStyle w:val="P68B1DB1Normal84"/>
        <w:widowControl w:val="false"/>
        <w:spacing w:lineRule="auto" w:line="240"/>
        <w:ind w:left="283" w:right="417" w:hanging="0"/>
        <w:jc w:val="left"/>
        <w:rPr/>
      </w:pPr>
      <w:r>
        <w:rPr>
          <w:color w:val="BD1271"/>
        </w:rPr>
        <w:t xml:space="preserve">6. </w:t>
      </w:r>
      <w:r>
        <w:rPr>
          <w:color w:val="000000"/>
        </w:rPr>
        <w:t>Inrättande av europeiska vetenskapliga laboratorier (Europeiska virusbanken).</w:t>
      </w:r>
    </w:p>
    <w:p>
      <w:pPr>
        <w:pStyle w:val="P68B1DB1Normal84"/>
        <w:widowControl w:val="false"/>
        <w:spacing w:lineRule="auto" w:line="240"/>
        <w:ind w:left="283" w:right="417" w:hanging="0"/>
        <w:jc w:val="left"/>
        <w:rPr/>
      </w:pPr>
      <w:r>
        <w:rPr>
          <w:color w:val="BD1271"/>
        </w:rPr>
        <w:t xml:space="preserve">7. </w:t>
      </w:r>
      <w:r>
        <w:rPr>
          <w:color w:val="000000"/>
        </w:rPr>
        <w:t>Skapa en gemensam europeisk armé som agerar inom ramen för Nato, men också bidra till att gå längre.</w:t>
      </w:r>
    </w:p>
    <w:p>
      <w:pPr>
        <w:pStyle w:val="P68B1DB1Normal84"/>
        <w:widowControl w:val="false"/>
        <w:spacing w:lineRule="auto" w:line="240"/>
        <w:ind w:left="283" w:right="417" w:hanging="0"/>
        <w:jc w:val="left"/>
        <w:rPr/>
      </w:pPr>
      <w:r>
        <w:rPr>
          <w:color w:val="BD1271"/>
        </w:rPr>
        <w:t xml:space="preserve">8. </w:t>
      </w:r>
      <w:r>
        <w:rPr>
          <w:color w:val="000000"/>
        </w:rPr>
        <w:t>Investera i utbildning av utbildare (europeiska lärarutbyten, Erasmus för lärare).</w:t>
      </w:r>
    </w:p>
    <w:p>
      <w:pPr>
        <w:pStyle w:val="P68B1DB1Normal84"/>
        <w:widowControl w:val="false"/>
        <w:spacing w:lineRule="auto" w:line="240"/>
        <w:ind w:left="283" w:right="416" w:hanging="0"/>
        <w:jc w:val="left"/>
        <w:rPr/>
      </w:pPr>
      <w:r>
        <w:rPr>
          <w:color w:val="BD1271"/>
        </w:rPr>
        <w:t xml:space="preserve">9. </w:t>
      </w:r>
      <w:r>
        <w:rPr>
          <w:color w:val="000000"/>
        </w:rPr>
        <w:t>Öka rörligheten för europeiska forskare genom att utveckla nya europeiska vetenskapliga institutioner</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Främja framväxten av innovativa nystartade företag.</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1" w:name="__RefHeading___Toc300444_1346298689"/>
      <w:bookmarkEnd w:id="231"/>
      <w:r>
        <w:rPr/>
        <w:t xml:space="preserve">3. Samarbete och partnerskap </w:t>
      </w:r>
    </w:p>
    <w:p>
      <w:pPr>
        <w:pStyle w:val="P68B1DB1Normal76"/>
        <w:widowControl w:val="false"/>
        <w:spacing w:lineRule="auto" w:line="240" w:before="109" w:after="0"/>
        <w:ind w:left="0" w:right="2" w:hanging="0"/>
        <w:jc w:val="both"/>
        <w:rPr/>
      </w:pPr>
      <w:r>
        <w:rPr/>
        <w:t xml:space="preserve">Visionen om morgondagens Europa är inte en fästning som försvarar sin rikedom, utan en huvudperson på den internationella arenan som kan föra en dialog med alla världens länder. En dialog som utgår från en handelsmakt och som bör syfta till ekonomiskt ledarskap, och som kan konsolideras genom inrättandet av storskaliga internationella partnerskap och projekt. </w:t>
      </w:r>
    </w:p>
    <w:p>
      <w:pPr>
        <w:pStyle w:val="P68B1DB1Normal76"/>
        <w:widowControl w:val="false"/>
        <w:spacing w:lineRule="auto" w:line="240" w:before="78" w:after="0"/>
        <w:ind w:left="0" w:right="0" w:hanging="0"/>
        <w:jc w:val="both"/>
        <w:rPr/>
      </w:pPr>
      <w:r>
        <w:rPr/>
        <w:t xml:space="preserve">Allt detta med tanke på samarbete och uppmärksamhet på de mest sårbara regionerna i världen, med ad hoc-projekt som syftar till att lyfta fram de fattigaste länderna samt kulturella och ekonomiska utbyten med länderna i öst. </w:t>
      </w:r>
    </w:p>
    <w:p>
      <w:pPr>
        <w:pStyle w:val="P68B1DB1Normal76"/>
        <w:widowControl w:val="false"/>
        <w:spacing w:lineRule="auto" w:line="240" w:before="78" w:after="0"/>
        <w:ind w:left="0" w:right="3" w:hanging="0"/>
        <w:jc w:val="both"/>
        <w:rPr/>
      </w:pPr>
      <w:r>
        <w:rPr/>
        <w:t xml:space="preserve">Särskild uppmärksamhet ägnas också frågan om migration, med bättre samordning mellan länder och användning av gemensamma förfaranden för hantering av ansökningar och enskilda personer.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REKOMMENDATIONER I KORTHET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Att öka exporten.</w:t>
      </w:r>
    </w:p>
    <w:p>
      <w:pPr>
        <w:pStyle w:val="P68B1DB1Normal84"/>
        <w:widowControl w:val="false"/>
        <w:spacing w:lineRule="auto" w:line="240"/>
        <w:ind w:left="283" w:right="0" w:hanging="0"/>
        <w:jc w:val="left"/>
        <w:rPr/>
      </w:pPr>
      <w:r>
        <w:rPr>
          <w:color w:val="BD1271"/>
        </w:rPr>
        <w:t xml:space="preserve">2. </w:t>
      </w:r>
      <w:r>
        <w:rPr>
          <w:color w:val="000000"/>
        </w:rPr>
        <w:t>Främja gränsöverskridande europeiska turistvägar.</w:t>
      </w:r>
    </w:p>
    <w:p>
      <w:pPr>
        <w:pStyle w:val="P68B1DB1Normal84"/>
        <w:widowControl w:val="false"/>
        <w:spacing w:lineRule="auto" w:line="240"/>
        <w:ind w:left="283" w:right="0" w:hanging="0"/>
        <w:jc w:val="left"/>
        <w:rPr/>
      </w:pPr>
      <w:r>
        <w:rPr>
          <w:color w:val="BD1271"/>
        </w:rPr>
        <w:t xml:space="preserve">3. </w:t>
      </w:r>
      <w:r>
        <w:rPr>
          <w:color w:val="000000"/>
        </w:rPr>
        <w:t>Utveckla ett handelssystem för förhandlingar på europeisk nivå (inte enskilt som stater eller företag, utan som en union) för att få större förhandlingsstyrka, men med begränsningar i fråga om respekten för de mänskliga rättigheterna.</w:t>
      </w:r>
    </w:p>
    <w:p>
      <w:pPr>
        <w:pStyle w:val="P68B1DB1Normal84"/>
        <w:widowControl w:val="false"/>
        <w:spacing w:lineRule="auto" w:line="240"/>
        <w:ind w:left="283" w:right="417" w:hanging="0"/>
        <w:jc w:val="left"/>
        <w:rPr/>
      </w:pPr>
      <w:r>
        <w:rPr>
          <w:color w:val="BD1271"/>
        </w:rPr>
        <w:t xml:space="preserve">4. </w:t>
      </w:r>
      <w:r>
        <w:rPr>
          <w:color w:val="000000"/>
        </w:rPr>
        <w:t>Leda stora internationella projekt som den internationella rymdstationen.</w:t>
      </w:r>
    </w:p>
    <w:p>
      <w:pPr>
        <w:pStyle w:val="P68B1DB1Normal84"/>
        <w:widowControl w:val="false"/>
        <w:spacing w:lineRule="auto" w:line="240"/>
        <w:ind w:left="283" w:right="417" w:hanging="0"/>
        <w:jc w:val="left"/>
        <w:rPr/>
      </w:pPr>
      <w:r>
        <w:rPr>
          <w:color w:val="BD1271"/>
        </w:rPr>
        <w:t xml:space="preserve">5. </w:t>
      </w:r>
      <w:r>
        <w:rPr>
          <w:color w:val="000000"/>
        </w:rPr>
        <w:t>Finansiera projekt i Afrika för att bygga skolor och sjukhus, utan att anta en kolonial stil, men fokusera på att respektera europeiska värderingar och rättigheter.</w:t>
      </w:r>
    </w:p>
    <w:p>
      <w:pPr>
        <w:pStyle w:val="P68B1DB1Normal84"/>
        <w:widowControl w:val="false"/>
        <w:spacing w:lineRule="auto" w:line="240"/>
        <w:ind w:left="283" w:right="417" w:hanging="0"/>
        <w:jc w:val="left"/>
        <w:rPr/>
      </w:pPr>
      <w:r>
        <w:rPr>
          <w:color w:val="BD1271"/>
        </w:rPr>
        <w:t xml:space="preserve">6. </w:t>
      </w:r>
      <w:r>
        <w:rPr>
          <w:color w:val="000000"/>
        </w:rPr>
        <w:t>Investera i utbildning på plats (särskilt för kvinnor) i de fattigaste länderna.</w:t>
      </w:r>
    </w:p>
    <w:p>
      <w:pPr>
        <w:pStyle w:val="P68B1DB1Normal84"/>
        <w:widowControl w:val="false"/>
        <w:spacing w:lineRule="auto" w:line="240"/>
        <w:ind w:left="283" w:right="0" w:hanging="0"/>
        <w:jc w:val="left"/>
        <w:rPr/>
      </w:pPr>
      <w:r>
        <w:rPr>
          <w:color w:val="BD1271"/>
        </w:rPr>
        <w:t xml:space="preserve">7. </w:t>
      </w:r>
      <w:r>
        <w:rPr>
          <w:color w:val="000000"/>
        </w:rPr>
        <w:t>Främja utbyte av tekniker och utbildare.</w:t>
      </w:r>
    </w:p>
    <w:p>
      <w:pPr>
        <w:pStyle w:val="P68B1DB1Normal84"/>
        <w:widowControl w:val="false"/>
        <w:spacing w:lineRule="auto" w:line="240"/>
        <w:ind w:left="283" w:right="0" w:hanging="0"/>
        <w:jc w:val="left"/>
        <w:rPr/>
      </w:pPr>
      <w:r>
        <w:rPr>
          <w:color w:val="BD1271"/>
        </w:rPr>
        <w:t xml:space="preserve">8. </w:t>
      </w:r>
      <w:r>
        <w:rPr>
          <w:color w:val="000000"/>
        </w:rPr>
        <w:t>Inrätta ett system med gemensamma regler för migranters tillträde, med olika processer mellan humanitär och ekonomisk migration, och med en rättvis fördelning mellan olika stater, men med gemensamma regler (census och kontroll av beteende och sysselsättning).</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2" w:name="__RefHeading___Toc300446_1346298689"/>
      <w:bookmarkEnd w:id="232"/>
      <w:r>
        <w:rPr/>
        <w:t xml:space="preserve">4. Politisk och kulturell referens </w:t>
      </w:r>
    </w:p>
    <w:p>
      <w:pPr>
        <w:pStyle w:val="P68B1DB1Normal76"/>
        <w:widowControl w:val="false"/>
        <w:spacing w:lineRule="auto" w:line="240" w:before="106" w:after="0"/>
        <w:ind w:left="0" w:right="145" w:hanging="0"/>
        <w:jc w:val="both"/>
        <w:rPr/>
      </w:pPr>
      <w:r>
        <w:rPr/>
        <w:t xml:space="preserve">I det scenario som beskrivs ovan förväntas Europa ge en tydlig politisk och kulturell referens på global nivå ur rättighets- och etiksynpunkt och föregå med gott exempel genom beslutsfattande för att säkerställa en sund miljö, respekt för människors rättigheter och dialog mellan öst och väst. </w:t>
      </w:r>
    </w:p>
    <w:p>
      <w:pPr>
        <w:pStyle w:val="P68B1DB1Normal83"/>
        <w:widowControl w:val="false"/>
        <w:spacing w:lineRule="auto" w:line="240" w:before="73" w:after="0"/>
        <w:ind w:left="4819" w:right="0" w:hanging="0"/>
        <w:jc w:val="left"/>
        <w:rPr/>
      </w:pPr>
      <w:r>
        <w:rPr/>
        <w:t xml:space="preserve"> </w:t>
      </w:r>
    </w:p>
    <w:p>
      <w:pPr>
        <w:pStyle w:val="P68B1DB1Normal75"/>
        <w:widowControl w:val="false"/>
        <w:spacing w:lineRule="auto" w:line="240" w:before="72" w:after="0"/>
        <w:ind w:left="3000" w:right="0" w:hanging="0"/>
        <w:jc w:val="left"/>
        <w:rPr/>
      </w:pPr>
      <w:r>
        <w:rPr>
          <w:b/>
          <w:color w:val="2E74B5"/>
        </w:rPr>
        <w:t>REKOMMENDATIONER I KORTHET</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Visa vägen som en grön kontinent, uppnå nollutsläpp före andra och öka produktionen av ren energi (vind och sol).</w:t>
      </w:r>
    </w:p>
    <w:p>
      <w:pPr>
        <w:pStyle w:val="P68B1DB1Normal84"/>
        <w:widowControl w:val="false"/>
        <w:spacing w:lineRule="auto" w:line="240"/>
        <w:ind w:left="283" w:right="0" w:hanging="0"/>
        <w:jc w:val="left"/>
        <w:rPr/>
      </w:pPr>
      <w:r>
        <w:rPr>
          <w:color w:val="BD1271"/>
        </w:rPr>
        <w:t xml:space="preserve">2. </w:t>
      </w:r>
      <w:r>
        <w:rPr>
          <w:color w:val="000000"/>
        </w:rPr>
        <w:t>Exportteknik för att producera nolleffektsvaror.</w:t>
      </w:r>
    </w:p>
    <w:p>
      <w:pPr>
        <w:pStyle w:val="P68B1DB1Normal84"/>
        <w:widowControl w:val="false"/>
        <w:spacing w:lineRule="auto" w:line="240"/>
        <w:ind w:left="283" w:right="0" w:hanging="0"/>
        <w:jc w:val="left"/>
        <w:rPr/>
      </w:pPr>
      <w:r>
        <w:rPr>
          <w:color w:val="BD1271"/>
        </w:rPr>
        <w:t xml:space="preserve">3. </w:t>
      </w:r>
      <w:r>
        <w:rPr>
          <w:color w:val="000000"/>
        </w:rPr>
        <w:t>Fungera som en sammanflödet (offentlig plats, agora) mellan öst och väst, främja kulturella utbyten och gemensamma kulturella initiativ (t.ex. Världskonstdagarna, som i sin tur ska organiseras i de olika europeiska huvudstäderna, med ett konstnärligt program som omfattar västerländska och östra konstnärer).</w:t>
      </w:r>
    </w:p>
    <w:p>
      <w:pPr>
        <w:pStyle w:val="P68B1DB1Normal84"/>
        <w:widowControl w:val="false"/>
        <w:spacing w:lineRule="auto" w:line="240"/>
        <w:ind w:left="283" w:right="560" w:hanging="0"/>
        <w:jc w:val="left"/>
        <w:rPr/>
      </w:pPr>
      <w:r>
        <w:rPr>
          <w:color w:val="BD1271"/>
        </w:rPr>
        <w:t xml:space="preserve">4. </w:t>
      </w:r>
      <w:r>
        <w:rPr>
          <w:color w:val="000000"/>
        </w:rPr>
        <w:t>Skapa en europeisk etisk modell för hantering av migrationsprocesser som kan delas internationellt.</w:t>
      </w:r>
    </w:p>
    <w:p>
      <w:pPr>
        <w:pStyle w:val="P68B1DB1Normal32"/>
        <w:widowControl w:val="false"/>
        <w:spacing w:lineRule="auto" w:line="240"/>
        <w:ind w:left="283" w:right="0" w:hanging="0"/>
        <w:jc w:val="left"/>
        <w:rPr/>
      </w:pPr>
      <w:r>
        <w:rPr/>
        <w:t xml:space="preserve"> </w:t>
      </w:r>
    </w:p>
    <w:p>
      <w:pPr>
        <w:pStyle w:val="Titre2"/>
        <w:numPr>
          <w:ilvl w:val="1"/>
          <w:numId w:val="2"/>
        </w:numPr>
        <w:rPr/>
      </w:pPr>
      <w:bookmarkStart w:id="233" w:name="__RefHeading___Toc300322_1346298689"/>
      <w:bookmarkEnd w:id="233"/>
      <w:r>
        <w:rPr/>
        <w:t xml:space="preserve">6. Slutlig utvärdering av deltagarna </w:t>
      </w:r>
    </w:p>
    <w:p>
      <w:pPr>
        <w:pStyle w:val="P68B1DB1Normal76"/>
        <w:widowControl w:val="false"/>
        <w:spacing w:lineRule="auto" w:line="240" w:before="106" w:after="0"/>
        <w:ind w:left="0" w:right="0" w:hanging="0"/>
        <w:jc w:val="both"/>
        <w:rPr/>
      </w:pPr>
      <w:r>
        <w:rPr/>
        <w:t xml:space="preserve">I slutet av de två arbetsdagarna ombads alla deltagare att fylla i ett kort frågeformulär för att bedöma sina erfarenheter. Utvärderingsformuläret skickades två dagar efter panelens slut för att ge alla deltagare tid att ta ett steg tillbaka från erfarenheten och kunna svara mer objektivt. </w:t>
      </w:r>
    </w:p>
    <w:p>
      <w:pPr>
        <w:pStyle w:val="Normal"/>
        <w:widowControl w:val="false"/>
        <w:spacing w:lineRule="auto" w:line="240" w:before="78" w:after="0"/>
        <w:ind w:left="0" w:right="2" w:hanging="0"/>
        <w:jc w:val="left"/>
        <w:rPr>
          <w:color w:val="000000"/>
        </w:rPr>
      </w:pPr>
      <w:r>
        <w:rPr>
          <w:color w:val="000000"/>
        </w:rPr>
        <w:t xml:space="preserve">De insamlade resultaten visar på en särskilt hög nivå av tillfredsställelse, både när det gäller intresse och lätthet att delta och en känsla av lyssnande och inkludering.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8">
                <wp:simplePos x="0" y="0"/>
                <wp:positionH relativeFrom="column">
                  <wp:posOffset>635</wp:posOffset>
                </wp:positionH>
                <wp:positionV relativeFrom="paragraph">
                  <wp:posOffset>50165</wp:posOffset>
                </wp:positionV>
                <wp:extent cx="5996305" cy="3025775"/>
                <wp:effectExtent l="0" t="0" r="0" b="0"/>
                <wp:wrapTopAndBottom/>
                <wp:docPr id="107" name="Förlag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3"/>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Nöjd med deltagandet i panelen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Övergripande tillfredsställelse med upplevelsen</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Kvaliteten på deltagarnas bidrag</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Samstämmighet mellan de rekommendationer som lämnats och debatten</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Enkel användning av plattformen</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Respekt för åsiktsmångfald</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Moderatorernas förmåga att ge en röst till deltagarna och lyssna på deras inlägg</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Intresse för de ämnen som behandlas</w:t>
                              </w:r>
                            </w:p>
                          </w:txbxContent>
                        </wps:txbx>
                        <wps:bodyPr lIns="90000" rIns="90000" tIns="45000" bIns="45000">
                          <a:noAutofit/>
                        </wps:bodyPr>
                      </wps:wsp>
                    </wpg:wgp>
                  </a:graphicData>
                </a:graphic>
              </wp:anchor>
            </w:drawing>
          </mc:Choice>
          <mc:Fallback>
            <w:pict>
              <v:group id="shape_0" alt="Förlag8" style="position:absolute;margin-left:0.05pt;margin-top:3.95pt;width:472.1pt;height:238.2pt" coordorigin="1,79" coordsize="9442,4764">
                <v:shape id="shape_0" stroked="f" style="position:absolute;left:3991;top:846;width:5321;height:3996" type="shapetype_75">
                  <v:imagedata r:id="rId113" o:detectmouseclick="t"/>
                  <w10:wrap type="none"/>
                  <v:stroke color="#3465a4" joinstyle="round" endcap="flat"/>
                </v:shape>
                <v:rect id="shape_0" stroked="f" style="position:absolute;left:332;top:79;width:9110;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Nöjd med deltagandet i panelen </w:t>
                        </w:r>
                      </w:p>
                    </w:txbxContent>
                  </v:textbox>
                  <w10:wrap type="square"/>
                  <v:fill o:detectmouseclick="t" on="false"/>
                  <v:stroke color="#3465a4" joinstyle="round" endcap="flat"/>
                </v:rect>
                <v:rect id="shape_0" stroked="f" style="position:absolute;left:96;top:1088;width:3901;height:590">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Övergripande tillfredsställelse med upplevelsen</w:t>
                        </w:r>
                      </w:p>
                    </w:txbxContent>
                  </v:textbox>
                  <w10:wrap type="square"/>
                  <v:fill o:detectmouseclick="t" on="false"/>
                  <v:stroke color="#3465a4" joinstyle="round" endcap="flat"/>
                </v:rect>
                <v:rect id="shape_0" stroked="f" style="position:absolute;left:110;top:1944;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Kvaliteten på deltagarnas bidrag</w:t>
                        </w:r>
                      </w:p>
                    </w:txbxContent>
                  </v:textbox>
                  <w10:wrap type="square"/>
                  <v:fill o:detectmouseclick="t" on="false"/>
                  <v:stroke color="#3465a4" joinstyle="round" endcap="flat"/>
                </v:rect>
                <v:rect id="shape_0" stroked="f" style="position:absolute;left:97;top:2393;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Samstämmighet mellan de rekommendationer som lämnats och debatten</w:t>
                        </w:r>
                      </w:p>
                    </w:txbxContent>
                  </v:textbox>
                  <w10:wrap type="square"/>
                  <v:fill o:detectmouseclick="t" on="false"/>
                  <v:stroke color="#3465a4" joinstyle="round" endcap="flat"/>
                </v:rect>
                <v:rect id="shape_0" stroked="f" style="position:absolute;left:98;top:3010;width:3902;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Enkel användning av plattformen</w:t>
                        </w:r>
                      </w:p>
                    </w:txbxContent>
                  </v:textbox>
                  <w10:wrap type="square"/>
                  <v:fill o:detectmouseclick="t" on="false"/>
                  <v:stroke color="#3465a4" joinstyle="round" endcap="flat"/>
                </v:rect>
                <v:rect id="shape_0" stroked="f" style="position:absolute;left:1;top:3431;width:3902;height:372">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Respekt för åsiktsmångfald</w:t>
                        </w:r>
                      </w:p>
                    </w:txbxContent>
                  </v:textbox>
                  <w10:wrap type="square"/>
                  <v:fill o:detectmouseclick="t" on="false"/>
                  <v:stroke color="#3465a4" joinstyle="round" endcap="flat"/>
                </v:rect>
                <v:rect id="shape_0" stroked="f" style="position:absolute;left:71;top:3769;width:3901;height:83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Moderatorernas förmåga att ge en röst till deltagarna och lyssna på deras inlägg</w:t>
                        </w:r>
                      </w:p>
                    </w:txbxContent>
                  </v:textbox>
                  <w10:wrap type="square"/>
                  <v:fill o:detectmouseclick="t" on="false"/>
                  <v:stroke color="#3465a4" joinstyle="round" endcap="flat"/>
                </v:rect>
                <v:rect id="shape_0" stroked="f" style="position:absolute;left:44;top:4470;width:3901;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Intresse för de ämnen som behandlas</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Även om deltagarna inledningsvis hade olika erfarenheter, färdigheter och motivationer kände de sig starkt involverade: 98 % av de svarande i utvärderingsformuläret ansåg att de aktivt hade deltagit och bidragit positivt till debatten.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I allmänhet har nyttan av denna erfarenhet, som framför allt uppfattats som en möjlighet att delta aktivt och som har gett en känsla av större närhet till EU-institutionerna, varit mycket kännbar. Detta ledde till att nästan alla svarande begärde att denna typ av initiativ skulle upprepas över tiden. </w:t>
      </w:r>
    </w:p>
    <w:p>
      <w:pPr>
        <w:pStyle w:val="Normal"/>
        <w:widowControl w:val="false"/>
        <w:spacing w:lineRule="exact" w:line="202" w:before="4966" w:after="0"/>
        <w:ind w:left="0" w:right="0" w:hanging="0"/>
        <w:jc w:val="both"/>
        <w:rPr>
          <w:color w:val="000000"/>
        </w:rPr>
      </w:pPr>
      <w:r>
        <mc:AlternateContent>
          <mc:Choice Requires="wpg">
            <w:drawing>
              <wp:anchor behindDoc="0" distT="0" distB="0" distL="0" distR="0" simplePos="0" locked="0" layoutInCell="1" allowOverlap="1" relativeHeight="69">
                <wp:simplePos x="0" y="0"/>
                <wp:positionH relativeFrom="column">
                  <wp:posOffset>0</wp:posOffset>
                </wp:positionH>
                <wp:positionV relativeFrom="paragraph">
                  <wp:posOffset>71120</wp:posOffset>
                </wp:positionV>
                <wp:extent cx="6047740" cy="3154045"/>
                <wp:effectExtent l="0" t="0" r="0" b="0"/>
                <wp:wrapTopAndBottom/>
                <wp:docPr id="108" name="Förlag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4"/>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UTVÄRDERING AV INTRESSET FÖR DEN ITALIENSKA PANELEN FÖR KONFERENSEN OM EUROPAS FRAMTID</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Bör ske oftare</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Är användbart för att göra medborgarnas röst hörd i EU-institutionerna</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 bidra positivt till att förbättra Europas framtid</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föra EU-institutionerna närmare medborgarna</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Det var slöseri med tid</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Ganska överens</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hellre med.</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avtal och inget avtal</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inte med.</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inte alls.</w:t>
                              </w:r>
                            </w:p>
                          </w:txbxContent>
                        </wps:txbx>
                        <wps:bodyPr lIns="90000" rIns="90000" tIns="45000" bIns="45000">
                          <a:noAutofit/>
                        </wps:bodyPr>
                      </wps:wsp>
                    </wpg:wgp>
                  </a:graphicData>
                </a:graphic>
              </wp:anchor>
            </w:drawing>
          </mc:Choice>
          <mc:Fallback>
            <w:pict>
              <v:group id="shape_0" alt="Förlag9" style="position:absolute;margin-left:0pt;margin-top:5.6pt;width:476.15pt;height:248.3pt" coordorigin="0,112" coordsize="9523,4966">
                <v:shape id="shape_0" stroked="f" style="position:absolute;left:430;top:675;width:9092;height:4095" type="shapetype_75">
                  <v:imagedata r:id="rId114" o:detectmouseclick="t"/>
                  <w10:wrap type="none"/>
                  <v:stroke color="#3465a4" joinstyle="round" endcap="flat"/>
                </v:shape>
                <v:rect id="shape_0" stroked="f" style="position:absolute;left:637;top:112;width:8841;height:126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UTVÄRDERING AV INTRESSET FÖR DEN ITALIENSKA PANELEN FÖR KONFERENSEN OM EUROPAS FRAMTID</w:t>
                        </w:r>
                      </w:p>
                    </w:txbxContent>
                  </v:textbox>
                  <w10:wrap type="square"/>
                  <v:fill o:detectmouseclick="t" on="false"/>
                  <v:stroke color="#3465a4" joinstyle="round" endcap="flat"/>
                </v:rect>
                <v:rect id="shape_0" stroked="f" style="position:absolute;left:74;top:895;width:3476;height:43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Bör ske oftare</w:t>
                        </w:r>
                      </w:p>
                    </w:txbxContent>
                  </v:textbox>
                  <w10:wrap type="square"/>
                  <v:fill o:detectmouseclick="t" on="false"/>
                  <v:stroke color="#3465a4" joinstyle="round" endcap="flat"/>
                </v:rect>
                <v:rect id="shape_0" stroked="f" style="position:absolute;left:74;top:1666;width:3476;height:76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Är användbart för att göra medborgarnas röst hörd i EU-institutionerna</w:t>
                        </w:r>
                      </w:p>
                    </w:txbxContent>
                  </v:textbox>
                  <w10:wrap type="square"/>
                  <v:fill o:detectmouseclick="t" on="false"/>
                  <v:stroke color="#3465a4" joinstyle="round" endcap="flat"/>
                </v:rect>
                <v:rect id="shape_0" stroked="f" style="position:absolute;left:74;top:2463;width:3476;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 bidra positivt till att förbättra Europas framtid</w:t>
                        </w:r>
                      </w:p>
                    </w:txbxContent>
                  </v:textbox>
                  <w10:wrap type="square"/>
                  <v:fill o:detectmouseclick="t" on="false"/>
                  <v:stroke color="#3465a4" joinstyle="round" endcap="flat"/>
                </v:rect>
                <v:rect id="shape_0" stroked="f" style="position:absolute;left:0;top:3219;width:3477;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föra EU-institutionerna närmare medborgarna</w:t>
                        </w:r>
                      </w:p>
                    </w:txbxContent>
                  </v:textbox>
                  <w10:wrap type="square"/>
                  <v:fill o:detectmouseclick="t" on="false"/>
                  <v:stroke color="#3465a4" joinstyle="round" endcap="flat"/>
                </v:rect>
                <v:rect id="shape_0" stroked="f" style="position:absolute;left:0;top:3906;width:3477;height:1159">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Det var slöseri med tid</w:t>
                        </w:r>
                      </w:p>
                    </w:txbxContent>
                  </v:textbox>
                  <w10:wrap type="square"/>
                  <v:fill o:detectmouseclick="t" on="false"/>
                  <v:stroke color="#3465a4" joinstyle="round" endcap="flat"/>
                </v:rect>
                <v:rect id="shape_0" stroked="f" style="position:absolute;left:831;top:4424;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Ganska överens</w:t>
                        </w:r>
                      </w:p>
                    </w:txbxContent>
                  </v:textbox>
                  <w10:wrap type="square"/>
                  <v:fill o:detectmouseclick="t" on="false"/>
                  <v:stroke color="#3465a4" joinstyle="round" endcap="flat"/>
                </v:rect>
                <v:rect id="shape_0" stroked="f" style="position:absolute;left:2438;top:4382;width:1225;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hellre med.</w:t>
                        </w:r>
                      </w:p>
                    </w:txbxContent>
                  </v:textbox>
                  <w10:wrap type="square"/>
                  <v:fill o:detectmouseclick="t" on="false"/>
                  <v:stroke color="#3465a4" joinstyle="round" endcap="flat"/>
                </v:rect>
                <v:rect id="shape_0" stroked="f" style="position:absolute;left:3944;top:4452;width:2028;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avtal och inget avtal</w:t>
                        </w:r>
                      </w:p>
                    </w:txbxContent>
                  </v:textbox>
                  <w10:wrap type="square"/>
                  <v:fill o:detectmouseclick="t" on="false"/>
                  <v:stroke color="#3465a4" joinstyle="round" endcap="flat"/>
                </v:rect>
                <v:rect id="shape_0" stroked="f" style="position:absolute;left:6197;top:4411;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inte med.</w:t>
                        </w:r>
                      </w:p>
                    </w:txbxContent>
                  </v:textbox>
                  <w10:wrap type="square"/>
                  <v:fill o:detectmouseclick="t" on="false"/>
                  <v:stroke color="#3465a4" joinstyle="round" endcap="flat"/>
                </v:rect>
                <v:rect id="shape_0" stroked="f" style="position:absolute;left:7944;top:4522;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Jag håller inte alls.</w:t>
                        </w:r>
                      </w:p>
                    </w:txbxContent>
                  </v:textbox>
                  <w10:wrap type="square"/>
                  <v:fill o:detectmouseclick="t" on="false"/>
                  <v:stroke color="#3465a4" joinstyle="round" endcap="flat"/>
                </v:rect>
              </v:group>
            </w:pict>
          </mc:Fallback>
        </mc:AlternateContent>
      </w:r>
      <w:r>
        <w:rPr>
          <w:color w:val="000000"/>
        </w:rPr>
        <w:t>Alla deltagare uppgav att om ett sådant initiativ skulle organiseras igen skulle de inte bara vara villiga att delta, utan också rekommendera sina vänner att delta.</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Nationella paneler: Litauen</w:t>
      </w:r>
    </w:p>
    <w:p>
      <w:pPr>
        <w:pStyle w:val="P68B1DB1Normal95"/>
        <w:widowControl w:val="false"/>
        <w:spacing w:lineRule="exact" w:line="393"/>
        <w:ind w:left="0" w:right="0" w:hanging="0"/>
        <w:jc w:val="left"/>
        <w:rPr/>
      </w:pPr>
      <w:r>
        <w:rPr/>
        <w:t xml:space="preserve">Litauiska medborgarpanelen om Europas framtid </w:t>
      </w:r>
    </w:p>
    <w:p>
      <w:pPr>
        <w:pStyle w:val="P68B1DB1Normal95"/>
        <w:widowControl w:val="false"/>
        <w:spacing w:lineRule="exact" w:line="460"/>
        <w:ind w:left="4320" w:right="0" w:hanging="0"/>
        <w:jc w:val="left"/>
        <w:rPr/>
      </w:pPr>
      <w:r>
        <w:rPr/>
        <w:t xml:space="preserve">Rapport </w:t>
      </w:r>
    </w:p>
    <w:p>
      <w:pPr>
        <w:pStyle w:val="P68B1DB1Normal76"/>
        <w:widowControl w:val="false"/>
        <w:spacing w:lineRule="exact" w:line="227" w:before="87" w:after="0"/>
        <w:ind w:left="0" w:right="2" w:hanging="0"/>
        <w:jc w:val="both"/>
        <w:rPr/>
      </w:pPr>
      <w:r>
        <w:rPr/>
        <w:t xml:space="preserve">Denna rapport består av fyra delar. Den första visar kortfattat hur evenemanget fortskrider. Den andra beskriver rekommendationerna från deltagarna i medborgarpanelen för EU:s och Litauens politik. Den tredje innehåller en kort analys av diskussionerna i grupperna och de viktigaste resultaten av forumet. Den fjärde jämför resultaten från medborgarpanelen med resultaten från litauiska medborgarundersökningar om Europas tillstånd och framtid.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Den nationella medborgarpanelens ledning</w:t>
      </w:r>
    </w:p>
    <w:p>
      <w:pPr>
        <w:pStyle w:val="Normal"/>
        <w:widowControl w:val="false"/>
        <w:spacing w:lineRule="exact" w:line="253" w:before="95" w:after="0"/>
        <w:ind w:left="0" w:right="0" w:hanging="0"/>
        <w:jc w:val="both"/>
        <w:rPr/>
      </w:pPr>
      <w:r>
        <w:rPr>
          <w:color w:val="000000"/>
        </w:rPr>
        <w:t>I enlighet med riktlinjerna för organisationen av de nationella medborgarpanelerna inom ramen för konferensen om Europas framtid utarbetade Kantar TNS LT:s undersökningsinstitut i december 2021, på begäran av utrikesministeriet (MAE), en stratifierad slumpmässig urvalsmetod för ett representativt urval av den litauiska befolkningen, på grundval av vilken Kantar TNS valde ut 25 litauiska medborgare i åldern 18–65 år som företräder olika socioekonomiska grupper och alla geografiska regioner i Litauen</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Den 4 januari bjöds de utvalda medborgarna in till en virtuell introduktionssession under vilken idén om den nationella medborgarpanelen presenterades och diskussioner hölls om de ämnen som är mest relevanta för Europas framtid. I slutet av evenemanget fick deltagarna ett bakgrundsdokument med en detaljerad beskrivning av de ämnen som diskuterades och informationskällor. </w:t>
      </w:r>
    </w:p>
    <w:p>
      <w:pPr>
        <w:pStyle w:val="P68B1DB1Normal76"/>
        <w:widowControl w:val="false"/>
        <w:spacing w:lineRule="exact" w:line="253"/>
        <w:ind w:left="0" w:right="2" w:hanging="0"/>
        <w:jc w:val="both"/>
        <w:rPr/>
      </w:pPr>
      <w:r>
        <w:rPr/>
        <w:t xml:space="preserve">Den 15 januari hölls en panel med nationella medborgare om Europas framtid vid den europeiska arresteringsordern, som anordnades av Europeiska arresteringsorderns studiecentrum för Östeuropa (RESC) och Kantar TNS LT:s valorgan, där 25 utvalda medborgare deltog direkt. </w:t>
      </w:r>
    </w:p>
    <w:p>
      <w:pPr>
        <w:pStyle w:val="P68B1DB1Normal76"/>
        <w:widowControl w:val="false"/>
        <w:spacing w:lineRule="exact" w:line="362"/>
        <w:ind w:left="0" w:right="0" w:hanging="0"/>
        <w:jc w:val="left"/>
        <w:rPr/>
      </w:pPr>
      <w:r>
        <w:rPr/>
        <w:t xml:space="preserve"> </w:t>
      </w:r>
    </w:p>
    <w:p>
      <w:pPr>
        <w:pStyle w:val="P68B1DB1Normal76"/>
        <w:widowControl w:val="false"/>
        <w:spacing w:lineRule="exact" w:line="253"/>
        <w:ind w:left="0" w:right="0" w:hanging="0"/>
        <w:jc w:val="both"/>
        <w:rPr/>
      </w:pPr>
      <w:r>
        <w:rPr/>
        <w:t xml:space="preserve">Deltagarna diskuterade två frågor som rör EU:s politik: </w:t>
      </w:r>
      <w:r>
        <w:rPr>
          <w:b/>
        </w:rPr>
        <w:t>EU:s roll och befogenheter inom utrikespolitiken</w:t>
      </w:r>
      <w:r>
        <w:rPr/>
        <w:t xml:space="preserve"> samt EU:s </w:t>
      </w:r>
      <w:r>
        <w:rPr>
          <w:b/>
        </w:rPr>
        <w:t>ekonomiska roll</w:t>
      </w:r>
      <w:r>
        <w:rPr/>
        <w:t>.</w:t>
      </w:r>
      <w:r>
        <w:rPr>
          <w:b/>
        </w:rPr>
        <w:t xml:space="preserve"> </w:t>
      </w:r>
      <w:r>
        <w:rPr/>
        <w:t xml:space="preserve">Vid detta evenemang var var och en av dessa frågor föremål för en separat session i början av vilken EU:s politiska experter Linas Kojala (RESC) och Ramūnas Vilpišauskas (professor vid Vilnius universitet) kortfattat presenterade medborgarna för aktualiteten och frågorna i ämnet för sessionen. Under diskussionen kunde medborgarna ställa frågor och dela med sig av sina åsikter. Efter expertpresentationerna delades deltagarna in i tre mindre representativa grupper för att var och en reflektera över en annan fråga relaterad till temat för sessionen. De utrikespolitiska frågor som diskuterades var följande: </w:t>
      </w:r>
    </w:p>
    <w:p>
      <w:pPr>
        <w:pStyle w:val="P68B1DB1Normal76"/>
        <w:widowControl w:val="false"/>
        <w:spacing w:lineRule="exact" w:line="253"/>
        <w:ind w:left="720" w:right="1" w:hanging="0"/>
        <w:jc w:val="left"/>
        <w:rPr/>
      </w:pPr>
      <w:r>
        <w:rPr>
          <w:b/>
        </w:rPr>
        <w:t>1.1.</w:t>
      </w:r>
      <w:r>
        <w:rPr/>
        <w:t xml:space="preserve"> Finns det behov av en självständig EU-politik för försvar och utrikespolitik?</w:t>
      </w:r>
    </w:p>
    <w:p>
      <w:pPr>
        <w:pStyle w:val="P68B1DB1Normal76"/>
        <w:widowControl w:val="false"/>
        <w:spacing w:lineRule="exact" w:line="253"/>
        <w:ind w:left="720" w:right="1" w:hanging="0"/>
        <w:jc w:val="left"/>
        <w:rPr/>
      </w:pPr>
      <w:r>
        <w:rPr>
          <w:b/>
        </w:rPr>
        <w:t>1.2.</w:t>
      </w:r>
      <w:r>
        <w:rPr/>
        <w:t xml:space="preserve"> Vilka förbindelser bör EU ha med grannländerna i Östeuropa, Nordafrika och Turkiet? </w:t>
      </w:r>
    </w:p>
    <w:p>
      <w:pPr>
        <w:pStyle w:val="P68B1DB1Normal76"/>
        <w:widowControl w:val="false"/>
        <w:spacing w:lineRule="exact" w:line="379"/>
        <w:ind w:left="720" w:right="0" w:hanging="0"/>
        <w:jc w:val="left"/>
        <w:rPr/>
      </w:pPr>
      <w:r>
        <w:rPr>
          <w:b/>
        </w:rPr>
        <w:t>1.3.</w:t>
      </w:r>
      <w:r>
        <w:rPr/>
        <w:t xml:space="preserve"> Vad bör EU:s migrationspolitik vara? </w:t>
      </w:r>
    </w:p>
    <w:p>
      <w:pPr>
        <w:pStyle w:val="P68B1DB1Normal76"/>
        <w:widowControl w:val="false"/>
        <w:spacing w:lineRule="exact" w:line="254"/>
        <w:ind w:left="0" w:right="0" w:hanging="0"/>
        <w:jc w:val="left"/>
        <w:rPr/>
      </w:pPr>
      <w:r>
        <w:rPr/>
        <w:t xml:space="preserve">Mötet om EU:s ekonomiska roll gav upphov till diskussioner om följande frågor: </w:t>
      </w:r>
    </w:p>
    <w:p>
      <w:pPr>
        <w:pStyle w:val="P68B1DB1Normal76"/>
        <w:widowControl w:val="false"/>
        <w:spacing w:lineRule="exact" w:line="254"/>
        <w:ind w:left="720" w:right="0" w:hanging="0"/>
        <w:jc w:val="left"/>
        <w:rPr/>
      </w:pPr>
      <w:r>
        <w:rPr>
          <w:b/>
        </w:rPr>
        <w:t xml:space="preserve">2.1. </w:t>
      </w:r>
      <w:r>
        <w:rPr/>
        <w:t xml:space="preserve">Behövs det en större omfördelning av medel från EU:s budget, från EU:s gemensamma skuld? </w:t>
      </w:r>
    </w:p>
    <w:p>
      <w:pPr>
        <w:pStyle w:val="P68B1DB1Normal76"/>
        <w:widowControl w:val="false"/>
        <w:spacing w:lineRule="exact" w:line="379"/>
        <w:ind w:left="720" w:right="0" w:hanging="0"/>
        <w:jc w:val="left"/>
        <w:rPr/>
      </w:pPr>
      <w:r>
        <w:rPr>
          <w:b/>
        </w:rPr>
        <w:t xml:space="preserve">2.2. </w:t>
      </w:r>
      <w:r>
        <w:rPr/>
        <w:t>Bör sociala normer regleras på EU-nivå?</w:t>
      </w:r>
      <w:r>
        <w:rPr>
          <w:b/>
        </w:rPr>
        <w:t xml:space="preserve"> </w:t>
      </w:r>
    </w:p>
    <w:p>
      <w:pPr>
        <w:pStyle w:val="P68B1DB1Normal76"/>
        <w:widowControl w:val="false"/>
        <w:spacing w:lineRule="exact" w:line="379"/>
        <w:ind w:left="720" w:right="0" w:hanging="0"/>
        <w:jc w:val="left"/>
        <w:rPr/>
      </w:pPr>
      <w:r>
        <w:rPr>
          <w:b/>
        </w:rPr>
        <w:t>2.3.</w:t>
      </w:r>
      <w:r>
        <w:rPr/>
        <w:t xml:space="preserve"> Hur kan EU:s ekonomi stärkas? </w:t>
      </w:r>
    </w:p>
    <w:p>
      <w:pPr>
        <w:pStyle w:val="P68B1DB1Normal76"/>
        <w:widowControl w:val="false"/>
        <w:spacing w:lineRule="auto" w:line="240"/>
        <w:ind w:left="0" w:right="0" w:hanging="0"/>
        <w:jc w:val="both"/>
        <w:rPr/>
      </w:pPr>
      <w:r>
        <w:rPr/>
        <w:t xml:space="preserve">I slutet av sessionen var varje grupp tvungen att formulera de viktigaste slutsatserna från diskussionen, göra principförklaringar eller konkreta förslag om EU:s politiska frågor. Under diskussionen med hela panelen presenterade företrädaren för varje grupp dessa resultat för de andra deltagarna. De som hade varit i andra grupper kunde ställa frågor och komplettera förslagen med sina idéer. Efter presentationerna och debatterna röstade medborgarna var och en av dessa slutsatser, med en omröstning om det viktigaste förslaget eller förklaringen om Litauens roll när det gäller att stärka EU och EU:s framgång även i hela Europa. och den andra röstar för uttalandet eller förslaget som de verkar viktigast i sin personliga egenskap, i deras intresse som en EU-invånare. Efter omröstningen ägde en debatt rum i panelen och de viktigaste idéerna från diskussionerna diskuterades. </w:t>
      </w:r>
    </w:p>
    <w:p>
      <w:pPr>
        <w:pStyle w:val="P68B1DB1Normal76"/>
        <w:widowControl w:val="false"/>
        <w:spacing w:lineRule="auto" w:line="240"/>
        <w:ind w:left="0" w:right="0" w:hanging="0"/>
        <w:jc w:val="both"/>
        <w:rPr/>
      </w:pPr>
      <w:r>
        <w:rPr/>
        <w:t xml:space="preserve">Under veckan efter evenemanget undersökte experterna innehållet i diskussionerna och avslöjade kärnan i de idéer som föreslagits av medborgarna. Den 25 januari hölls en virtuell sammanfattning och rekommendationer från innehållet i deras diskussioner delades med medborgarna. Medborgarna fick möjlighet att säga om de godkände rekommendationerna, komplettera dem i sak och utvärdera dem. Alla deltagare fick denna möjlighet igen en vecka efter recapitulative sessionen och skickade sina synpunkter och kommentarer skriftligen till panelorganisatörerna. </w:t>
      </w:r>
    </w:p>
    <w:p>
      <w:pPr>
        <w:pStyle w:val="P68B1DB1Normal97"/>
        <w:widowControl w:val="false"/>
        <w:spacing w:lineRule="auto" w:line="240"/>
        <w:ind w:left="0" w:right="0" w:hanging="0"/>
        <w:jc w:val="left"/>
        <w:rPr/>
      </w:pPr>
      <w:r>
        <w:rPr/>
        <w:t xml:space="preserve"> </w:t>
      </w:r>
    </w:p>
    <w:p>
      <w:pPr>
        <w:pStyle w:val="P68B1DB1Normal98"/>
        <w:widowControl w:val="false"/>
        <w:spacing w:lineRule="auto" w:line="240" w:before="82" w:after="0"/>
        <w:ind w:left="0" w:right="0" w:hanging="0"/>
        <w:jc w:val="left"/>
        <w:rPr/>
      </w:pPr>
      <w:r>
        <w:rPr/>
        <w:t xml:space="preserve">2. </w:t>
      </w:r>
      <w:r>
        <w:rPr>
          <w:i/>
        </w:rPr>
        <w:t>Resultat från den nationella medborgarpanelen</w:t>
      </w:r>
      <w:r>
        <w:rPr/>
        <w:t xml:space="preserve"> </w:t>
      </w:r>
    </w:p>
    <w:p>
      <w:pPr>
        <w:pStyle w:val="P68B1DB1Normal76"/>
        <w:widowControl w:val="false"/>
        <w:spacing w:lineRule="auto" w:line="240" w:before="70" w:after="0"/>
        <w:ind w:left="0" w:right="1" w:hanging="0"/>
        <w:jc w:val="both"/>
        <w:rPr/>
      </w:pPr>
      <w:r>
        <w:rPr/>
        <w:t xml:space="preserve">Denna del av rapporten visar resultaten från medborgarpanelen, med rekommendationer från deltagarna i arbetsgrupperna och deras ståndpunkter om EU:s roll i utrikespolitiken och ekonomin.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left"/>
        <w:rPr/>
      </w:pPr>
      <w:r>
        <w:rPr>
          <w:b/>
        </w:rPr>
        <w:t>Första sessionen:</w:t>
      </w:r>
      <w:r>
        <w:rPr/>
        <w:t xml:space="preserve"> </w:t>
      </w:r>
      <w:r>
        <w:rPr>
          <w:b/>
        </w:rPr>
        <w:t>EU:s roll och befogenheter i utrikespolitiken</w:t>
      </w:r>
    </w:p>
    <w:p>
      <w:pPr>
        <w:pStyle w:val="P68B1DB1Normal99"/>
        <w:widowControl w:val="false"/>
        <w:spacing w:lineRule="auto" w:line="240" w:before="39" w:after="0"/>
        <w:ind w:left="468" w:right="0" w:hanging="0"/>
        <w:jc w:val="left"/>
        <w:rPr/>
      </w:pPr>
      <w:r>
        <w:rPr/>
        <w:t xml:space="preserve">1. Vi uppmanar EU att utveckla en effektivare politik gentemot Kina. Litauen måste stödjas mer beslutsamt, men landet bör också bättre anpassa sin ståndpunkt till EU:s partner. För att se till att intressena kan balanseras bättre inom EU och att det bara finns en politik gentemot Kina, liksom i andra utrikespolitiska frågor, rekommenderar vi att man överväger möjligheten att inrätta en EU-utrikesminister. </w:t>
      </w:r>
    </w:p>
    <w:p>
      <w:pPr>
        <w:pStyle w:val="P68B1DB1Normal99"/>
        <w:widowControl w:val="false"/>
        <w:spacing w:lineRule="auto" w:line="240" w:before="78" w:after="0"/>
        <w:ind w:left="468" w:right="341" w:hanging="0"/>
        <w:jc w:val="left"/>
        <w:rPr/>
      </w:pPr>
      <w:r>
        <w:rPr/>
        <w:t xml:space="preserve">2. Vi rekommenderar att frågan om migrantkvoter tas upp på dagordningen på EU-nivå. </w:t>
      </w:r>
    </w:p>
    <w:p>
      <w:pPr>
        <w:pStyle w:val="P68B1DB1Normal99"/>
        <w:widowControl w:val="false"/>
        <w:spacing w:lineRule="auto" w:line="240" w:before="78" w:after="0"/>
        <w:ind w:left="468" w:right="0" w:hanging="0"/>
        <w:jc w:val="left"/>
        <w:rPr/>
      </w:pPr>
      <w:r>
        <w:rPr/>
        <w:t>3. Vi rekommenderar att det inrättas en särskild kommitté på EU-nivå för att ta itu med migrationsfrågor, som skulle säkerställa ett snabbare svar på migrationskriser och medlemsstaternas rätt att förklara och försvara sina nationella intressen samt utarbeta och genomföra gemensamma riktlinjer för migrationshantering.</w:t>
      </w:r>
    </w:p>
    <w:p>
      <w:pPr>
        <w:pStyle w:val="P68B1DB1Normal99"/>
        <w:widowControl w:val="false"/>
        <w:spacing w:lineRule="auto" w:line="240" w:before="78" w:after="0"/>
        <w:ind w:left="468" w:right="0" w:hanging="0"/>
        <w:jc w:val="left"/>
        <w:rPr/>
      </w:pPr>
      <w:r>
        <w:rPr/>
        <w:t xml:space="preserve">4. Vi rekommenderar att man stärker de ekonomiska och humanitära banden med länderna i Nordafrika, utan att förlora den politiska verkligheten ur sikte, särskilt i syfte att minska Kinas, Rysslands och andra staters inflytande i regionen. </w:t>
      </w:r>
    </w:p>
    <w:p>
      <w:pPr>
        <w:pStyle w:val="P68B1DB1Normal99"/>
        <w:widowControl w:val="false"/>
        <w:spacing w:lineRule="auto" w:line="240" w:before="78" w:after="0"/>
        <w:ind w:left="468" w:right="466" w:hanging="0"/>
        <w:jc w:val="left"/>
        <w:rPr/>
      </w:pPr>
      <w:r>
        <w:rPr/>
        <w:t xml:space="preserve">5. Vi rekommenderar att banden till Östeuropa stärks och ekonomiska åtgärder uppmuntras på personlig nivå. </w:t>
      </w:r>
    </w:p>
    <w:p>
      <w:pPr>
        <w:pStyle w:val="P68B1DB1Normal99"/>
        <w:widowControl w:val="false"/>
        <w:spacing w:lineRule="auto" w:line="240" w:before="78" w:after="0"/>
        <w:ind w:left="468" w:right="286" w:hanging="0"/>
        <w:jc w:val="left"/>
        <w:rPr/>
      </w:pPr>
      <w:r>
        <w:rPr/>
        <w:t xml:space="preserve">6. Vi insisterar på att EU:s sanktioner mot utländska aktörer är strängare, mer riktade och berör viktiga personer i den sanktionerade staten (t.ex. politiska ledare). </w:t>
      </w:r>
    </w:p>
    <w:p>
      <w:pPr>
        <w:pStyle w:val="P68B1DB1Normal99"/>
        <w:widowControl w:val="false"/>
        <w:spacing w:lineRule="auto" w:line="240" w:before="78" w:after="0"/>
        <w:ind w:left="466" w:right="295" w:hanging="0"/>
        <w:jc w:val="left"/>
        <w:rPr/>
      </w:pPr>
      <w:r>
        <w:rPr/>
        <w:t>7. Vi insisterar på att EU:s gemensamma utrikes- och säkerhetspolitik bygger på den grundläggande principen om solidaritet mellan de olika EU-medlemsstaterna och de olika europeiska regionerna och samhällena.</w:t>
      </w:r>
    </w:p>
    <w:p>
      <w:pPr>
        <w:pStyle w:val="P68B1DB1Normal99"/>
        <w:widowControl w:val="false"/>
        <w:spacing w:lineRule="auto" w:line="240" w:before="78" w:after="0"/>
        <w:ind w:left="466" w:right="295" w:hanging="0"/>
        <w:jc w:val="left"/>
        <w:rPr/>
      </w:pPr>
      <w:r>
        <w:rPr/>
        <w:t xml:space="preserve">8. Vi rekommenderar att EU ser över öppenhetspolitiken hittills när det gäller migration, som orsakar säkerhetsproblem, en ökning av brottsligheten och inrättandet av kommunitarism i samhället. </w:t>
      </w:r>
    </w:p>
    <w:p>
      <w:pPr>
        <w:pStyle w:val="P68B1DB1Normal99"/>
        <w:widowControl w:val="false"/>
        <w:spacing w:lineRule="auto" w:line="240" w:before="78" w:after="0"/>
        <w:ind w:left="468" w:right="0" w:hanging="0"/>
        <w:jc w:val="left"/>
        <w:rPr/>
      </w:pPr>
      <w:r>
        <w:rPr/>
        <w:t xml:space="preserve">9. Vi uppmanar Litauen att tala mer aktivt om migrationspolitiska frågor och att inleda diskussioner om migrationsrelaterade frågor. </w:t>
      </w:r>
    </w:p>
    <w:p>
      <w:pPr>
        <w:pStyle w:val="P68B1DB1Normal99"/>
        <w:widowControl w:val="false"/>
        <w:spacing w:lineRule="auto" w:line="240" w:before="78" w:after="0"/>
        <w:ind w:left="468" w:right="0" w:hanging="0"/>
        <w:jc w:val="left"/>
        <w:rPr/>
      </w:pPr>
      <w:r>
        <w:rPr/>
        <w:t xml:space="preserve">10. Vi rekommenderar att EU för en aktiv och rigorös politik gentemot stater som använder migrationsströmmar som ett vapen i hybridattacker: å ena sidan genom att tillämpa strängare sanktioner och å andra sidan genom dialog med dem i syfte att trappa ned. </w:t>
      </w:r>
    </w:p>
    <w:p>
      <w:pPr>
        <w:pStyle w:val="P68B1DB1Normal100"/>
        <w:widowControl w:val="false"/>
        <w:spacing w:lineRule="auto" w:line="240" w:before="111" w:after="0"/>
        <w:ind w:left="0" w:right="0" w:hanging="0"/>
        <w:jc w:val="left"/>
        <w:rPr/>
      </w:pPr>
      <w:r>
        <w:rPr/>
        <w:t xml:space="preserve"> </w:t>
      </w:r>
    </w:p>
    <w:p>
      <w:pPr>
        <w:pStyle w:val="P68B1DB1Normal100"/>
        <w:widowControl w:val="false"/>
        <w:spacing w:lineRule="auto" w:line="240"/>
        <w:ind w:left="0" w:right="0" w:hanging="0"/>
        <w:jc w:val="left"/>
        <w:rPr/>
      </w:pPr>
      <w:r>
        <w:rPr/>
        <w:t xml:space="preserve">Andra sessionen: EU:s ekonomiska roll </w:t>
      </w:r>
    </w:p>
    <w:p>
      <w:pPr>
        <w:pStyle w:val="P68B1DB1Normal99"/>
        <w:widowControl w:val="false"/>
        <w:spacing w:lineRule="auto" w:line="240"/>
        <w:ind w:left="828" w:right="142" w:hanging="359"/>
        <w:jc w:val="both"/>
        <w:rPr/>
      </w:pPr>
      <w:r>
        <w:rPr/>
        <w:t xml:space="preserve">1. Vi rekommenderar att EU på olika sätt stärker försörjningstryggheten för viktiga varor: prioritera EU:s inre handel, främja produktion av avancerad teknik och ytterligare diversifiera importkällorna. Vi rekommenderar också att utforska nya exportmarknader. </w:t>
      </w:r>
    </w:p>
    <w:p>
      <w:pPr>
        <w:pStyle w:val="P68B1DB1Normal99"/>
        <w:widowControl w:val="false"/>
        <w:spacing w:lineRule="auto" w:line="240" w:before="83" w:after="0"/>
        <w:ind w:left="828" w:right="143" w:hanging="359"/>
        <w:jc w:val="both"/>
        <w:rPr/>
      </w:pPr>
      <w:r>
        <w:rPr/>
        <w:t xml:space="preserve">2. Vi rekommenderar att man ser över förhandlingsmetoderna för naturgasavtal med sikte på både kortfristiga och långfristiga kontrakt. Vi rekommenderar ytterligare diversifiering av energikällorna. </w:t>
      </w:r>
    </w:p>
    <w:p>
      <w:pPr>
        <w:pStyle w:val="P68B1DB1Normal99"/>
        <w:widowControl w:val="false"/>
        <w:spacing w:lineRule="auto" w:line="240" w:before="83" w:after="0"/>
        <w:ind w:left="828" w:right="143" w:hanging="359"/>
        <w:jc w:val="both"/>
        <w:rPr/>
      </w:pPr>
      <w:r>
        <w:rPr/>
        <w:t xml:space="preserve">3. Vi rekommenderar att åtgärderna i den gröna given och deras genomförande utvärderas med beaktande av de potentiella negativa socioekonomiska effekterna. För att genomföra målen i den gröna given rekommenderar vi att kärnenergi och naturgas används utöver användningen av förnybara energikällor. </w:t>
      </w:r>
    </w:p>
    <w:p>
      <w:pPr>
        <w:pStyle w:val="P68B1DB1Normal99"/>
        <w:widowControl w:val="false"/>
        <w:spacing w:lineRule="auto" w:line="240" w:before="83" w:after="0"/>
        <w:ind w:left="828" w:right="143" w:hanging="359"/>
        <w:jc w:val="both"/>
        <w:rPr/>
      </w:pPr>
      <w:r>
        <w:rPr/>
        <w:t xml:space="preserve">4. Vi betonar att det är särskilt viktigt att alla medlemsstater respekterar principen om unionsrättens företräde. Vi ber till exempel att Litauen har en tydlig principiell ståndpunkt i denna fråga. </w:t>
      </w:r>
    </w:p>
    <w:p>
      <w:pPr>
        <w:pStyle w:val="P68B1DB1Normal99"/>
        <w:widowControl w:val="false"/>
        <w:spacing w:lineRule="auto" w:line="240" w:before="83" w:after="0"/>
        <w:ind w:left="828" w:right="142" w:hanging="359"/>
        <w:jc w:val="both"/>
        <w:rPr/>
      </w:pPr>
      <w:r>
        <w:rPr/>
        <w:t>5. Vi rekommenderar att Litauen på ett mer aktivt sätt utnyttjar god praxis från EU-länderna i syfte att uppnå högre sociala standarder, ekonomisk expansion och balanserad och hållbar utveckling.</w:t>
      </w:r>
    </w:p>
    <w:p>
      <w:pPr>
        <w:pStyle w:val="P68B1DB1Normal99"/>
        <w:widowControl w:val="false"/>
        <w:spacing w:lineRule="auto" w:line="240" w:before="83" w:after="0"/>
        <w:ind w:left="828" w:right="142" w:hanging="359"/>
        <w:jc w:val="both"/>
        <w:rPr/>
      </w:pPr>
      <w:r>
        <w:rPr/>
        <w:t xml:space="preserve">6. Vi rekommenderar att mer uppmärksamhet ägnas åt att stärka cybersäkerheten samt skyddet av data och infrastruktur. </w:t>
      </w:r>
    </w:p>
    <w:p>
      <w:pPr>
        <w:pStyle w:val="P68B1DB1Normal99"/>
        <w:widowControl w:val="false"/>
        <w:spacing w:lineRule="auto" w:line="240" w:before="83" w:after="0"/>
        <w:ind w:left="821" w:right="143" w:hanging="354"/>
        <w:jc w:val="both"/>
        <w:rPr/>
      </w:pPr>
      <w:r>
        <w:rPr/>
        <w:t xml:space="preserve">7. Vi rekommenderar att EU och medlemsstaterna prioriterar utvecklingen av grundläggande ekonomisk kunskap bland medborgarna, utbildning och informationsspridning. </w:t>
      </w:r>
    </w:p>
    <w:p>
      <w:pPr>
        <w:pStyle w:val="P68B1DB1Normal99"/>
        <w:widowControl w:val="false"/>
        <w:spacing w:lineRule="auto" w:line="240" w:before="45" w:after="0"/>
        <w:ind w:left="821" w:right="143" w:hanging="354"/>
        <w:jc w:val="both"/>
        <w:rPr/>
      </w:pPr>
      <w:r>
        <w:rPr/>
        <w:t xml:space="preserve">8. Vi rekommenderar att EU:s nya handelsavtal innehåller ambitiösa sociala normer, arbetsnormer och hälsonormer. Vi rekommenderar att man på EU-nivå fastställer riktlinjer för vad man ska göra och inte har rätt att göra sociala medieplattformar som hanterar konsumenternas personuppgifter och information om dem. </w:t>
      </w:r>
    </w:p>
    <w:p>
      <w:pPr>
        <w:pStyle w:val="P68B1DB1Normal99"/>
        <w:widowControl w:val="false"/>
        <w:spacing w:lineRule="auto" w:line="240" w:before="42" w:after="0"/>
        <w:ind w:left="821" w:right="143" w:hanging="354"/>
        <w:jc w:val="both"/>
        <w:rPr/>
      </w:pPr>
      <w:r>
        <w:rPr/>
        <w:t>9. Vi rekommenderar ytterligare diskussioner om möjligheten till gemensam upplåning på EU-nivå för att få bästa möjliga lånevillkor. Vi rekommenderar också att man utarbetar en ekonomiskt sund och ansvarsfull politik för att minska medlemsstaternas behov av skuldsättning.</w:t>
      </w:r>
    </w:p>
    <w:p>
      <w:pPr>
        <w:pStyle w:val="P68B1DB1Normal99"/>
        <w:widowControl w:val="false"/>
        <w:spacing w:lineRule="auto" w:line="240" w:before="42" w:after="0"/>
        <w:ind w:left="821" w:right="143" w:hanging="354"/>
        <w:jc w:val="both"/>
        <w:rPr/>
      </w:pPr>
      <w:r>
        <w:rPr/>
        <w:t>10. Vi rekommenderar att man stärker övervakningen av utnyttjandet och användningen av EU-medel och hjälper de lokala myndigheterna att införa en verklig praxis för att anpassa användningen av medel. Eftersom den objektiva situationen för mottagare av EU-medel kan förändras är kopplingen mellan kraven på öppenhet och flexibilitet särskilt viktig.</w:t>
      </w:r>
    </w:p>
    <w:p>
      <w:pPr>
        <w:pStyle w:val="P68B1DB1Normal99"/>
        <w:widowControl w:val="false"/>
        <w:spacing w:lineRule="auto" w:line="240" w:before="42" w:after="0"/>
        <w:ind w:left="821" w:right="143" w:hanging="354"/>
        <w:jc w:val="both"/>
        <w:rPr/>
      </w:pPr>
      <w:r>
        <w:rPr/>
        <w:t xml:space="preserve">11. Vi rekommenderar att Litauen fortsätter att aktivt främja ekonomisk utveckling och investeringar i landets regioner. </w:t>
      </w:r>
    </w:p>
    <w:p>
      <w:pPr>
        <w:pStyle w:val="P68B1DB1Normal35"/>
        <w:widowControl w:val="false"/>
        <w:spacing w:lineRule="auto" w:line="240" w:before="62" w:after="0"/>
        <w:ind w:left="0" w:right="0" w:hanging="0"/>
        <w:jc w:val="left"/>
        <w:rPr/>
      </w:pPr>
      <w:r>
        <w:rPr/>
        <w:t xml:space="preserve"> </w:t>
      </w:r>
    </w:p>
    <w:p>
      <w:pPr>
        <w:pStyle w:val="P68B1DB1Normal96"/>
        <w:widowControl w:val="false"/>
        <w:spacing w:lineRule="auto" w:line="240" w:before="16" w:after="0"/>
        <w:ind w:left="720" w:right="0" w:hanging="0"/>
        <w:jc w:val="left"/>
        <w:rPr/>
      </w:pPr>
      <w:r>
        <w:rPr/>
        <w:t xml:space="preserve">3. Diskussioner i den nationella medborgarpanelen och analys av resultaten </w:t>
      </w:r>
    </w:p>
    <w:p>
      <w:pPr>
        <w:pStyle w:val="P68B1DB1Normal76"/>
        <w:widowControl w:val="false"/>
        <w:spacing w:lineRule="auto" w:line="240" w:before="46" w:after="0"/>
        <w:ind w:left="0" w:right="29" w:hanging="0"/>
        <w:jc w:val="both"/>
        <w:rPr/>
      </w:pPr>
      <w:r>
        <w:rPr/>
        <w:t xml:space="preserve">Deltagarna i den nationella medborgarpanelen diskuterade de viktigaste aktuella frågorna för Litauen (som till stor del diskuterades på nationell nivå på det politiska området och i media) och hur de ska hanteras. Den allmänna omröstningen om panelens viktigaste slutsatser visade att nästan 45 % av alla röster under de två sammanträdena ägnades åt förslag om två teman: förbindelserna med Kina och kontroll av migrationsströmmar (se tabell nedan). Energipolitikens tema har också fått mycket uppmärksamhet. Det var bara ett förslag, men det fick nästan 10 % av deltagarnas röster. Resultatet av dessa omröstningar tyder på att medborgarnas uppfattning om Europas framtid skulle kunna vara avgörande för dagens politiska frågor och nyheter (på nationell nivå). </w:t>
      </w:r>
    </w:p>
    <w:p>
      <w:pPr>
        <w:pStyle w:val="P68B1DB1Normal76"/>
        <w:widowControl w:val="false"/>
        <w:spacing w:lineRule="auto" w:line="240"/>
        <w:ind w:left="0" w:right="0" w:hanging="0"/>
        <w:jc w:val="left"/>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Rekommendation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Röstning</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Första sessionen: EU:s roll och befogenheter i utrikespolitiken</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Vi uppmanar EU att utveckla en effektivare politik gentemot Kina. Det nuvarande stödet till Litauen är inte tillräckligt, men Litauen har inte heller i tillräcklig utsträckning anpassat sin ståndpunkt till EU:s partner. För att se till att intressena kan balanseras bättre inom EU och att det bara finns en politik gentemot Kina, liksom i andra utrikespolitiska frågor, rekommenderar vi att man överväger möjligheten att inrätta en EU-utrikesminister.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11 (22,9 %) av betydelse för hela Europa: 8. i en personlig egenskap: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Vi rekommenderar att frågan om migrantkvoter tas upp på dagordningen på EU-nivå.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(18,8 %) av betydelse för hela 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pPr>
            <w:r>
              <w:rPr/>
              <w:t xml:space="preserve">3. Vi rekommenderar att det inrättas en särskild kommitté på EU-nivå för att ta itu med migrationsfrågor, som skulle säkerställa snabbare insatser vid migrationskriser och medlemsstaternas rätt att förklara och försvara sina nationella intressen samt att utarbeta och genomföra gemensamma riktlinjer för migrationshantering.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7 (14,6 %) av betydelse för hela Europa: 3; i en personlig egenskap: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Vi rekommenderar att man stärker de ekonomiska och humanitära banden med länderna i Nordafrika, utan att förlora den politiska verkligheten ur sikte, särskilt i syfte att minska Kinas, Rysslands och andra staters inflytande i regionen.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(12,5 %) viktigt i egenskap av person: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Vi rekommenderar att man stärker banden med Östeuropa och tillämpar ekonomiska åtgärder på folknivå.</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(10,4 %) viktigt personligen: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 xml:space="preserve">Andra sessionen: EU:s ekonomiska roll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Vi rekommenderar att EU vidtar olika åtgärder för att förbättra försörjningstryggheten för viktiga varor: prioritera handel inom EU, främja produktion av avancerad teknik inom EU och ytterligare diversifiera importkällorna. Vi rekommenderar också att utforska nya exportmarknader.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(19,6 %) av betydelse för hela Europa: 3; personligen: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Vi rekommenderar att man ser över förhandlingsmetoderna för naturgasavtal med sikte på både kortfristiga och långfristiga kontrakt. Vi rekommenderar ytterligare diversifiering av energikällorna.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9 (19,6 %) av betydelse för hela 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3. Vi rekommenderar att åtgärderna i den gröna given och deras genomförande utvärderas med beaktande av de potentiella negativa socioekonomiska effekterna. För att genomföra målen i den gröna given rekommenderar vi att kärnenergi och naturgas används utöver användningen av förnybara energikällor.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(13 %) viktigt i personlig egenskap: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Vi betonar att det är viktigt att alla medlemsstater respekterar principen om unionsrättens företräde. Vi ber till exempel att Litauen har en tydlig principiell ståndpunkt i denna fråga.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4 (8,7 %) av betydelse för hela Europa: 2; i en personlig egenskap: 2</w:t>
            </w:r>
          </w:p>
        </w:tc>
      </w:tr>
    </w:tbl>
    <w:p>
      <w:pPr>
        <w:pStyle w:val="P68B1DB1Normal97"/>
        <w:spacing w:lineRule="auto" w:line="240"/>
        <w:rPr/>
      </w:pPr>
      <w:r>
        <w:rPr/>
        <w:t xml:space="preserve"> </w:t>
      </w:r>
    </w:p>
    <w:p>
      <w:pPr>
        <w:pStyle w:val="P68B1DB1Normal76"/>
        <w:widowControl w:val="false"/>
        <w:spacing w:lineRule="auto" w:line="240" w:before="48" w:after="0"/>
        <w:ind w:left="0" w:right="0" w:hanging="0"/>
        <w:jc w:val="both"/>
        <w:rPr/>
      </w:pPr>
      <w:r>
        <w:rPr/>
        <w:t xml:space="preserve">Dessutom är de viktigaste frågorna för medborgarna, nämligen förbindelserna med Kina, migration eller energi, tillfälliga: resolutionen kommer att få en avgörande inverkan på Europas framtid på lång sikt. Därför är sannolikheten för att medborgarna tänker på framtiden att prioritera det som är viktigt just nu inte problematiskt. Eftersom byggandet av framtiden börjar med en mängd små steg i dag är uppfattningen av medborgarnas förväntningar på kort sikt en nödvändig förutsättning för att säkerställa en stark långsiktig kontroll av processer och problemlösning. Analysen nedan av de viktigaste resultaten från panelen med nationella medborgare grundar sig på denna iakttagelse. </w:t>
      </w:r>
    </w:p>
    <w:p>
      <w:pPr>
        <w:pStyle w:val="P68B1DB1Normal76"/>
        <w:widowControl w:val="false"/>
        <w:spacing w:lineRule="auto" w:line="240"/>
        <w:ind w:left="0" w:right="0" w:hanging="0"/>
        <w:jc w:val="left"/>
        <w:rPr/>
      </w:pPr>
      <w:r>
        <w:rPr/>
        <w:t xml:space="preserve"> </w:t>
      </w:r>
    </w:p>
    <w:p>
      <w:pPr>
        <w:pStyle w:val="P68B1DB1Normal76"/>
        <w:spacing w:lineRule="auto" w:line="240"/>
        <w:rPr/>
      </w:pPr>
      <w:r>
        <w:rPr/>
        <w:t>Den resolution som får flest röster (11 eller nästan 12 %) är</w:t>
      </w:r>
      <w:r>
        <w:rPr>
          <w:b/>
        </w:rPr>
        <w:t xml:space="preserve"> att EU behöver en effektivare politik gentemot Kina</w:t>
      </w:r>
      <w:r>
        <w:rPr/>
        <w:t xml:space="preserve">. Denna allmänna slutsats omfattade flera mer konkreta uttalanden. För det första betonade deltagarna att EU:s stöd till Litauen mot bakgrund av det ekonomiska trycket från Kina i detta skede inte var tillräckligt. För det andra betonade gruppens företrädare som meddelade slutsatsen att Litauen självt bör göra större ansträngningar för att harmonisera sin politik gentemot Kina med EU:s partner, särskilt eftersom det är viktigt att EU som helhet fortsätter att bedriva handel med Kina. För det tredje hävdade medborgarna att samordningen av ståndpunkterna och utvecklingen av en gemensam politik för Kina i synnerhet skulle kunna bli effektivare om en EU-utrikesminister inrättas. Åtta deltagare förklarade att denna slutsats var särskilt viktig för hela Europa, och tre andra förklarade att den var viktig för dem personligen.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Frågan om förbindelserna med Kina är nära kopplad till två andra förslag med ett stort antal medborgares röster. Nio deltagare röstade för slutsatsen vid den andra sessionen att </w:t>
      </w:r>
      <w:r>
        <w:rPr>
          <w:b/>
        </w:rPr>
        <w:t>EU måste stärka försörjningstryggheten</w:t>
      </w:r>
      <w:r>
        <w:rPr/>
        <w:t xml:space="preserve"> (tre deltagare ansåg att detta var särskilt viktigt för hela Europa och sex andra att detta är för dem personligen). Denna slutsats innehöll också flera aspekter. För det första betonade medborgarna behovet av att prioritera EU-marknader som kännetecknas av tillförlitliga leverantörer och produkter som uppfyller krävande standarder. För det andra framhöll deltagarna behovet av att uppmuntra högteknologisk produktionskapacitet i själva Europa. För det tredje uttryckte medborgarna sitt stöd för en större diversifiering av importkällorna. Vid formuleringen av dessa rekommendationer hänvisade deltagarna i diskussionen konsekvent till Kinas faktor: säkerhetshot relaterade till kinesiska varor, beroende av kinesiska råvaror som behövs för att tillverka avancerad teknik, samt Kinas praxis att kopiera och stjäla teknik från västerländska företag som är verksamma på marknaden. Förslaget att</w:t>
      </w:r>
      <w:r>
        <w:rPr>
          <w:b/>
        </w:rPr>
        <w:t xml:space="preserve"> utveckla EU:s ekonomiska och humanitära samarbete med länderna i Nordafrika</w:t>
      </w:r>
      <w:r>
        <w:rPr/>
        <w:t xml:space="preserve"> fick också sex röster (viktigt i personlig kapacitet) med motiveringen att det i denna region är viktigt att minska Kinas, Rysslands och andra vänskapliga staters inflytande.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Resultatet av omröstningen återspeglade också medborgarnas oro över migrationsfrågor. Två av de tre mest högljudda resultaten i utrikespolitiken ägnades åt migration. Nio deltagare röstade för förslaget om </w:t>
      </w:r>
      <w:r>
        <w:rPr>
          <w:b/>
        </w:rPr>
        <w:t>att EU ska återgå till inrättandet av ett system med obligatoriska mottagningskvoter för migranter för medlemsstaterna</w:t>
      </w:r>
      <w:r>
        <w:rPr/>
        <w:t xml:space="preserve"> (alla betonade att detta förslag är av särskild betydelse för hela Europa). De deltagare som kom fram till denna slutsats uttryckte sitt stöd för att de nationella kvoterna ska fastställas utifrån antalet invånare och för EU:s medfinansiering för att tillgodose migranternas behov enligt dessa kvoter. Sju deltagare röstade fortfarande för förslaget om </w:t>
      </w:r>
      <w:r>
        <w:rPr>
          <w:b/>
        </w:rPr>
        <w:t>att inrätta en permanent teknisk kommission på EU-nivå för att hantera migrationsfrågor, där företrädare för medlemsstaterna skulle utstationeras</w:t>
      </w:r>
      <w:r>
        <w:rPr/>
        <w:t xml:space="preserve"> (tre deltagare anser att detta förslag är särskilt viktigt för Europa som helhet, fyra anser att det är viktigt för dem personligen). Deltagarna betonade att ett sådant organ skulle kunna göra det möjligt för EU att reagera snabbare på migrationskriser, samtidigt som man säkerställer en balans mellan adekvat respekt för EU:s allmänna principer och medlemsstaternas rätt att försvara sina nationella intressen och säkerhet.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Under debatten om migrationspolitiken diskuterade deltagarna två olika kriser i hanteringen av migrationsströmmar: under 2016 användes migrationskrisen i Medelhavet och 2012 Vitrysslands hybridattack mot Litauen, Lettland och Polen, under vilken Minsk använde migranter från flöden från Mellanöstern och Afrika. Ett antal paneldeltagare sade att krisen 2016 verkade avlägsen och irrelevant, både för Litauen som helhet och för dem personligen, och förslaget att inrätta ett kvotsystem för migranter verkade inte lämpligt för dem. Enligt deltagarna gjorde erfarenheterna av hybridattacken migrationsfrågan närmare i Östeuropa, och den tvingades närma sig kvoter som ett anpassat, effektivt och solidaritetsbaserat migrationspolitiskt verktyg. Vissa deltagare påpekade att det under krisen 2021 blivit svårt att skilja mellan dem på landets territorium, flyktingar, migranter och dem som utgör ett hot. Alla deltagare i diskussionen var eniga om att EU:s nuvarande ”öppna” migrationspolitik inte i tillräcklig utsträckning tar hänsyn till hoten från migrationen, medlemsstaternas nationella intressen, deras förmåga att integrera migranter osv. Medborgarna kritiserade också EU för dess långsamma eller bristande svar på Litauens behov samt dess vägran att finansiera byggandet av en mur vid de yttre gränserna. </w:t>
      </w:r>
    </w:p>
    <w:p>
      <w:pPr>
        <w:pStyle w:val="P68B1DB1Normal76"/>
        <w:widowControl w:val="false"/>
        <w:spacing w:lineRule="auto" w:line="240"/>
        <w:ind w:left="0" w:right="0" w:hanging="0"/>
        <w:jc w:val="left"/>
        <w:rPr/>
      </w:pPr>
      <w:r>
        <w:rPr/>
        <w:t xml:space="preserve"> </w:t>
      </w:r>
    </w:p>
    <w:p>
      <w:pPr>
        <w:pStyle w:val="P68B1DB1Normal76"/>
        <w:spacing w:lineRule="auto" w:line="240"/>
        <w:jc w:val="both"/>
        <w:rPr/>
      </w:pPr>
      <w:r>
        <w:rPr/>
        <w:t xml:space="preserve">Sammanfattningsvis kan man säga att två delar av Litauens hetaste nyheter 2021 – förbindelserna med Kina och hanteringen av migrationsströmmarna – uppmuntrar litauiska medborgare att kräva att EU ingriper mer och har en effektivare gemensam politik. Medborgarna är oroade över Kinas politik och dess växande inflytande i Europa och EU:s grannskap. Det måste erkännas att Kinas ekonomiska inflytande tvingar Europa att söka lämpliga och balanserade politiska åtgärder. Medborgarna anser att huvudlösningen är att stärka EU:s gemensamma utrikespolitiska instrument, industripolitik och samarbete med grannländerna. På samma sätt ansåg medborgarna att gemensamma åtgärder på EU-nivå, liksom ett eventuellt nytt system för migrationskvoter, förmodligen var det lämpligaste sättet att undkomma de säkerhetshot som migration utgör och att snabbt och effektivt kontrollera migrationsströmmarna till Europa. Panelen anser att det bästa svaret på Kinas växande tryck och mot Vitrysslands hybridattack skulle vara att ha en djupgående och förstärkt gemensam EU-politik.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Detta yttrande om de kriser som diskuteras kan jämföras med paneldeltagarnas förslag om energi- och klimatfrågor. I slutet av 2021 var många litauiska medborgare tvungna att direkt hantera stigande uppvärmningspriser, och energipriskrisen visade sig snabbt vara en av de viktigaste nyheterna för Litauen. Oron för energipriserna återspeglas också i deltagarnas omröstning: nio medborgare röstade till och med för slutsatsen att denna fråga är den viktigaste för hela Europa. Deltagarnas huvudsakliga rekommendation var</w:t>
      </w:r>
      <w:r>
        <w:rPr>
          <w:b/>
        </w:rPr>
        <w:t xml:space="preserve"> att se över medlemsstaternas nuvarande praxis genom att ingå avtal om energiförsörjning med olika leverantörer och genom att sträva efter att ingå dem både på kort och lång sikt.</w:t>
      </w:r>
      <w:r>
        <w:rPr/>
        <w:t xml:space="preserve"> Med andra ord stödde medborgarna politiken för att diversifiera energikällorna, men lämnade inga rekommendationer om EU:s allmänna politik och rekommenderade inte ytterligare integrering av energipolitiken.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 xml:space="preserve">När det gäller klimatpolitiken rekommenderade medborgarna </w:t>
      </w:r>
      <w:r>
        <w:rPr>
          <w:b/>
        </w:rPr>
        <w:t>en bedömning av åtgärderna i den gröna given, med beaktande av de förväntade socioekonomiska effekterna och ambitionerna.</w:t>
      </w:r>
      <w:r>
        <w:rPr/>
        <w:t xml:space="preserve"> Detta förslag fick röst från sex deltagare, som var och en ansåg att det var viktigt personligen. Vissa deltagare uttryckte oro över den alltför snabba takten i den så kallade gröna omställningen och sade att Litauen bör bedöma mer noggrant om en sådan politik skulle undergräva landets och dess medborgares intressen. Vissa deltagare återuppväckte också behovet av att inte bara använda förnybar energi, utan även kärnkraft och naturgas. Till stöd för denna ståndpunkt hänvisade de till Tysklands beslut att fortsätta att använda naturgas samt potentialen hos den nya generationens ”modulära” kärnreaktorer. När det gäller klimatpolitiken prioriterade panelen därför medlemsstaternas politik i linje med nationella behov, inte en ambitiös gemensam EU-politik för klimatstyrning.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2" w:hanging="0"/>
        <w:jc w:val="both"/>
        <w:rPr/>
      </w:pPr>
      <w:r>
        <w:rPr/>
        <w:t xml:space="preserve">Med tanke på det relativt låga antalet deltagare i panelen och skillnaderna i medborgarnas svar (mer enighet i åtgärder eller mer flexibilitet) på de olika kriserna, skulle det vara fel att överväga här återkommande och allmänt tillämpliga åtgärder. Denna dynamik i att uttrycka åsikter kan dock leda till ett förslag om ämnen av intresse för framtida opinionsundersökningar av litauiska medborgare om EU-integrationsfrågor, där hänsyn bör tas till vad medborgarna säger om självständig EU-politik, förändringar i institutionella arrangemang och skillnader. </w:t>
      </w:r>
    </w:p>
    <w:p>
      <w:pPr>
        <w:pStyle w:val="P68B1DB1Normal76"/>
        <w:widowControl w:val="false"/>
        <w:spacing w:lineRule="auto" w:line="240"/>
        <w:ind w:left="0" w:right="0" w:hanging="0"/>
        <w:jc w:val="both"/>
        <w:rPr/>
      </w:pPr>
      <w:r>
        <w:rPr/>
        <w:t xml:space="preserve"> </w:t>
      </w:r>
    </w:p>
    <w:p>
      <w:pPr>
        <w:pStyle w:val="P68B1DB1Normal96"/>
        <w:spacing w:lineRule="auto" w:line="240"/>
        <w:jc w:val="both"/>
        <w:rPr/>
      </w:pPr>
      <w:r>
        <w:rPr/>
        <w:t xml:space="preserve">4. Resultat från medborgarpanelen i ett bredare sammanhang av den allmänna opinionen i Litauen </w:t>
      </w:r>
    </w:p>
    <w:p>
      <w:pPr>
        <w:pStyle w:val="Normal"/>
        <w:widowControl w:val="false"/>
        <w:spacing w:lineRule="auto" w:line="240"/>
        <w:ind w:left="0" w:right="1" w:hanging="0"/>
        <w:jc w:val="both"/>
        <w:rPr/>
      </w:pPr>
      <w:r>
        <w:rPr>
          <w:color w:val="000000"/>
        </w:rPr>
        <w:t xml:space="preserve">För att kontextualisera resultaten från den nationella medborgarpanelen jämförs dessa kort i den sista delen med resultaten av två aktuella opinionsundersökningar samt med de mellanliggande resultaten av annat förberedande arbete inför konferensen om Europas framtid. Den första delen av detta betänkande rör en </w:t>
      </w:r>
      <w:hyperlink r:id="rId115">
        <w:r>
          <w:rPr>
            <w:rStyle w:val="LienInternet"/>
            <w:color w:val="0563C1"/>
          </w:rPr>
          <w:t>EU-</w:t>
        </w:r>
      </w:hyperlink>
      <w:r>
        <w:rPr>
          <w:color w:val="000000"/>
        </w:rPr>
        <w:t xml:space="preserve"> obarometerundersökning som genomfördes i oktober och november 2020 om konferensen om Europas framtid. den andra om den senaste </w:t>
      </w:r>
      <w:hyperlink r:id="rId116">
        <w:r>
          <w:rPr>
            <w:rStyle w:val="LienInternet"/>
            <w:color w:val="0563C1"/>
          </w:rPr>
          <w:t>standard Eurobarometern</w:t>
        </w:r>
      </w:hyperlink>
      <w:r>
        <w:rPr>
          <w:color w:val="000000"/>
        </w:rPr>
        <w:t xml:space="preserve"> som genomfördes sommaren 2021. I den mån några av frågorna i dessa studier fokuserade på andra politiska teman och medborgarnas förväntningar på själva konferensen, görs en jämförelse nedan med de frågor som verkligen togs upp i panelen. Granskningen av resultaten av det förberedande arbetet inför konferensen om Europas framtid baserades på den preliminära rapporten om detta arbete som utarbetats av RESC, som innehöll uttalanden av medborgare som deltog i arbetet med olika EU-politiska frågor.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Resultaten av Eurobarometerundersökningarna tyder på att diskussionerna och rösterna från deltagarna i medborgarpanelen ganska väl återspeglar de rådande åsikterna i det litauiska samhället. Paneldeltagarnas rekommendationer om att stärka den gemensamma utrikes- och migrationspolitiken genom att delta i besluten på EU-nivå motsvarar resultaten från de bredare opinionsundersökningarna: </w:t>
      </w:r>
    </w:p>
    <w:p>
      <w:pPr>
        <w:pStyle w:val="P68B1DB1Normal76"/>
        <w:widowControl w:val="false"/>
        <w:spacing w:lineRule="auto" w:line="240"/>
        <w:ind w:left="361" w:right="1" w:hanging="0"/>
        <w:jc w:val="left"/>
        <w:rPr/>
      </w:pPr>
      <w:r>
        <w:rPr>
          <w:rFonts w:ascii="Garamond" w:hAnsi="Garamond"/>
        </w:rPr>
        <w:t>Litauiska</w:t>
      </w:r>
      <w:r>
        <w:rPr/>
        <w:t xml:space="preserve"> medborgare stöder EU:s gemensamma försvarspolitik mer än EU-genomsnittet (90 % jämfört med 78 %). </w:t>
      </w:r>
    </w:p>
    <w:p>
      <w:pPr>
        <w:pStyle w:val="P68B1DB1Normal76"/>
        <w:widowControl w:val="false"/>
        <w:spacing w:lineRule="auto" w:line="240"/>
        <w:ind w:left="361" w:right="3" w:hanging="0"/>
        <w:jc w:val="left"/>
        <w:rPr/>
      </w:pPr>
      <w:r>
        <w:rPr>
          <w:rFonts w:ascii="Garamond" w:hAnsi="Garamond"/>
        </w:rPr>
        <w:t>Litauiska</w:t>
      </w:r>
      <w:r>
        <w:rPr/>
        <w:t xml:space="preserve"> medborgare stöder EU:s gemensamma migrationspolitik mer än EU-genomsnittet (76 % jämfört med 71 %; denna skillnad ligger inom felmarginalen). </w:t>
      </w:r>
    </w:p>
    <w:p>
      <w:pPr>
        <w:pStyle w:val="P68B1DB1Normal76"/>
        <w:widowControl w:val="false"/>
        <w:spacing w:lineRule="auto" w:line="240"/>
        <w:ind w:left="360" w:right="2" w:hanging="0"/>
        <w:jc w:val="left"/>
        <w:rPr/>
      </w:pPr>
      <w:r>
        <w:rPr>
          <w:rFonts w:ascii="Garamond" w:hAnsi="Garamond"/>
        </w:rPr>
        <w:t>Litauiska</w:t>
      </w:r>
      <w:r>
        <w:rPr/>
        <w:t xml:space="preserve"> medborgare anser att migration är ett av EU:s två största problem. </w:t>
      </w:r>
    </w:p>
    <w:p>
      <w:pPr>
        <w:pStyle w:val="P68B1DB1Normal76"/>
        <w:widowControl w:val="false"/>
        <w:spacing w:lineRule="auto" w:line="240"/>
        <w:ind w:left="360" w:right="3" w:hanging="0"/>
        <w:jc w:val="left"/>
        <w:rPr/>
      </w:pPr>
      <w:r>
        <w:rPr>
          <w:rFonts w:ascii="Garamond" w:hAnsi="Garamond"/>
        </w:rPr>
        <w:t>Litauiska</w:t>
      </w:r>
      <w:r>
        <w:rPr/>
        <w:t xml:space="preserve"> medborgare vill att fler problem ska lösas på EU-nivå (49 % jämfört med 42 %). </w:t>
      </w:r>
    </w:p>
    <w:p>
      <w:pPr>
        <w:pStyle w:val="P68B1DB1Normal76"/>
        <w:widowControl w:val="false"/>
        <w:spacing w:lineRule="auto" w:line="240" w:before="83" w:after="0"/>
        <w:ind w:left="0" w:right="3" w:hanging="0"/>
        <w:jc w:val="both"/>
        <w:rPr/>
      </w:pPr>
      <w:r>
        <w:rPr/>
        <w:t xml:space="preserve">Litauiska medborgare som deltog i förberedelserna inför konferensen om Europas framtid betonade också vikten av samarbete på försvarsområdet och att EU:s gemensamma migrationspolitik och EU:s utrikespolitik är områden där Litauen skulle dra nytta av starkare EU-insatser.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Eurobarometeruppgifter skulle kunna belysa paneldeltagarnas syn på förbindelserna med Kina och energipriserna: Litauerna är mer oroade än EU-genomsnittet över fördelningen av förbindelserna mellan länder runt om i världen och de resulterande geopolitiska spänningarna (33 % jämfört med 18 %). Panelens slutsatser om behovet av en mer ambitiös politik gentemot Kina överlappar också dessa uppgifter, liksom ovannämnda ståndpunkt till förmån för beslutsfattandet på EU-nivå och en gemensam försvarspolitik för EU. Å andra sidan kan paneldeltagarnas oro över olika beslut om att sänka energipriserna bero på att litauerna är mycket mer oroade än EU-genomsnittet över stigande inflation och stigande priser (53 % jämfört med 23 %). Känsligheten för stigande inflation beror på att det förefaller viktigare att kontrollera prisökningarna än EU:s allmänna politiska utformning eller andra politiska mål.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Eurobarometeruppgifterna tyder också på en intressant utveckling av litauernas uppfattning om migrationsfrågan ur ett politiskt perspektiv. I 2020 års undersökning nämnde litauerna migration som en viktig utmaning för EU:s framtid (16 % mot 27 %) än EU-genomsnittet. I undersökningen 2021 ansåg 32 % av litauiska svarande att migration var ett av de största problemen i EU (jämfört med i genomsnitt 25 % i EU som helhet). Även om denna ändring av uppfattningen kan bero på skillnader i formuleringen av frågan, överlappar den med vad paneldeltagarna sade i diskussionerna om utvecklingen av deras syn på migrationsfrågor.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before="220" w:after="0"/>
        <w:ind w:left="0" w:right="0" w:hanging="0"/>
        <w:jc w:val="both"/>
        <w:rPr/>
      </w:pPr>
      <w:r>
        <w:rPr/>
        <w:t xml:space="preserve">Att jämföra resultaten från medborgarpanelen med Eurobarometeruppgifter visar dessutom att det finns en lucka mellan å ena sidan en relativt försiktig syn på paneldeltagarnas syn på EU:s politik och å andra sidan en oro bland litauiska medborgare i klimatförändringsfrågor. Även om paneldeltagarna uppmuntrade att bedöma om den gröna given inte var alltför ambitiös och inte skulle skada Litauens intressen, identifierade litauerna, enligt Eurobarometerstudier, konsekvent klimatförändringar som en av de största utmaningarna för EU. I 2020 års undersökning ansåg 47 % av litauiska svarande att klimatet var en av de viktigaste utmaningarna för Europas framtid (jämfört med i genomsnitt 45 % i EU som helhet). I 2021 års undersökning var detta fallet för 28 % av litauiska svarande (en ökning från i genomsnitt 25 % i EU som helhet). Det bör noteras att de medborgare som deltog i de andra förberedande evenemangen inför konferensen om Europas framtid också hänvisade till klimatpolitiken som ett av de områden där Litauen skulle ha störst intresse av starkare EU-insatser. Denna diskrepans kan förmodligen förklaras av motiveringen till paneldeltagarnas omröstning: alla som röstade för rekommendationen att ompröva åtgärderna i den gröna given ansåg att detta var viktigt för dem ur ett personligt perspektiv. Med andra ord skulle den personliga oppositionen inte vara oförenlig med slutsatsen att klimatförändringarna är en av de viktigaste utmaningarna för EU:s politik. </w:t>
      </w:r>
    </w:p>
    <w:p>
      <w:pPr>
        <w:pStyle w:val="P68B1DB1Normal97"/>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Nationella paneler: Nederländerna</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3098800" cy="3129280"/>
            <wp:effectExtent l="0" t="0" r="0" b="0"/>
            <wp:wrapTopAndBottom/>
            <wp:docPr id="109" name="Bild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 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V</w:t>
      </w:r>
      <w:r>
        <w:rPr>
          <w:rFonts w:ascii="Calibri" w:hAnsi="Calibri"/>
          <w:b/>
          <w:i/>
          <w:color w:val="000000"/>
          <w:sz w:val="48"/>
        </w:rPr>
        <w:t>år vision om Europa</w:t>
      </w:r>
    </w:p>
    <w:p>
      <w:pPr>
        <w:pStyle w:val="P68B1DB1Normal103"/>
        <w:widowControl w:val="false"/>
        <w:spacing w:lineRule="exact" w:line="499" w:before="100" w:after="0"/>
        <w:ind w:left="0" w:right="0" w:hanging="0"/>
        <w:jc w:val="left"/>
        <w:rPr/>
      </w:pPr>
      <w:r>
        <w:rPr/>
        <w:t xml:space="preserve">Yttranden, idéer och rekommendationer </w:t>
      </w:r>
    </w:p>
    <w:p>
      <w:pPr>
        <w:pStyle w:val="P68B1DB1Normal104"/>
        <w:widowControl w:val="false"/>
        <w:spacing w:lineRule="exact" w:line="339" w:before="101" w:after="0"/>
        <w:ind w:left="0" w:right="0" w:hanging="0"/>
        <w:jc w:val="left"/>
        <w:rPr/>
      </w:pPr>
      <w:r>
        <w:rPr/>
        <w:t xml:space="preserve">Teman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Värden och rättigheter, rättsstatsprincipen och säkerhet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En starkare ekonomi, social rättvisa och sysselsättning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Europeisk demokrati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Digital transformation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Utbildning, kultur, ungdom och idrott </w:t>
      </w:r>
    </w:p>
    <w:p>
      <w:pPr>
        <w:pStyle w:val="P68B1DB1Normal104"/>
        <w:widowControl w:val="false"/>
        <w:spacing w:lineRule="exact" w:line="339"/>
        <w:ind w:left="0" w:right="0" w:hanging="0"/>
        <w:jc w:val="left"/>
        <w:rPr/>
      </w:pPr>
      <w:r>
        <w:rPr/>
        <w:t xml:space="preserve"> </w:t>
      </w:r>
    </w:p>
    <w:p>
      <w:pPr>
        <w:pStyle w:val="Titre4"/>
        <w:numPr>
          <w:ilvl w:val="3"/>
          <w:numId w:val="2"/>
        </w:numPr>
        <w:rPr/>
      </w:pPr>
      <w:bookmarkStart w:id="236" w:name="__RefHeading___Toc298384_1346298689"/>
      <w:bookmarkEnd w:id="236"/>
      <w:r>
        <w:rPr/>
        <w:t xml:space="preserve">3 december 2021 </w:t>
      </w:r>
    </w:p>
    <w:p>
      <w:pPr>
        <w:pStyle w:val="Normal"/>
        <w:widowControl w:val="false"/>
        <w:spacing w:lineRule="exact" w:line="282" w:before="1" w:after="0"/>
        <w:ind w:left="0" w:right="37" w:hanging="0"/>
        <w:jc w:val="left"/>
        <w:rPr/>
      </w:pPr>
      <w:r>
        <w:rPr>
          <w:rFonts w:ascii="Calibri" w:hAnsi="Calibri"/>
          <w:color w:val="000000"/>
          <w:sz w:val="21"/>
        </w:rPr>
        <w:t xml:space="preserve">Detta dokument är en översättning av betänkandet ”Eleven kijk op Europa; Meningen, ideeën en Aanbevelingen”(”Vår vision för Europa: yttranden, idéer och rekommendationer”, som offentliggjordes på nederländska den 3 december 2021 på www.kijkopeuropa.nl. Denna översättning är en förenklad version av rapporten där den ursprungliga presentationen (illustrationer och andra grafiska element) har ändrats för översättningsändamål. </w:t>
      </w:r>
      <w:r>
        <w:rPr>
          <w:rFonts w:ascii="Times New Roman" w:hAnsi="Times New Roman"/>
          <w:color w:val="000000"/>
          <w:sz w:val="24"/>
        </w:rPr>
        <w:t xml:space="preserve"> </w:t>
      </w:r>
      <w:r>
        <w:br w:type="page"/>
      </w:r>
    </w:p>
    <w:p>
      <w:pPr>
        <w:pStyle w:val="P68B1DB1Normal106"/>
        <w:rPr/>
      </w:pPr>
      <w:r>
        <w:rPr/>
        <w:t xml:space="preserve">Vår vision om... </w:t>
      </w:r>
    </w:p>
    <w:p>
      <w:pPr>
        <w:pStyle w:val="P68B1DB1Normal107"/>
        <w:widowControl w:val="false"/>
        <w:spacing w:lineRule="exact" w:line="375" w:before="248" w:after="0"/>
        <w:ind w:left="0" w:right="0" w:hanging="0"/>
        <w:jc w:val="left"/>
        <w:rPr/>
      </w:pPr>
      <w:r>
        <w:rPr/>
        <w:t xml:space="preserve">Sammanfattning av rapporten: alla rekommendationer i korthet </w:t>
      </w:r>
    </w:p>
    <w:p>
      <w:pPr>
        <w:pStyle w:val="P68B1DB1Normal104"/>
        <w:widowControl w:val="false"/>
        <w:spacing w:lineRule="exact" w:line="282" w:before="185" w:after="0"/>
        <w:ind w:left="0" w:right="25" w:hanging="0"/>
        <w:jc w:val="left"/>
        <w:rPr/>
      </w:pPr>
      <w:r>
        <w:rPr/>
        <w:t xml:space="preserve">Genom medborgardialogen på temat ”Europas vision” har vi samlat de nederländska medborgarnas åsikter och idéer om Europas framtid. Detta ledde till följande rekommendationer till Europeiska unionen för de fem första temana. </w:t>
      </w:r>
    </w:p>
    <w:p>
      <w:pPr>
        <w:pStyle w:val="P68B1DB1Normal108"/>
        <w:widowControl w:val="false"/>
        <w:spacing w:lineRule="exact" w:line="387" w:before="59" w:after="0"/>
        <w:ind w:left="0" w:right="0" w:hanging="0"/>
        <w:jc w:val="left"/>
        <w:rPr/>
      </w:pPr>
      <w:r>
        <w:rPr/>
        <w:t xml:space="preserve">Värden och rättigheter, rättsstatsprincipen och säkerhet </w:t>
      </w:r>
    </w:p>
    <w:p>
      <w:pPr>
        <w:pStyle w:val="P68B1DB1Normal104"/>
        <w:widowControl w:val="false"/>
        <w:spacing w:lineRule="exact" w:line="282" w:before="178" w:after="0"/>
        <w:ind w:left="0" w:right="105" w:hanging="0"/>
        <w:jc w:val="left"/>
        <w:rPr/>
      </w:pPr>
      <w:r>
        <w:rPr/>
        <w:t xml:space="preserve">Det är viktigt att EU skyddar rättsstatsprincipen. Samtidigt anser holländarna att man bör uppmärksamma den mångfald av traditioner och kulturer som finns i Europa. Samarbetet inom EU kan ha många fördelar i olika former, men det måste tillföra mervärde för alla berörda parter. Detta gäller även utbyte av säkerhetsinformation. Utbyte av all information gör samarbetet ineffektivt. </w:t>
      </w:r>
    </w:p>
    <w:p>
      <w:pPr>
        <w:pStyle w:val="P68B1DB1Normal19"/>
        <w:widowControl w:val="false"/>
        <w:spacing w:lineRule="exact" w:line="388" w:before="47" w:after="0"/>
        <w:ind w:left="0" w:right="0" w:hanging="0"/>
        <w:jc w:val="left"/>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Se till att alla kan känna sig fria och trygga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Utvidga EU endast om det ger mervärde</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Samarbete främst i kampen mot internationell brottslighet och terrorism</w:t>
      </w:r>
    </w:p>
    <w:p>
      <w:pPr>
        <w:pStyle w:val="P68B1DB1Normal104"/>
        <w:widowControl w:val="false"/>
        <w:spacing w:lineRule="exact" w:line="339"/>
        <w:ind w:left="283" w:right="0" w:hanging="0"/>
        <w:jc w:val="left"/>
        <w:rPr/>
      </w:pPr>
      <w:r>
        <w:rPr/>
        <w:t xml:space="preserve"> </w:t>
      </w:r>
    </w:p>
    <w:p>
      <w:pPr>
        <w:pStyle w:val="P68B1DB1Normal108"/>
        <w:widowControl w:val="false"/>
        <w:spacing w:lineRule="exact" w:line="387" w:before="59" w:after="0"/>
        <w:ind w:left="0" w:right="0" w:hanging="0"/>
        <w:jc w:val="left"/>
        <w:rPr/>
      </w:pPr>
      <w:r>
        <w:rPr/>
        <w:t xml:space="preserve">En starkare ekonomi, social rättvisa och sysselsättning </w:t>
      </w:r>
    </w:p>
    <w:p>
      <w:pPr>
        <w:pStyle w:val="P68B1DB1Normal104"/>
        <w:widowControl w:val="false"/>
        <w:spacing w:lineRule="exact" w:line="282" w:before="178" w:after="0"/>
        <w:ind w:left="0" w:right="18" w:hanging="0"/>
        <w:jc w:val="left"/>
        <w:rPr/>
      </w:pPr>
      <w:r>
        <w:rPr/>
        <w:t xml:space="preserve">Holländarna anser att det finns många möjligheter att stärka den europeiska ekonomin. Men länderna kan inte alltid jämföras med varandra. Framför allt bör skattesystemet vara rättvisare och tydligare. Och i Europa bör vi fokusera mer på våra styrkor, såsom kvalitet och mångfald. Dessutom kan EU-länderna samarbeta för att säkerställa lika möjligheter på den europeiska arbetsmarknaden. </w:t>
      </w:r>
    </w:p>
    <w:p>
      <w:pPr>
        <w:pStyle w:val="P68B1DB1Normal104"/>
        <w:widowControl w:val="false"/>
        <w:spacing w:lineRule="exact" w:line="339" w:before="58" w:after="0"/>
        <w:ind w:left="0" w:right="0" w:hanging="0"/>
        <w:jc w:val="left"/>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Ta hänsyn till likheter och skillnader</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Att i större utsträckning utnyttja EU:s styrkor</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Utveckla ett rättvist och tydligt skattesystem</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Se till att alla kan delta </w:t>
      </w:r>
      <w:r>
        <w:rPr>
          <w:sz w:val="21"/>
        </w:rPr>
        <w:t>i den</w:t>
      </w:r>
      <w:r>
        <w:rPr>
          <w:rFonts w:ascii="Calibri" w:hAnsi="Calibri"/>
          <w:b/>
          <w:i/>
          <w:sz w:val="24"/>
        </w:rPr>
        <w:t xml:space="preserve">europeiska demokratin </w:t>
      </w:r>
    </w:p>
    <w:p>
      <w:pPr>
        <w:pStyle w:val="P68B1DB1Normal104"/>
        <w:widowControl w:val="false"/>
        <w:spacing w:lineRule="exact" w:line="282" w:before="178" w:after="0"/>
        <w:ind w:left="0" w:right="323" w:hanging="0"/>
        <w:jc w:val="both"/>
        <w:rPr/>
      </w:pPr>
      <w:r>
        <w:rPr/>
        <w:t xml:space="preserve">Holländarna behöver inte veta allt om EU, utan vill ha mer öppenhet och mer information. Att känna till andra EU-länders åsikter kan till exempel bidra till en bättre överblick. Dessutom anser Nederländerna att EU bör engagera sig oftare och helst på permanent basis med medborgarna. I detta avseende är det viktigt att inte bara ta hänsyn till de olika intressena, utan också att fatta beslut snabbare än vad som är fallet i dag.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Ge en bättre överblick över Europa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Hitta nya sätt att kontinuerligt lyssna på medborgarna</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Större öppenhet och tydlighet i de beslut som fattas</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Se till att törstiga problem kan lösas snabbare</w:t>
      </w:r>
    </w:p>
    <w:p>
      <w:pPr>
        <w:pStyle w:val="P68B1DB1Normal104"/>
        <w:widowControl w:val="false"/>
        <w:spacing w:lineRule="exact" w:line="339" w:before="60" w:after="0"/>
        <w:ind w:left="0" w:right="0" w:hanging="0"/>
        <w:jc w:val="left"/>
        <w:rPr/>
      </w:pPr>
      <w:r>
        <w:rPr/>
        <w:t xml:space="preserve"> </w:t>
      </w:r>
    </w:p>
    <w:p>
      <w:pPr>
        <w:pStyle w:val="P68B1DB1Normal108"/>
        <w:widowControl w:val="false"/>
        <w:spacing w:lineRule="exact" w:line="387" w:before="59" w:after="0"/>
        <w:ind w:left="0" w:right="0" w:hanging="0"/>
        <w:jc w:val="left"/>
        <w:rPr/>
      </w:pPr>
      <w:r>
        <w:rPr/>
        <w:t xml:space="preserve">Digital transformation </w:t>
      </w:r>
    </w:p>
    <w:p>
      <w:pPr>
        <w:pStyle w:val="P68B1DB1Normal104"/>
        <w:widowControl w:val="false"/>
        <w:spacing w:lineRule="exact" w:line="282" w:before="178" w:after="0"/>
        <w:ind w:left="0" w:right="54" w:hanging="0"/>
        <w:jc w:val="left"/>
        <w:rPr/>
      </w:pPr>
      <w:r>
        <w:rPr/>
        <w:t xml:space="preserve">Samhället blir alltmer beroende av internet och stora teknikföretag blir allt mer kraftfulla. Detta oroar ibland holländarna mycket. Det är därför lämpligt för EU att utveckla europeiska regler och standarder för skydd av privatlivet. Det är dock viktigt att alla kan förstå och tillämpa dessa regler och normer. Holländarna föredrar att få stöd och information från de nationella myndigheterna på sitt eget språk.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Säkerställa ett snabbt, säkert och stabilt internet överallt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Fastställande av tydliga regler och standarder för internetföretag</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Lägga till genomförande och praktiska förklaringar till integritetsreglerna</w:t>
      </w:r>
    </w:p>
    <w:p>
      <w:pPr>
        <w:pStyle w:val="P68B1DB1Normal19"/>
        <w:widowControl w:val="false"/>
        <w:spacing w:lineRule="exact" w:line="388"/>
        <w:ind w:left="284" w:right="0" w:hanging="0"/>
        <w:jc w:val="left"/>
        <w:rPr/>
      </w:pPr>
      <w:r>
        <w:rPr/>
        <w:t xml:space="preserve"> </w:t>
      </w:r>
    </w:p>
    <w:p>
      <w:pPr>
        <w:pStyle w:val="P68B1DB1Normal108"/>
        <w:widowControl w:val="false"/>
        <w:spacing w:lineRule="exact" w:line="387" w:before="30" w:after="0"/>
        <w:ind w:left="0" w:right="0" w:hanging="0"/>
        <w:jc w:val="left"/>
        <w:rPr/>
      </w:pPr>
      <w:r>
        <w:rPr/>
        <w:t xml:space="preserve">Utbildning, kultur, ungdom och idrott </w:t>
      </w:r>
    </w:p>
    <w:p>
      <w:pPr>
        <w:pStyle w:val="P68B1DB1Normal104"/>
        <w:widowControl w:val="false"/>
        <w:spacing w:lineRule="exact" w:line="282" w:before="178" w:after="0"/>
        <w:ind w:left="0" w:right="166" w:hanging="0"/>
        <w:jc w:val="left"/>
        <w:rPr/>
      </w:pPr>
      <w:r>
        <w:rPr/>
        <w:t>Ungdomar som studerar utomlands bör kunna lära sig mer av värdlandet än vad de</w:t>
      </w:r>
      <w:r>
        <w:rPr/>
        <w:commentReference w:id="21"/>
      </w:r>
      <w:r>
        <w:rPr/>
        <w:t xml:space="preserve"> är i dag. Och länder med lägre kunskapsnivå bör inte förlora alla sina talanger, som går utomlands. Nederländerna anser att frågor som kultur och missbruk inom idrotten är frågor som snarare bör vara medlemsstaternas ansvar. Och de anser att det är mycket viktigt att ha ett eget nationellt språk. I allmänhet måste var och en i Europa framför allt känna sig fri och kunna vara sig själv.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Uppmuntra studenter att studera utomlands på ett intelligent sätt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Göra det möjligt för medlemsstaterna att fokusera på frågor som kultur och idrott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Se till att européerna lär känna varandra bättre och respekterar varandra</w:t>
      </w:r>
      <w:r>
        <w:rPr>
          <w:color w:val="000000"/>
          <w:sz w:val="21"/>
        </w:rPr>
        <w:t xml:space="preserve"> </w:t>
      </w:r>
      <w:r>
        <w:br w:type="page"/>
      </w:r>
    </w:p>
    <w:p>
      <w:pPr>
        <w:pStyle w:val="P68B1DB1Normal109"/>
        <w:rPr/>
      </w:pPr>
      <w:r>
        <w:rPr/>
        <w:t xml:space="preserve">Inledning </w:t>
      </w:r>
    </w:p>
    <w:p>
      <w:pPr>
        <w:pStyle w:val="P68B1DB1Normal110"/>
        <w:widowControl w:val="false"/>
        <w:spacing w:lineRule="exact" w:line="274" w:before="31" w:after="0"/>
        <w:ind w:left="0" w:right="113" w:hanging="0"/>
        <w:jc w:val="left"/>
        <w:rPr/>
      </w:pPr>
      <w:r>
        <w:rPr>
          <w:sz w:val="21"/>
        </w:rPr>
        <w:t xml:space="preserve">Medborgardialogen ”Europas vision”, som hölls den 1 september till mitten av november, gjorde det möjligt för alla holländare att uttrycka sina åsikter och idéer om Europas framtid. Nederländerna ska för Europeiska unionen (EU) lägga fram de rekommendationer som dialogen har lett till samt de idéer och åsikter som framförts. I denna rapport fokuserar vi på de fem första temana. De övriga fyra ämnena kommer att behandlas i en kommande rapport i början av 2022. </w:t>
      </w:r>
      <w:r>
        <w:rPr>
          <w:b/>
          <w:i/>
          <w:sz w:val="24"/>
        </w:rPr>
        <w:t>Om Europas vision</w:t>
      </w:r>
    </w:p>
    <w:p>
      <w:pPr>
        <w:pStyle w:val="P68B1DB1Normal104"/>
        <w:widowControl w:val="false"/>
        <w:spacing w:lineRule="exact" w:line="257" w:before="34" w:after="0"/>
        <w:ind w:left="0" w:right="200" w:hanging="0"/>
        <w:jc w:val="left"/>
        <w:rPr/>
      </w:pPr>
      <w:r>
        <w:rPr/>
        <w:t xml:space="preserve">Europeiska unionen vill att dess medborgare ska dela med sig av vad de tycker om Europa. Därför anordnar EU konferensen om Europas framtid. Medborgarnas åsikter och idéer i hela EU kommer sedan att ligga till grund för planerna för Europas framtid. Som en del av konferensen anordnade Nederländerna medborgardialogen ”Europas vision” på nationell nivå. </w:t>
      </w:r>
    </w:p>
    <w:p>
      <w:pPr>
        <w:pStyle w:val="P68B1DB1Normal104"/>
        <w:widowControl w:val="false"/>
        <w:spacing w:lineRule="exact" w:line="339" w:before="34" w:after="0"/>
        <w:ind w:left="0" w:right="0" w:hanging="0"/>
        <w:jc w:val="left"/>
        <w:rPr/>
      </w:pPr>
      <w:r>
        <w:rPr/>
        <w:t xml:space="preserve"> </w:t>
      </w:r>
    </w:p>
    <w:p>
      <w:pPr>
        <w:pStyle w:val="P68B1DB1Normal104"/>
        <w:widowControl w:val="false"/>
        <w:spacing w:lineRule="exact" w:line="257" w:before="32" w:after="0"/>
        <w:ind w:left="0" w:right="109" w:hanging="0"/>
        <w:jc w:val="left"/>
        <w:rPr/>
      </w:pPr>
      <w:r>
        <w:rPr/>
        <w:t xml:space="preserve">Dialogen Vision of Europe inleddes den 1 september med en onlineinsamling av åsikter och idéer genom en undersökning av en representativ panel. För att fördjupa de första resultaten av panelundersökningen och ge konkreta rekommendationer anordnade vi tematiska onlinedialoger. Alla som vill delta kan delta. Vi reste också till landet för att föra diskussioner med ungdomar och andra grupper (svårt att nå). </w:t>
      </w:r>
    </w:p>
    <w:p>
      <w:pPr>
        <w:pStyle w:val="P68B1DB1Normal111"/>
        <w:widowControl w:val="false"/>
        <w:spacing w:lineRule="exact" w:line="269" w:before="28" w:after="0"/>
        <w:ind w:left="0" w:right="113" w:hanging="0"/>
        <w:jc w:val="left"/>
        <w:rPr/>
      </w:pPr>
      <w:r>
        <w:rPr/>
        <w:t xml:space="preserve">Från skolelever, gymnasieelever och studerande till ministern, jordbrukare och invandrare </w:t>
      </w:r>
    </w:p>
    <w:p>
      <w:pPr>
        <w:pStyle w:val="P68B1DB1Normal104"/>
        <w:widowControl w:val="false"/>
        <w:spacing w:lineRule="exact" w:line="257" w:before="26" w:after="0"/>
        <w:ind w:left="0" w:right="44" w:hanging="0"/>
        <w:jc w:val="left"/>
        <w:rPr/>
      </w:pPr>
      <w:r>
        <w:rPr/>
        <w:t xml:space="preserve">I oktober och november hölls totalt åtta tematiska dialoger online, med i genomsnitt 30 deltagare per möte. Vi organiserade också en tematisk dialog online och sju tematiska dialoger på plats med olika grupper av nederländska medborgare. Vi talade med det turkiska samhället i Schiedam och blev inbjudna av Piëzo Foundations volontärer till Zoetermeer. Vid det senare tillfället var utrikesminister Ben Knapen också närvarande i slutet av dialogen. Ministern hade en diskussion med deltagarna om dialogen och åsikterna om Europas framtid. Slutligen anordnade vi sex möten med olika grupper av ungdomar. Till exempel välkomnades vi till en gymnasieskola i Helmond, en yrkeshögskola i Doetinchem och University of Leiden. </w:t>
      </w:r>
    </w:p>
    <w:p>
      <w:pPr>
        <w:pStyle w:val="P68B1DB1Normal112"/>
        <w:widowControl w:val="false"/>
        <w:spacing w:lineRule="exact" w:line="260" w:before="31" w:after="0"/>
        <w:ind w:left="0" w:right="0" w:hanging="0"/>
        <w:jc w:val="left"/>
        <w:rPr/>
      </w:pPr>
      <w:r>
        <w:rPr/>
        <w:t xml:space="preserve"> </w:t>
      </w:r>
    </w:p>
    <w:p>
      <w:pPr>
        <w:pStyle w:val="P68B1DB1Normal113"/>
        <w:widowControl w:val="false"/>
        <w:spacing w:lineRule="exact" w:line="319" w:before="28" w:after="0"/>
        <w:ind w:left="883" w:right="888" w:hanging="0"/>
        <w:jc w:val="center"/>
        <w:rPr/>
      </w:pPr>
      <w:r>
        <w:rPr/>
        <w:t xml:space="preserve">Jag gillar alltid att uttrycka min åsikt framför kaffemaskinen. Det var därför jag trodde att jag var tvungen att delta. </w:t>
      </w:r>
    </w:p>
    <w:p>
      <w:pPr>
        <w:pStyle w:val="P68B1DB1Normal110"/>
        <w:widowControl w:val="false"/>
        <w:spacing w:lineRule="exact" w:line="346" w:before="41" w:after="0"/>
        <w:ind w:left="0" w:right="6639" w:hanging="0"/>
        <w:jc w:val="left"/>
        <w:rPr/>
      </w:pPr>
      <w:r>
        <w:rPr>
          <w:sz w:val="21"/>
        </w:rPr>
        <w:t xml:space="preserve">Deltagare i tematisk </w:t>
      </w:r>
      <w:r>
        <w:rPr>
          <w:b/>
          <w:i/>
          <w:sz w:val="24"/>
        </w:rPr>
        <w:t xml:space="preserve">dialog Om denna rapport </w:t>
      </w:r>
    </w:p>
    <w:p>
      <w:pPr>
        <w:pStyle w:val="P68B1DB1Normal104"/>
        <w:widowControl w:val="false"/>
        <w:spacing w:lineRule="exact" w:line="257" w:before="178" w:after="0"/>
        <w:ind w:left="0" w:right="56" w:hanging="0"/>
        <w:jc w:val="left"/>
        <w:rPr/>
      </w:pPr>
      <w:r>
        <w:rPr/>
        <w:t xml:space="preserve">På grundval av de idéer och åsikter som vi har samlat under de senaste månaderna har vi utarbetat en rad rekommendationer som nederländska medborgare lämnar till Europeiska unionen. Under diskussionerna mellan nederländska medborgare ägde intressanta diskussioner rum och innovativa idéer lades fram. Förslag lämnades också genom panelen och den offentliga utredningen. Vissa av dessa idéer har införlivats i detta betänkande. Innehållet i detta betänkande är därför Nederländernas röst: vår vision om Europa. </w:t>
      </w:r>
    </w:p>
    <w:p>
      <w:pPr>
        <w:pStyle w:val="P68B1DB1Normal104"/>
        <w:widowControl w:val="false"/>
        <w:spacing w:lineRule="exact" w:line="339" w:before="34" w:after="0"/>
        <w:ind w:left="0" w:right="0" w:hanging="0"/>
        <w:jc w:val="left"/>
        <w:rPr/>
      </w:pPr>
      <w:r>
        <w:rPr/>
        <w:t xml:space="preserve"> </w:t>
      </w:r>
    </w:p>
    <w:p>
      <w:pPr>
        <w:pStyle w:val="Normal"/>
        <w:widowControl w:val="false"/>
        <w:spacing w:lineRule="exact" w:line="256" w:before="32" w:after="0"/>
        <w:ind w:left="0" w:right="16" w:hanging="0"/>
        <w:jc w:val="left"/>
        <w:rPr>
          <w:rFonts w:ascii="Calibri" w:hAnsi="Calibri"/>
          <w:color w:val="000000"/>
          <w:sz w:val="21"/>
        </w:rPr>
      </w:pPr>
      <w:r>
        <w:rPr>
          <w:rFonts w:ascii="Calibri" w:hAnsi="Calibri"/>
          <w:color w:val="000000"/>
          <w:sz w:val="21"/>
        </w:rPr>
        <w:t xml:space="preserve">Precis som det finns meningsskiljaktigheter mellan länder och EU-medborgare håller vi inte heller alltid med varandra i Nederländerna. Just dessa meningsskiljaktigheter är värdefulla: de är ett viktigt inslag i en demokrati. Rekommendationerna är hämtade från de vanligaste idéerna och åsikterna från deltagarna i undersökningen Vision of Europe. Vi beskriver också oro, idéer och känslor som kan vara mindre utbredda, men som har fångat vår uppmärksamhet under dialoger och webbenkäten. </w:t>
      </w:r>
      <w:r>
        <w:br w:type="page"/>
      </w:r>
    </w:p>
    <w:p>
      <w:pPr>
        <w:pStyle w:val="P68B1DB1Normal113"/>
        <w:spacing w:lineRule="auto" w:line="240"/>
        <w:rPr/>
      </w:pPr>
      <w:r>
        <w:rPr/>
        <w:t xml:space="preserve">Det var trevligt att kunna prata i små grupper med supportrar och motståndare. Det skiljer sig mycket från hur diskussioner brukar föras på sociala medier. </w:t>
      </w:r>
    </w:p>
    <w:p>
      <w:pPr>
        <w:pStyle w:val="P68B1DB1Normal76"/>
        <w:widowControl w:val="false"/>
        <w:spacing w:lineRule="auto" w:line="240" w:before="267" w:after="0"/>
        <w:ind w:left="0" w:right="0" w:hanging="0"/>
        <w:jc w:val="left"/>
        <w:rPr/>
      </w:pPr>
      <w:r>
        <w:rPr>
          <w:rFonts w:ascii="Calibri" w:hAnsi="Calibri"/>
          <w:sz w:val="21"/>
        </w:rPr>
        <w:t>Deltagare i den tematiska dialogen</w:t>
      </w:r>
      <w:r>
        <w:rPr>
          <w:rFonts w:ascii="Times New Roman" w:hAnsi="Times New Roman"/>
          <w:sz w:val="24"/>
        </w:rPr>
        <w:t xml:space="preserve"> </w:t>
      </w:r>
    </w:p>
    <w:p>
      <w:pPr>
        <w:pStyle w:val="P68B1DB1Normal19"/>
        <w:widowControl w:val="false"/>
        <w:spacing w:lineRule="auto" w:line="240"/>
        <w:ind w:left="0" w:right="0" w:hanging="0"/>
        <w:jc w:val="left"/>
        <w:rPr/>
      </w:pPr>
      <w:r>
        <w:rPr/>
        <w:t xml:space="preserve"> </w:t>
      </w:r>
    </w:p>
    <w:p>
      <w:pPr>
        <w:pStyle w:val="P68B1DB1Normal104"/>
        <w:widowControl w:val="false"/>
        <w:spacing w:lineRule="auto" w:line="240"/>
        <w:ind w:left="0" w:right="54" w:hanging="0"/>
        <w:jc w:val="left"/>
        <w:rPr/>
      </w:pPr>
      <w:r>
        <w:rPr/>
        <w:t xml:space="preserve">Nio teman identifierades för konferensen om Europas framtid. Dessa teman står också i centrum för dialogen om Europas vision med nederländska medborgare. I oktober publicerade vi en delrapport med en inledande översikt över resultaten och kompletterande frågor baserat på panelundersökningen. I denna andra rapport redogjorde vi för yttranden, idéer och rekommendationer om de fem första ämnena inför plenarmötet i konferensen om Europas framtid i december. Följande rapport, som kommer att behandla de fyra återstående temana, kommer att offentliggöras i mitten av januari. </w:t>
      </w:r>
    </w:p>
    <w:p>
      <w:pPr>
        <w:pStyle w:val="Normal"/>
        <w:rPr/>
      </w:pPr>
      <w:r>
        <w:rPr/>
        <w:t xml:space="preserve">Aktuell rapport – december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Värden och rättigheter, rättsstatsprincipen och säkerhet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En starkare ekonomi, social rättvisa och sysselsättning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Europeisk demokrati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Digital transformation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Utbildning, kultur, ungdom och idrott </w:t>
      </w:r>
    </w:p>
    <w:p>
      <w:pPr>
        <w:pStyle w:val="P68B1DB1Normal19"/>
        <w:widowControl w:val="false"/>
        <w:spacing w:lineRule="auto" w:line="240"/>
        <w:ind w:left="0" w:right="0" w:hanging="0"/>
        <w:jc w:val="left"/>
        <w:rPr/>
      </w:pPr>
      <w:r>
        <w:rPr/>
        <w:t xml:space="preserve"> </w:t>
      </w:r>
    </w:p>
    <w:p>
      <w:pPr>
        <w:pStyle w:val="P68B1DB1Normal69"/>
        <w:widowControl w:val="false"/>
        <w:spacing w:lineRule="auto" w:line="240"/>
        <w:ind w:left="0" w:right="0" w:hanging="0"/>
        <w:jc w:val="left"/>
        <w:rPr/>
      </w:pPr>
      <w:r>
        <w:rPr/>
        <w:t xml:space="preserve">Nästa rapport – januari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Klimatförändringar och miljö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Migrering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Hälsa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i världen </w:t>
      </w:r>
    </w:p>
    <w:p>
      <w:pPr>
        <w:pStyle w:val="P68B1DB1Normal108"/>
        <w:widowControl w:val="false"/>
        <w:spacing w:lineRule="auto" w:line="240" w:before="35" w:after="0"/>
        <w:ind w:left="0" w:right="0" w:hanging="0"/>
        <w:jc w:val="left"/>
        <w:rPr/>
      </w:pPr>
      <w:r>
        <w:rPr/>
        <w:t xml:space="preserve">Nästa steg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Konferensen om Europas framtid samlar alla EU-medborgares idéer, åsikter och rekommendationer. Mötena kommer inte bara att ägnas åt resultaten av alla medborgardialoger på nationell nivå, utan också till resultaten av andra initiativ som inletts inom ramen för konferensen. Det finns till exempel också paneler av europeiska medborgare, och alla EU-medborgare (inklusive nederländska medborgare) kan få tillgång till en europeisk digital plattform. </w:t>
      </w:r>
    </w:p>
    <w:p>
      <w:pPr>
        <w:pStyle w:val="P68B1DB1Normal113"/>
        <w:widowControl w:val="false"/>
        <w:spacing w:lineRule="auto" w:line="240" w:before="203" w:after="0"/>
        <w:ind w:left="1080" w:right="1083" w:hanging="0"/>
        <w:jc w:val="center"/>
        <w:rPr/>
      </w:pPr>
      <w:r>
        <w:rPr/>
        <w:t>”</w:t>
      </w:r>
      <w:r>
        <w:rPr/>
        <w:t xml:space="preserve">Det är bra att EU tar detta initiativ. Jag hoppas att resultaten verkligen kommer att beaktas. </w:t>
      </w:r>
    </w:p>
    <w:p>
      <w:pPr>
        <w:pStyle w:val="P68B1DB1Normal104"/>
        <w:widowControl w:val="false"/>
        <w:spacing w:lineRule="auto" w:line="240" w:before="307" w:after="0"/>
        <w:ind w:left="0" w:right="0" w:hanging="0"/>
        <w:jc w:val="left"/>
        <w:rPr/>
      </w:pPr>
      <w:r>
        <w:rPr/>
        <w:t xml:space="preserve">Deltagare i den tematiska dialogen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Konferensen avslutas våren 2022. Nederländerna kommer därefter att utarbeta en slutrapport om medborgardialogen: en sammanställning av denna rapport och följande rapport (inklusive andra teman). Efter konferensen kommer rekommendationer att lämnas till utskottsordföranden: ordförandena för Europaparlamentet, ministerrådet och Europeiska kommissionen. De åtog sig att undersöka sätt och medel för att genomföra rekommendationerna. För den nederländska regeringen är resultaten också ett värdefullt bidrag till utvecklingen av Nederländernas europeiska politik.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Sammanfattningsvis kommer processen fram till våren 2022 att organiseras enligt följande: </w:t>
      </w:r>
      <w:r>
        <w:br w:type="page"/>
      </w:r>
    </w:p>
    <w:p>
      <w:pPr>
        <w:pStyle w:val="P68B1DB1Normal107"/>
        <w:spacing w:lineRule="auto" w:line="240"/>
        <w:rPr/>
      </w:pPr>
      <w:r>
        <w:rPr/>
        <w:t xml:space="preserve">Kronologi </w:t>
      </w:r>
    </w:p>
    <w:p>
      <w:pPr>
        <w:pStyle w:val="P68B1DB1Normal114"/>
        <w:spacing w:lineRule="auto" w:line="240"/>
        <w:rPr/>
      </w:pPr>
      <w:r>
        <w:rPr/>
        <w:t xml:space="preserve">Visionen om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1"/>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Första sju.</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12 oktober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22/23 oktober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17/18 december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21/22 januari</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22/24 april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Samla idéer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Tematiska dialoger</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Mellanliggande resultat (mellanrapport)</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Delrapport om ”Ekonomik” och ”Demokrati”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Interimsrapport om ”Klimat” och ”EU i världen”</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Slutrapport ”Vår vision för Europa”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SVENSKA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SVENSKA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SVENSKA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SVENSKA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Konferensens möte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Konferensens möte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Konferensens möte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Avslutning av konferensen</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LÄS MER → </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 xml:space="preserve">Rekommendationer till ordförandena </w:t>
              <w:br/>
              <w:t xml:space="preserve">• Europaparlamentet </w:t>
              <w:br/>
              <w:t xml:space="preserve">• Europeiska kommissionen </w:t>
              <w:br/>
              <w:t>• Ministerrådet</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3"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Fler åsikter och idéer om Europas framtid:</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Dialoger med medborgarna</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De europeiska medborgarpanelerna</w:t>
            </w:r>
          </w:p>
        </w:tc>
        <w:tc>
          <w:tcPr>
            <w:tcW w:w="384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Europeisk digital plattform (även för nederländska medborgare)</w:t>
            </w:r>
          </w:p>
        </w:tc>
      </w:tr>
    </w:tbl>
    <w:p>
      <w:pPr>
        <w:pStyle w:val="Normal"/>
        <w:spacing w:lineRule="auto" w:line="240"/>
        <w:rPr/>
      </w:pPr>
      <w:r>
        <w:rPr/>
      </w:r>
    </w:p>
    <w:p>
      <w:pPr>
        <w:pStyle w:val="P68B1DB1Normal107"/>
        <w:spacing w:lineRule="auto" w:line="240"/>
        <w:ind w:left="0" w:right="0" w:hanging="0"/>
        <w:rPr/>
      </w:pPr>
      <w:r>
        <w:rPr/>
        <w:t xml:space="preserve">Förklaringar för att underlätta läsningen </w:t>
      </w:r>
    </w:p>
    <w:p>
      <w:pPr>
        <w:pStyle w:val="P68B1DB1Normal104"/>
        <w:widowControl w:val="false"/>
        <w:spacing w:lineRule="auto" w:line="240" w:before="125" w:after="0"/>
        <w:ind w:left="0" w:right="0" w:hanging="0"/>
        <w:jc w:val="left"/>
        <w:rPr/>
      </w:pPr>
      <w:r>
        <w:rPr/>
        <w:t xml:space="preserve">I detta betänkande diskuterade vi fem teman. För varje tema har vi successivt inkluderat: </w:t>
      </w:r>
    </w:p>
    <w:p>
      <w:pPr>
        <w:pStyle w:val="P68B1DB1Normal104"/>
        <w:widowControl w:val="false"/>
        <w:spacing w:lineRule="auto" w:line="240"/>
        <w:ind w:left="0" w:right="0" w:hanging="0"/>
        <w:jc w:val="left"/>
        <w:rPr/>
      </w:pPr>
      <w:r>
        <w:rPr/>
        <w:t xml:space="preserve">rekommendationer baserade på alla aspekter av medborgardialogen. </w:t>
      </w:r>
    </w:p>
    <w:p>
      <w:pPr>
        <w:pStyle w:val="P68B1DB1Normal104"/>
        <w:widowControl w:val="false"/>
        <w:spacing w:lineRule="auto" w:line="240" w:before="1" w:after="0"/>
        <w:ind w:left="0" w:right="0" w:hanging="0"/>
        <w:jc w:val="left"/>
        <w:rPr/>
      </w:pPr>
      <w:r>
        <w:rPr/>
        <w:t xml:space="preserve">Översikt över åsikter, idéer och åsikter som utbyts (online och med fysisk närvaro) under tematiska dialoger och förslag från onlineundersökningen, i ord och bilder.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En beskrivning av den metod som använts i undersökningen finns i slutet av denna rapport. </w:t>
      </w:r>
    </w:p>
    <w:p>
      <w:pPr>
        <w:pStyle w:val="P68B1DB1Normal19"/>
        <w:widowControl w:val="false"/>
        <w:spacing w:lineRule="exact" w:line="388"/>
        <w:ind w:left="0" w:right="0" w:hanging="0"/>
        <w:jc w:val="left"/>
        <w:rPr/>
      </w:pPr>
      <w:r>
        <w:rPr/>
        <w:t xml:space="preserve"> </w:t>
      </w:r>
    </w:p>
    <w:p>
      <w:pPr>
        <w:pStyle w:val="Normal"/>
        <w:spacing w:lineRule="auto" w:line="240"/>
        <w:rPr/>
      </w:pPr>
      <w:r>
        <w:rPr/>
      </w:r>
      <w:r>
        <w:br w:type="page"/>
      </w:r>
    </w:p>
    <w:p>
      <w:pPr>
        <w:pStyle w:val="P68B1DB1Normal117"/>
        <w:spacing w:lineRule="auto" w:line="240"/>
        <w:ind w:left="0" w:right="0" w:hanging="0"/>
        <w:rPr/>
      </w:pPr>
      <w:r>
        <w:rPr/>
        <w:t xml:space="preserve">Värden och rättigheter, rättsstatsprincipen och säkerhet </w:t>
      </w:r>
    </w:p>
    <w:p>
      <w:pPr>
        <w:pStyle w:val="P68B1DB1Normal104"/>
        <w:widowControl w:val="false"/>
        <w:spacing w:lineRule="auto" w:line="240" w:before="36" w:after="0"/>
        <w:ind w:left="0" w:right="0" w:hanging="0"/>
        <w:jc w:val="both"/>
        <w:rPr/>
      </w:pPr>
      <w:r>
        <w:rPr/>
        <w:t xml:space="preserve">EU övervakar rättsstatsprincipen i alla EU-länder och försöker minska ojämlikheten inom EU. EU vill också skydda alla européer från terrorism och brottslighet. För att uppnå detta har EU infört åtgärder och regler, och EU-länderna samarbetar intensivt. </w:t>
      </w:r>
    </w:p>
    <w:p>
      <w:pPr>
        <w:pStyle w:val="P68B1DB1Normal104"/>
        <w:widowControl w:val="false"/>
        <w:spacing w:lineRule="auto" w:line="240" w:before="32" w:after="0"/>
        <w:ind w:left="0" w:right="0" w:hanging="0"/>
        <w:jc w:val="left"/>
        <w:rPr/>
      </w:pPr>
      <w:r>
        <w:rPr/>
        <w:t xml:space="preserve"> </w:t>
      </w:r>
      <w:r>
        <w:rPr/>
        <w:t xml:space="preserve">Vad är Nederländernas vision om detta? </w:t>
      </w:r>
    </w:p>
    <w:p>
      <w:pPr>
        <w:pStyle w:val="P68B1DB1Normal19"/>
        <w:widowControl w:val="false"/>
        <w:spacing w:lineRule="auto" w:line="240" w:before="23" w:after="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Rekommendationer – Vår vision om säkerhet och rättsstatsprincipen </w:t>
      </w:r>
    </w:p>
    <w:p>
      <w:pPr>
        <w:pStyle w:val="P68B1DB1Normal69"/>
        <w:widowControl w:val="false"/>
        <w:spacing w:lineRule="auto" w:line="240" w:before="41" w:after="0"/>
        <w:ind w:left="0" w:right="0" w:hanging="0"/>
        <w:jc w:val="left"/>
        <w:rPr/>
      </w:pPr>
      <w:r>
        <w:rPr/>
        <w:t xml:space="preserve">68 % av Nederländerna anser att säkerhet och rättsstatsprincipen är en viktig fråga och att EU måste ingripa på detta område. </w:t>
      </w:r>
    </w:p>
    <w:p>
      <w:pPr>
        <w:pStyle w:val="P68B1DB1Normal111"/>
        <w:widowControl w:val="false"/>
        <w:spacing w:lineRule="auto" w:line="240" w:before="16" w:after="0"/>
        <w:ind w:left="0" w:right="0" w:hanging="0"/>
        <w:jc w:val="left"/>
        <w:rPr/>
      </w:pPr>
      <w:r>
        <w:rPr/>
        <w:t xml:space="preserve">1. Se till att alla kan känna sig fria och trygga </w:t>
      </w:r>
    </w:p>
    <w:p>
      <w:pPr>
        <w:pStyle w:val="P68B1DB1Normal104"/>
        <w:widowControl w:val="false"/>
        <w:spacing w:lineRule="auto" w:line="240" w:before="25" w:after="0"/>
        <w:ind w:left="0" w:right="0" w:hanging="0"/>
        <w:jc w:val="left"/>
        <w:rPr/>
      </w:pPr>
      <w:r>
        <w:rPr/>
        <w:t xml:space="preserve">78 % av holländarna anser att det är viktigt att EU skyddar rättsstatsprincipen och våra grundläggande fri- och rättigheter. Och vi fäster också vikt vid skyddet av konsumenternas rättigheter: de allra flesta medborgarna anser att det är bra att EU kräver att tillverkarna ska inkludera samma information på etiketter i alla länder. Ett stort antal holländare anser dock att EU måste uppmärksamma skillnader i (förvaltnings)traditioner och kulturer inom Europa. Och detta, bland annat för att det annars skulle vara svårt att samarbeta effektivt. Vi anser att det är särskilt viktigt att alla känner sig fria och trygga i Europa. Detta inkluderar att ha ett tak över huvudet, men också utbildning och vård. Och detta gäller också det faktum att de produkter som finns i europeiska butiker är </w:t>
      </w:r>
    </w:p>
    <w:p>
      <w:pPr>
        <w:pStyle w:val="P68B1DB1Normal104"/>
        <w:widowControl w:val="false"/>
        <w:spacing w:lineRule="auto" w:line="240"/>
        <w:ind w:left="0" w:right="0" w:hanging="0"/>
        <w:jc w:val="left"/>
        <w:rPr/>
      </w:pPr>
      <w:r>
        <w:rPr/>
        <w:t xml:space="preserve">alltid säker. </w:t>
      </w:r>
    </w:p>
    <w:p>
      <w:pPr>
        <w:pStyle w:val="P68B1DB1Normal111"/>
        <w:widowControl w:val="false"/>
        <w:spacing w:lineRule="auto" w:line="240" w:before="29" w:after="0"/>
        <w:ind w:left="0" w:right="0" w:hanging="0"/>
        <w:jc w:val="left"/>
        <w:rPr/>
      </w:pPr>
      <w:r>
        <w:rPr/>
        <w:t xml:space="preserve">2. Utvidga EU endast om det ger mervärde </w:t>
      </w:r>
    </w:p>
    <w:p>
      <w:pPr>
        <w:pStyle w:val="P68B1DB1Normal104"/>
        <w:widowControl w:val="false"/>
        <w:spacing w:lineRule="auto" w:line="240" w:before="25" w:after="0"/>
        <w:ind w:left="0" w:right="0" w:hanging="0"/>
        <w:jc w:val="left"/>
        <w:rPr/>
      </w:pPr>
      <w:r>
        <w:rPr/>
        <w:t xml:space="preserve">44 % av holländarna anser inte att EU borde expandera till fler länder. 25 % är däremot positiva till utvidgningen. Vi noterar att det redan pågår en hel del debatt mellan de nuvarande medlemsstaterna. Många holländare anser att vi först måste fokusera på denna fråga. Och om nya länder ansluter sig till unionen måste de verkligen kunna uppfylla våra villkor. Idag och i framtiden. Många holländare anser att de nuvarande medlemsstaterna också måste uppfatta utvidgningens mervärde. Vi tror också att det finns andra möjligheter att arbeta tillsammans som ett land för säkerhet och stabilitet. Vi är till exempel ibland oroade över Rysslands inflytande på länderna vid EU:s östra gräns. Det är viktigt att EU uppmärksammas. </w:t>
      </w:r>
    </w:p>
    <w:p>
      <w:pPr>
        <w:pStyle w:val="P68B1DB1Normal19"/>
        <w:widowControl w:val="false"/>
        <w:spacing w:lineRule="auto" w:line="240" w:before="21" w:after="0"/>
        <w:ind w:left="0" w:right="0" w:hanging="0"/>
        <w:jc w:val="left"/>
        <w:rPr/>
      </w:pPr>
      <w:r>
        <w:rPr/>
        <w:t xml:space="preserve"> </w:t>
      </w:r>
    </w:p>
    <w:p>
      <w:pPr>
        <w:pStyle w:val="P68B1DB1Normal113"/>
        <w:widowControl w:val="false"/>
        <w:spacing w:lineRule="auto" w:line="240" w:before="28" w:after="0"/>
        <w:ind w:left="0" w:right="0" w:hanging="0"/>
        <w:jc w:val="center"/>
        <w:rPr/>
      </w:pPr>
      <w:r>
        <w:rPr/>
        <w:t>”</w:t>
      </w:r>
      <w:r>
        <w:rPr/>
        <w:t xml:space="preserve">Utvidgningen bör inte inriktas på kostnader och fördelar, utan på en vision om stabilitet.” </w:t>
      </w:r>
    </w:p>
    <w:p>
      <w:pPr>
        <w:pStyle w:val="P68B1DB1Normal111"/>
        <w:widowControl w:val="false"/>
        <w:spacing w:lineRule="auto" w:line="240" w:before="40" w:after="0"/>
        <w:ind w:left="0" w:right="0" w:hanging="0"/>
        <w:jc w:val="left"/>
        <w:rPr/>
      </w:pPr>
      <w:r>
        <w:rPr/>
        <w:t xml:space="preserve">3. Samarbete främst i kampen mot internationell brottslighet och terrorism </w:t>
      </w:r>
    </w:p>
    <w:p>
      <w:pPr>
        <w:pStyle w:val="P68B1DB1Normal104"/>
        <w:widowControl w:val="false"/>
        <w:spacing w:lineRule="auto" w:line="240" w:before="26" w:after="0"/>
        <w:ind w:left="0" w:right="0" w:hanging="0"/>
        <w:jc w:val="left"/>
        <w:rPr/>
      </w:pPr>
      <w:r>
        <w:rPr/>
        <w:t xml:space="preserve">68 % av holländarna anser att EU:s säkerhetstjänster bör dela med sig av sin information. Vi anser dock att det är viktigt att länderna också kan fortsätta att själva delvis bestämma vilken information de vill lämna eller inte. Utbyte av all information gör samarbetet ineffektivt. Och EU är så stort i dag att vi måste fortsätta att kritiskt undersöka var känslig information kommer eller sannolikt kommer att hända. Vi vill fortsätta att lita på att vår integritet är skyddad. Vi anser att det framför allt är meningsfullt att samarbeta i kampen mot grov internationell brottslighet, såsom it-brottslighet, narkotikahandel och terrorism. </w:t>
      </w:r>
    </w:p>
    <w:p>
      <w:pPr>
        <w:pStyle w:val="P68B1DB1Normal113"/>
        <w:widowControl w:val="false"/>
        <w:spacing w:lineRule="auto" w:line="240" w:before="28" w:after="0"/>
        <w:ind w:left="0" w:right="0" w:hanging="0"/>
        <w:jc w:val="center"/>
        <w:rPr/>
      </w:pPr>
      <w:r>
        <w:rPr/>
        <w:t xml:space="preserve">Om du bränner en gång rött ljus i Nederländerna, finns det egentligen ingen anledning att det är känt i Spanien. </w:t>
      </w:r>
    </w:p>
    <w:p>
      <w:pPr>
        <w:pStyle w:val="P68B1DB1Normal19"/>
        <w:widowControl w:val="false"/>
        <w:spacing w:lineRule="auto" w:line="240" w:before="44" w:after="0"/>
        <w:ind w:left="0" w:right="0" w:hanging="0"/>
        <w:jc w:val="left"/>
        <w:rPr/>
      </w:pPr>
      <w:r>
        <w:rPr/>
        <w:t xml:space="preserve"> </w:t>
      </w:r>
    </w:p>
    <w:p>
      <w:pPr>
        <w:pStyle w:val="P68B1DB1Normal108"/>
        <w:spacing w:lineRule="auto" w:line="240"/>
        <w:ind w:left="0" w:right="0" w:hanging="0"/>
        <w:rPr/>
      </w:pPr>
      <w:r>
        <w:rPr/>
        <w:t xml:space="preserve">Diskussioner och idéer online och på plats </w:t>
      </w:r>
    </w:p>
    <w:p>
      <w:pPr>
        <w:pStyle w:val="P68B1DB1Normal118"/>
        <w:widowControl w:val="false"/>
        <w:spacing w:lineRule="auto" w:line="240" w:before="118" w:after="0"/>
        <w:ind w:left="0" w:right="0" w:hanging="0"/>
        <w:jc w:val="left"/>
        <w:rPr/>
      </w:pPr>
      <w:r>
        <w:rPr/>
        <w:t xml:space="preserve">Om du sanktionerar ett land som inte respekterar reglerna är det de fattigaste invånarna i detta land som är de första offren. Det är därför jag tycker att det är bättre att prata än sanktioner. </w:t>
      </w:r>
    </w:p>
    <w:p>
      <w:pPr>
        <w:pStyle w:val="P68B1DB1Normal118"/>
        <w:widowControl w:val="false"/>
        <w:spacing w:lineRule="auto" w:line="240" w:before="87" w:after="0"/>
        <w:ind w:left="0" w:right="0" w:hanging="0"/>
        <w:jc w:val="left"/>
        <w:rPr/>
      </w:pPr>
      <w:r>
        <w:rPr/>
        <w:t xml:space="preserve">Vi måste först säkerställa stabilitet inom den nuvarande klubben. Och då är det bara att tänka på utvidgningen. </w:t>
      </w:r>
    </w:p>
    <w:p>
      <w:pPr>
        <w:pStyle w:val="P68B1DB1Normal118"/>
        <w:widowControl w:val="false"/>
        <w:spacing w:lineRule="auto" w:line="240" w:before="85" w:after="0"/>
        <w:ind w:left="0" w:right="392" w:hanging="0"/>
        <w:jc w:val="left"/>
        <w:rPr/>
      </w:pPr>
      <w:r>
        <w:rPr/>
        <w:t xml:space="preserve">Vi måste också kritiskt granska vår egen rättsstatsprincipen. Det finns säkert ett eller annat fel. </w:t>
      </w:r>
    </w:p>
    <w:p>
      <w:pPr>
        <w:pStyle w:val="P68B1DB1Normal118"/>
        <w:widowControl w:val="false"/>
        <w:spacing w:lineRule="auto" w:line="240" w:before="85" w:after="0"/>
        <w:ind w:left="0" w:right="244" w:hanging="0"/>
        <w:jc w:val="left"/>
        <w:rPr/>
      </w:pPr>
      <w:r>
        <w:rPr/>
        <w:t xml:space="preserve">IDE: ”Fastställ strikta integritetsregler för politiker i hela Europa för att förhindra att de påverkas alltför lätt.” </w:t>
      </w:r>
    </w:p>
    <w:p>
      <w:pPr>
        <w:pStyle w:val="P68B1DB1Normal118"/>
        <w:widowControl w:val="false"/>
        <w:spacing w:lineRule="auto" w:line="240" w:before="85" w:after="0"/>
        <w:ind w:left="0" w:right="0" w:hanging="0"/>
        <w:jc w:val="left"/>
        <w:rPr/>
      </w:pPr>
      <w:r>
        <w:rPr/>
        <w:t xml:space="preserve">IDE: ”Stärka samarbetet mellan polisen och rättsväsendet i EU-länderna.” </w:t>
      </w:r>
    </w:p>
    <w:p>
      <w:pPr>
        <w:pStyle w:val="P68B1DB1Normal111"/>
        <w:widowControl w:val="false"/>
        <w:spacing w:lineRule="auto" w:line="240" w:before="84" w:after="0"/>
        <w:ind w:left="0" w:right="67" w:hanging="0"/>
        <w:jc w:val="left"/>
        <w:rPr/>
      </w:pPr>
      <w:r>
        <w:rPr/>
        <w:t xml:space="preserve">Doetinchem Yrkesstuderande: De som vill vara med i EU måste respektera reglerna. </w:t>
      </w:r>
    </w:p>
    <w:p>
      <w:pPr>
        <w:pStyle w:val="P68B1DB1Normal104"/>
        <w:widowControl w:val="false"/>
        <w:spacing w:lineRule="auto" w:line="240" w:before="100" w:after="0"/>
        <w:ind w:left="0" w:right="0" w:hanging="0"/>
        <w:jc w:val="left"/>
        <w:rPr/>
      </w:pPr>
      <w:r>
        <w:rPr/>
        <w:t xml:space="preserve">Vid Graafschap College i Doetinchem diskuterade cirka 20 sjuksköterskestudenter frågan om vilka som enligt deras uppfattning var de största fördelarna med EU: den fria marknaden, euron som gemensam valuta och det faktum att man som europeisk lätt kan bosätta sig och arbeta i andra EU-länder. Och det faktum att EU-länderna kan stödja varandra. Föreningen är stark”, säger en av de närvarande studenterna. Betydelsen av reglerna diskuterades också. Om länderna inte respekterar dem är det ofta svårt att straffa dem hårt. Enligt eleverna kan det vara till hjälp för detta att bli lite lättare. En av dem nämnde också den avskräckande effekten. Om du inför stränga sanktioner ser andra länder vad som kan hända när du inte följer reglerna. </w:t>
      </w:r>
    </w:p>
    <w:p>
      <w:pPr>
        <w:pStyle w:val="P68B1DB1Normal111"/>
        <w:widowControl w:val="false"/>
        <w:spacing w:lineRule="auto" w:line="240" w:before="88" w:after="0"/>
        <w:ind w:left="0" w:right="0" w:hanging="0"/>
        <w:jc w:val="left"/>
        <w:rPr/>
      </w:pPr>
      <w:r>
        <w:rPr/>
        <w:t xml:space="preserve">Hindutanis från Surinam till Utrecht: Förtroendet för rättsstatsprincipen saknas ibland </w:t>
      </w:r>
    </w:p>
    <w:p>
      <w:pPr>
        <w:pStyle w:val="Normal"/>
        <w:widowControl w:val="false"/>
        <w:spacing w:lineRule="auto" w:line="240" w:before="97" w:after="0"/>
        <w:ind w:left="0" w:right="34" w:hanging="0"/>
        <w:jc w:val="left"/>
        <w:rPr>
          <w:rFonts w:ascii="Calibri" w:hAnsi="Calibri"/>
          <w:color w:val="000000"/>
          <w:sz w:val="21"/>
        </w:rPr>
      </w:pPr>
      <w:r>
        <w:rPr>
          <w:rFonts w:ascii="Calibri" w:hAnsi="Calibri"/>
          <w:color w:val="000000"/>
          <w:sz w:val="21"/>
        </w:rPr>
        <w:t xml:space="preserve">Asha Foundation är en organisation av hindustanis volontärer från Surinam i kommunen Utrecht. Deltagarna i den tematiska dialogen diskuterade särskilt vikten av medborgarnas rättigheter: rätten att ha tak över huvudet, men också till exempel rätten till icke-diskriminering. Enligt de volontärer som är närvarande måste det finnas regler som skyddar dessa rättigheter för alla EU-medborgare. Det är inte alltid känt vad som för närvarande regleras i Nederländerna och vad som för närvarande regleras på europeisk nivå. Som ett resultat av detta är det ibland svårt att ha förtroende för offentliga myndigheter. Särskilt eftersom det ibland förekommer vissa fel inom de offentliga myndigheterna. ”Du kan säga att myndigheterna måste försvara mig, men de lyckas ibland så paddla, vilket har varit fallet med ersättningsärendet”, sade en av deltagarna. ”EU bör se till att reglerna faktiskt respekteras”, sade en annan deltagare. </w:t>
      </w:r>
      <w:r>
        <w:br w:type="page"/>
      </w:r>
    </w:p>
    <w:p>
      <w:pPr>
        <w:pStyle w:val="P68B1DB1Normal117"/>
        <w:spacing w:lineRule="auto" w:line="240"/>
        <w:ind w:left="0" w:right="0" w:hanging="0"/>
        <w:rPr/>
      </w:pPr>
      <w:r>
        <w:rPr/>
        <w:t xml:space="preserve">En starkare ekonomi, social rättvisa och sysselsättning </w:t>
      </w:r>
    </w:p>
    <w:p>
      <w:pPr>
        <w:pStyle w:val="P68B1DB1Normal104"/>
        <w:widowControl w:val="false"/>
        <w:spacing w:lineRule="auto" w:line="240" w:before="139" w:after="0"/>
        <w:ind w:left="0" w:right="0" w:hanging="0"/>
        <w:jc w:val="left"/>
        <w:rPr/>
      </w:pPr>
      <w:r>
        <w:rPr/>
        <w:t xml:space="preserve">Små och medelstora företag utgör ryggraden i den europeiska ekonomin. EU vill därför att EU-länderna ska samarbeta om återhämtningsplaner för att ta sig ur covid-19-krisen ekonomiskt starkare. På lång sikt är EU:s mål att göra den europeiska ekonomin friskare, grönare och digitalare. Vad är Nederländernas vision om detta?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Rekommendationer – Vår vision om ekonomi och sysselsättning </w:t>
      </w:r>
    </w:p>
    <w:p>
      <w:pPr>
        <w:pStyle w:val="P68B1DB1Normal35"/>
        <w:widowControl w:val="false"/>
        <w:spacing w:lineRule="auto" w:line="240" w:before="123" w:after="0"/>
        <w:ind w:left="0" w:right="0" w:hanging="0"/>
        <w:jc w:val="left"/>
        <w:rPr/>
      </w:pPr>
      <w:r>
        <w:rPr>
          <w:rFonts w:ascii="Calibri" w:hAnsi="Calibri"/>
          <w:sz w:val="20"/>
        </w:rPr>
        <w:t>61 % av Nederländerna anser att ekonomi och sysselsättning är ett viktigt tema och att EU måste ingripa på detta område.</w:t>
      </w:r>
      <w:r>
        <w:rPr>
          <w:rFonts w:ascii="Times New Roman" w:hAnsi="Times New Roman"/>
          <w:sz w:val="24"/>
        </w:rPr>
        <w:t xml:space="preserve"> </w:t>
      </w:r>
    </w:p>
    <w:p>
      <w:pPr>
        <w:pStyle w:val="P68B1DB1Normal111"/>
        <w:widowControl w:val="false"/>
        <w:spacing w:lineRule="auto" w:line="240" w:before="6" w:after="0"/>
        <w:ind w:left="0" w:right="0" w:hanging="0"/>
        <w:jc w:val="left"/>
        <w:rPr/>
      </w:pPr>
      <w:r>
        <w:rPr/>
        <w:t xml:space="preserve">1. Ta hänsyn till likheter och skillnader </w:t>
      </w:r>
    </w:p>
    <w:p>
      <w:pPr>
        <w:pStyle w:val="P68B1DB1Normal104"/>
        <w:widowControl w:val="false"/>
        <w:spacing w:lineRule="auto" w:line="240" w:before="97" w:after="0"/>
        <w:ind w:left="0" w:right="0" w:hanging="0"/>
        <w:jc w:val="left"/>
        <w:rPr/>
      </w:pPr>
      <w:r>
        <w:rPr/>
        <w:t xml:space="preserve">71 % av Nederländerna anser att EU bör se till att företagen samarbetar mer och därmed stärker den europeiska ekonomin. Av dessa människor är det dock bara en liten del som anser att EU måste betala mer pengar till företagen. Framför allt anser vi att samarbetet kan bli mer effektivt. Idag ser vi att olika företag investerar i samma nya teknik, ibland även med offentliga medel. Om vi hade en europeisk vision av ekonomin skulle vi kunna använda pengarna mer effektivt. I samband med detta bör dock särskild uppmärksamhet ägnas åt skillnaderna mellan länderna. </w:t>
      </w:r>
    </w:p>
    <w:p>
      <w:pPr>
        <w:pStyle w:val="P68B1DB1Normal113"/>
        <w:widowControl w:val="false"/>
        <w:spacing w:lineRule="auto" w:line="240" w:before="306" w:after="0"/>
        <w:ind w:left="0" w:right="0" w:hanging="0"/>
        <w:jc w:val="center"/>
        <w:rPr/>
      </w:pPr>
      <w:r>
        <w:rPr/>
        <w:t xml:space="preserve">Jordbrukssektorn i Nederländerna är så modern. Det är inte alltid möjligt att jämföra det med andra länders. </w:t>
      </w:r>
    </w:p>
    <w:p>
      <w:pPr>
        <w:pStyle w:val="P68B1DB1Normal111"/>
        <w:widowControl w:val="false"/>
        <w:spacing w:lineRule="auto" w:line="240" w:before="297" w:after="0"/>
        <w:ind w:left="0" w:right="0" w:hanging="0"/>
        <w:jc w:val="left"/>
        <w:rPr/>
      </w:pPr>
      <w:r>
        <w:rPr/>
        <w:t xml:space="preserve">2. Att i större utsträckning utnyttja EU:s styrkor </w:t>
      </w:r>
    </w:p>
    <w:p>
      <w:pPr>
        <w:pStyle w:val="P68B1DB1Normal104"/>
        <w:widowControl w:val="false"/>
        <w:spacing w:lineRule="auto" w:line="240" w:before="97" w:after="0"/>
        <w:ind w:left="0" w:right="0" w:hanging="0"/>
        <w:jc w:val="left"/>
        <w:rPr/>
      </w:pPr>
      <w:r>
        <w:rPr/>
        <w:t>Nederländerna anser att det finns många möjligheter att stärka den europeiska ekonomin, men att val måste göras. Därför anser vi att EU framför allt bör fokusera på sina styrkor. Till exempel anser vi att Europa är bra i</w:t>
      </w:r>
    </w:p>
    <w:p>
      <w:pPr>
        <w:pStyle w:val="P68B1DB1Normal104"/>
        <w:widowControl w:val="false"/>
        <w:spacing w:lineRule="auto" w:line="240"/>
        <w:ind w:left="0" w:right="0" w:hanging="0"/>
        <w:jc w:val="left"/>
        <w:rPr/>
      </w:pPr>
      <w:r>
        <w:rPr/>
        <w:t xml:space="preserve"> </w:t>
      </w:r>
      <w:r>
        <w:rPr/>
        <w:t xml:space="preserve">områden som digital omställning, hållbarhet och infrastruktur. Och vad som kanske är viktigare: vi försvarar kvalitet och mångfald. Det är just mångfalden på vår kontinent, med olika åsikter och idéer, som vi måste utnyttja mycket mer som en ekonomisk fördel. Detta kan göra det möjligt för Europa att särskilja sig från t.ex. den kinesiska ekonomin. </w:t>
      </w:r>
    </w:p>
    <w:p>
      <w:pPr>
        <w:pStyle w:val="P68B1DB1Normal111"/>
        <w:widowControl w:val="false"/>
        <w:spacing w:lineRule="auto" w:line="240" w:before="40" w:after="0"/>
        <w:ind w:left="0" w:right="0" w:hanging="0"/>
        <w:jc w:val="left"/>
        <w:rPr/>
      </w:pPr>
      <w:r>
        <w:rPr/>
        <w:t xml:space="preserve">3. Utveckla ett rättvist och tydligt skattesystem </w:t>
      </w:r>
    </w:p>
    <w:p>
      <w:pPr>
        <w:pStyle w:val="P68B1DB1Normal104"/>
        <w:widowControl w:val="false"/>
        <w:spacing w:lineRule="auto" w:line="240" w:before="95" w:after="0"/>
        <w:ind w:left="0" w:right="0" w:hanging="0"/>
        <w:jc w:val="left"/>
        <w:rPr/>
      </w:pPr>
      <w:r>
        <w:rPr/>
        <w:t xml:space="preserve">82 % av holländarna anser att EU-länderna gemensamt måste se till att alla EU-företag betalar rättvisa skatter. Detta inkluderar mycket stora företag. Idag bosätter de sig ibland i andra länder av den enkla anledningen att de betalar mindre skatt. EU bör bekämpa detta fenomen, till exempel genom att fastställa en miniminivå för alla länder. Å andra sidan anser vi att beskattning är en behörighet som tillhör länder som har sina egna mål och sammanhang. Vi anser att beskattning i allmänhet är en komplex fråga. Det är just därför vi vill ha ett bättre skattesystem, som är rättvist och tydligt för alla i Europa. </w:t>
      </w:r>
    </w:p>
    <w:p>
      <w:pPr>
        <w:pStyle w:val="P68B1DB1Normal113"/>
        <w:widowControl w:val="false"/>
        <w:spacing w:lineRule="auto" w:line="240" w:before="256" w:after="0"/>
        <w:ind w:left="0" w:right="0" w:hanging="0"/>
        <w:jc w:val="center"/>
        <w:rPr/>
      </w:pPr>
      <w:r>
        <w:rPr/>
        <w:t xml:space="preserve">Gurkor måste ha samma form överallt, men skattereglerna är olika. Det är galet, eller hur? </w:t>
      </w:r>
    </w:p>
    <w:p>
      <w:pPr>
        <w:pStyle w:val="P68B1DB1Normal111"/>
        <w:widowControl w:val="false"/>
        <w:spacing w:lineRule="auto" w:line="240" w:before="297" w:after="0"/>
        <w:ind w:left="0" w:right="0" w:hanging="0"/>
        <w:jc w:val="left"/>
        <w:rPr/>
      </w:pPr>
      <w:r>
        <w:rPr/>
        <w:t xml:space="preserve">4. Se till att alla kan delta </w:t>
      </w:r>
    </w:p>
    <w:p>
      <w:pPr>
        <w:pStyle w:val="P68B1DB1Normal104"/>
        <w:widowControl w:val="false"/>
        <w:spacing w:lineRule="auto" w:line="240" w:before="97" w:after="0"/>
        <w:ind w:left="0" w:right="0" w:hanging="0"/>
        <w:jc w:val="left"/>
        <w:rPr/>
      </w:pPr>
      <w:r>
        <w:rPr/>
        <w:t xml:space="preserve">71 % av Nederländerna anser att EU bör bidra till att öka sysselsättningen. I detta avseende anser vi att särskild uppmärksamhet bör ägnas vissa grupper, såsom ungdomar och människor utanför arbetsmarknaden. Detta kan ske genom regler eller subventioner för företag, men också genom att ge särskilt stöd till arbetsgivare och arbetstagare. Vi tänker till exempel på medvetandehöjande aktiviteter eller mycket praktiska frågor. Det är möjligt att sådant stöd i vissa fall kan organiseras mer effektivt på EU-nivå och i andra fall kan det vara en uppgift snarare än för medlemsstaterna själva. EU-länderna bör i slutändan samarbeta för att säkerställa lika möjligheter på den europeiska arbetsmarknaden. </w:t>
      </w:r>
    </w:p>
    <w:p>
      <w:pPr>
        <w:pStyle w:val="P68B1DB1Normal108"/>
        <w:widowControl w:val="false"/>
        <w:spacing w:lineRule="auto" w:line="240" w:before="40" w:after="0"/>
        <w:ind w:left="0" w:right="0" w:hanging="0"/>
        <w:jc w:val="left"/>
        <w:rPr/>
      </w:pPr>
      <w:r>
        <w:rPr/>
        <w:t xml:space="preserve">Diskussioner och idéer online och på plats </w:t>
      </w:r>
    </w:p>
    <w:p>
      <w:pPr>
        <w:pStyle w:val="P68B1DB1Normal118"/>
        <w:widowControl w:val="false"/>
        <w:spacing w:lineRule="auto" w:line="240" w:before="115" w:after="0"/>
        <w:ind w:left="0" w:right="0" w:hanging="0"/>
        <w:jc w:val="left"/>
        <w:rPr/>
      </w:pPr>
      <w:r>
        <w:rPr/>
        <w:t xml:space="preserve">Accelerera automatiseringen i Europa så att de varor som för närvarande kommer från Kina tillverkas igen här. </w:t>
      </w:r>
    </w:p>
    <w:p>
      <w:pPr>
        <w:pStyle w:val="P68B1DB1Normal118"/>
        <w:widowControl w:val="false"/>
        <w:spacing w:lineRule="auto" w:line="240" w:before="85" w:after="0"/>
        <w:ind w:left="0" w:right="0" w:hanging="0"/>
        <w:jc w:val="left"/>
        <w:rPr/>
      </w:pPr>
      <w:r>
        <w:rPr/>
        <w:t xml:space="preserve">Ta revolutionen av bitcoins och andra kryptovalutor på allvar. Människor som är intresserade av det behandlas som skattebedrägerier, medan denna typ av blockchain-teknik är framtiden. </w:t>
      </w:r>
    </w:p>
    <w:p>
      <w:pPr>
        <w:pStyle w:val="P68B1DB1Normal118"/>
        <w:widowControl w:val="false"/>
        <w:spacing w:lineRule="auto" w:line="240" w:before="87" w:after="0"/>
        <w:ind w:left="0" w:right="0" w:hanging="0"/>
        <w:jc w:val="left"/>
        <w:rPr/>
      </w:pPr>
      <w:r>
        <w:rPr/>
        <w:t xml:space="preserve">Aktieägarna är inte de enda aktörerna i den europeiska ekonomin. Ingenting är möjligt utan anställda.” ”Europa måste göra mer för personer med funktionsnedsättning. Det är alldeles för svårt för dem att hitta ett lämpligt jobb idag. </w:t>
      </w:r>
    </w:p>
    <w:p>
      <w:pPr>
        <w:pStyle w:val="P68B1DB1Normal118"/>
        <w:widowControl w:val="false"/>
        <w:spacing w:lineRule="auto" w:line="240" w:before="85" w:after="0"/>
        <w:ind w:left="0" w:right="0" w:hanging="0"/>
        <w:jc w:val="left"/>
        <w:rPr/>
      </w:pPr>
      <w:r>
        <w:rPr/>
        <w:t xml:space="preserve">Många europeiska regler är komplexa och ändras regelbundet. Det är därför svårt för företag att förnya sig. </w:t>
      </w:r>
    </w:p>
    <w:p>
      <w:pPr>
        <w:pStyle w:val="P68B1DB1Normal118"/>
        <w:widowControl w:val="false"/>
        <w:spacing w:lineRule="auto" w:line="240" w:before="85" w:after="0"/>
        <w:ind w:left="0" w:right="0" w:hanging="0"/>
        <w:jc w:val="both"/>
        <w:rPr/>
      </w:pPr>
      <w:r>
        <w:rPr/>
        <w:t xml:space="preserve">När det gäller omvandlingsarbete inom mitt företag kunde min lokala entreprenör ha startat för länge sedan. Men först var jag tvungen att inleda en europeisk anbudsinfordran. Det är synd. </w:t>
      </w:r>
    </w:p>
    <w:p>
      <w:pPr>
        <w:pStyle w:val="P68B1DB1Normal111"/>
        <w:widowControl w:val="false"/>
        <w:spacing w:lineRule="auto" w:line="240" w:before="85" w:after="0"/>
        <w:ind w:left="0" w:right="0" w:hanging="0"/>
        <w:jc w:val="both"/>
        <w:rPr/>
      </w:pPr>
      <w:r>
        <w:rPr/>
        <w:t xml:space="preserve">Deltagare i onlinedialogen: ”Att tänka tillsammans på frågan om stora företag” </w:t>
      </w:r>
    </w:p>
    <w:p>
      <w:pPr>
        <w:pStyle w:val="P68B1DB1Normal104"/>
        <w:widowControl w:val="false"/>
        <w:spacing w:lineRule="auto" w:line="240" w:before="97" w:after="0"/>
        <w:ind w:left="0" w:right="0" w:hanging="0"/>
        <w:jc w:val="left"/>
        <w:rPr/>
      </w:pPr>
      <w:r>
        <w:rPr/>
        <w:t>Under en av de tematiska dialogerna online uppstod en debatt om storföretagens växande makt. Vissa deltagare skulle vilja</w:t>
      </w:r>
      <w:r>
        <w:rPr/>
        <w:commentReference w:id="22"/>
      </w:r>
      <w:r>
        <w:rPr/>
        <w:t xml:space="preserve"> att EU vidtar kraftfullare åtgärder i detta avseende. Faktum är att vissa företag ibland gör betydande vinster som de betalar lite skatt på tack vare sofistikerade arrangemang. Andra deltagare uppmanade till att titta på saker som helhet: dessa företag skapar en hög sysselsättningsnivå och gynnar den nationella ekonomin. ”Du borde inte jaga dem”, sa någon. En annan deltagare ansåg att det under alla omständigheter var viktigt för EU-länderna att diskutera denna fråga tillsammans. Idag kan stora företag konkurrera mellan olika länder. Därför måste vi presentera en mer enad front som ett EU. </w:t>
      </w:r>
    </w:p>
    <w:p>
      <w:pPr>
        <w:pStyle w:val="P68B1DB1Normal111"/>
        <w:widowControl w:val="false"/>
        <w:spacing w:lineRule="auto" w:line="240" w:before="97" w:after="0"/>
        <w:ind w:left="0" w:right="0" w:hanging="0"/>
        <w:jc w:val="left"/>
        <w:rPr/>
      </w:pPr>
      <w:r>
        <w:rPr/>
        <w:t xml:space="preserve">Jordbrukare som tar hänsyn till naturen: ”Fastställ upp mål snarare än kvoter” </w:t>
      </w:r>
    </w:p>
    <w:p>
      <w:pPr>
        <w:pStyle w:val="P68B1DB1Normal104"/>
        <w:widowControl w:val="false"/>
        <w:spacing w:lineRule="auto" w:line="240" w:before="95" w:after="0"/>
        <w:ind w:left="0" w:right="0" w:hanging="0"/>
        <w:jc w:val="left"/>
        <w:rPr/>
      </w:pPr>
      <w:r>
        <w:rPr/>
        <w:t xml:space="preserve">BoerenNatuur är en sammanslutning av jordbruksgrupper. En liten grupp ledamöter diskuterade bland annat EU:s regler för jordbrukare. Å ena sidan anser de att EU för med sig en hel del positiva saker, till exempel enkel export till andra länder. Å andra sidan anser de att politiken ofta kan vara ännu tydligare. ”Men alla arbetar redan mer och mer i samma riktning”, sade någon om det. Det är särskilt möjligt att förbättra förfarandena: de är ofta mycket administrativa och tidskrävande. Enligt en deltagares uppfattning bör reglerna inte vara alltför detaljerade. Föredrar tydliga mål, till exempel rent vatten. Vi kan då bestämma oss själva som ett resultat av bredden på ett dike.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pPr>
      <w:r>
        <w:rPr/>
        <w:t xml:space="preserve">Europeisk demokrati </w:t>
      </w:r>
    </w:p>
    <w:p>
      <w:pPr>
        <w:pStyle w:val="P68B1DB1Normal104"/>
        <w:widowControl w:val="false"/>
        <w:spacing w:lineRule="auto" w:line="240"/>
        <w:ind w:left="0" w:right="0" w:hanging="0"/>
        <w:jc w:val="left"/>
        <w:rPr/>
      </w:pPr>
      <w:r>
        <w:rPr/>
        <w:t xml:space="preserve">EU uppmuntrar européerna att rösta och vill också involvera dem i EU:s beslutsfattande och politik utanför valperioden. EU tar också initiativ för att stärka demokratin, till exempel genom att utarbeta en handlingsplan med fokus på fria och rättvisa val och pressfriheten. Vad är Nederländernas vision om detta?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5" w:after="0"/>
        <w:ind w:left="0" w:right="0" w:hanging="0"/>
        <w:jc w:val="left"/>
        <w:rPr/>
      </w:pPr>
      <w:r>
        <w:rPr/>
        <w:t xml:space="preserve">Rekommendationer – Vår vision för den europeiska demokratin </w:t>
      </w:r>
    </w:p>
    <w:p>
      <w:pPr>
        <w:pStyle w:val="P68B1DB1Normal69"/>
        <w:widowControl w:val="false"/>
        <w:spacing w:lineRule="auto" w:line="240"/>
        <w:ind w:left="0" w:right="0" w:hanging="0"/>
        <w:jc w:val="left"/>
        <w:rPr/>
      </w:pPr>
      <w:r>
        <w:rPr/>
        <w:t xml:space="preserve">60 % av Nederländerna anser att den europeiska demokratin är en viktig fråga och att EU måste ingripa på detta område. </w:t>
      </w:r>
    </w:p>
    <w:p>
      <w:pPr>
        <w:pStyle w:val="P68B1DB1Normal111"/>
        <w:widowControl w:val="false"/>
        <w:spacing w:lineRule="auto" w:line="240" w:before="13" w:after="0"/>
        <w:ind w:left="0" w:right="0" w:hanging="0"/>
        <w:jc w:val="left"/>
        <w:rPr/>
      </w:pPr>
      <w:r>
        <w:rPr/>
        <w:t xml:space="preserve">1. Ge en bättre överblick över Europa </w:t>
      </w:r>
    </w:p>
    <w:p>
      <w:pPr>
        <w:pStyle w:val="P68B1DB1Normal104"/>
        <w:widowControl w:val="false"/>
        <w:spacing w:lineRule="auto" w:line="240"/>
        <w:ind w:left="0" w:right="0" w:hanging="0"/>
        <w:jc w:val="left"/>
        <w:rPr/>
      </w:pPr>
      <w:r>
        <w:rPr/>
        <w:t xml:space="preserve">Nederländerna påpekar att det ofta är i händelse av en kris som Europa dyker upp i medierna. Å andra sidan har vi lite information om dagliga beslut. Som medborgare behöver vi inte veta allt, men för att bilda oss en bra uppfattning vore det bra att ha en bättre överblick. Det skulle till exempel vara intressant att höra andra länders åsikter om EU oftare. Media och utbildning kan spela en viktig roll i detta avseende. Men medierna måste kunna göra sina egna val. Eftersom holländarna anser att pressfriheten är mycket viktig i vår demokrati. </w:t>
      </w:r>
    </w:p>
    <w:p>
      <w:pPr>
        <w:pStyle w:val="P68B1DB1Normal113"/>
        <w:widowControl w:val="false"/>
        <w:spacing w:lineRule="auto" w:line="240" w:before="184" w:after="0"/>
        <w:ind w:left="0" w:right="0" w:hanging="0"/>
        <w:jc w:val="center"/>
        <w:rPr/>
      </w:pPr>
      <w:r>
        <w:rPr/>
        <w:t>”</w:t>
      </w:r>
      <w:r>
        <w:rPr/>
        <w:t xml:space="preserve">För det mesta hör vi bara om EU i händelse av en kris. Det är därför som känslan för Europa förblir negativ. </w:t>
      </w:r>
    </w:p>
    <w:p>
      <w:pPr>
        <w:pStyle w:val="P68B1DB1Normal111"/>
        <w:widowControl w:val="false"/>
        <w:spacing w:lineRule="auto" w:line="240" w:before="153" w:after="0"/>
        <w:ind w:left="0" w:right="0" w:hanging="0"/>
        <w:jc w:val="left"/>
        <w:rPr/>
      </w:pPr>
      <w:r>
        <w:rPr/>
        <w:t xml:space="preserve">2. Hitta nya sätt att kontinuerligt lyssna på medborgarna </w:t>
      </w:r>
    </w:p>
    <w:p>
      <w:pPr>
        <w:pStyle w:val="P68B1DB1Normal104"/>
        <w:widowControl w:val="false"/>
        <w:spacing w:lineRule="auto" w:line="240"/>
        <w:ind w:left="0" w:right="0" w:hanging="0"/>
        <w:jc w:val="left"/>
        <w:rPr/>
      </w:pPr>
      <w:r>
        <w:rPr/>
        <w:t xml:space="preserve">51 % av holländarna anser att EU inte är tillräckligt medvetet om vad som händer i samhället. För att förbättra denna situation bör EU oftare, och helst permanent, delta i en dialog med medborgarna. Många holländare anser därför att konferensen om Europas framtid är ett bra initiativ. Folkomröstningar kan också vara ett värdefullt verktyg, men holländarna har olika åsikter om detta. För vissa ämnen är det också ibland nödvändigt att ha specialkunskaper. I vilket fall som helst bör det inte vara en ren formalitet att tala med medborgarna. Vi anser att det är viktigt att vi tas på allvar. </w:t>
      </w:r>
    </w:p>
    <w:p>
      <w:pPr>
        <w:pStyle w:val="P68B1DB1Normal111"/>
        <w:widowControl w:val="false"/>
        <w:spacing w:lineRule="auto" w:line="240" w:before="21" w:after="0"/>
        <w:ind w:left="0" w:right="0" w:hanging="0"/>
        <w:jc w:val="left"/>
        <w:rPr/>
      </w:pPr>
      <w:r>
        <w:rPr/>
        <w:t xml:space="preserve">3. Större öppenhet och tydlighet i de beslut som fattas </w:t>
      </w:r>
    </w:p>
    <w:p>
      <w:pPr>
        <w:pStyle w:val="P68B1DB1Normal104"/>
        <w:widowControl w:val="false"/>
        <w:spacing w:lineRule="auto" w:line="240"/>
        <w:ind w:left="0" w:right="0" w:hanging="0"/>
        <w:jc w:val="left"/>
        <w:rPr/>
      </w:pPr>
      <w:r>
        <w:rPr/>
        <w:t xml:space="preserve">Holländarna tycker ibland att Europa är ganska komplicerat. Alla har inte samma grundläggande kunskaper. EU måste ta större hänsyn till detta. Vi vill att EU ska bli mer transparent och göra det lättare att hålla sig uppdaterad. De nederländska myndigheterna har också en roll att spela i detta avseende. Många holländare är intresserade av europeiska beslut, men anser att officiella kanaler är för svåra att hitta eller för komplexa. Dessutom har alla olika intressen och behov. Det skulle därför vara nödvändigt att kunna välja de ämnen som vi vill lära oss mer om. Ungdomar är ofta intresserade av Europa, men de ser till exempel lite information om det på sina sociala nätverk. </w:t>
      </w:r>
    </w:p>
    <w:p>
      <w:pPr>
        <w:pStyle w:val="P68B1DB1Normal113"/>
        <w:widowControl w:val="false"/>
        <w:spacing w:lineRule="auto" w:line="240" w:before="184" w:after="0"/>
        <w:ind w:left="0" w:right="0" w:hanging="0"/>
        <w:jc w:val="center"/>
        <w:rPr/>
      </w:pPr>
      <w:r>
        <w:rPr/>
        <w:t xml:space="preserve">När jag var på semester i Ungern såg jag en stor skylt nära en ny skogsplantage som sa: ”Denna plantage var möjlig tack vare EU.” Även om jag är skeptisk till Europa kände jag mig fortfarande stolt. </w:t>
      </w:r>
    </w:p>
    <w:p>
      <w:pPr>
        <w:pStyle w:val="P68B1DB1Normal19"/>
        <w:widowControl w:val="false"/>
        <w:spacing w:lineRule="auto" w:line="240" w:before="155" w:after="0"/>
        <w:ind w:left="0" w:right="0" w:hanging="0"/>
        <w:jc w:val="left"/>
        <w:rPr/>
      </w:pPr>
      <w:r>
        <w:rPr/>
        <w:t xml:space="preserve"> </w:t>
      </w:r>
    </w:p>
    <w:p>
      <w:pPr>
        <w:pStyle w:val="P68B1DB1Normal111"/>
        <w:widowControl w:val="false"/>
        <w:spacing w:lineRule="auto" w:line="240" w:before="172" w:after="0"/>
        <w:ind w:left="0" w:right="0" w:hanging="0"/>
        <w:jc w:val="left"/>
        <w:rPr/>
      </w:pPr>
      <w:r>
        <w:rPr/>
        <w:t xml:space="preserve">4. Se till att törstiga problem kan lösas snabbare </w:t>
      </w:r>
    </w:p>
    <w:p>
      <w:pPr>
        <w:pStyle w:val="P68B1DB1Normal104"/>
        <w:widowControl w:val="false"/>
        <w:spacing w:lineRule="auto" w:line="240"/>
        <w:ind w:left="0" w:right="0" w:hanging="0"/>
        <w:jc w:val="left"/>
        <w:rPr/>
      </w:pPr>
      <w:r>
        <w:rPr/>
        <w:t>Holländarna har svårt att förstå hur den europeiska demokratin fungerar, men det verkar som om beslutsfattandet i EU ofta är mycket långsamt. I valet till Europaparlamentet ser vi framför allt allianser mellan</w:t>
      </w:r>
      <w:r>
        <w:rPr/>
        <w:commentReference w:id="23"/>
      </w:r>
      <w:r>
        <w:rPr/>
        <w:t xml:space="preserve"> nationella partier. Det kan också finnas andra sätt att ta itu med europeiska intressen. Ungefär en tredjedel av holländarna anser att det vid val till Europaparlamentet bör vara möjligt att rösta på utländska kandidater. Ungefär lika många medborgare anser att detta inte bör vara möjligt. Det viktigaste är att de olika intressen som står på spel beaktas tillräckligt. Samtidigt är det möjligt att lösa törstiga problem snabbare än vad som är fallet idag. </w:t>
      </w:r>
    </w:p>
    <w:p>
      <w:pPr>
        <w:pStyle w:val="P68B1DB1Normal113"/>
        <w:widowControl w:val="false"/>
        <w:spacing w:lineRule="auto" w:line="240" w:before="201" w:after="0"/>
        <w:ind w:left="0" w:right="0" w:hanging="0"/>
        <w:jc w:val="center"/>
        <w:rPr/>
      </w:pPr>
      <w:r>
        <w:rPr/>
        <w:t xml:space="preserve">I valet önskar jag att jag kunde identifiera mig med någon och veta vad han eller hon försvarar. Det behöver inte nödvändigtvis vara en landsman. </w:t>
      </w:r>
    </w:p>
    <w:p>
      <w:pPr>
        <w:pStyle w:val="P68B1DB1Normal108"/>
        <w:widowControl w:val="false"/>
        <w:spacing w:lineRule="auto" w:line="240" w:before="171" w:after="0"/>
        <w:ind w:left="0" w:right="0" w:hanging="0"/>
        <w:jc w:val="left"/>
        <w:rPr/>
      </w:pPr>
      <w:r>
        <w:rPr/>
        <w:t xml:space="preserve">Diskussioner och idéer online och på plats </w:t>
      </w:r>
    </w:p>
    <w:p>
      <w:pPr>
        <w:pStyle w:val="P68B1DB1Normal118"/>
        <w:widowControl w:val="false"/>
        <w:spacing w:lineRule="auto" w:line="240" w:before="3" w:after="0"/>
        <w:ind w:left="0" w:right="0" w:hanging="0"/>
        <w:jc w:val="left"/>
        <w:rPr/>
      </w:pPr>
      <w:r>
        <w:rPr/>
        <w:t xml:space="preserve">Ta bort ländernas vetorätt. Majoriteten måste bestämma sig. </w:t>
      </w:r>
    </w:p>
    <w:p>
      <w:pPr>
        <w:pStyle w:val="Normal"/>
        <w:widowControl w:val="false"/>
        <w:spacing w:lineRule="auto" w:line="240" w:before="85" w:after="0"/>
        <w:ind w:left="0" w:right="0" w:hanging="0"/>
        <w:jc w:val="left"/>
        <w:rPr/>
      </w:pPr>
      <w:r>
        <w:rPr>
          <w:rFonts w:ascii="Calibri" w:hAnsi="Calibri"/>
          <w:i/>
          <w:color w:val="000000"/>
          <w:sz w:val="21"/>
        </w:rPr>
        <w:t xml:space="preserve">För viktiga beslut, inrätta diskussionsgrupper </w:t>
      </w:r>
      <w:commentRangeStart w:id="24"/>
      <w:r>
        <w:rPr>
          <w:rFonts w:ascii="Calibri" w:hAnsi="Calibri"/>
          <w:i/>
          <w:color w:val="000000"/>
          <w:sz w:val="21"/>
        </w:rPr>
        <w:t xml:space="preserve">bestående </w:t>
      </w:r>
      <w:r>
        <w:rPr/>
      </w:r>
      <w:commentRangeEnd w:id="24"/>
      <w:r>
        <w:commentReference w:id="24"/>
      </w:r>
      <w:r>
        <w:rPr>
          <w:rFonts w:ascii="Calibri" w:hAnsi="Calibri"/>
          <w:i/>
          <w:color w:val="000000"/>
          <w:sz w:val="21"/>
        </w:rPr>
        <w:t>av medborgare, kanske på (halv) obligatorisk basis, som görs för juryer i USA.</w:t>
      </w:r>
    </w:p>
    <w:p>
      <w:pPr>
        <w:pStyle w:val="P68B1DB1Normal118"/>
        <w:widowControl w:val="false"/>
        <w:spacing w:lineRule="auto" w:line="240" w:before="85" w:after="0"/>
        <w:ind w:left="0" w:right="0" w:hanging="0"/>
        <w:jc w:val="left"/>
        <w:rPr/>
      </w:pPr>
      <w:r>
        <w:rPr/>
        <w:t>”</w:t>
      </w:r>
      <w:r>
        <w:rPr/>
        <w:t xml:space="preserve">Se till att EU:s politiker och tjänstemän regelbundet besöker inlandet” och inte förblir helt inneslutna i sin Brysselbubbla. </w:t>
      </w:r>
    </w:p>
    <w:p>
      <w:pPr>
        <w:pStyle w:val="P68B1DB1Normal118"/>
        <w:widowControl w:val="false"/>
        <w:spacing w:lineRule="auto" w:line="240" w:before="85" w:after="0"/>
        <w:ind w:left="0" w:right="0" w:hanging="0"/>
        <w:jc w:val="left"/>
        <w:rPr/>
      </w:pPr>
      <w:r>
        <w:rPr/>
        <w:t xml:space="preserve">IDE: Faktum är att TV-nyheterna bör ägna några minuter åt Europa i var och en av sina utgåvor. Eller så kan vi lansera en dagstidning eller veckotidning tillägnad Europa. </w:t>
      </w:r>
    </w:p>
    <w:p>
      <w:pPr>
        <w:pStyle w:val="P68B1DB1Normal118"/>
        <w:widowControl w:val="false"/>
        <w:spacing w:lineRule="auto" w:line="240" w:before="85" w:after="0"/>
        <w:ind w:left="0" w:right="0" w:hanging="0"/>
        <w:jc w:val="left"/>
        <w:rPr/>
      </w:pPr>
      <w:r>
        <w:rPr/>
        <w:t xml:space="preserve">IDE: Kanske borde europeiska politiker oftare delta i tv-program. </w:t>
      </w:r>
    </w:p>
    <w:p>
      <w:pPr>
        <w:pStyle w:val="P68B1DB1Normal118"/>
        <w:widowControl w:val="false"/>
        <w:spacing w:lineRule="auto" w:line="240" w:before="85" w:after="0"/>
        <w:ind w:left="0" w:right="0" w:hanging="0"/>
        <w:jc w:val="left"/>
        <w:rPr/>
      </w:pPr>
      <w:r>
        <w:rPr/>
        <w:t xml:space="preserve">Som ung läser jag nästan aldrig något om Europa. Men jag är nyfiken på att veta mer, men utan att behöva göra för mycket ansträngning för att få information. </w:t>
      </w:r>
    </w:p>
    <w:p>
      <w:pPr>
        <w:pStyle w:val="P68B1DB1Normal111"/>
        <w:widowControl w:val="false"/>
        <w:spacing w:lineRule="auto" w:line="240" w:before="84" w:after="0"/>
        <w:ind w:left="0" w:right="0" w:hanging="0"/>
        <w:jc w:val="left"/>
        <w:rPr/>
      </w:pPr>
      <w:r>
        <w:rPr/>
        <w:t xml:space="preserve">Unga medlemmar av Coalitie-Y i Utrecht: diskussion om användningen av folkomröstningar </w:t>
      </w:r>
    </w:p>
    <w:p>
      <w:pPr>
        <w:pStyle w:val="P68B1DB1Normal104"/>
        <w:widowControl w:val="false"/>
        <w:spacing w:lineRule="auto" w:line="240"/>
        <w:ind w:left="0" w:right="0" w:hanging="0"/>
        <w:jc w:val="left"/>
        <w:rPr/>
      </w:pPr>
      <w:r>
        <w:rPr/>
        <w:t xml:space="preserve">Medlemmarna i Coalitie-Y – ett samarbete mellan olika ungdomsorganisationer – höll en livlig debatt om användningen av folkomröstningar. Motståndarna nämnde risken för att ha debatter där allt är svart eller vitt, medan ämnena ofta är mycket mer komplexa. En av deltagarna uppgav vidare: Vi kan rösta på EU och ställa upp som kandidater. Folkomröstningar underminerar faktiskt denna princip.” Referendumsupportrar sade att de tyckte det var användbart för beslutsfattare att veta vad medborgarna tycker om ett specifikt ämne: detta kan hjälpa till att ge vägledning. Folkomröstningar skulle också kunna bidra till att öka allmänhetens medvetenhet om EU som helhet: vilka är frågorna på dagordningen och vilka är valen att göra? </w:t>
      </w:r>
    </w:p>
    <w:p>
      <w:pPr>
        <w:pStyle w:val="P68B1DB1Normal111"/>
        <w:widowControl w:val="false"/>
        <w:spacing w:lineRule="auto" w:line="240" w:before="38" w:after="0"/>
        <w:ind w:left="0" w:right="0" w:hanging="0"/>
        <w:jc w:val="left"/>
        <w:rPr/>
      </w:pPr>
      <w:r>
        <w:rPr/>
        <w:t xml:space="preserve">Sociala volontärer: Det behövs en bättre ömsesidig förståelse mellan länderna.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Piëzo Foundation i Zoetermeer består av volontärer som är aktiva på olika sätt när det gäller socialt deltagande. Deltagarna i den tematiska dialogen uttryckte oro över den växande klyftan i Europa. Detta är till exempel de åsikter som länderna har när det gäller hbtqi-personer. Om länderna inte förstår sina respektive åsikter är det svårt att samarbeta. ”Det är därför det är viktigt att lära känna varandra bättre”, säger en deltagare. Idag vet vi inte vad folk tycker i andra länder. Vi förstår inte kulturen och kontexten i våra respektive länder. Detta är viktigt för att vi tillsammans ska kunna fatta bra beslut. </w:t>
      </w:r>
      <w:r>
        <w:br w:type="page"/>
      </w:r>
    </w:p>
    <w:p>
      <w:pPr>
        <w:pStyle w:val="P68B1DB1Normal117"/>
        <w:spacing w:lineRule="auto" w:line="240"/>
        <w:ind w:left="0" w:right="0" w:hanging="0"/>
        <w:rPr/>
      </w:pPr>
      <w:r>
        <w:rPr/>
        <w:t xml:space="preserve">Digital transformation </w:t>
      </w:r>
    </w:p>
    <w:p>
      <w:pPr>
        <w:pStyle w:val="P68B1DB1Normal104"/>
        <w:widowControl w:val="false"/>
        <w:spacing w:lineRule="auto" w:line="240" w:before="62" w:after="0"/>
        <w:ind w:left="0" w:right="0" w:hanging="0"/>
        <w:jc w:val="left"/>
        <w:rPr/>
      </w:pPr>
      <w:r>
        <w:rPr/>
        <w:t xml:space="preserve">I den virtuella världen ökar kraven på internetanslutning, säkerhet och integritet. EU känner sig ansvarigt i detta avseende och är fast beslutet att se till att ingen hamnar på efterkälken i det digitala samhället. Dessutom investerar EU i digitala lösningar på samhällsutmaningar. Vad är Nederländernas vision om detta? </w:t>
      </w:r>
    </w:p>
    <w:p>
      <w:pPr>
        <w:pStyle w:val="P68B1DB1Normal108"/>
        <w:widowControl w:val="false"/>
        <w:spacing w:lineRule="auto" w:line="240" w:before="57" w:after="0"/>
        <w:ind w:left="0" w:right="0" w:hanging="0"/>
        <w:jc w:val="left"/>
        <w:rPr/>
      </w:pPr>
      <w:r>
        <w:rPr/>
        <w:t xml:space="preserve">Rekommendationer – Vår virtuella världsbild </w:t>
      </w:r>
    </w:p>
    <w:p>
      <w:pPr>
        <w:pStyle w:val="P68B1DB1Normal69"/>
        <w:widowControl w:val="false"/>
        <w:spacing w:lineRule="auto" w:line="240" w:before="65" w:after="0"/>
        <w:ind w:left="0" w:right="0" w:hanging="0"/>
        <w:jc w:val="left"/>
        <w:rPr/>
      </w:pPr>
      <w:r>
        <w:rPr/>
        <w:t xml:space="preserve">45 % av Nederländerna anser att den virtuella världen är ett viktigt tema och att EU måste ingripa på detta område. </w:t>
      </w:r>
    </w:p>
    <w:p>
      <w:pPr>
        <w:pStyle w:val="P68B1DB1Normal111"/>
        <w:widowControl w:val="false"/>
        <w:spacing w:lineRule="auto" w:line="240" w:before="47" w:after="0"/>
        <w:ind w:left="0" w:right="0" w:hanging="0"/>
        <w:jc w:val="left"/>
        <w:rPr/>
      </w:pPr>
      <w:r>
        <w:rPr/>
        <w:t xml:space="preserve">1. Säkerställa ett snabbt, säkert och stabilt internet överallt </w:t>
      </w:r>
    </w:p>
    <w:p>
      <w:pPr>
        <w:pStyle w:val="P68B1DB1Normal104"/>
        <w:widowControl w:val="false"/>
        <w:spacing w:lineRule="auto" w:line="240" w:before="49" w:after="0"/>
        <w:ind w:left="0" w:right="0" w:hanging="0"/>
        <w:jc w:val="left"/>
        <w:rPr/>
      </w:pPr>
      <w:r>
        <w:rPr/>
        <w:t xml:space="preserve">61 % av holländarna anser att EU bör se till att alla människor i Europa har tillgång till ett snabbt och stabilt internet. Vi ser alla att internet spelar en allt viktigare roll i våra liv. Våra barn växer upp med digital utbildning. Kommunikationen sker i allt högre grad via internet, både nationellt och internationellt. Vi är ibland oroade över det stora beroendet av internet. Många holländare anser därför att EU är bäst lämpad att avsätta medel till unionen, förutsatt att de används effektivt. Skyddet mot nätbrott är enligt vår mening den viktigaste fråga som måste tas upp på EU-nivå. Man bör dock också uppmärksamma kampen mot internetbrottslighet på nationell nivå. </w:t>
      </w:r>
    </w:p>
    <w:p>
      <w:pPr>
        <w:pStyle w:val="P68B1DB1Normal113"/>
        <w:widowControl w:val="false"/>
        <w:spacing w:lineRule="auto" w:line="240" w:before="54" w:after="0"/>
        <w:ind w:left="0" w:right="0" w:hanging="0"/>
        <w:jc w:val="center"/>
        <w:rPr/>
      </w:pPr>
      <w:r>
        <w:rPr/>
        <w:t xml:space="preserve">Tanken på en cyberattack på vårt vattenskyddssystem får mig att känna mig sårbar. </w:t>
      </w:r>
    </w:p>
    <w:p>
      <w:pPr>
        <w:pStyle w:val="P68B1DB1Normal111"/>
        <w:widowControl w:val="false"/>
        <w:spacing w:lineRule="auto" w:line="240" w:before="71" w:after="0"/>
        <w:ind w:left="0" w:right="0" w:hanging="0"/>
        <w:jc w:val="left"/>
        <w:rPr/>
      </w:pPr>
      <w:r>
        <w:rPr/>
        <w:t xml:space="preserve">2. Fastställande av tydliga regler och standarder för internetföretag </w:t>
      </w:r>
    </w:p>
    <w:p>
      <w:pPr>
        <w:pStyle w:val="P68B1DB1Normal104"/>
        <w:widowControl w:val="false"/>
        <w:spacing w:lineRule="auto" w:line="240" w:before="49" w:after="0"/>
        <w:ind w:left="0" w:right="0" w:hanging="0"/>
        <w:jc w:val="left"/>
        <w:rPr/>
      </w:pPr>
      <w:r>
        <w:rPr/>
        <w:t xml:space="preserve">75 % av holländarna anser att EU bör se till att onlineköp kan ske med samma säkerhetsnivå i alla EU-länder. Vi köper mer och mer utomlands och delar känsliga personuppgifter på detta sätt. Detta verkar ibland farligt. Det är svårt att avgöra vilka webbplatser som är tillförlitliga. Det är bra att EU utvecklar europeiska integritetsregler och standarder som alla kan förstå. Kraften hos stora internetföretag är också en vanlig källa till oro för oss. Vi anser att det är vårt ansvar att iaktta försiktighet vid användningen av våra uppgifter. Men vi tror också att EU kan spela en roll i detta avseende. EU-länderna måste arbeta tillsammans för att se till att företag som Google och Facebook inte har för mycket makt. </w:t>
      </w:r>
    </w:p>
    <w:p>
      <w:pPr>
        <w:pStyle w:val="P68B1DB1Normal113"/>
        <w:widowControl w:val="false"/>
        <w:spacing w:lineRule="auto" w:line="240" w:before="54" w:after="0"/>
        <w:ind w:left="0" w:right="0" w:hanging="0"/>
        <w:jc w:val="center"/>
        <w:rPr/>
      </w:pPr>
      <w:r>
        <w:rPr/>
        <w:t xml:space="preserve">Inför en global aktör som Facebook är vi relativt fattiga som ett litet land. </w:t>
      </w:r>
    </w:p>
    <w:p>
      <w:pPr>
        <w:pStyle w:val="P68B1DB1Normal111"/>
        <w:widowControl w:val="false"/>
        <w:spacing w:lineRule="auto" w:line="240" w:before="71" w:after="0"/>
        <w:ind w:left="0" w:right="0" w:hanging="0"/>
        <w:jc w:val="left"/>
        <w:rPr/>
      </w:pPr>
      <w:r>
        <w:rPr/>
        <w:t xml:space="preserve">3. Lägga till genomförande och praktiska förklaringar till integritetsreglerna </w:t>
      </w:r>
    </w:p>
    <w:p>
      <w:pPr>
        <w:pStyle w:val="Normal"/>
        <w:widowControl w:val="false"/>
        <w:spacing w:lineRule="auto" w:line="240" w:before="49" w:after="0"/>
        <w:ind w:left="0" w:right="0" w:hanging="0"/>
        <w:jc w:val="left"/>
        <w:rPr>
          <w:rFonts w:ascii="Calibri" w:hAnsi="Calibri"/>
          <w:color w:val="000000"/>
          <w:sz w:val="21"/>
        </w:rPr>
      </w:pPr>
      <w:r>
        <w:rPr>
          <w:rFonts w:ascii="Calibri" w:hAnsi="Calibri"/>
          <w:color w:val="000000"/>
          <w:sz w:val="21"/>
        </w:rPr>
        <w:t xml:space="preserve">I och med införandet av den allmänna dataskyddsförordningen (GDPR) vet Nederländerna att alla länder måste följa samma sekretesslagar och förordningar. Vi tycker att det är bra att kunna räkna med det, eftersom integritet är en viktig fråga. Vissa holländare anser dock att integritetsreglerna ibland är överdrivna eller ologiska. Dessutom kan denna lagstiftning generera mycket arbete för företagare. Vi anser därför att större uppmärksamhet bör ägnas åt det praktiska genomförandet av integritetslagstiftningen: stöd och information till både privatpersoner och företag. Framför allt anser vi att medlemsstaterna har en roll att spela. Sekretessfrågor eller frågor hanteras bäst av våra nationella myndigheter på vårt eget språk. </w:t>
      </w:r>
      <w:r>
        <w:br w:type="page"/>
      </w:r>
    </w:p>
    <w:p>
      <w:pPr>
        <w:pStyle w:val="P68B1DB1Normal108"/>
        <w:spacing w:lineRule="auto" w:line="240"/>
        <w:ind w:left="0" w:right="0" w:hanging="0"/>
        <w:rPr/>
      </w:pPr>
      <w:r>
        <w:rPr/>
        <w:t xml:space="preserve">Diskussioner och idéer online och på plats </w:t>
      </w:r>
    </w:p>
    <w:p>
      <w:pPr>
        <w:pStyle w:val="P68B1DB1Normal118"/>
        <w:widowControl w:val="false"/>
        <w:spacing w:lineRule="auto" w:line="240" w:before="120" w:after="0"/>
        <w:ind w:left="0" w:right="889" w:hanging="0"/>
        <w:jc w:val="left"/>
        <w:rPr/>
      </w:pPr>
      <w:r>
        <w:rPr/>
        <w:t xml:space="preserve">IDE: Fastställa strängare kriterier för programmerare och företag genom att förbjuda farliga programmeringsspråk. </w:t>
      </w:r>
    </w:p>
    <w:p>
      <w:pPr>
        <w:pStyle w:val="P68B1DB1Normal118"/>
        <w:widowControl w:val="false"/>
        <w:spacing w:lineRule="auto" w:line="240" w:before="87" w:after="0"/>
        <w:ind w:left="0" w:right="0" w:hanging="0"/>
        <w:jc w:val="left"/>
        <w:rPr/>
      </w:pPr>
      <w:r>
        <w:rPr/>
        <w:t xml:space="preserve">Föreslå ett gratis europeiskt antivirusprogram för att skapa en europeisk brandvägg. </w:t>
      </w:r>
    </w:p>
    <w:p>
      <w:pPr>
        <w:pStyle w:val="P68B1DB1Normal118"/>
        <w:widowControl w:val="false"/>
        <w:spacing w:lineRule="auto" w:line="240" w:before="85" w:after="0"/>
        <w:ind w:left="0" w:right="42" w:hanging="0"/>
        <w:jc w:val="left"/>
        <w:rPr/>
      </w:pPr>
      <w:r>
        <w:rPr/>
        <w:t xml:space="preserve">När jag korsar gränsen till Tyskland, plötsligt har jag inte längre ett nätverk på min mobiltelefon. Det borde inte hända längre, eller hur? </w:t>
      </w:r>
    </w:p>
    <w:p>
      <w:pPr>
        <w:pStyle w:val="P68B1DB1Normal118"/>
        <w:widowControl w:val="false"/>
        <w:spacing w:lineRule="auto" w:line="240" w:before="85" w:after="0"/>
        <w:ind w:left="0" w:right="959" w:hanging="0"/>
        <w:jc w:val="left"/>
        <w:rPr/>
      </w:pPr>
      <w:r>
        <w:rPr/>
        <w:t xml:space="preserve">Med våra iPhones kan vi spåra alla våra resor. Vi har också vår del av ansvaret. </w:t>
      </w:r>
    </w:p>
    <w:p>
      <w:pPr>
        <w:pStyle w:val="P68B1DB1Normal118"/>
        <w:widowControl w:val="false"/>
        <w:spacing w:lineRule="auto" w:line="240" w:before="83" w:after="0"/>
        <w:ind w:left="0" w:right="0" w:hanging="0"/>
        <w:jc w:val="left"/>
        <w:rPr/>
      </w:pPr>
      <w:r>
        <w:rPr/>
        <w:t xml:space="preserve">Det är inte bekvämt att behöva fylla i en annan typ av sekretessformulär i varje land. </w:t>
      </w:r>
    </w:p>
    <w:p>
      <w:pPr>
        <w:pStyle w:val="P68B1DB1Normal118"/>
        <w:widowControl w:val="false"/>
        <w:spacing w:lineRule="auto" w:line="240" w:before="87" w:after="0"/>
        <w:ind w:left="0" w:right="0" w:hanging="0"/>
        <w:jc w:val="left"/>
        <w:rPr/>
      </w:pPr>
      <w:r>
        <w:rPr/>
        <w:t xml:space="preserve">IDE: Vi bör inrätta en europeisk cyberpolis. Detta är helt klart något för EU. </w:t>
      </w:r>
    </w:p>
    <w:p>
      <w:pPr>
        <w:pStyle w:val="P68B1DB1Normal111"/>
        <w:widowControl w:val="false"/>
        <w:spacing w:lineRule="auto" w:line="240" w:before="84" w:after="0"/>
        <w:ind w:left="0" w:right="823" w:hanging="0"/>
        <w:jc w:val="left"/>
        <w:rPr/>
      </w:pPr>
      <w:r>
        <w:rPr/>
        <w:t xml:space="preserve">Deltagare i onlinedialogen: Att ha tillgång till internet överallt ligger också i vårt eget intresse. </w:t>
      </w:r>
    </w:p>
    <w:p>
      <w:pPr>
        <w:pStyle w:val="P68B1DB1Normal104"/>
        <w:widowControl w:val="false"/>
        <w:spacing w:lineRule="auto" w:line="240" w:before="97" w:after="0"/>
        <w:ind w:left="0" w:right="236" w:hanging="0"/>
        <w:jc w:val="left"/>
        <w:rPr/>
      </w:pPr>
      <w:r>
        <w:rPr/>
        <w:t xml:space="preserve">Under en av de tematiska dialogerna online uppstod en intressant debatt om EU:s roll i den virtuella världen. Alla deltagare var överens om att det var bra och viktigt att ha en bra internetuppkoppling i hela Europa. Men är det upp till EU att ta itu med det? Flera deltagare uppgav att detta främst var en uppgift för enskilda medlemsstater. En annan deltagare betonade att ett stabilt och högkvalitativt internet utomlands också var en tillgång för Nederländerna: Vi tjänar miljarder dollar på handel med andra EU-länder. Det ligger därför i vårt intresse att dessa länder fungerar väl. </w:t>
      </w:r>
    </w:p>
    <w:p>
      <w:pPr>
        <w:pStyle w:val="P68B1DB1Normal111"/>
        <w:widowControl w:val="false"/>
        <w:spacing w:lineRule="auto" w:line="240" w:before="40" w:after="0"/>
        <w:ind w:left="0" w:right="0" w:hanging="0"/>
        <w:jc w:val="left"/>
        <w:rPr/>
      </w:pPr>
      <w:r>
        <w:rPr/>
        <w:t xml:space="preserve">Studenter i Helmond: Identiska regler och sanktioner för cyberbrottslingar </w:t>
      </w:r>
    </w:p>
    <w:p>
      <w:pPr>
        <w:pStyle w:val="Normal"/>
        <w:widowControl w:val="false"/>
        <w:spacing w:lineRule="auto" w:line="240" w:before="95" w:after="0"/>
        <w:ind w:left="0" w:right="32" w:hanging="0"/>
        <w:jc w:val="left"/>
        <w:rPr>
          <w:rFonts w:ascii="Calibri" w:hAnsi="Calibri"/>
          <w:color w:val="000000"/>
          <w:sz w:val="21"/>
        </w:rPr>
      </w:pPr>
      <w:r>
        <w:rPr>
          <w:rFonts w:ascii="Calibri" w:hAnsi="Calibri"/>
          <w:color w:val="000000"/>
          <w:sz w:val="21"/>
        </w:rPr>
        <w:t xml:space="preserve">Vid Dr Knippenberg College i Helmond diskuterade elever i åldern 15 och 16 år problemet med internetbrott. De hör nyheterna regelbundet. Till exempel när det har varit en dataläcka i ett företag. Eller när ett land som Ryssland eller Kina försöker stjäla data. Eftersom cyberbrottslingar ofta arbetar över gränserna anser de att det är logiskt att de europeiska länderna samarbetar. I detta sammanhang tar de hänsyn till utvecklingen av regler, men också definitionen av sanktioner. Om ryska cyberpirater försöker bryta sig in i våra hem måste EU vidta kraftfulla åtgärder för att förhindra dem. </w:t>
      </w:r>
      <w:r>
        <w:br w:type="page"/>
      </w:r>
    </w:p>
    <w:p>
      <w:pPr>
        <w:pStyle w:val="P68B1DB1Normal117"/>
        <w:spacing w:lineRule="auto" w:line="240"/>
        <w:ind w:left="0" w:right="0" w:hanging="0"/>
        <w:rPr/>
      </w:pPr>
      <w:r>
        <w:rPr/>
        <w:t xml:space="preserve">Utbildning, kultur, ungdom och idrott </w:t>
      </w:r>
    </w:p>
    <w:p>
      <w:pPr>
        <w:pStyle w:val="P68B1DB1Normal104"/>
        <w:widowControl w:val="false"/>
        <w:spacing w:lineRule="auto" w:line="240" w:before="93" w:after="0"/>
        <w:ind w:left="0" w:right="0" w:hanging="0"/>
        <w:jc w:val="left"/>
        <w:rPr/>
      </w:pPr>
      <w:r>
        <w:rPr/>
        <w:t xml:space="preserve">EU-länderna ansvarar direkt för utbildning, kultur, ungdom och idrott. EU kan och vill hjälpa dem i detta avseende, till exempel genom att främja utbildning av hög kvalitet, flerspråkighet, skydd av kulturarvet och stöd till kultur- och idrottssektorerna. Vad är Nederländernas vision om detta? </w:t>
      </w:r>
    </w:p>
    <w:p>
      <w:pPr>
        <w:pStyle w:val="P68B1DB1Normal108"/>
        <w:widowControl w:val="false"/>
        <w:spacing w:lineRule="auto" w:line="240" w:before="90" w:after="0"/>
        <w:ind w:left="0" w:right="0" w:hanging="0"/>
        <w:jc w:val="left"/>
        <w:rPr/>
      </w:pPr>
      <w:r>
        <w:rPr/>
        <w:t xml:space="preserve">Rekommendationer – Vår vision om utbildning, kultur, ungdom och idrott </w:t>
      </w:r>
    </w:p>
    <w:p>
      <w:pPr>
        <w:pStyle w:val="P68B1DB1Normal69"/>
        <w:widowControl w:val="false"/>
        <w:spacing w:lineRule="auto" w:line="240" w:before="123" w:after="0"/>
        <w:ind w:left="0" w:right="0" w:hanging="0"/>
        <w:jc w:val="left"/>
        <w:rPr/>
      </w:pPr>
      <w:r>
        <w:rPr/>
        <w:t xml:space="preserve">45 % av Nederländerna anser att utbildning är en viktig fråga och att EU måste ingripa på detta område. För ungdomar, kultur och idrott uppgår denna siffra till 39 %, 23 % respektive 19 %. </w:t>
      </w:r>
    </w:p>
    <w:p>
      <w:pPr>
        <w:pStyle w:val="P68B1DB1Normal69"/>
        <w:widowControl w:val="false"/>
        <w:spacing w:lineRule="auto" w:line="240"/>
        <w:ind w:left="0" w:right="0" w:hanging="0"/>
        <w:jc w:val="left"/>
        <w:rPr/>
      </w:pPr>
      <w:r>
        <w:rPr/>
        <w:t xml:space="preserve"> </w:t>
      </w:r>
    </w:p>
    <w:p>
      <w:pPr>
        <w:pStyle w:val="P68B1DB1Normal111"/>
        <w:widowControl w:val="false"/>
        <w:spacing w:lineRule="auto" w:line="240" w:before="28" w:after="0"/>
        <w:ind w:left="0" w:right="0" w:hanging="0"/>
        <w:jc w:val="left"/>
        <w:rPr/>
      </w:pPr>
      <w:r>
        <w:rPr/>
        <w:t xml:space="preserve">1. Uppmuntra studenter att studera utomlands på ett intelligent sätt </w:t>
      </w:r>
    </w:p>
    <w:p>
      <w:pPr>
        <w:pStyle w:val="P68B1DB1Normal104"/>
        <w:widowControl w:val="false"/>
        <w:spacing w:lineRule="auto" w:line="240"/>
        <w:ind w:left="0" w:right="0" w:hanging="0"/>
        <w:jc w:val="left"/>
        <w:rPr/>
      </w:pPr>
      <w:r>
        <w:rPr/>
        <w:t xml:space="preserve">Många holländare anser att utlandsstudier har en positiv inverkan på ungdomar. Detta bidrar till personlig utveckling. Dessutom kan studier utomlands hjälpa européerna att förstå varandra bättre. Det kan också bidra till bättre integration. Många holländare tycker därför att det är positivt att det finns ett Erasmusprogram som uppmuntrar till studier utomlands. Men vi anser att EU också bör fortsätta att kritiskt ta itu med denna fråga. I praktiken verkar det till exempel som att internationella studenter mestadels stannar med varandra och inte alltid lär sig mycket om det land de befinner sig i. EU måste också hindra länder med lägre kunskapsnivå från att ”tömma” eftersom alla talanger kommer att studera utomlands. </w:t>
      </w:r>
    </w:p>
    <w:p>
      <w:pPr>
        <w:pStyle w:val="P68B1DB1Normal113"/>
        <w:widowControl w:val="false"/>
        <w:spacing w:lineRule="auto" w:line="240" w:before="167" w:after="0"/>
        <w:ind w:left="0" w:right="0" w:hanging="0"/>
        <w:jc w:val="center"/>
        <w:rPr/>
      </w:pPr>
      <w:r>
        <w:rPr/>
        <w:t>”</w:t>
      </w:r>
      <w:r>
        <w:rPr/>
        <w:t xml:space="preserve">Utveckla utbytesprogram även på yrkesutbildningsnivå.” </w:t>
      </w:r>
    </w:p>
    <w:p>
      <w:pPr>
        <w:pStyle w:val="Normal"/>
        <w:widowControl w:val="false"/>
        <w:spacing w:lineRule="auto" w:line="240" w:before="136" w:after="0"/>
        <w:ind w:left="0" w:right="0" w:hanging="0"/>
        <w:jc w:val="left"/>
        <w:rPr/>
      </w:pPr>
      <w:r>
        <w:rPr>
          <w:rFonts w:ascii="Calibri" w:hAnsi="Calibri"/>
          <w:b/>
          <w:color w:val="000000"/>
        </w:rPr>
        <w:t>2. Göra det möjligt för medlemsstaterna att fokusera på frågor som kultur och idrott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av holländarna anser att EU bör skydda kulturarvet bättre i Europa. Vi tänker till exempel på tempel i Grekland. Å andra sidan anser vi att den lokala kulturen i första hand är ländernas ansvar. Detsamma gäller till exempel missbruk inom idrotten. Vi anser att detta är en viktig fråga, men inte ett huvuduppdrag för EU. Europa måste med nödvändighet fastställa prioriteringar och betydande ekonomiska resurser behövs för andra frågor. Vi kan ibland ge ett ekonomiskt bidrag, men ibland kan vi också samarbeta på andra sätt, till exempel genom att utbyta kunskap och idéer. </w:t>
      </w:r>
    </w:p>
    <w:p>
      <w:pPr>
        <w:pStyle w:val="P68B1DB1Normal113"/>
        <w:widowControl w:val="false"/>
        <w:spacing w:lineRule="auto" w:line="240" w:before="167" w:after="0"/>
        <w:ind w:left="0" w:right="0" w:hanging="0"/>
        <w:jc w:val="center"/>
        <w:rPr/>
      </w:pPr>
      <w:r>
        <w:rPr/>
        <w:t xml:space="preserve">Kulturskyddet ligger hos länderna själva. Men om världsarvet försummas, så anser jag att EU måste ingripa. </w:t>
      </w:r>
    </w:p>
    <w:p>
      <w:pPr>
        <w:pStyle w:val="P68B1DB1Normal111"/>
        <w:widowControl w:val="false"/>
        <w:spacing w:lineRule="auto" w:line="240" w:before="136" w:after="0"/>
        <w:ind w:left="0" w:right="0" w:hanging="0"/>
        <w:jc w:val="left"/>
        <w:rPr/>
      </w:pPr>
      <w:r>
        <w:rPr/>
        <w:t xml:space="preserve">3. Se till att européerna lär känna varandra bättre och respekterar varandra </w:t>
      </w:r>
    </w:p>
    <w:p>
      <w:pPr>
        <w:pStyle w:val="P68B1DB1Normal104"/>
        <w:widowControl w:val="false"/>
        <w:spacing w:lineRule="auto" w:line="240"/>
        <w:ind w:left="0" w:right="0" w:hanging="0"/>
        <w:jc w:val="left"/>
        <w:rPr/>
      </w:pPr>
      <w:r>
        <w:rPr/>
        <w:t xml:space="preserve">Holländarna uppskattar när andra européer talar engelska väl. Det förenklar saker och ting när vi är utomlands. Och när vi till exempel vill kommunicera med migrerande arbetstagare i Nederländerna. Samtidigt anser många holländare att det är mycket viktigt att vi fortsätter att tala och värdesätter vårt eget språk. Vi vill därför också att andra skillnader inom Europa ska respekteras. Oavsett om det är kultur, utbildning eller idrott måste alla känna sig fria och kunna vara sig själva. Skillnader kan ibland orsaka spänningar, men de gör också den europeiska kontinenten rik. Många holländare anser att länder bör ges tid att bekanta sig med sina respektive vanor och idéer. </w:t>
      </w:r>
    </w:p>
    <w:p>
      <w:pPr>
        <w:pStyle w:val="P68B1DB1Normal113"/>
        <w:widowControl w:val="false"/>
        <w:spacing w:lineRule="auto" w:line="240" w:before="167" w:after="0"/>
        <w:ind w:left="0" w:right="0" w:hanging="0"/>
        <w:jc w:val="center"/>
        <w:rPr/>
      </w:pPr>
      <w:r>
        <w:rPr/>
        <w:t xml:space="preserve">För mig är EU som en grupp vänner. Vi respekterar våra olikheter och jag kan be om hjälp om jag behöver dem. </w:t>
      </w:r>
    </w:p>
    <w:p>
      <w:pPr>
        <w:pStyle w:val="P68B1DB1Normal108"/>
        <w:widowControl w:val="false"/>
        <w:spacing w:lineRule="auto" w:line="240" w:before="135" w:after="0"/>
        <w:ind w:left="0" w:right="0" w:hanging="0"/>
        <w:jc w:val="left"/>
        <w:rPr/>
      </w:pPr>
      <w:r>
        <w:rPr/>
        <w:t xml:space="preserve">Diskussioner och idéer online och på plats </w:t>
      </w:r>
    </w:p>
    <w:p>
      <w:pPr>
        <w:pStyle w:val="P68B1DB1Normal118"/>
        <w:widowControl w:val="false"/>
        <w:spacing w:lineRule="auto" w:line="240" w:before="120" w:after="0"/>
        <w:ind w:left="0" w:right="0" w:hanging="0"/>
        <w:jc w:val="left"/>
        <w:rPr/>
      </w:pPr>
      <w:r>
        <w:rPr/>
        <w:t xml:space="preserve">IDE: Utöver den lokala läroplanen bör en gemensam europeisk läroplan införas på alla utbildningsnivåer. </w:t>
      </w:r>
    </w:p>
    <w:p>
      <w:pPr>
        <w:pStyle w:val="P68B1DB1Normal118"/>
        <w:widowControl w:val="false"/>
        <w:spacing w:lineRule="auto" w:line="240" w:before="254" w:after="0"/>
        <w:ind w:left="0" w:right="0" w:hanging="0"/>
        <w:jc w:val="left"/>
        <w:rPr/>
      </w:pPr>
      <w:r>
        <w:rPr/>
        <w:t xml:space="preserve">IDE: Förutom en kulturhuvudstad bör du också välja en huvudstad (eller land) varje år inom utbildning, ungdom och idrott. </w:t>
      </w:r>
    </w:p>
    <w:p>
      <w:pPr>
        <w:pStyle w:val="P68B1DB1Normal118"/>
        <w:widowControl w:val="false"/>
        <w:spacing w:lineRule="auto" w:line="240" w:before="85" w:after="0"/>
        <w:ind w:left="0" w:right="0" w:hanging="0"/>
        <w:jc w:val="left"/>
        <w:rPr/>
      </w:pPr>
      <w:r>
        <w:rPr/>
        <w:t xml:space="preserve">Det som förenar oss i EU är just det faktum att vi alla har vår egen nationella kultur. Och därför inte kunna samlas under banderollen av en enda kultur. </w:t>
      </w:r>
    </w:p>
    <w:p>
      <w:pPr>
        <w:pStyle w:val="P68B1DB1Normal118"/>
        <w:widowControl w:val="false"/>
        <w:spacing w:lineRule="auto" w:line="240" w:before="87" w:after="0"/>
        <w:ind w:left="0" w:right="0" w:hanging="0"/>
        <w:jc w:val="left"/>
        <w:rPr/>
      </w:pPr>
      <w:r>
        <w:rPr/>
        <w:t xml:space="preserve">Istället för att lyfta fram de negativa sakerna är det bättre att försöka marknadsföra sporten. </w:t>
      </w:r>
    </w:p>
    <w:p>
      <w:pPr>
        <w:pStyle w:val="P68B1DB1Normal118"/>
        <w:widowControl w:val="false"/>
        <w:spacing w:lineRule="auto" w:line="240" w:before="85" w:after="0"/>
        <w:ind w:left="0" w:right="0" w:hanging="0"/>
        <w:jc w:val="left"/>
        <w:rPr/>
      </w:pPr>
      <w:r>
        <w:rPr/>
        <w:t xml:space="preserve">Jag är integrerad här, jag betalar skatt, men jag är och förblir latinamerikansk. Jag älskar min tunga, min musik och min mat. Det handlar inte om Europa. </w:t>
      </w:r>
    </w:p>
    <w:p>
      <w:pPr>
        <w:pStyle w:val="P68B1DB1Normal118"/>
        <w:widowControl w:val="false"/>
        <w:spacing w:lineRule="auto" w:line="240" w:before="87" w:after="0"/>
        <w:ind w:left="0" w:right="0" w:hanging="0"/>
        <w:jc w:val="left"/>
        <w:rPr/>
      </w:pPr>
      <w:r>
        <w:rPr/>
        <w:t xml:space="preserve">Vi talar för mycket om ekonomin i Europa. Och för lite välbefinnande. </w:t>
      </w:r>
    </w:p>
    <w:p>
      <w:pPr>
        <w:pStyle w:val="P68B1DB1Normal111"/>
        <w:widowControl w:val="false"/>
        <w:spacing w:lineRule="auto" w:line="240" w:before="84" w:after="0"/>
        <w:ind w:left="0" w:right="0" w:hanging="0"/>
        <w:jc w:val="left"/>
        <w:rPr/>
      </w:pPr>
      <w:r>
        <w:rPr/>
        <w:t xml:space="preserve">Studenter från Leidens universitet: Språket är viktigt, men det måste förbli ett fritt val </w:t>
      </w:r>
    </w:p>
    <w:p>
      <w:pPr>
        <w:pStyle w:val="P68B1DB1Normal104"/>
        <w:widowControl w:val="false"/>
        <w:spacing w:lineRule="auto" w:line="240" w:before="100" w:after="0"/>
        <w:ind w:left="0" w:right="0" w:hanging="0"/>
        <w:jc w:val="left"/>
        <w:rPr/>
      </w:pPr>
      <w:r>
        <w:rPr/>
        <w:t xml:space="preserve">Vid Leiden University talade historiestudenter med varandra. De anser att det är viktigt för människor att tala flera språk. De anser att behärska flera språk är bra för dess personliga utveckling och bra för handel och politiska förbindelser inom EU. De anser dock att språk bör erbjudas i skolan och inte göras obligatoriska. De anser också att ett andra språk inte nödvändigtvis behöver vara ett europeiskt språk. ”Om du bor i Östeuropa och väljer att lära dig ryska, är det din rätt”, säger en av deltagarna. </w:t>
      </w:r>
    </w:p>
    <w:p>
      <w:pPr>
        <w:pStyle w:val="P68B1DB1Normal110"/>
        <w:widowControl w:val="false"/>
        <w:spacing w:lineRule="auto" w:line="240" w:before="223" w:after="0"/>
        <w:ind w:left="0" w:right="0" w:hanging="0"/>
        <w:jc w:val="left"/>
        <w:rPr/>
      </w:pPr>
      <w:r>
        <w:rPr>
          <w:b/>
        </w:rPr>
        <w:t xml:space="preserve">Turkiska gemenskapen av Schiedam: </w:t>
      </w:r>
      <w:r>
        <w:rPr>
          <w:sz w:val="21"/>
        </w:rPr>
        <w:t xml:space="preserve">Vid Hakderstiftelsen i Schiedam diskuterade det lokala turkiska samhället vikten av rättvisa sysselsättningsmöjligheter för alla. Alla deltagare enades om att EU bör ålägga företag att erbjuda praktikplatser eller jobb till ungdomar med begränsade utsikter. De uppgav att särskilt unga migranter har svårt att hitta en praktikplats eller ett jobb. Ibland vågar de inte ens gå till GP eftersom de är rädda att behöva betala för besöket själva. För att inte tala om att våga ansöka om en praktikplats eller ett jobb, säger en av deltagarna. ”Företagen måste vara mer uppmärksamma och EU kan uppmuntra dem att göra det.”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Beskrivning av den metod som använts i undersökningen</w:t>
      </w:r>
      <w:r>
        <w:rPr>
          <w:color w:val="365F91"/>
        </w:rPr>
        <w:t xml:space="preserve"> </w:t>
      </w:r>
    </w:p>
    <w:p>
      <w:pPr>
        <w:pStyle w:val="P68B1DB1Normal104"/>
        <w:widowControl w:val="false"/>
        <w:spacing w:lineRule="auto" w:line="240" w:before="137" w:after="0"/>
        <w:ind w:left="0" w:right="0" w:hanging="0"/>
        <w:jc w:val="left"/>
        <w:rPr/>
      </w:pPr>
      <w:r>
        <w:rPr/>
        <w:t xml:space="preserve">Undersökningen ”Vision of Europe” består av olika former av tillhörande dialog för att samla de nederländska medborgarnas åsikter och idéer om Europas och EU:s framtid. I detta kapitel beskrivs den metod som används för att säkerställa att de tillhörande dialogformerna överensstämmer med riktlinjerna för nationella medborgarpaneler inom ramen för konferensen om Europas framtid. </w:t>
      </w:r>
    </w:p>
    <w:p>
      <w:pPr>
        <w:pStyle w:val="P68B1DB1Normal110"/>
        <w:widowControl w:val="false"/>
        <w:spacing w:lineRule="auto" w:line="240" w:before="236" w:after="0"/>
        <w:ind w:left="0" w:right="0" w:hanging="0"/>
        <w:jc w:val="both"/>
        <w:rPr/>
      </w:pPr>
      <w:r>
        <w:rPr>
          <w:b/>
          <w:i/>
          <w:sz w:val="24"/>
        </w:rPr>
        <w:t xml:space="preserve">Utformning av relaterade former av dialog </w:t>
      </w:r>
      <w:r>
        <w:rPr>
          <w:sz w:val="21"/>
        </w:rPr>
        <w:t xml:space="preserve">Följande former av dialog används: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Undersökning av en panel</w:t>
      </w:r>
    </w:p>
    <w:p>
      <w:pPr>
        <w:pStyle w:val="P68B1DB1Normal104"/>
        <w:widowControl w:val="false"/>
        <w:spacing w:lineRule="auto" w:line="240"/>
        <w:ind w:left="0" w:right="0" w:hanging="0"/>
        <w:jc w:val="left"/>
        <w:rPr/>
      </w:pPr>
      <w:r>
        <w:rPr/>
        <w:t xml:space="preserve">Undersökning av ett representativt urval av den nederländska befolkningen.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Tematiska dialoger online för fördjupning</w:t>
      </w:r>
    </w:p>
    <w:p>
      <w:pPr>
        <w:pStyle w:val="P68B1DB1Normal104"/>
        <w:widowControl w:val="false"/>
        <w:spacing w:lineRule="auto" w:line="240"/>
        <w:ind w:left="0" w:right="0" w:hanging="0"/>
        <w:jc w:val="left"/>
        <w:rPr/>
      </w:pPr>
      <w:r>
        <w:rPr/>
        <w:t xml:space="preserve">Dialoger som anordnas varje gång med en grupp nederländska i syfte att fördjupa slutsatserna i den första delrapporten ”Vår vision för Europa” (8 oktober 2021) med en inledande översikt över resultaten och kompletterande frågor.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Dialoger med särskilda grupper</w:t>
      </w:r>
    </w:p>
    <w:p>
      <w:pPr>
        <w:pStyle w:val="P68B1DB1Normal104"/>
        <w:widowControl w:val="false"/>
        <w:spacing w:lineRule="auto" w:line="240"/>
        <w:ind w:left="0" w:right="0" w:hanging="0"/>
        <w:jc w:val="left"/>
        <w:rPr/>
      </w:pPr>
      <w:r>
        <w:rPr/>
        <w:t xml:space="preserve">Möten med nederländska som inte är vana vid att delta i undersökningar och paneler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 med ungdomar</w:t>
      </w:r>
    </w:p>
    <w:p>
      <w:pPr>
        <w:pStyle w:val="P68B1DB1Normal104"/>
        <w:widowControl w:val="false"/>
        <w:spacing w:lineRule="auto" w:line="240"/>
        <w:ind w:left="0" w:right="0" w:hanging="0"/>
        <w:jc w:val="left"/>
        <w:rPr/>
      </w:pPr>
      <w:r>
        <w:rPr/>
        <w:t xml:space="preserve">Möten med fokus på de mest relevanta europeiska temana för ungdomar.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Offentliga undersökningar online: Frågeformulär och ”Swipen naar de toekomst”</w:t>
      </w:r>
      <w:commentRangeStart w:id="25"/>
      <w:r>
        <w:rPr>
          <w:rFonts w:ascii="Calibri" w:hAnsi="Calibri"/>
          <w:b/>
          <w:color w:val="000000"/>
          <w:sz w:val="21"/>
        </w:rPr>
        <w:t xml:space="preserve">( </w:t>
      </w:r>
      <w:r>
        <w:rPr/>
      </w:r>
      <w:commentRangeEnd w:id="25"/>
      <w:r>
        <w:commentReference w:id="25"/>
      </w:r>
      <w:r>
        <w:rPr>
          <w:rFonts w:ascii="Calibri" w:hAnsi="Calibri"/>
          <w:b/>
          <w:color w:val="000000"/>
          <w:sz w:val="21"/>
        </w:rPr>
        <w:t xml:space="preserve">Swiper till framtiden) </w:t>
      </w:r>
    </w:p>
    <w:p>
      <w:pPr>
        <w:pStyle w:val="P68B1DB1Normal104"/>
        <w:widowControl w:val="false"/>
        <w:spacing w:lineRule="auto" w:line="240"/>
        <w:ind w:left="0" w:right="0" w:hanging="0"/>
        <w:jc w:val="left"/>
        <w:rPr/>
      </w:pPr>
      <w:r>
        <w:rPr/>
        <w:t xml:space="preserve">Panelenkäten skulle också kunna fyllas i av alla holländare, även de som är bosatta utomlands. Frågeformuläret var tillgängligt från och med den 1 september 2021 till och med den 14 november 2021. Dessutom kunde varje nederländare under samma period delta i åtgärden ”Swipen naar de toekomst” (Swiper till framtiden), ett onlineverktyg med 20 anspråk. </w:t>
      </w:r>
    </w:p>
    <w:p>
      <w:pPr>
        <w:pStyle w:val="P68B1DB1Normal108"/>
        <w:widowControl w:val="false"/>
        <w:spacing w:lineRule="auto" w:line="240" w:before="229" w:after="0"/>
        <w:ind w:left="0" w:right="0" w:hanging="0"/>
        <w:jc w:val="left"/>
        <w:rPr/>
      </w:pPr>
      <w:r>
        <w:rPr/>
        <w:t xml:space="preserve">1. Undersökning av en panel </w:t>
      </w:r>
    </w:p>
    <w:p>
      <w:pPr>
        <w:pStyle w:val="P68B1DB1Normal104"/>
        <w:widowControl w:val="false"/>
        <w:spacing w:lineRule="auto" w:line="240" w:before="118" w:after="0"/>
        <w:ind w:left="0" w:right="0" w:hanging="0"/>
        <w:jc w:val="left"/>
        <w:rPr/>
      </w:pPr>
      <w:r>
        <w:rPr/>
        <w:t xml:space="preserve">Den nederländska medborgardialogen ”Vision of Europe” inleddes den 1 september med en panelundersökning. I denna beskrivning av undersökningsmetoden förklarar vi kortfattat utformningen och genomförandet av denna undersökning till en panel. </w:t>
      </w:r>
    </w:p>
    <w:p>
      <w:pPr>
        <w:pStyle w:val="P68B1DB1Normal107"/>
        <w:widowControl w:val="false"/>
        <w:spacing w:lineRule="auto" w:line="240" w:before="43" w:after="0"/>
        <w:ind w:left="0" w:right="0" w:hanging="0"/>
        <w:jc w:val="left"/>
        <w:rPr/>
      </w:pPr>
      <w:r>
        <w:rPr/>
        <w:t xml:space="preserve">Mål- och målpopulation </w:t>
      </w:r>
    </w:p>
    <w:p>
      <w:pPr>
        <w:pStyle w:val="Normal"/>
        <w:widowControl w:val="false"/>
        <w:spacing w:lineRule="auto" w:line="240" w:before="123" w:after="0"/>
        <w:ind w:left="0" w:right="0" w:hanging="0"/>
        <w:jc w:val="left"/>
        <w:rPr/>
      </w:pPr>
      <w:r>
        <w:rPr>
          <w:rFonts w:ascii="Calibri" w:hAnsi="Calibri"/>
          <w:color w:val="000000"/>
          <w:sz w:val="21"/>
        </w:rPr>
        <w:t>Undersökningen ”Vision of Europe” inleddes med ett frågeformulär på nätet om hur holländarna ser på Europas framtid. Detta frågeformulär har lämnats in till en representativ panel och är också öppet för alla nederländska (inklusive dem som är bosatta utomlands). Dessutom kunde varje person delta i åtgärden ”Swipen naar de toekomst”</w:t>
      </w:r>
      <w:commentRangeStart w:id="26"/>
      <w:r>
        <w:rPr>
          <w:rFonts w:ascii="Calibri" w:hAnsi="Calibri"/>
          <w:color w:val="000000"/>
          <w:sz w:val="21"/>
        </w:rPr>
        <w:t>(Swiper</w:t>
      </w:r>
      <w:r>
        <w:rPr/>
      </w:r>
      <w:commentRangeEnd w:id="26"/>
      <w:r>
        <w:commentReference w:id="26"/>
      </w:r>
      <w:r>
        <w:rPr>
          <w:rFonts w:ascii="Calibri" w:hAnsi="Calibri"/>
          <w:color w:val="000000"/>
          <w:sz w:val="21"/>
        </w:rPr>
        <w:t xml:space="preserve"> till framtiden), ett onlineverktyg med 20 anspråk. Resultaten av panelenkäten gav upphov till flera tematiska dialoger som anordnades som en uppföljning av medborgardialogen ”Vision of Europe”.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Målpopulationen i panelenkäten omfattar alla holländare som var 18 år eller äldre och som var registrerade som invånare i befolkningsregistret när fältarbetet inleddes. Enligt det nederländska nationella statistikkontoret (Centraal Bureau voor de Statistiek – CBS) hade denna målgrupp 14 190 874 personer per den 1 januari 2021. Den lägre gränsen på 18 år motsvarar valmajoriteten. Vi kallar det populationen i panelundersökningen.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pPr>
      <w:r>
        <w:rPr/>
        <w:t xml:space="preserve">Fältarbete </w:t>
      </w:r>
    </w:p>
    <w:p>
      <w:pPr>
        <w:pStyle w:val="P68B1DB1Normal104"/>
        <w:widowControl w:val="false"/>
        <w:spacing w:lineRule="auto" w:line="240" w:before="127" w:after="0"/>
        <w:ind w:left="0" w:right="0" w:hanging="0"/>
        <w:jc w:val="left"/>
        <w:rPr/>
      </w:pPr>
      <w:r>
        <w:rPr/>
        <w:t xml:space="preserve">En panel med mer än 100 000 deltagare från hela landet (ISO-certifierade, Research Keurmerk groep, Nederlandse marktonderzoek Associatie) användes för att få en digital bild av ”Medium Dutch”. Dessa deltagare anmälde sig till undersökningspanelen för att regelbundet ge sina synpunkter på ett brett spektrum av ämnen. Utöver deras inneboende motivation att bidra betalas de för att besvara frågeformulären. Flera vetenskapliga studier visar att respondenter som får ersättning för att fylla i ett frågeformulär inte ger signifikant olika svar (källa: Försämrar användningen av enkätincitament datakvaliteten?Cole, J.S.,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Fältarbetet inleddes den 11 augusti 2021 och avslutades den 19 september 2021. För genomförandet användes endast en metod för datainsamling, dvs. Internetundersökningen. Undersökningspanelens medlemmar fick ett e-postmeddelande med en personlig länk till webbenkäten. Efter två veckor fick deltagarna en påminnelse. Inbjudningar att delta skickades i partier och stratifierades (genom att säkerställa en jämn fördelning av undergrupper) tills det erforderliga antalet svarande nåddes. </w:t>
      </w:r>
    </w:p>
    <w:p>
      <w:pPr>
        <w:pStyle w:val="P68B1DB1Normal107"/>
        <w:widowControl w:val="false"/>
        <w:spacing w:lineRule="auto" w:line="240" w:before="42" w:after="0"/>
        <w:ind w:left="0" w:right="0" w:hanging="0"/>
        <w:jc w:val="left"/>
        <w:rPr/>
      </w:pPr>
      <w:r>
        <w:rPr/>
        <w:t xml:space="preserve">Provtagning och distribution </w:t>
      </w:r>
    </w:p>
    <w:p>
      <w:pPr>
        <w:pStyle w:val="P68B1DB1Normal104"/>
        <w:widowControl w:val="false"/>
        <w:spacing w:lineRule="auto" w:line="240" w:before="123" w:after="0"/>
        <w:ind w:left="0" w:right="0" w:hanging="0"/>
        <w:jc w:val="left"/>
        <w:rPr/>
      </w:pPr>
      <w:r>
        <w:rPr/>
        <w:t xml:space="preserve">Undersökningens utformning bygger på principen att minst 3 600 respondenter måste delta i undersökningen för att säkerställa god statistisk tillförlitlighet. Dessutom möjliggör detta nummer en god fördelning mellan de olika allmänna egenskaperna hos befolkningen. Det finns inte bara en typ av holländare. Vi har därför i förväg sett till att urvalet fördelas väl över ett antal egenskaper. Nederländerna är ett relativt litet land, men åsikterna kan variera beroende på region. Placeringen och betydelsen av teman kan (delvis) bestämmas av den region där du bor. Till exempel kan människor som bor på landsbygden förstå ett ämne som säkerhet annorlunda än i stadsområden. Forskning från det nederländska kontoret för social- och kulturplanering visar också att personer med högre studienivå oftare stöder EU än de som har en lägre studienivå och att ungdomar är mer stödjande för EU än äldre (källa: Wat willen Nederlanders van de Europese Unie?Nederländska social- och kulturbyrån, Haag,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Därför har vi tidigare fördelat följande tre egenskaper proportionellt för att säkerställa provets representativitet: 1) bosättning genom Corop-regioner, 2) ålder och 3) utbildningsnivå. Fördelningen av provet presenterades också enligt följande allmänna egenskaper: kön, ursprung, huvudsysselsättning, politisk inriktning.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Corop-regionerna har utvecklats på grundval av nodalprincipen (ett ”hjärta” med ett attraktivt område eller en regional funktion), baserat på flödet av människor som pendlar. Några överträdelser av nodalprincipen har medgetts så att regionerna följer provinsgränserna. Efter omorganisationen av kommunerna utöver COROP-gränserna justerades fördelningen (källa: Nederländska nationella statistikbyrån). Inom Corop-regionerna har vi säkerställt en god fördelning mellan åldersgrupperna, med följande uppdelning: åldrarna 18–34, 35–54, 55–75 och över 75 år.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Slutligen säkerställde vi en representativ fördelning av utbildningsnivåerna. I urvalet motsvarar fördelningen av respondenterna fördelningen på nationell nivå av den högsta utbildningsnivån, vilket är följande: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pPr>
      <w:r>
        <w:rPr/>
        <w:t xml:space="preserve">Högsta utbildningsnivå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1"/>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Lågt: grundutbildning, yrkesförberedande utbildning, 1:a till 3:e klass i gymnasieutbildning/förskoleutbildning, gymnasieutbildningsnivå 1</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Intermediär: gymnasieutbildning/högskoleutbildning, yrkesinriktad gymnasieutbildning 2–4</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Hög: högre yrkesutbildning eller universitetsutbildning</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Okänd</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Normal"/>
        <w:spacing w:lineRule="auto" w:line="240"/>
        <w:ind w:left="0" w:right="0" w:hanging="0"/>
        <w:rPr/>
      </w:pPr>
      <w:r>
        <w:rPr/>
      </w:r>
    </w:p>
    <w:p>
      <w:pPr>
        <w:pStyle w:val="P68B1DB1Normal107"/>
        <w:spacing w:lineRule="auto" w:line="240"/>
        <w:ind w:left="0" w:right="0" w:hanging="0"/>
        <w:rPr/>
      </w:pPr>
      <w:r>
        <w:rPr/>
        <w:t xml:space="preserve">Svarsfrekvens </w:t>
      </w:r>
    </w:p>
    <w:p>
      <w:pPr>
        <w:pStyle w:val="P68B1DB1Normal104"/>
        <w:widowControl w:val="false"/>
        <w:spacing w:lineRule="exact" w:line="283" w:before="87" w:after="0"/>
        <w:ind w:left="0" w:right="368" w:hanging="0"/>
        <w:jc w:val="left"/>
        <w:rPr/>
      </w:pPr>
      <w:r>
        <w:rPr/>
        <w:t xml:space="preserve">Totalt deltog 4 086 personer i undersökningen per panel. Målet med 3 600 fullständigt besvarade frågeformulär uppnås därför.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pPr>
            <w:r>
              <w:rPr/>
              <w:t>Svar från Corop-regioner och ålder</w:t>
            </w:r>
          </w:p>
        </w:tc>
        <w:tc>
          <w:tcPr>
            <w:tcW w:w="1348" w:type="dxa"/>
            <w:tcBorders/>
            <w:shd w:fill="auto" w:val="clear"/>
            <w:vAlign w:val="bottom"/>
          </w:tcPr>
          <w:p>
            <w:pPr>
              <w:pStyle w:val="P68B1DB1Contenudetableau122"/>
              <w:spacing w:before="57" w:after="57"/>
              <w:jc w:val="left"/>
              <w:rPr/>
            </w:pPr>
            <w:r>
              <w:rPr/>
              <w:t>18–34 år gammal</w:t>
            </w:r>
          </w:p>
        </w:tc>
        <w:tc>
          <w:tcPr>
            <w:tcW w:w="1348" w:type="dxa"/>
            <w:tcBorders/>
            <w:shd w:fill="auto" w:val="clear"/>
            <w:vAlign w:val="bottom"/>
          </w:tcPr>
          <w:p>
            <w:pPr>
              <w:pStyle w:val="P68B1DB1Contenudetableau122"/>
              <w:spacing w:before="57" w:after="57"/>
              <w:jc w:val="left"/>
              <w:rPr/>
            </w:pPr>
            <w:r>
              <w:rPr/>
              <w:t>35–54 år gammal</w:t>
            </w:r>
          </w:p>
        </w:tc>
        <w:tc>
          <w:tcPr>
            <w:tcW w:w="1574" w:type="dxa"/>
            <w:tcBorders/>
            <w:shd w:fill="auto" w:val="clear"/>
            <w:vAlign w:val="bottom"/>
          </w:tcPr>
          <w:p>
            <w:pPr>
              <w:pStyle w:val="P68B1DB1Contenudetableau122"/>
              <w:spacing w:before="57" w:after="57"/>
              <w:jc w:val="left"/>
              <w:rPr/>
            </w:pPr>
            <w:r>
              <w:rPr/>
              <w:t>55–75 år gammal</w:t>
            </w:r>
          </w:p>
        </w:tc>
        <w:tc>
          <w:tcPr>
            <w:tcW w:w="1352" w:type="dxa"/>
            <w:tcBorders/>
            <w:shd w:fill="auto" w:val="clear"/>
            <w:vAlign w:val="bottom"/>
          </w:tcPr>
          <w:p>
            <w:pPr>
              <w:pStyle w:val="P68B1DB1Contenudetableau122"/>
              <w:spacing w:before="57" w:after="57"/>
              <w:jc w:val="left"/>
              <w:rPr/>
            </w:pPr>
            <w:r>
              <w:rPr/>
              <w:t xml:space="preserve"> </w:t>
            </w:r>
            <w:r>
              <w:rPr/>
              <w:t>mer än 75 år gammal</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Akterhoek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Hotell nära 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Östra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Resten av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Centrala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Södra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Karta över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pPr>
            <w:r>
              <w:rPr/>
              <w:t xml:space="preserve">Svar från Corop-regioner och ålder </w:t>
            </w:r>
          </w:p>
        </w:tc>
        <w:tc>
          <w:tcPr>
            <w:tcW w:w="1393" w:type="dxa"/>
            <w:tcBorders/>
            <w:shd w:fill="auto" w:val="clear"/>
            <w:vAlign w:val="bottom"/>
          </w:tcPr>
          <w:p>
            <w:pPr>
              <w:pStyle w:val="P68B1DB1Contenudetableau122"/>
              <w:spacing w:before="57" w:after="57"/>
              <w:jc w:val="left"/>
              <w:rPr/>
            </w:pPr>
            <w:r>
              <w:rPr/>
              <w:t>18–34 år gammal</w:t>
            </w:r>
          </w:p>
        </w:tc>
        <w:tc>
          <w:tcPr>
            <w:tcW w:w="1393" w:type="dxa"/>
            <w:tcBorders/>
            <w:shd w:fill="auto" w:val="clear"/>
            <w:vAlign w:val="bottom"/>
          </w:tcPr>
          <w:p>
            <w:pPr>
              <w:pStyle w:val="P68B1DB1Contenudetableau122"/>
              <w:spacing w:before="57" w:after="57"/>
              <w:jc w:val="left"/>
              <w:rPr/>
            </w:pPr>
            <w:r>
              <w:rPr/>
              <w:t>35–54 år gammal</w:t>
            </w:r>
          </w:p>
        </w:tc>
        <w:tc>
          <w:tcPr>
            <w:tcW w:w="1370" w:type="dxa"/>
            <w:tcBorders/>
            <w:shd w:fill="auto" w:val="clear"/>
            <w:vAlign w:val="bottom"/>
          </w:tcPr>
          <w:p>
            <w:pPr>
              <w:pStyle w:val="P68B1DB1Contenudetableau122"/>
              <w:spacing w:before="57" w:after="57"/>
              <w:jc w:val="left"/>
              <w:rPr/>
            </w:pPr>
            <w:r>
              <w:rPr/>
              <w:t>55–75 år gammal</w:t>
            </w:r>
          </w:p>
        </w:tc>
        <w:tc>
          <w:tcPr>
            <w:tcW w:w="1376" w:type="dxa"/>
            <w:tcBorders/>
            <w:shd w:fill="auto" w:val="clear"/>
            <w:vAlign w:val="bottom"/>
          </w:tcPr>
          <w:p>
            <w:pPr>
              <w:pStyle w:val="P68B1DB1Contenudetableau122"/>
              <w:spacing w:before="57" w:after="57"/>
              <w:jc w:val="left"/>
              <w:rPr/>
            </w:pPr>
            <w:r>
              <w:rPr/>
              <w:t>mer än 75 år gammal</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Nordost om norra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Väster om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Haarlem tätort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och dess omgivningar</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Utmärkt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och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Hollands spets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Zaan Region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Resten av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Flandern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Tätbebyggelse Leiden och glödlampornas region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Tätort i Haag</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och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Hotell nära 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Öster om södra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Sydholland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bl>
    <w:p>
      <w:pPr>
        <w:pStyle w:val="Normal"/>
        <w:spacing w:lineRule="auto" w:line="240"/>
        <w:ind w:left="0" w:right="0" w:hanging="0"/>
        <w:rPr/>
      </w:pPr>
      <w:r>
        <w:rPr/>
      </w:r>
    </w:p>
    <w:p>
      <w:pPr>
        <w:pStyle w:val="P68B1DB1Normal120"/>
        <w:spacing w:lineRule="auto" w:line="240"/>
        <w:ind w:left="0" w:right="0" w:hanging="0"/>
        <w:rPr/>
      </w:pPr>
      <w:r>
        <w:rPr/>
        <w:t xml:space="preserve">Svar efter utbildningsnivå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Lågt</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Intermediär</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Hög</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Okänd</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07"/>
        <w:spacing w:lineRule="auto" w:line="240"/>
        <w:ind w:left="0" w:right="0" w:hanging="0"/>
        <w:rPr/>
      </w:pPr>
      <w:r>
        <w:rPr/>
        <w:t xml:space="preserve">Tillförlitlighet och representativitet </w:t>
      </w:r>
    </w:p>
    <w:p>
      <w:pPr>
        <w:pStyle w:val="P68B1DB1Normal104"/>
        <w:widowControl w:val="false"/>
        <w:spacing w:lineRule="auto" w:line="240" w:before="87" w:after="0"/>
        <w:ind w:left="0" w:right="0" w:hanging="0"/>
        <w:jc w:val="left"/>
        <w:rPr/>
      </w:pPr>
      <w:r>
        <w:rPr/>
        <w:t xml:space="preserve">Antalet respondenter på 4 086 gör det möjligt att göra observationer för populationen som helhet med en konfidensnivå på 95 % och en felmarginal på 1,53 %. Konfidensnivån och felmarginalen för resultaten bestäms av urvalets storlek. Ju större urvalet är, desto mer tillförlitligt och korrekt kan resultaten extrapoleras till hela populationen.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Konfidensnivån definieras som 1 (100 %) minus innebördsnivån. Det är vanligt att vara baserad på en 5 % meningsnivå. Vi talar om en konfidensnivå på 95 %. Med andra ord, om undersökningen upprepas på samma sätt och på samma villkor, skulle resultaten vara desamma i 95 % av fallen. </w:t>
      </w:r>
    </w:p>
    <w:p>
      <w:pPr>
        <w:pStyle w:val="P68B1DB1Normal104"/>
        <w:widowControl w:val="false"/>
        <w:spacing w:lineRule="auto" w:line="240"/>
        <w:ind w:left="0" w:right="0" w:hanging="0"/>
        <w:jc w:val="left"/>
        <w:rPr/>
      </w:pPr>
      <w:r>
        <w:rPr/>
        <w:t xml:space="preserve">Noggrannhet (uttryckt med felmarginal) anger det värdeintervall inom vilket det faktiska värdet i populationen finns. Med andra ord: vilken är den största skillnaden mellan resultaten av urvalet och de resultat som skulle erhållas från populationen som helhet? En felmarginal på 1,53 % innebär att det faktiska värdet inom den totala populationen kan vara 1,53 % högre eller lägre än stickprovsvärdet. Om till exempel en undersökning av ett urval av personer visar att 50 % av de svarande anser att ett visst tema är viktigt, är den faktiska procentandelen 1,53 % högre eller lägre än 50 %, dvs. mellan 48,47 och 51,53 %. En högsta felmarginal på 5 % är vanlig och allmänt accepterad i kvantitativa studier (statistik). </w:t>
      </w:r>
    </w:p>
    <w:p>
      <w:pPr>
        <w:pStyle w:val="P68B1DB1Normal104"/>
        <w:widowControl w:val="false"/>
        <w:spacing w:lineRule="auto" w:line="240"/>
        <w:ind w:left="0" w:right="0" w:hanging="0"/>
        <w:jc w:val="left"/>
        <w:rPr/>
      </w:pPr>
      <w:r>
        <w:rPr/>
        <w:t xml:space="preserve">Förutom tillförlitligheten är provets representativitet viktig. Eftersom inbjudningarna att delta har skickats i partier och stratifierats, är resultaten representativa när det gäller Corop-regionens och åldersgruppernas särdrag per region COROP. Svaren är också representativa för utbildningsnivån jämfört med den högsta utbildningsnivån på nationell nivå. </w:t>
      </w:r>
    </w:p>
    <w:p>
      <w:pPr>
        <w:pStyle w:val="P68B1DB1Normal107"/>
        <w:widowControl w:val="false"/>
        <w:spacing w:lineRule="auto" w:line="240"/>
        <w:ind w:left="0" w:right="0" w:hanging="0"/>
        <w:jc w:val="left"/>
        <w:rPr/>
      </w:pPr>
      <w:r>
        <w:rPr/>
        <w:t xml:space="preserve">Andra allmänna egenskaper </w:t>
      </w:r>
    </w:p>
    <w:p>
      <w:pPr>
        <w:pStyle w:val="P68B1DB1Normal104"/>
        <w:widowControl w:val="false"/>
        <w:spacing w:lineRule="auto" w:line="240" w:before="5" w:after="0"/>
        <w:ind w:left="0" w:right="0" w:hanging="0"/>
        <w:jc w:val="left"/>
        <w:rPr/>
      </w:pPr>
      <w:r>
        <w:rPr/>
        <w:t xml:space="preserve">Ett antal ytterligare kontextuella frågor ställdes till undersökningsdeltagarna per panel. Dessa inkluderar kön, EU-ställning, ursprung, huvudsysselsättning och det politiska parti som personen skulle rösta på vid val. </w:t>
      </w:r>
    </w:p>
    <w:p>
      <w:pPr>
        <w:pStyle w:val="P68B1DB1Normal104"/>
        <w:widowControl w:val="false"/>
        <w:spacing w:lineRule="auto" w:line="240"/>
        <w:ind w:left="0" w:right="0" w:hanging="0"/>
        <w:jc w:val="left"/>
        <w:rPr/>
      </w:pPr>
      <w:r>
        <w:rPr/>
        <w:t xml:space="preserve">49 % av de svarande är män, 50 % är kvinnor och 1 % föredrar att inte svara på denna fråga.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51 % av de tillfrågade anser att det är bra för Nederländerna att vara medlem i EU, 13 % tycker att det är en dålig sak och 36 % är neutrala eller har ingen åsikt. </w:t>
      </w:r>
      <w:r>
        <w:br w:type="page"/>
      </w:r>
    </w:p>
    <w:p>
      <w:pPr>
        <w:pStyle w:val="P68B1DB1Normal104"/>
        <w:spacing w:lineRule="auto" w:line="240"/>
        <w:ind w:left="0" w:right="0" w:hanging="0"/>
        <w:rPr/>
      </w:pPr>
      <w:r>
        <w:rPr/>
        <w:t xml:space="preserve">95 % av respondenterna är födda i Nederländerna. 89 % av de tillfrågade uppgav att båda föräldrarna var födda i Nederländerna. 5 % är födda till två föräldrar som är födda utomlands. </w:t>
      </w:r>
    </w:p>
    <w:p>
      <w:pPr>
        <w:pStyle w:val="P68B1DB1Normal104"/>
        <w:widowControl w:val="false"/>
        <w:spacing w:lineRule="exact" w:line="339"/>
        <w:ind w:left="0" w:right="0" w:hanging="0"/>
        <w:jc w:val="left"/>
        <w:rPr/>
      </w:pPr>
      <w:r>
        <w:rPr/>
        <w:t xml:space="preserve"> </w:t>
      </w:r>
    </w:p>
    <w:p>
      <w:pPr>
        <w:pStyle w:val="P68B1DB1Normal107"/>
        <w:widowControl w:val="false"/>
        <w:spacing w:lineRule="exact" w:line="375" w:before="33" w:after="0"/>
        <w:ind w:left="1" w:right="0" w:hanging="0"/>
        <w:jc w:val="left"/>
        <w:rPr/>
      </w:pPr>
      <w:r>
        <w:rPr/>
        <w:t xml:space="preserve">De svarandes nuvarande politiska inriktning </w:t>
      </w:r>
    </w:p>
    <w:p>
      <w:pPr>
        <w:pStyle w:val="P68B1DB1Normal120"/>
        <w:widowControl w:val="false"/>
        <w:spacing w:lineRule="exact" w:line="352" w:before="34" w:after="0"/>
        <w:ind w:left="63" w:right="0" w:hanging="0"/>
        <w:jc w:val="left"/>
        <w:rPr/>
      </w:pPr>
      <w:r>
        <w:rPr/>
        <w:t xml:space="preserve">Festligheter </w:t>
        <w:tab/>
        <w:tab/>
        <w:tab/>
        <w:tab/>
        <w:tab/>
        <w:tab/>
        <w:tab/>
        <w:tab/>
        <w:tab/>
        <w:tab/>
        <w:t>SVENSKA</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(Folkpartiet för frihet och demokrati)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(Party for Freedom)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(Socialistiska 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(Demokrater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(Christian Democratic Call)</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(Arbetspartiet)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(djurpartiet)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(grön vänster)</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(Kristna Unionen)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(Farmer-medborgarrörelsen)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Forum voor Democratie (Forum för demokrati)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(reformerat politiskt parti)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Groep Van Haga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Fractie Den Haan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Övriga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Vit röst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föredrar att inte svara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röstar inte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P68B1DB1Normal107"/>
        <w:spacing w:lineRule="auto" w:line="240"/>
        <w:ind w:left="0" w:right="0" w:hanging="0"/>
        <w:rPr/>
      </w:pPr>
      <w:r>
        <w:rPr/>
        <w:t xml:space="preserve">Vilket är ditt huvudsakliga yrke idag?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5"/>
      </w:tblGrid>
      <w:tr>
        <w:trPr>
          <w:trHeight w:val="356" w:hRule="atLeast"/>
        </w:trPr>
        <w:tc>
          <w:tcPr>
            <w:tcW w:w="6123" w:type="dxa"/>
            <w:tcBorders/>
            <w:shd w:fill="auto" w:val="clear"/>
            <w:vAlign w:val="bottom"/>
          </w:tcPr>
          <w:p>
            <w:pPr>
              <w:pStyle w:val="P68B1DB1Contenudetableau122"/>
              <w:spacing w:before="57" w:after="57"/>
              <w:jc w:val="left"/>
              <w:rPr/>
            </w:pPr>
            <w:r>
              <w:rPr/>
              <w:t xml:space="preserve">Yrke </w:t>
            </w:r>
          </w:p>
        </w:tc>
        <w:tc>
          <w:tcPr>
            <w:tcW w:w="3515" w:type="dxa"/>
            <w:tcBorders/>
            <w:shd w:fill="auto" w:val="clear"/>
            <w:vAlign w:val="bottom"/>
          </w:tcPr>
          <w:p>
            <w:pPr>
              <w:pStyle w:val="P68B1DB1Contenudetableau122"/>
              <w:spacing w:before="57" w:after="57"/>
              <w:jc w:val="left"/>
              <w:rPr/>
            </w:pPr>
            <w:r>
              <w:rPr/>
              <w:t>SVENSKA</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Student/student</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Deltidsanställd</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Heltidsanställd</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Oberoende entreprenör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Person hemma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Arbetssökande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Volontär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Arbetsoförmåga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Pensionär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Övriga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föredrar att inte svara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Frågeformulär</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Frågeformuläret och denna rapport utarbetades av en oberoende extern organisation på begäran av utrikesministeriet. Frågeformuläret innehåller en modulstruktur och innehåller följande frågor, i linje med de teman som fastställts för konferensen om Europas framtid: Viktiga teman och EU:s roll </w:t>
      </w:r>
    </w:p>
    <w:p>
      <w:pPr>
        <w:pStyle w:val="P68B1DB1Normal104"/>
        <w:widowControl w:val="false"/>
        <w:spacing w:lineRule="auto" w:line="240" w:before="1" w:after="0"/>
        <w:ind w:left="0" w:right="0" w:hanging="0"/>
        <w:jc w:val="left"/>
        <w:rPr/>
      </w:pPr>
      <w:r>
        <w:rPr/>
        <w:t xml:space="preserve">Klimatförändringar och miljö </w:t>
      </w:r>
    </w:p>
    <w:p>
      <w:pPr>
        <w:pStyle w:val="P68B1DB1Normal104"/>
        <w:widowControl w:val="false"/>
        <w:spacing w:lineRule="auto" w:line="240"/>
        <w:ind w:left="0" w:right="0" w:hanging="0"/>
        <w:jc w:val="left"/>
        <w:rPr/>
      </w:pPr>
      <w:r>
        <w:rPr/>
        <w:t xml:space="preserve">Hälsa </w:t>
      </w:r>
    </w:p>
    <w:p>
      <w:pPr>
        <w:pStyle w:val="P68B1DB1Normal104"/>
        <w:widowControl w:val="false"/>
        <w:spacing w:lineRule="auto" w:line="240" w:before="1" w:after="0"/>
        <w:ind w:left="0" w:right="0" w:hanging="0"/>
        <w:jc w:val="left"/>
        <w:rPr/>
      </w:pPr>
      <w:r>
        <w:rPr/>
        <w:t xml:space="preserve">Ekonomi och sysselsättning </w:t>
      </w:r>
    </w:p>
    <w:p>
      <w:pPr>
        <w:pStyle w:val="P68B1DB1Normal104"/>
        <w:widowControl w:val="false"/>
        <w:spacing w:lineRule="auto" w:line="240"/>
        <w:ind w:left="0" w:right="0" w:hanging="0"/>
        <w:jc w:val="left"/>
        <w:rPr/>
      </w:pPr>
      <w:r>
        <w:rPr/>
        <w:t xml:space="preserve">Europeiska unionens roll i världen </w:t>
      </w:r>
    </w:p>
    <w:p>
      <w:pPr>
        <w:pStyle w:val="P68B1DB1Normal104"/>
        <w:widowControl w:val="false"/>
        <w:spacing w:lineRule="auto" w:line="240" w:before="1" w:after="0"/>
        <w:ind w:left="0" w:right="0" w:hanging="0"/>
        <w:jc w:val="left"/>
        <w:rPr/>
      </w:pPr>
      <w:r>
        <w:rPr/>
        <w:t xml:space="preserve">Säkerhet och rättsstatsprincipen </w:t>
      </w:r>
    </w:p>
    <w:p>
      <w:pPr>
        <w:pStyle w:val="P68B1DB1Normal104"/>
        <w:widowControl w:val="false"/>
        <w:spacing w:lineRule="auto" w:line="240"/>
        <w:ind w:left="0" w:right="0" w:hanging="0"/>
        <w:jc w:val="left"/>
        <w:rPr/>
      </w:pPr>
      <w:r>
        <w:rPr/>
        <w:t xml:space="preserve">Den virtuella världen </w:t>
      </w:r>
    </w:p>
    <w:p>
      <w:pPr>
        <w:pStyle w:val="P68B1DB1Normal104"/>
        <w:widowControl w:val="false"/>
        <w:spacing w:lineRule="auto" w:line="240" w:before="1" w:after="0"/>
        <w:ind w:left="0" w:right="0" w:hanging="0"/>
        <w:jc w:val="left"/>
        <w:rPr/>
      </w:pPr>
      <w:r>
        <w:rPr/>
        <w:t xml:space="preserve">Europeisk demokrati </w:t>
      </w:r>
    </w:p>
    <w:p>
      <w:pPr>
        <w:pStyle w:val="P68B1DB1Normal104"/>
        <w:widowControl w:val="false"/>
        <w:spacing w:lineRule="auto" w:line="240"/>
        <w:ind w:left="0" w:right="0" w:hanging="0"/>
        <w:jc w:val="left"/>
        <w:rPr/>
      </w:pPr>
      <w:r>
        <w:rPr/>
        <w:t xml:space="preserve">Migration och flyktingar </w:t>
      </w:r>
    </w:p>
    <w:p>
      <w:pPr>
        <w:pStyle w:val="P68B1DB1Normal104"/>
        <w:widowControl w:val="false"/>
        <w:spacing w:lineRule="auto" w:line="240" w:before="1" w:after="0"/>
        <w:ind w:left="0" w:right="0" w:hanging="0"/>
        <w:jc w:val="left"/>
        <w:rPr/>
      </w:pPr>
      <w:r>
        <w:rPr/>
        <w:t xml:space="preserve">Utbildning/kultur/ungdom/idrott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Under utarbetandet av frågeformuläret ägnades stor uppmärksamhet åt frågornas kvalitet, tillförlitlighet och giltighet. Därför söktes en neutral, icke-styrd formulering av frågor, påståenden och svarsalternativ, och det kontrollerades att frågorna formulerades på begripligt språk (nivå B1).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Enkäten har genomgått kvalitetstester genom personliga intervjuer med testdeltagare som tillhör målgruppen. Detta gjorde det möjligt för oss att studera hur frågor uppfattas av olika typer av respondenter. Om en fråga verkade representera en alltför stor (för komplex) kognitiv belastning, var det lämpligt. </w:t>
      </w:r>
      <w:r>
        <w:br w:type="page"/>
      </w:r>
    </w:p>
    <w:p>
      <w:pPr>
        <w:pStyle w:val="P68B1DB1Normal107"/>
        <w:spacing w:lineRule="auto" w:line="240"/>
        <w:ind w:left="0" w:right="0" w:hanging="0"/>
        <w:rPr/>
      </w:pPr>
      <w:r>
        <w:rPr/>
        <w:t xml:space="preserve">Analysmetoder </w:t>
      </w:r>
    </w:p>
    <w:p>
      <w:pPr>
        <w:pStyle w:val="P68B1DB1Normal104"/>
        <w:widowControl w:val="false"/>
        <w:spacing w:lineRule="auto" w:line="240" w:before="127" w:after="0"/>
        <w:ind w:left="0" w:right="0" w:hanging="0"/>
        <w:jc w:val="left"/>
        <w:rPr/>
      </w:pPr>
      <w:r>
        <w:rPr/>
        <w:t xml:space="preserve">Två analysmetoder användes i denna undersökning: </w:t>
      </w:r>
    </w:p>
    <w:p>
      <w:pPr>
        <w:pStyle w:val="P68B1DB1Normal111"/>
        <w:widowControl w:val="false"/>
        <w:spacing w:lineRule="auto" w:line="240" w:before="38" w:after="0"/>
        <w:ind w:left="0" w:right="0" w:hanging="0"/>
        <w:jc w:val="left"/>
        <w:rPr/>
      </w:pPr>
      <w:r>
        <w:rPr/>
        <w:t xml:space="preserve">Univariate analyser </w:t>
      </w:r>
    </w:p>
    <w:p>
      <w:pPr>
        <w:pStyle w:val="P68B1DB1Normal104"/>
        <w:widowControl w:val="false"/>
        <w:spacing w:lineRule="auto" w:line="240" w:before="97" w:after="0"/>
        <w:ind w:left="0" w:right="0" w:hanging="0"/>
        <w:jc w:val="left"/>
        <w:rPr/>
      </w:pPr>
      <w:r>
        <w:rPr/>
        <w:t xml:space="preserve">Beskrivande statistik används för att beskriva variablerna i en enkät. Frekvenser och medelvärden används i denna undersökning. </w:t>
      </w:r>
    </w:p>
    <w:p>
      <w:pPr>
        <w:pStyle w:val="P68B1DB1Normal111"/>
        <w:widowControl w:val="false"/>
        <w:spacing w:lineRule="auto" w:line="240" w:before="41" w:after="0"/>
        <w:ind w:left="0" w:right="0" w:hanging="0"/>
        <w:jc w:val="left"/>
        <w:rPr/>
      </w:pPr>
      <w:r>
        <w:rPr/>
        <w:t xml:space="preserve">Bivariata analyser </w:t>
      </w:r>
    </w:p>
    <w:p>
      <w:pPr>
        <w:pStyle w:val="P68B1DB1Normal104"/>
        <w:widowControl w:val="false"/>
        <w:spacing w:lineRule="auto" w:line="240" w:before="95" w:after="0"/>
        <w:ind w:left="0" w:right="0" w:hanging="0"/>
        <w:jc w:val="left"/>
        <w:rPr/>
      </w:pPr>
      <w:r>
        <w:rPr/>
        <w:t xml:space="preserve">De bivariata analyserna gör det möjligt att undersöka förhållandet mellan två variabler, i detta fall förhållandet mellan de olika temanas betydelse och frågan om huruvida EU bör ingripa på detta område och det allmänna kännetecknet för ålder. En översyn genomfördes för att avgöra om olika åldersgrupper fäster en annan vikt vid ett ämne och om det finns olika uppfattningar om i vilken utsträckning dessa är frågor som EU bör vara involverat i. </w:t>
      </w:r>
    </w:p>
    <w:p>
      <w:pPr>
        <w:pStyle w:val="P68B1DB1Normal107"/>
        <w:widowControl w:val="false"/>
        <w:spacing w:lineRule="auto" w:line="240" w:before="43" w:after="0"/>
        <w:ind w:left="0" w:right="0" w:hanging="0"/>
        <w:jc w:val="left"/>
        <w:rPr/>
      </w:pPr>
      <w:r>
        <w:rPr/>
        <w:t xml:space="preserve">Offentliggörande av information och fullständighet </w:t>
      </w:r>
    </w:p>
    <w:p>
      <w:pPr>
        <w:pStyle w:val="P68B1DB1Normal104"/>
        <w:widowControl w:val="false"/>
        <w:spacing w:lineRule="auto" w:line="240" w:before="123" w:after="0"/>
        <w:ind w:left="0" w:right="0" w:hanging="0"/>
        <w:jc w:val="left"/>
        <w:rPr/>
      </w:pPr>
      <w:r>
        <w:rPr/>
        <w:t xml:space="preserve">Denna rapport innehåller en (visuell) representation av resultaten av alla frågor som ställts till enkätpanelens respondenter. För vissa frågor fick respondenten möjlighet att ge ”öppna” (dvs. inte förutbestämda) svar. Öppna svar kategoriserades sedan och inkluderades i publikationen. De idéer som respondenterna delade i de fria kommentarerna används för att bidra till de olika tematiska dialoger som anordnas som en uppföljning av medborgardialogprocessen ”Europas vision”. </w:t>
      </w:r>
    </w:p>
    <w:p>
      <w:pPr>
        <w:pStyle w:val="P68B1DB1Normal108"/>
        <w:widowControl w:val="false"/>
        <w:spacing w:lineRule="auto" w:line="240" w:before="35" w:after="0"/>
        <w:ind w:left="0" w:right="0" w:hanging="0"/>
        <w:jc w:val="left"/>
        <w:rPr/>
      </w:pPr>
      <w:r>
        <w:rPr/>
        <w:t xml:space="preserve">2. Tematiska dialoger online för fördjupning </w:t>
      </w:r>
    </w:p>
    <w:p>
      <w:pPr>
        <w:pStyle w:val="P68B1DB1Normal104"/>
        <w:widowControl w:val="false"/>
        <w:spacing w:lineRule="auto" w:line="240" w:before="17" w:after="0"/>
        <w:ind w:left="0" w:right="0" w:hanging="0"/>
        <w:jc w:val="left"/>
        <w:rPr/>
      </w:pPr>
      <w:r>
        <w:rPr/>
        <w:t xml:space="preserve">De teman som står i centrum för konferensen om Europas framtid har fördjupats genom åtta tematiska dialoger online. Syftet med dessa dialoger var att ta reda på orsakerna till de åsikter som framförts, samt motiven och känslorna bakom dem. Vilka är de upplevda problemen och möjligheterna? Diskussionssessionerna gjorde det också möjligt för deltagarna att formulera förslag och idéer om dessa ämnen, samt att ta upp frågor som inte är en del av konferensen men som fortfarande är viktiga för dem. </w:t>
      </w:r>
    </w:p>
    <w:p>
      <w:pPr>
        <w:pStyle w:val="P68B1DB1Normal24"/>
        <w:widowControl w:val="false"/>
        <w:spacing w:lineRule="auto" w:line="240" w:before="2" w:after="0"/>
        <w:ind w:left="0" w:right="0" w:hanging="0"/>
        <w:jc w:val="left"/>
        <w:rPr/>
      </w:pPr>
      <w:r>
        <w:rPr/>
        <w:t xml:space="preserve"> </w:t>
      </w:r>
    </w:p>
    <w:p>
      <w:pPr>
        <w:pStyle w:val="P68B1DB1Normal104"/>
        <w:widowControl w:val="false"/>
        <w:spacing w:lineRule="auto" w:line="240" w:before="8" w:after="0"/>
        <w:ind w:left="0" w:right="0" w:hanging="0"/>
        <w:jc w:val="left"/>
        <w:rPr/>
      </w:pPr>
      <w:r>
        <w:rPr/>
        <w:t xml:space="preserve">De tematiska dialogerna ägde rum den 12–14 oktober och den 9–11 november. Fyra tematiska dialoger på nätet anordnades i oktober om temana ”Ekonomik” och ”demokrati”. I november hölls fyra tematiska dialoger online om temat ”Klimat” och ”EU i världen”. I genomsnitt deltog 29 personer i varje diskussionssession (231 totalt). Deltagarna rekryterades bland panelmedlemmarna (se punkt 1) och via sociala medier. </w:t>
      </w:r>
    </w:p>
    <w:p>
      <w:pPr>
        <w:pStyle w:val="P68B1DB1Normal19"/>
        <w:widowControl w:val="false"/>
        <w:spacing w:lineRule="auto" w:line="240" w:before="1" w:after="0"/>
        <w:ind w:left="0" w:right="0" w:hanging="0"/>
        <w:jc w:val="left"/>
        <w:rPr/>
      </w:pPr>
      <w:r>
        <w:rPr/>
        <w:t xml:space="preserve"> </w:t>
      </w:r>
    </w:p>
    <w:p>
      <w:pPr>
        <w:pStyle w:val="P68B1DB1Normal108"/>
        <w:widowControl w:val="false"/>
        <w:spacing w:lineRule="auto" w:line="240" w:before="3" w:after="0"/>
        <w:ind w:left="0" w:right="0" w:hanging="0"/>
        <w:jc w:val="left"/>
        <w:rPr/>
      </w:pPr>
      <w:r>
        <w:rPr/>
        <w:t xml:space="preserve">3. Dialoger med särskilda grupper </w:t>
      </w:r>
    </w:p>
    <w:p>
      <w:pPr>
        <w:pStyle w:val="P68B1DB1Normal104"/>
        <w:widowControl w:val="false"/>
        <w:spacing w:lineRule="auto" w:line="240" w:before="12" w:after="0"/>
        <w:ind w:left="0" w:right="0" w:hanging="0"/>
        <w:jc w:val="left"/>
        <w:rPr/>
      </w:pPr>
      <w:r>
        <w:rPr/>
        <w:t xml:space="preserve">Vissa nederländska grupper är kända för att vara mindre vana vid att delta i undersökningar och paneler (online). För att få en representativ bild av ”Nederländernas röst” var det viktigt att dessa medborgare också kunde uttrycka sina idéer och åsikter. Därför anordnade vi också ett antal dialoger på plats för undersökningen ”Vision of Europe”. De åsikter och idéer som vi kunde samla in användes som grund (bland annat) för att formulera rekommendationerna. </w:t>
      </w:r>
    </w:p>
    <w:p>
      <w:pPr>
        <w:pStyle w:val="P68B1DB1Normal24"/>
        <w:widowControl w:val="false"/>
        <w:spacing w:lineRule="auto" w:line="240" w:before="4" w:after="0"/>
        <w:ind w:left="0" w:right="0" w:hanging="0"/>
        <w:jc w:val="left"/>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pPr>
      <w:r>
        <w:rPr/>
        <w:t xml:space="preserve">Målgrupper </w:t>
      </w:r>
    </w:p>
    <w:p>
      <w:pPr>
        <w:pStyle w:val="P68B1DB1Normal110"/>
        <w:widowControl w:val="false"/>
        <w:spacing w:lineRule="auto" w:line="240" w:before="22" w:after="0"/>
        <w:ind w:left="0" w:right="0" w:hanging="0"/>
        <w:jc w:val="left"/>
        <w:rPr/>
      </w:pPr>
      <w:r>
        <w:rPr>
          <w:sz w:val="21"/>
        </w:rPr>
        <w:t xml:space="preserve">Målgrupper som är svåråtkomliga kan inte definieras entydigt. Studier och erfarenheter gör det möjligt för oss att veta att nederländskt folk med </w:t>
      </w:r>
      <w:r>
        <w:rPr>
          <w:b/>
          <w:sz w:val="21"/>
        </w:rPr>
        <w:t>icke-västerländskt ursprung</w:t>
      </w:r>
      <w:r>
        <w:rPr>
          <w:sz w:val="21"/>
        </w:rPr>
        <w:t>deltar betydligt mindre av sig själva i utredningar och diskussioner. Eftersom detta utgör en stor grupp (14 % av de nederländska</w:t>
      </w:r>
      <w:r>
        <w:rPr>
          <w:position w:val="6"/>
          <w:sz w:val="14"/>
        </w:rPr>
        <w:t>1</w:t>
      </w:r>
      <w:r>
        <w:rPr>
          <w:sz w:val="21"/>
        </w:rPr>
        <w:t xml:space="preserve">), valdes de ut att delta i dialogen Vision of Europe. Samma resonemang följdes när det gäller </w:t>
      </w:r>
      <w:r>
        <w:rPr>
          <w:b/>
          <w:sz w:val="21"/>
        </w:rPr>
        <w:t>personer med liten utbildning</w:t>
      </w:r>
      <w:r>
        <w:rPr>
          <w:sz w:val="21"/>
        </w:rPr>
        <w:t>. Det är också en stor grupp (2,5 miljoner nederländska</w:t>
      </w:r>
      <w:r>
        <w:rPr>
          <w:position w:val="6"/>
          <w:sz w:val="14"/>
        </w:rPr>
        <w:t>2</w:t>
      </w:r>
      <w:r>
        <w:rPr>
          <w:sz w:val="21"/>
        </w:rPr>
        <w:t xml:space="preserve">), som delvis överlappar invandrargruppen (39 %). Slutligen har en dialog förts med en grupp människor som sällan förekommer i undersökningar och diskussioner, </w:t>
      </w:r>
      <w:r>
        <w:rPr>
          <w:b/>
          <w:sz w:val="21"/>
        </w:rPr>
        <w:t>som är kritiska till Europa, men för vilka Europa spelar en viktig roll på det professionella området.</w:t>
      </w:r>
      <w:r>
        <w:rPr>
          <w:sz w:val="21"/>
        </w:rPr>
        <w:t xml:space="preserve"> Företagare från jordbrukssektorn valdes ut.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De ovannämnda grupperna har kontaktats genom organisationer som de är medlemmar i, t.ex. invandrarorganisationer, intresseorganisationer och yrkesorganisationer. Eftersom vi begränsade antalet dialoger till åtta, kunde vi inte vara helt ”uttömmande”. Detta gör valet av deltagare något godtyckligt. För att göra detta val tog vi också hänsyn till entusiasmen att delta och hjälpa till att mobilisera deras bas, liksom praktiska frågor som tillgänglighet beroende på datum och plats.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Dialoger på plats hölls med medlemmar i följande organisationer: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samhället,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hinduiska samhället, Utrecht (två diskussionssessioner)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det civila samhällets organisation,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en organisation för lågutbildade,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sammanslutning av jordbruksgrupper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marockansk gemenskap,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Kvinnor för frihet, intresseorganisation för kvinnor med invandrarbakgrund, Haag </w:t>
      </w:r>
    </w:p>
    <w:p>
      <w:pPr>
        <w:pStyle w:val="P68B1DB1Normal104"/>
        <w:widowControl w:val="false"/>
        <w:spacing w:lineRule="auto" w:line="240" w:before="12" w:after="0"/>
        <w:ind w:left="0" w:right="0" w:hanging="0"/>
        <w:jc w:val="left"/>
        <w:rPr/>
      </w:pPr>
      <w:r>
        <w:rPr/>
        <w:t xml:space="preserve"> </w:t>
      </w:r>
    </w:p>
    <w:p>
      <w:pPr>
        <w:pStyle w:val="P68B1DB1Normal104"/>
        <w:widowControl w:val="false"/>
        <w:spacing w:lineRule="auto" w:line="240" w:before="101" w:after="0"/>
        <w:ind w:left="0" w:right="0" w:hanging="0"/>
        <w:jc w:val="left"/>
        <w:rPr/>
      </w:pPr>
      <w:r>
        <w:rPr/>
        <w:t xml:space="preserve">Totalt deltog 110 personer i dessa diskussionsmöten. </w:t>
      </w:r>
    </w:p>
    <w:p>
      <w:pPr>
        <w:pStyle w:val="P68B1DB1Normal19"/>
        <w:widowControl w:val="false"/>
        <w:spacing w:lineRule="auto" w:line="240" w:before="90" w:after="0"/>
        <w:ind w:left="0" w:right="0" w:hanging="0"/>
        <w:jc w:val="left"/>
        <w:rPr/>
      </w:pPr>
      <w:r>
        <w:rPr/>
        <w:t xml:space="preserve"> </w:t>
      </w:r>
    </w:p>
    <w:p>
      <w:pPr>
        <w:pStyle w:val="P68B1DB1Normal108"/>
        <w:widowControl w:val="false"/>
        <w:spacing w:lineRule="auto" w:line="240" w:before="339" w:after="0"/>
        <w:ind w:left="0" w:right="0" w:hanging="0"/>
        <w:jc w:val="left"/>
        <w:rPr/>
      </w:pPr>
      <w:r>
        <w:rPr/>
        <w:t xml:space="preserve">4. Dialog med ungdomar </w:t>
      </w:r>
    </w:p>
    <w:p>
      <w:pPr>
        <w:pStyle w:val="P68B1DB1Normal104"/>
        <w:widowControl w:val="false"/>
        <w:spacing w:lineRule="auto" w:line="240" w:before="118" w:after="0"/>
        <w:ind w:left="0" w:right="0" w:hanging="0"/>
        <w:jc w:val="both"/>
        <w:rPr/>
      </w:pPr>
      <w:r>
        <w:rPr/>
        <w:t xml:space="preserve">Ungdomar är en prioriterad målgrupp för konferensen om Europas framtid. För att aktivt uppmuntra deras deltagande i medborgardialogen ”Europas vision” och för att göra denna grupps åsikter och idéer väl hörda anordnades fem fysiska diskussionsmöten särskilt för ungdomar. Ett sjätte planerat möte med ungdomar kunde inte äga rum på grund av de restriktiva åtgärderna mot coronaviruset.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both"/>
        <w:rPr/>
      </w:pPr>
      <w:r>
        <w:rPr/>
        <w:t xml:space="preserve">Mötena ägde rum vid följande institutioner: </w:t>
      </w:r>
    </w:p>
    <w:p>
      <w:pPr>
        <w:pStyle w:val="P68B1DB1Normal104"/>
        <w:widowControl w:val="false"/>
        <w:spacing w:lineRule="auto" w:line="240"/>
        <w:ind w:left="0" w:right="0" w:hanging="0"/>
        <w:jc w:val="both"/>
        <w:rPr/>
      </w:pPr>
      <w:r>
        <w:rPr/>
        <w:t xml:space="preserve">Förbundet för historiestuderande, Leidens universitet </w:t>
      </w:r>
    </w:p>
    <w:p>
      <w:pPr>
        <w:pStyle w:val="P68B1DB1Normal104"/>
        <w:widowControl w:val="false"/>
        <w:spacing w:lineRule="auto" w:line="240"/>
        <w:ind w:left="0" w:right="0" w:hanging="0"/>
        <w:jc w:val="both"/>
        <w:rPr/>
      </w:pPr>
      <w:r>
        <w:rPr/>
        <w:t xml:space="preserve">Dr. Knippenberg College, Högskola, Helmond </w:t>
      </w:r>
    </w:p>
    <w:p>
      <w:pPr>
        <w:pStyle w:val="P68B1DB1Normal104"/>
        <w:widowControl w:val="false"/>
        <w:spacing w:lineRule="auto" w:line="240" w:before="1" w:after="0"/>
        <w:ind w:left="0" w:right="0" w:hanging="0"/>
        <w:jc w:val="left"/>
        <w:rPr/>
      </w:pPr>
      <w:r>
        <w:rPr/>
        <w:t xml:space="preserve">Coalitie-Y, Ekonomiska och sociala rådets ungdomsplattform </w:t>
      </w:r>
    </w:p>
    <w:p>
      <w:pPr>
        <w:pStyle w:val="P68B1DB1Normal104"/>
        <w:widowControl w:val="false"/>
        <w:spacing w:lineRule="auto" w:line="240"/>
        <w:ind w:left="0" w:right="0" w:hanging="0"/>
        <w:jc w:val="left"/>
        <w:rPr/>
      </w:pPr>
      <w:r>
        <w:rPr/>
        <w:t xml:space="preserve">Graafschap College, Yrkesutbildning, Doetinchem </w:t>
      </w:r>
    </w:p>
    <w:p>
      <w:pPr>
        <w:pStyle w:val="P68B1DB1Normal104"/>
        <w:widowControl w:val="false"/>
        <w:spacing w:lineRule="auto" w:line="240" w:before="1" w:after="0"/>
        <w:ind w:left="0" w:right="0" w:hanging="0"/>
        <w:jc w:val="left"/>
        <w:rPr/>
      </w:pPr>
      <w:r>
        <w:rPr/>
        <w:t xml:space="preserve">CSG Jan Arentsz, gymnasieutbildning med inriktning på tekniska ämnen, Alkmaar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Totalt 95 ungdomar deltog i diskussionsmötena. </w:t>
      </w:r>
      <w:r>
        <w:br w:type="page"/>
      </w:r>
    </w:p>
    <w:p>
      <w:pPr>
        <w:pStyle w:val="P68B1DB1Normal107"/>
        <w:spacing w:lineRule="auto" w:line="240"/>
        <w:ind w:left="0" w:right="0" w:hanging="0"/>
        <w:rPr/>
      </w:pPr>
      <w:r>
        <w:rPr/>
        <w:t xml:space="preserve">Underhållstekniker som används </w:t>
      </w:r>
    </w:p>
    <w:p>
      <w:pPr>
        <w:pStyle w:val="P68B1DB1Normal104"/>
        <w:widowControl w:val="false"/>
        <w:spacing w:lineRule="auto" w:line="240" w:before="10" w:after="0"/>
        <w:ind w:left="0" w:right="0" w:hanging="0"/>
        <w:jc w:val="left"/>
        <w:rPr/>
      </w:pPr>
      <w:r>
        <w:rPr/>
        <w:t xml:space="preserve">Tematiska dialoger online, dialoger med särskilda grupper och dialoger med ungdomar fördes med hjälp av den så kallade ”sokratiska” intervjumetoden. Denna metod har använts i många år på Dialogdagen, där människor över hela Nederländerna interagerar om frågor som påverkar dem. Inom ramen för den sokratiska underhållsmetoden ska moderatorn beakta följande principer: </w:t>
      </w:r>
    </w:p>
    <w:p>
      <w:pPr>
        <w:pStyle w:val="P68B1DB1Normal104"/>
        <w:widowControl w:val="false"/>
        <w:spacing w:lineRule="auto" w:line="240"/>
        <w:ind w:left="0" w:right="0" w:hanging="0"/>
        <w:jc w:val="left"/>
        <w:rPr/>
      </w:pPr>
      <w:r>
        <w:rPr/>
        <w:t xml:space="preserve"> </w:t>
      </w:r>
    </w:p>
    <w:p>
      <w:pPr>
        <w:pStyle w:val="P68B1DB1Normal105"/>
        <w:widowControl w:val="false"/>
        <w:spacing w:lineRule="auto" w:line="240" w:before="7" w:after="0"/>
        <w:ind w:left="0" w:right="0" w:hanging="0"/>
        <w:jc w:val="left"/>
        <w:rPr/>
      </w:pPr>
      <w:r>
        <w:rPr>
          <w:rFonts w:ascii="Verdana" w:hAnsi="Verdana"/>
        </w:rPr>
        <w:t>Låt</w:t>
      </w:r>
      <w:r>
        <w:rPr/>
        <w:t xml:space="preserve"> den andre berätta sin historia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Svara</w:t>
      </w:r>
      <w:r>
        <w:rPr/>
        <w:t xml:space="preserve"> </w:t>
      </w:r>
      <w:r>
        <w:rPr>
          <w:rFonts w:ascii="Calibri" w:hAnsi="Calibri"/>
        </w:rPr>
        <w:t xml:space="preserve">inte omedelbart med en annan historia </w:t>
      </w:r>
    </w:p>
    <w:p>
      <w:pPr>
        <w:pStyle w:val="P68B1DB1Normal105"/>
        <w:widowControl w:val="false"/>
        <w:spacing w:lineRule="auto" w:line="240" w:before="2" w:after="0"/>
        <w:ind w:left="0" w:right="0" w:hanging="0"/>
        <w:jc w:val="left"/>
        <w:rPr/>
      </w:pPr>
      <w:r>
        <w:rPr>
          <w:rFonts w:ascii="Verdana" w:hAnsi="Verdana"/>
        </w:rPr>
        <w:t>Behandla</w:t>
      </w:r>
      <w:r>
        <w:rPr/>
        <w:t xml:space="preserve"> </w:t>
      </w:r>
      <w:r>
        <w:rPr>
          <w:rFonts w:ascii="Calibri" w:hAnsi="Calibri"/>
        </w:rPr>
        <w:t xml:space="preserve">dig själv med respekt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Prata om sin egen synvinkel (”Jag finner” snarare än ”de säger”)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Be om fler förklaringar om de åsikter som framförs är begränsade till allmängiltighet. </w:t>
      </w:r>
    </w:p>
    <w:p>
      <w:pPr>
        <w:pStyle w:val="P68B1DB1Normal105"/>
        <w:widowControl w:val="false"/>
        <w:spacing w:lineRule="auto" w:line="240" w:before="2" w:after="0"/>
        <w:ind w:left="0" w:right="0" w:hanging="0"/>
        <w:jc w:val="left"/>
        <w:rPr/>
      </w:pPr>
      <w:r>
        <w:rPr>
          <w:rFonts w:ascii="Verdana" w:hAnsi="Verdana"/>
        </w:rPr>
        <w:t>Undvik</w:t>
      </w:r>
      <w:r>
        <w:rPr/>
        <w:t xml:space="preserve"> </w:t>
      </w:r>
      <w:r>
        <w:rPr>
          <w:rFonts w:ascii="Calibri" w:hAnsi="Calibri"/>
        </w:rPr>
        <w:t xml:space="preserve">domar och analysera dem </w:t>
      </w:r>
    </w:p>
    <w:p>
      <w:pPr>
        <w:pStyle w:val="P68B1DB1Normal105"/>
        <w:widowControl w:val="false"/>
        <w:spacing w:lineRule="auto" w:line="240" w:before="5" w:after="0"/>
        <w:ind w:left="0" w:right="0" w:hanging="0"/>
        <w:jc w:val="left"/>
        <w:rPr/>
      </w:pPr>
      <w:r>
        <w:rPr>
          <w:rFonts w:ascii="Verdana" w:hAnsi="Verdana"/>
        </w:rPr>
        <w:t>Ge</w:t>
      </w:r>
      <w:r>
        <w:rPr/>
        <w:t xml:space="preserve"> </w:t>
      </w:r>
      <w:r>
        <w:rPr>
          <w:rFonts w:ascii="Calibri" w:hAnsi="Calibri"/>
        </w:rPr>
        <w:t xml:space="preserve">stunder av tystnad om människor behöver tänka för en stund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Under dialogerna ska följande rytm användas: divergens – konvergens – divergens. Principen är att du först måste avvika (direkt uttrycka individuella känslor och åsikter), innan du kan konvergera (prata möjliga vägar) och sedan slutligen avvika igen (till exempel samla individuella rekommendationer). Erfarenhet och teori visar att denna rytm säkerställer ett optimalt flöde av dialog.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Alla dialoger fördes av professionella facilitatorer.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229" w:after="0"/>
        <w:ind w:left="0" w:right="0" w:hanging="0"/>
        <w:jc w:val="both"/>
        <w:rPr/>
      </w:pPr>
      <w:r>
        <w:rPr/>
        <w:t>5. Offentliga undersökningar online: Frågeformulär och ”Swipen naar de toekomst” (Swiper till framtiden)</w:t>
      </w:r>
    </w:p>
    <w:p>
      <w:pPr>
        <w:pStyle w:val="P68B1DB1Normal104"/>
        <w:widowControl w:val="false"/>
        <w:spacing w:lineRule="auto" w:line="240" w:before="229" w:after="0"/>
        <w:ind w:left="0" w:right="0" w:hanging="0"/>
        <w:jc w:val="both"/>
        <w:rPr/>
      </w:pPr>
      <w:r>
        <w:rPr/>
        <w:t xml:space="preserve">Panelenkäten var också öppen för alla holländare, inklusive dem som är bosatta utomlands. Frågeformuläret var tillgängligt från och med den 1 september 2021 till och med den 14 november 2021. Dessutom kunde varje nederländare under samma period delta i åtgärden ”Swipen naar de toekomst” (Swiper till framtiden), ett onlineverktyg med 20 anspråk. </w:t>
      </w:r>
    </w:p>
    <w:p>
      <w:pPr>
        <w:pStyle w:val="P68B1DB1Normal107"/>
        <w:widowControl w:val="false"/>
        <w:spacing w:lineRule="auto" w:line="240" w:before="41" w:after="0"/>
        <w:ind w:left="0" w:right="0" w:hanging="0"/>
        <w:jc w:val="left"/>
        <w:rPr/>
      </w:pPr>
      <w:r>
        <w:rPr/>
        <w:t xml:space="preserve">Svar och användning </w:t>
      </w:r>
    </w:p>
    <w:p>
      <w:pPr>
        <w:pStyle w:val="P68B1DB1Normal104"/>
        <w:widowControl w:val="false"/>
        <w:spacing w:lineRule="auto" w:line="240" w:before="7" w:after="0"/>
        <w:ind w:left="0" w:right="0" w:hanging="0"/>
        <w:jc w:val="left"/>
        <w:rPr/>
      </w:pPr>
      <w:r>
        <w:rPr/>
        <w:t xml:space="preserve">Totalt 1 967 deltagare fyllde i frågeformuläret och 6 968 var till slutet av skärmskanningsverktyget. Både frågeformuläret och skärmskanningsverktyget var öppna för alla: det fanns inga förutsättningar eller urvalskriterier för att delta. I frågeformuläret var det möjligt att ställa frågor (det fanns inga obligatoriska frågor) för att maximera svarsfrekvensen. Deltagarna valde ”Jag föredrar att inte svara” mycket oftare än i den representativa panelenkäten. </w:t>
      </w:r>
    </w:p>
    <w:p>
      <w:pPr>
        <w:pStyle w:val="P68B1DB1Normal104"/>
        <w:widowControl w:val="false"/>
        <w:spacing w:lineRule="auto" w:line="240"/>
        <w:ind w:left="0" w:right="0" w:hanging="0"/>
        <w:jc w:val="left"/>
        <w:rPr/>
      </w:pPr>
      <w:r>
        <w:rPr/>
        <w:t xml:space="preserve">De allmänna egenskaperna hos deltagarna i det öppna frågeformuläret och skärmskanningsverktyget skiljer sig i flera avseenden från deltagarna i den representativa panelen. Till skillnad från panelenkäten är resultaten från det öppna frågeformuläret och skärmskanningsverktyget inte representativa. Resultaten av den öppna onlineundersökningen användes som komplement till panelundersökningen. De ger en översikt över de känslor och idéer som cirkulerar i Nederländerna. De förbättringsförslag som nämns i inmatningsfälten användes i avsnittet ”Discussions and ideas online and on site”. Skärmskanningsverktyget har använts för att bättre förstå några av de känslor som cirkulerar i Nederländerna. Dessa resultat beaktades vid utarbetandet av rekommendationerna. På grund av kravet på representativitet har resultaten av den undersökning som inletts online endast beaktats i denna rapport.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Denna rapport publiceras av utrikesministeriet.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3">
            <wp:simplePos x="0" y="0"/>
            <wp:positionH relativeFrom="column">
              <wp:align>center</wp:align>
            </wp:positionH>
            <wp:positionV relativeFrom="paragraph">
              <wp:posOffset>635</wp:posOffset>
            </wp:positionV>
            <wp:extent cx="3114040" cy="2009775"/>
            <wp:effectExtent l="0" t="0" r="0" b="0"/>
            <wp:wrapTopAndBottom/>
            <wp:docPr id="110" name="Bild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pPr>
      <w:r>
        <w:rPr/>
        <w:t xml:space="preserve">Nederländernas nationella regering </w:t>
      </w:r>
    </w:p>
    <w:p>
      <w:pPr>
        <w:pStyle w:val="P68B1DB1Normal124"/>
        <w:widowControl w:val="false"/>
        <w:spacing w:lineRule="exact" w:line="1199" w:before="278" w:after="0"/>
        <w:ind w:left="0" w:right="0" w:hanging="0"/>
        <w:jc w:val="left"/>
        <w:rPr/>
      </w:pPr>
      <w:r>
        <w:rPr/>
        <w:t xml:space="preserve">Vår vision om Europa </w:t>
      </w:r>
    </w:p>
    <w:p>
      <w:pPr>
        <w:pStyle w:val="Titre4"/>
        <w:numPr>
          <w:ilvl w:val="3"/>
          <w:numId w:val="2"/>
        </w:numPr>
        <w:rPr/>
      </w:pPr>
      <w:bookmarkStart w:id="237" w:name="__RefHeading___Toc298386_1346298689"/>
      <w:bookmarkEnd w:id="237"/>
      <w:r>
        <w:rPr/>
        <w:t>Rapport från januari 2022</w:t>
      </w:r>
    </w:p>
    <w:p>
      <w:pPr>
        <w:pStyle w:val="P68B1DB1Normal20"/>
        <w:widowControl w:val="false"/>
        <w:spacing w:lineRule="auto" w:line="240" w:before="105" w:after="0"/>
        <w:ind w:left="0" w:right="0" w:hanging="0"/>
        <w:jc w:val="left"/>
        <w:rPr/>
      </w:pPr>
      <w:r>
        <w:rPr/>
        <w:t xml:space="preserve">Yttranden, idéer och rekommendationer </w:t>
      </w:r>
    </w:p>
    <w:p>
      <w:pPr>
        <w:pStyle w:val="P68B1DB1Normal104"/>
        <w:widowControl w:val="false"/>
        <w:spacing w:lineRule="auto" w:line="240" w:before="116" w:after="0"/>
        <w:ind w:left="0" w:right="0" w:hanging="0"/>
        <w:jc w:val="left"/>
        <w:rPr/>
      </w:pPr>
      <w:r>
        <w:rPr/>
        <w:t xml:space="preserv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 </w:t>
      </w:r>
    </w:p>
    <w:p>
      <w:pPr>
        <w:pStyle w:val="P68B1DB1Normal120"/>
        <w:widowControl w:val="false"/>
        <w:spacing w:lineRule="auto" w:line="240"/>
        <w:ind w:left="0" w:right="0" w:hanging="0"/>
        <w:jc w:val="left"/>
        <w:rPr/>
      </w:pPr>
      <w:r>
        <w:rPr/>
        <w:t xml:space="preserve">Teman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Klimatförändringar och miljö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Migrering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Hälsa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i världen </w:t>
      </w:r>
    </w:p>
    <w:p>
      <w:pPr>
        <w:pStyle w:val="P68B1DB1Normal105"/>
        <w:widowControl w:val="false"/>
        <w:spacing w:lineRule="auto" w:line="240" w:before="7" w:after="0"/>
        <w:ind w:left="0" w:right="0" w:hanging="0"/>
        <w:jc w:val="left"/>
        <w:rPr/>
      </w:pPr>
      <w:r>
        <w:rPr>
          <w:rFonts w:ascii="Verdana" w:hAnsi="Verdana"/>
        </w:rPr>
        <w:t>LÄS MER</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januari 2022 </w:t>
      </w:r>
    </w:p>
    <w:p>
      <w:pPr>
        <w:pStyle w:val="P68B1DB1Normal105"/>
        <w:widowControl w:val="false"/>
        <w:spacing w:lineRule="auto" w:line="240" w:before="5" w:after="0"/>
        <w:ind w:left="0" w:right="0" w:hanging="0"/>
        <w:jc w:val="left"/>
        <w:rPr/>
      </w:pPr>
      <w:r>
        <w:rPr>
          <w:rFonts w:ascii="Verdana" w:hAnsi="Verdana"/>
        </w:rPr>
        <w:t>LÄS MER</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Detta dokument är en översättning av betänkandet ”Elze kijk op Europa; Meningen, ideeën en Aanbevelingen”(”Vår vision för Europa: yttranden, idéer och rekommendationer”, som offentliggjordes på nederländska den 14 januari 2022 på www.kijkopeuropa.nl. Denna översättning är en förenklad version av rapporten där den ursprungliga presentationen (illustrationer och andra grafiska element) har ändrats för översättningsändamål. </w:t>
      </w:r>
    </w:p>
    <w:p>
      <w:pPr>
        <w:pStyle w:val="P68B1DB1Normal19"/>
        <w:widowControl w:val="false"/>
        <w:spacing w:lineRule="auto" w:line="240"/>
        <w:ind w:left="0" w:right="0" w:hanging="0"/>
        <w:jc w:val="left"/>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pPr>
      <w:r>
        <w:rPr/>
        <w:t xml:space="preserve">Vår vision om... </w:t>
      </w:r>
    </w:p>
    <w:p>
      <w:pPr>
        <w:pStyle w:val="P68B1DB1Normal126"/>
        <w:widowControl w:val="false"/>
        <w:spacing w:lineRule="auto" w:line="240" w:before="101" w:after="0"/>
        <w:ind w:left="0" w:right="0" w:hanging="0"/>
        <w:jc w:val="left"/>
        <w:rPr/>
      </w:pPr>
      <w:r>
        <w:rPr/>
        <w:t xml:space="preserve">Sammanfattning av rapporten: alla rekommendationer i korthet </w:t>
      </w:r>
    </w:p>
    <w:p>
      <w:pPr>
        <w:pStyle w:val="P68B1DB1Normal104"/>
        <w:widowControl w:val="false"/>
        <w:spacing w:lineRule="auto" w:line="240" w:before="109" w:after="0"/>
        <w:ind w:left="0" w:right="0" w:hanging="0"/>
        <w:jc w:val="both"/>
        <w:rPr/>
      </w:pPr>
      <w:r>
        <w:rPr/>
        <w:t xml:space="preserve">Genom medborgardialogen på temat ”Europas vision” har vi samlat de nederländska medborgarnas åsikter och idéer om Europas framtid. Detta resulterade i följande rekommendationer till Europeiska unionen för de fyra sista temana (av de nio teman som identifierats totalt). </w:t>
      </w:r>
    </w:p>
    <w:p>
      <w:pPr>
        <w:pStyle w:val="P68B1DB1Normal126"/>
        <w:widowControl w:val="false"/>
        <w:spacing w:lineRule="auto" w:line="240" w:before="108" w:after="0"/>
        <w:ind w:left="0" w:right="0" w:hanging="0"/>
        <w:jc w:val="left"/>
        <w:rPr/>
      </w:pPr>
      <w:r>
        <w:rPr/>
        <w:t xml:space="preserve">Klimatförändringar och miljö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Välj en tydlig riktning för den europeiska strategin för klimatförändringar</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Se till att länder och företag samarbetar närmare för att hitta riktade lösningar 3.</w:t>
      </w:r>
      <w:r>
        <w:rPr/>
        <w:t xml:space="preserve"> </w:t>
      </w:r>
      <w:r>
        <w:rPr>
          <w:rFonts w:ascii="Calibri" w:hAnsi="Calibri"/>
        </w:rPr>
        <w:t>Skapa ett koldioxidsystem som är rättvist och genomförbart i praktiken</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Kommunicera på ett tydligare och mer positivt sätt om klimatstrategin</w:t>
      </w:r>
    </w:p>
    <w:p>
      <w:pPr>
        <w:pStyle w:val="P68B1DB1Normal104"/>
        <w:widowControl w:val="false"/>
        <w:spacing w:lineRule="auto" w:line="240" w:before="93" w:after="0"/>
        <w:ind w:left="0" w:right="0" w:hanging="0"/>
        <w:jc w:val="left"/>
        <w:rPr/>
      </w:pPr>
      <w:r>
        <w:rPr/>
        <w:t xml:space="preserve">Nederländerna anser att EU måste spela en ledande roll i kampen mot klimatförändringarna. Medlemsstaterna måste kunna göra sina egna val, men de måste ändå samarbeta för att uppnå samma mål. I stället för att peka på varandra bör EU-länderna ägna mer energi åt att utbyta kunskap och hitta gemensamma lösningar. Ett system för att beskatta koldioxidutsläpp kan vara effektivt, men det måste också vara rättvist, praktiskt och tydligt. Som en allmän regel anser Nederländerna att EU bör kommunicera mer effektivt och positivt om klimatfrågor. </w:t>
      </w:r>
    </w:p>
    <w:p>
      <w:pPr>
        <w:pStyle w:val="P68B1DB1Normal126"/>
        <w:widowControl w:val="false"/>
        <w:spacing w:lineRule="auto" w:line="240" w:before="108" w:after="0"/>
        <w:ind w:left="0" w:right="0" w:hanging="0"/>
        <w:jc w:val="left"/>
        <w:rPr/>
      </w:pPr>
      <w:r>
        <w:rPr/>
        <w:t xml:space="preserve">Migrering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Förhindra att debatten om flyktingfrågan blir mindre nyanserad</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Definiera vad en rättvis och praktisk fördelning av flyktingar är</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Utnyttja den kunskap och de erfarenheter som vunnits för att hjälpa de regioner där flyktingarna kommer från</w:t>
      </w:r>
    </w:p>
    <w:p>
      <w:pPr>
        <w:pStyle w:val="P68B1DB1Normal104"/>
        <w:widowControl w:val="false"/>
        <w:spacing w:lineRule="auto" w:line="240"/>
        <w:ind w:left="0" w:right="0" w:hanging="0"/>
        <w:jc w:val="left"/>
        <w:rPr/>
      </w:pPr>
      <w:r>
        <w:rPr/>
        <w:t xml:space="preserve">Holländarna anser att det är viktigt att skilja mellan människor som flyr farliga områden och ekonomiska flyktingar. Diskussioner om migration och integration saknar ofta nyanser. För att en rättvis fördelning av flyktingarna i Europa ska kunna uppnås är det nödvändigt att inom EU enas om tydliga kriterier som tar hänsyn till både medlemsstaterna och de som har flytt. Slutligen föreslår Nederländerna att EU ska stödja de regioner från vilka flyktingarna kommer inte bara ekonomiskt utan också genom kunskap. </w:t>
      </w:r>
    </w:p>
    <w:p>
      <w:pPr>
        <w:pStyle w:val="P68B1DB1Normal126"/>
        <w:widowControl w:val="false"/>
        <w:spacing w:lineRule="auto" w:line="240" w:before="108" w:after="0"/>
        <w:ind w:left="0" w:right="0" w:hanging="0"/>
        <w:jc w:val="left"/>
        <w:rPr/>
      </w:pPr>
      <w:r>
        <w:rPr/>
        <w:t xml:space="preserve">Hälsa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Bättre kontroll över hanteringen av en pandemi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Säkerställa tillgången till billiga och tillförlitliga läkemedel för alla</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Länderna måste fokusera på att förbättra sina hälso- och sjukvårdssystem och göra det mer rättvist.</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both"/>
        <w:rPr>
          <w:rFonts w:ascii="Calibri" w:hAnsi="Calibri"/>
          <w:color w:val="000000"/>
          <w:sz w:val="21"/>
        </w:rPr>
      </w:pPr>
      <w:r>
        <w:rPr>
          <w:rFonts w:ascii="Calibri" w:hAnsi="Calibri"/>
          <w:color w:val="000000"/>
          <w:sz w:val="21"/>
        </w:rPr>
        <w:t xml:space="preserve">Holländarna anser att EU-länderna måste samarbeta mer för att bekämpa en pandemi. Hur coronakrisen hanteras skapar ibland förvirring. Reglerna bör vara mer samstämmiga med varandra, utan att behöva vara desamma överallt. När det gäller vacciner eller läkemedel vill Nederländerna att priserna ska förbli så låga som möjligt, men vill kunna förlita sig på kvalitet och ansvarsfull produktion. Dessutom anser vi att det är viktigt att stora företag inte missbrukar sin makt, och vi anser att hälso- och sjukvården måste fortsätta att vara på nationell nivå. </w:t>
      </w:r>
      <w:r>
        <w:br w:type="page"/>
      </w:r>
    </w:p>
    <w:p>
      <w:pPr>
        <w:pStyle w:val="P68B1DB1Normal126"/>
        <w:widowControl w:val="false"/>
        <w:spacing w:lineRule="auto" w:line="240"/>
        <w:ind w:left="0" w:right="0" w:hanging="0"/>
        <w:jc w:val="left"/>
        <w:rPr/>
      </w:pPr>
      <w:r>
        <w:rPr/>
        <w:t xml:space="preserve">EU:s roll i världen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Att utnyttja EU:s styrka i viktiga internationella teman, främst</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Inom och utanför Europa, välj samarbete snarare än kamp</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Erbjuda, på ett genomtänkt sätt, hjälp i händelse av en konflikt</w:t>
      </w:r>
    </w:p>
    <w:p>
      <w:pPr>
        <w:pStyle w:val="P68B1DB1Normal104"/>
        <w:widowControl w:val="false"/>
        <w:spacing w:lineRule="auto" w:line="240" w:before="84" w:after="0"/>
        <w:ind w:left="0" w:right="0" w:hanging="0"/>
        <w:jc w:val="left"/>
        <w:rPr/>
      </w:pPr>
      <w:r>
        <w:rPr/>
        <w:t xml:space="preserve">Nederländerna anser att det europeiska samarbetet främst bör inriktas på de viktigaste gemensamma intressena. EU:s samarbete med tredjeländer måste också ingå i detta tillvägagångssätt. Förutom klimatförändringarna och coronapandemin omfattar dessa till exempel internationell säkerhet och skydd av den europeiska ekonomin mot otillbörliga handelsmetoder. Inom och utanför Europa föredrar holländarna samarbete framför kamp. När det gäller tillvägagångssättet för konflikter är det alltid att föredra att lösa dem utan att tillgripa våld. </w:t>
      </w:r>
    </w:p>
    <w:p>
      <w:pPr>
        <w:pStyle w:val="P68B1DB1Normal125"/>
        <w:widowControl w:val="false"/>
        <w:spacing w:lineRule="auto" w:line="240" w:before="96" w:after="0"/>
        <w:ind w:left="0" w:right="0" w:hanging="0"/>
        <w:jc w:val="left"/>
        <w:rPr/>
      </w:pPr>
      <w:r>
        <w:rPr/>
        <w:t xml:space="preserve">Inledning </w:t>
      </w:r>
    </w:p>
    <w:p>
      <w:pPr>
        <w:pStyle w:val="P68B1DB1Normal104"/>
        <w:widowControl w:val="false"/>
        <w:spacing w:lineRule="auto" w:line="240" w:before="183" w:after="0"/>
        <w:ind w:left="0" w:right="0" w:hanging="0"/>
        <w:jc w:val="left"/>
        <w:rPr/>
      </w:pPr>
      <w:r>
        <w:rPr/>
        <w:t xml:space="preserve">Medborgardialogen ”Europas vision”, som hölls den 1 september till mitten av november, gjorde det möjligt för alla holländare att uttrycka sina åsikter och idéer om Europas framtid. Nederländerna ska för Europeiska unionen (EU) lägga fram de rekommendationer som dialogen har lett till samt de idéer och åsikter som framförts. I denna rapport tar vi upp de fyra sista temana (av de nio teman som identifierats totalt). De fem första frågorna har redan behandlats i den rapport som offentliggjordes den 3 december 2021. </w:t>
      </w:r>
    </w:p>
    <w:p>
      <w:pPr>
        <w:pStyle w:val="P68B1DB1Normal126"/>
        <w:widowControl w:val="false"/>
        <w:spacing w:lineRule="auto" w:line="240" w:before="79" w:after="0"/>
        <w:ind w:left="0" w:right="0" w:hanging="0"/>
        <w:jc w:val="left"/>
        <w:rPr/>
      </w:pPr>
      <w:r>
        <w:rPr/>
        <w:t xml:space="preserve">Om Europas vision </w:t>
      </w:r>
    </w:p>
    <w:p>
      <w:pPr>
        <w:pStyle w:val="P68B1DB1Normal104"/>
        <w:widowControl w:val="false"/>
        <w:spacing w:lineRule="auto" w:line="240" w:before="78" w:after="0"/>
        <w:ind w:left="0" w:right="0" w:hanging="0"/>
        <w:jc w:val="left"/>
        <w:rPr/>
      </w:pPr>
      <w:r>
        <w:rPr/>
        <w:t xml:space="preserve">Europeiska unionen vill att dess medborgare ska dela med sig av vad de tycker om Europa. Därför anordnar EU konferensen om Europas framtid. Medborgarnas åsikter och idéer i hela EU kommer sedan att ligga till grund för planerna för Europas framtid. Som en del av konferensen anordnade Nederländerna medborgardialogen ”Europas vision” på nationell nivå. </w:t>
      </w:r>
    </w:p>
    <w:p>
      <w:pPr>
        <w:pStyle w:val="P68B1DB1Normal104"/>
        <w:widowControl w:val="false"/>
        <w:spacing w:lineRule="auto" w:line="240"/>
        <w:ind w:left="0" w:right="0" w:hanging="0"/>
        <w:jc w:val="left"/>
        <w:rPr/>
      </w:pPr>
      <w:r>
        <w:rPr/>
        <w:t xml:space="preserve">Dialogen Vision of Europe inleddes den 1 september med en onlineinsamling av åsikter och idéer genom en undersökning av en representativ panel. För att fördjupa de första resultaten av panelundersökningen och göra konkreta rekommendationer organiserade vi tematiska dialoger online. Alla som vill delta kan delta. Vi reste också till landet för att föra diskussioner med ungdomar och andra grupper (svårt att nå).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Från skolelever, gymnasieelever och studerande till ministern, jordbrukare och invandrare </w:t>
      </w:r>
    </w:p>
    <w:p>
      <w:pPr>
        <w:pStyle w:val="P68B1DB1Normal104"/>
        <w:widowControl w:val="false"/>
        <w:spacing w:lineRule="auto" w:line="240" w:before="91" w:after="0"/>
        <w:ind w:left="0" w:right="0" w:hanging="0"/>
        <w:jc w:val="both"/>
        <w:rPr/>
      </w:pPr>
      <w:r>
        <w:rPr/>
        <w:t xml:space="preserve">I oktober och november hölls totalt åtta tematiska dialoger online, med i genomsnitt 30 deltagare per möte. Vi organiserade också en tematisk dialog online och sju tematiska dialoger på plats med olika grupper av nederländska medborgare. Vi talade med det turkiska samhället i Schiedam och blev inbjudna av Piëzo Foundations volontärer till Zoetermeer. Vid det senare tillfället var utrikesminister Ben Knapen också närvarande i slutet av dialogen. Ministern hade en diskussion med deltagarna om dialogen och åsikterna om Europas framtid. Slutligen anordnade vi sex möten med olika grupper av ungdomar. Till exempel välkomnades vi till en gymnasieskola i Helmond, en yrkeshögskola i Doetinchem och University of Leiden. </w:t>
      </w:r>
    </w:p>
    <w:p>
      <w:pPr>
        <w:pStyle w:val="P68B1DB1Normal113"/>
        <w:widowControl w:val="false"/>
        <w:spacing w:lineRule="auto" w:line="240" w:before="160" w:after="0"/>
        <w:ind w:left="0" w:right="0" w:hanging="0"/>
        <w:jc w:val="center"/>
        <w:rPr/>
      </w:pPr>
      <w:r>
        <w:rPr/>
        <w:t xml:space="preserve">Det är våra barns framtid. Det är därför jag tycker att det är viktigt att delta. </w:t>
      </w:r>
    </w:p>
    <w:p>
      <w:pPr>
        <w:pStyle w:val="P68B1DB1Normal104"/>
        <w:widowControl w:val="false"/>
        <w:spacing w:lineRule="auto" w:line="240" w:before="127" w:after="0"/>
        <w:ind w:left="0" w:right="0" w:hanging="0"/>
        <w:jc w:val="left"/>
        <w:rPr/>
      </w:pPr>
      <w:r>
        <w:rPr/>
        <w:t xml:space="preserve">Deltagare i den tematiska dialogen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Om den här rapporten </w:t>
      </w:r>
    </w:p>
    <w:p>
      <w:pPr>
        <w:pStyle w:val="P68B1DB1Normal104"/>
        <w:widowControl w:val="false"/>
        <w:spacing w:lineRule="auto" w:line="240" w:before="88" w:after="0"/>
        <w:ind w:left="0" w:right="0" w:hanging="0"/>
        <w:jc w:val="left"/>
        <w:rPr/>
      </w:pPr>
      <w:r>
        <w:rPr/>
        <w:t xml:space="preserve">På grundval av de idéer och åsikter som vi har samlat under de senaste månaderna har vi utarbetat en rad rekommendationer som nederländska medborgare lämnar till Europeiska unionen. Under diskussionerna mellan nederländska medborgare ägde intressanta diskussioner rum och innovativa idéer och förslag framfördes. Vissa av dessa idéer och förslag har införlivats i detta betänkande. Innehållet i detta betänkande är därför Nederländernas röst: vår vision om Europa.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Precis som det finns meningsskiljaktigheter mellan länder och EU-medborgare håller vi inte heller alltid med varandra i Nederländerna. Just dessa meningsskiljaktigheter är värdefulla: de är ett viktigt inslag i en demokrati. Rekommendationerna är hämtade från de vanligaste idéerna och åsikterna från deltagarna i undersökningen Vision of Europe. Vi beskriver också oro, idéer och känslor som kan vara mindre utbredda, men som har fångat vår uppmärksamhet under dialoger och webbenkäten. </w:t>
      </w:r>
    </w:p>
    <w:p>
      <w:pPr>
        <w:pStyle w:val="P68B1DB1Normal113"/>
        <w:widowControl w:val="false"/>
        <w:spacing w:lineRule="auto" w:line="240" w:before="181" w:after="0"/>
        <w:ind w:left="0" w:right="0" w:hanging="0"/>
        <w:jc w:val="center"/>
        <w:rPr/>
      </w:pPr>
      <w:r>
        <w:rPr/>
        <w:t xml:space="preserve">Jag njöt av att kunna ge min åsikt om ämnen som jag tycker är viktiga. Och att ha haft känslan av att bli lyssnad på. </w:t>
      </w:r>
    </w:p>
    <w:p>
      <w:pPr>
        <w:pStyle w:val="P68B1DB1Normal104"/>
        <w:widowControl w:val="false"/>
        <w:spacing w:lineRule="auto" w:line="240" w:before="300" w:after="0"/>
        <w:ind w:left="0" w:right="0" w:hanging="0"/>
        <w:jc w:val="left"/>
        <w:rPr/>
      </w:pPr>
      <w:r>
        <w:rPr/>
        <w:t xml:space="preserve">Deltagare i den tematiska dialogen </w:t>
      </w:r>
    </w:p>
    <w:p>
      <w:pPr>
        <w:pStyle w:val="P68B1DB1Normal104"/>
        <w:widowControl w:val="false"/>
        <w:spacing w:lineRule="auto" w:line="240"/>
        <w:ind w:left="0" w:right="0" w:hanging="0"/>
        <w:jc w:val="left"/>
        <w:rPr/>
      </w:pPr>
      <w:r>
        <w:rPr/>
        <w:t xml:space="preserve">Nio teman identifierades för konferensen om Europas framtid. Dessa teman står också i centrum för dialogen om Europas vision med nederländska medborgare. I oktober publicerade vi en delrapport med en inledande översikt över resultaten och kompletterande frågor baserat på panelundersökningen. I början av december offentliggjordes en ny rapport med yttranden, idéer och rekommendationer om de fem första temana. Denna rapport behandlar de återstående fyra temana.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Föregående rapport – december 2021 </w:t>
      </w:r>
    </w:p>
    <w:p>
      <w:pPr>
        <w:pStyle w:val="P68B1DB1Normal104"/>
        <w:widowControl w:val="false"/>
        <w:spacing w:lineRule="auto" w:line="240"/>
        <w:ind w:left="0" w:right="0" w:hanging="0"/>
        <w:jc w:val="left"/>
        <w:rPr/>
      </w:pPr>
      <w:r>
        <w:rPr/>
        <w:t xml:space="preserve">Värden och rättigheter, rättsstatsprincipen och säkerhet </w:t>
      </w:r>
    </w:p>
    <w:p>
      <w:pPr>
        <w:pStyle w:val="P68B1DB1Normal104"/>
        <w:widowControl w:val="false"/>
        <w:spacing w:lineRule="auto" w:line="240"/>
        <w:ind w:left="0" w:right="0" w:hanging="0"/>
        <w:jc w:val="left"/>
        <w:rPr/>
      </w:pPr>
      <w:r>
        <w:rPr/>
        <w:t xml:space="preserve">En starkare ekonomi, social rättvisa och sysselsättning Europeisk demokrati </w:t>
      </w:r>
    </w:p>
    <w:p>
      <w:pPr>
        <w:pStyle w:val="P68B1DB1Normal104"/>
        <w:widowControl w:val="false"/>
        <w:spacing w:lineRule="auto" w:line="240"/>
        <w:ind w:left="0" w:right="0" w:hanging="0"/>
        <w:jc w:val="left"/>
        <w:rPr/>
      </w:pPr>
      <w:r>
        <w:rPr/>
        <w:t xml:space="preserve">Digital transformation </w:t>
      </w:r>
    </w:p>
    <w:p>
      <w:pPr>
        <w:pStyle w:val="P68B1DB1Normal104"/>
        <w:widowControl w:val="false"/>
        <w:spacing w:lineRule="auto" w:line="240"/>
        <w:ind w:left="0" w:right="0" w:hanging="0"/>
        <w:jc w:val="left"/>
        <w:rPr/>
      </w:pPr>
      <w:r>
        <w:rPr/>
        <w:t xml:space="preserve">Utbildning, kultur, ungdom och idrott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Aktuell rapport – januari 2022</w:t>
      </w:r>
    </w:p>
    <w:p>
      <w:pPr>
        <w:pStyle w:val="P68B1DB1Normal104"/>
        <w:widowControl w:val="false"/>
        <w:spacing w:lineRule="auto" w:line="240"/>
        <w:ind w:left="0" w:right="0" w:hanging="0"/>
        <w:jc w:val="left"/>
        <w:rPr/>
      </w:pPr>
      <w:r>
        <w:rPr/>
        <w:t xml:space="preserve">Klimatförändringar och miljö </w:t>
      </w:r>
    </w:p>
    <w:p>
      <w:pPr>
        <w:pStyle w:val="P68B1DB1Normal104"/>
        <w:widowControl w:val="false"/>
        <w:spacing w:lineRule="auto" w:line="240"/>
        <w:ind w:left="0" w:right="0" w:hanging="0"/>
        <w:jc w:val="left"/>
        <w:rPr/>
      </w:pPr>
      <w:r>
        <w:rPr/>
        <w:t xml:space="preserve">Migrering </w:t>
      </w:r>
    </w:p>
    <w:p>
      <w:pPr>
        <w:pStyle w:val="P68B1DB1Normal104"/>
        <w:widowControl w:val="false"/>
        <w:spacing w:lineRule="auto" w:line="240"/>
        <w:ind w:left="0" w:right="0" w:hanging="0"/>
        <w:jc w:val="left"/>
        <w:rPr/>
      </w:pPr>
      <w:r>
        <w:rPr/>
        <w:t xml:space="preserve">Hälsa </w:t>
      </w:r>
    </w:p>
    <w:p>
      <w:pPr>
        <w:pStyle w:val="P68B1DB1Normal104"/>
        <w:widowControl w:val="false"/>
        <w:spacing w:lineRule="auto" w:line="240"/>
        <w:ind w:left="0" w:right="0" w:hanging="0"/>
        <w:jc w:val="left"/>
        <w:rPr/>
      </w:pPr>
      <w:r>
        <w:rPr/>
        <w:t xml:space="preserve">EU i världen </w:t>
      </w:r>
    </w:p>
    <w:p>
      <w:pPr>
        <w:pStyle w:val="P68B1DB1Normal126"/>
        <w:widowControl w:val="false"/>
        <w:spacing w:lineRule="auto" w:line="240" w:before="105" w:after="0"/>
        <w:ind w:left="0" w:right="0" w:hanging="0"/>
        <w:jc w:val="left"/>
        <w:rPr/>
      </w:pPr>
      <w:r>
        <w:rPr/>
        <w:t xml:space="preserve">Nästa steg </w:t>
      </w:r>
    </w:p>
    <w:p>
      <w:pPr>
        <w:pStyle w:val="Normal"/>
        <w:widowControl w:val="false"/>
        <w:spacing w:lineRule="auto" w:line="240" w:before="107" w:after="0"/>
        <w:ind w:left="0" w:right="0" w:hanging="0"/>
        <w:jc w:val="left"/>
        <w:rPr>
          <w:rFonts w:ascii="Calibri" w:hAnsi="Calibri"/>
          <w:color w:val="000000"/>
          <w:sz w:val="21"/>
        </w:rPr>
      </w:pPr>
      <w:r>
        <w:rPr>
          <w:rFonts w:ascii="Calibri" w:hAnsi="Calibri"/>
          <w:color w:val="000000"/>
          <w:sz w:val="21"/>
        </w:rPr>
        <w:t xml:space="preserve">Konferensen om Europas framtid samlar alla EU-medborgares idéer, åsikter och rekommendationer. Mötena kommer inte bara att ägnas åt resultaten av alla medborgardialoger på nationell nivå, utan också till resultaten av andra initiativ som inletts inom ramen för konferensen. Det finns till exempel också paneler av europeiska medborgare, och alla EU-medborgare (inklusive nederländska medborgare) kan få tillgång till en europeisk digital plattform. </w:t>
      </w:r>
      <w:r>
        <w:br w:type="page"/>
      </w:r>
    </w:p>
    <w:p>
      <w:pPr>
        <w:pStyle w:val="P68B1DB1Normal19"/>
        <w:widowControl w:val="false"/>
        <w:spacing w:lineRule="auto" w:line="240"/>
        <w:ind w:left="0" w:right="0" w:hanging="0"/>
        <w:jc w:val="left"/>
        <w:rPr/>
      </w:pPr>
      <w:r>
        <w:rPr/>
        <w:t xml:space="preserve"> </w:t>
      </w:r>
    </w:p>
    <w:p>
      <w:pPr>
        <w:pStyle w:val="P68B1DB1Normal113"/>
        <w:widowControl w:val="false"/>
        <w:spacing w:lineRule="auto" w:line="240"/>
        <w:ind w:left="0" w:right="0" w:hanging="0"/>
        <w:jc w:val="center"/>
        <w:rPr/>
      </w:pPr>
      <w:r>
        <w:rPr/>
        <w:t>”</w:t>
      </w:r>
      <w:r>
        <w:rPr/>
        <w:t xml:space="preserve">Jag hoppas att EU:s ledare kommer att ta hänsyn till min åsikt. Och att det kommer att hjälpa dem att göra rätt val. </w:t>
      </w:r>
    </w:p>
    <w:p>
      <w:pPr>
        <w:pStyle w:val="P68B1DB1Normal104"/>
        <w:widowControl w:val="false"/>
        <w:spacing w:lineRule="auto" w:line="240" w:before="300" w:after="0"/>
        <w:ind w:left="0" w:right="0" w:hanging="0"/>
        <w:jc w:val="left"/>
        <w:rPr/>
      </w:pPr>
      <w:r>
        <w:rPr/>
        <w:t xml:space="preserve">Deltagare i den tematiska dialogen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Konferensen avslutas våren 2022. Nederländerna kommer därefter att utarbeta en slutrapport om medborgardialogen: en sammanställning av denna rapport och den föregående rapporten, inklusive rekommendationer för alla nio teman. Efter konferensen kommer rekommendationer att lämnas till utskottsordföranden: ordförandena för Europaparlamentet, ministerrådet och Europeiska kommissionen. De åtog sig att undersöka sätt och medel för att genomföra rekommendationerna. För den nederländska regeringen är resultaten också ett värdefullt bidrag till utvecklingen av Nederländernas europeiska politik.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Sammanfattningsvis kommer processen fram till våren 2022 att organiseras enligt följande: </w:t>
      </w:r>
      <w:r>
        <w:br w:type="page"/>
      </w:r>
    </w:p>
    <w:p>
      <w:pPr>
        <w:pStyle w:val="P68B1DB1Normal127"/>
        <w:widowControl w:val="false"/>
        <w:spacing w:lineRule="auto" w:line="240" w:before="0" w:after="0"/>
        <w:ind w:left="0" w:right="0" w:hanging="0"/>
        <w:jc w:val="left"/>
        <w:rPr/>
      </w:pPr>
      <w:r>
        <w:rPr>
          <w:color w:val="0070C0"/>
          <w:sz w:val="24"/>
        </w:rPr>
        <w:t>Kronologi</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Visionen om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707"/>
        <w:gridCol w:w="854"/>
        <w:gridCol w:w="853"/>
        <w:gridCol w:w="913"/>
        <w:gridCol w:w="340"/>
        <w:gridCol w:w="1347"/>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12 oktober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22/23 oktober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3 december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14 januari</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21/22 januari</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Februari</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18/19 februari</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11–12 mars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22/24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Samla idéer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Tematiska dialoger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Mellanliggande resultat (mellanrapport)</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Delrapport om ”Ekonomik” och ”Demokrati”</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Interimsrapport om ”Klimat” och ”EU i världen”</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Slutrapport ”Vår vision för Europa”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SVENSKA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SVENSKA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SVENSKA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SVENSKA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SVENSKA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Konferensens möte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Konferensens möte</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Möte från </w:t>
              <w:br/>
              <w:t>konferensen</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(eventuellt) konferensmöte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Avslutningsevenemang för konferensen</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LÄS MER → </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Rekommendationer till ordförandena </w:t>
            </w:r>
          </w:p>
          <w:p>
            <w:pPr>
              <w:pStyle w:val="P68B1DB1Contenudetableau128"/>
              <w:spacing w:before="57" w:after="57"/>
              <w:jc w:val="left"/>
              <w:rPr/>
            </w:pPr>
            <w:r>
              <w:rPr/>
              <w:t xml:space="preserve">• </w:t>
            </w:r>
            <w:r>
              <w:rPr/>
              <w:t xml:space="preserve">Europaparlamentet </w:t>
              <w:br/>
              <w:t xml:space="preserve">• Europeiska kommissionen </w:t>
              <w:br/>
              <w:t>• Ministerrådet</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8" w:type="dxa"/>
            <w:gridSpan w:val="9"/>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Fler åsikter och idéer om Europas framtid:</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Dialoger med medborgarna</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De europeiska medborgarpanelerna</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3"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Europeisk digital plattform (även för nederländska medborgare)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pPr>
      <w:r>
        <w:rPr/>
        <w:t xml:space="preserve">Förklaringar för att underlätta läsningen </w:t>
      </w:r>
    </w:p>
    <w:p>
      <w:pPr>
        <w:pStyle w:val="P68B1DB1Normal104"/>
        <w:widowControl w:val="false"/>
        <w:spacing w:lineRule="exact" w:line="281" w:before="116" w:after="0"/>
        <w:ind w:left="0" w:right="772" w:hanging="0"/>
        <w:jc w:val="left"/>
        <w:rPr/>
      </w:pPr>
      <w:r>
        <w:rPr/>
        <w:t xml:space="preserve">I detta betänkande diskuterade vi fyra teman. För varje tema har vi successivt inkluderat: </w:t>
      </w:r>
    </w:p>
    <w:p>
      <w:pPr>
        <w:pStyle w:val="P68B1DB1Normal104"/>
        <w:widowControl w:val="false"/>
        <w:spacing w:lineRule="exact" w:line="339" w:before="1" w:after="0"/>
        <w:ind w:left="0" w:right="0" w:hanging="0"/>
        <w:jc w:val="left"/>
        <w:rPr/>
      </w:pPr>
      <w:r>
        <w:rPr/>
        <w:t xml:space="preserve">rekommendationer baserade på alla aspekter av medborgardialogen. </w:t>
      </w:r>
    </w:p>
    <w:p>
      <w:pPr>
        <w:pStyle w:val="P68B1DB1Normal104"/>
        <w:widowControl w:val="false"/>
        <w:spacing w:lineRule="exact" w:line="283"/>
        <w:ind w:left="0" w:right="137" w:hanging="0"/>
        <w:jc w:val="left"/>
        <w:rPr/>
      </w:pPr>
      <w:r>
        <w:rPr/>
        <w:t xml:space="preserve">diskussioner och idéer på nätet och på plats: Översikt över de yttranden, idéer och åsikter som utbyts (online och med fysisk närvaro) under tematiska dialoger. </w:t>
      </w:r>
    </w:p>
    <w:p>
      <w:pPr>
        <w:pStyle w:val="P68B1DB1Normal104"/>
        <w:widowControl w:val="false"/>
        <w:spacing w:lineRule="exact" w:line="339"/>
        <w:ind w:left="0" w:right="0" w:hanging="0"/>
        <w:jc w:val="left"/>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En beskrivning av den metod som använts i undersökningen finns i slutet av denna rapport. </w:t>
      </w:r>
      <w:r>
        <w:br w:type="page"/>
      </w:r>
    </w:p>
    <w:p>
      <w:pPr>
        <w:pStyle w:val="P68B1DB1Normal125"/>
        <w:widowControl w:val="false"/>
        <w:spacing w:lineRule="auto" w:line="240"/>
        <w:ind w:left="0" w:right="0" w:hanging="0"/>
        <w:jc w:val="left"/>
        <w:rPr/>
      </w:pPr>
      <w:r>
        <w:rPr/>
        <w:t xml:space="preserve">Klimatförändringar och miljö </w:t>
      </w:r>
    </w:p>
    <w:p>
      <w:pPr>
        <w:pStyle w:val="P68B1DB1Normal126"/>
        <w:widowControl w:val="false"/>
        <w:spacing w:lineRule="auto" w:line="240" w:before="48" w:after="0"/>
        <w:ind w:left="0" w:right="0" w:hanging="0"/>
        <w:jc w:val="left"/>
        <w:rPr/>
      </w:pPr>
      <w:r>
        <w:rPr/>
        <w:t xml:space="preserve">Rekommendationer – Vår vision för klimatförändringar och miljö </w:t>
      </w:r>
    </w:p>
    <w:p>
      <w:pPr>
        <w:pStyle w:val="P68B1DB1Normal120"/>
        <w:widowControl w:val="false"/>
        <w:spacing w:lineRule="auto" w:line="240" w:before="61" w:after="0"/>
        <w:ind w:left="0" w:right="0" w:hanging="0"/>
        <w:jc w:val="left"/>
        <w:rPr/>
      </w:pPr>
      <w:r>
        <w:rPr/>
        <w:t xml:space="preserve">71 % av Nederländerna anser att klimatförändringarna och miljön är en viktig fråga och att EU måste ingripa på detta område. </w:t>
      </w:r>
    </w:p>
    <w:p>
      <w:pPr>
        <w:pStyle w:val="P68B1DB1Normal110"/>
        <w:widowControl w:val="false"/>
        <w:spacing w:lineRule="auto" w:line="240" w:before="57" w:after="0"/>
        <w:ind w:left="0" w:right="0" w:hanging="0"/>
        <w:jc w:val="left"/>
        <w:rPr/>
      </w:pPr>
      <w:r>
        <w:rPr>
          <w:b/>
        </w:rPr>
        <w:t xml:space="preserve">1. Att välja en tydlig riktning för den europeiska strategin för klimatförändringar </w:t>
      </w:r>
      <w:r>
        <w:rPr>
          <w:sz w:val="21"/>
        </w:rPr>
        <w:t xml:space="preserve">68 % av Nederländerna anser att EU måste spela en ledande roll i kampen mot klimatförändringarna. Den globala uppvärmningen är ett problem och inget land kan lösa det ensamt. Även om holländarna inte är överens om klimatförändringarna anser vi att EU ändå måste ha en tydligare framtidsvision. Trots den gröna given ser vi för närvarande att medlemsstaterna ofta inte är anpassade. Även om länderna måste kunna fortsätta att göra sina egna val, måste de ändå samarbeta för att uppnå samma mål. Vi anser också att vi som medborgare också har vår egen del av ansvaret, till exempel när det gäller att anpassa våra konsumtionsvanor. </w:t>
      </w:r>
    </w:p>
    <w:p>
      <w:pPr>
        <w:pStyle w:val="P68B1DB1Normal113"/>
        <w:widowControl w:val="false"/>
        <w:spacing w:lineRule="auto" w:line="240" w:before="135" w:after="0"/>
        <w:ind w:left="0" w:right="0" w:hanging="0"/>
        <w:jc w:val="center"/>
        <w:rPr/>
      </w:pPr>
      <w:r>
        <w:rPr/>
        <w:t xml:space="preserve">Nederländerna vill överge naturgas, medan det i Tyskland just uppmuntras att använda den. Ibland är det att inte förstå någonting. </w:t>
      </w:r>
    </w:p>
    <w:p>
      <w:pPr>
        <w:pStyle w:val="P68B1DB1Normal111"/>
        <w:widowControl w:val="false"/>
        <w:spacing w:lineRule="auto" w:line="240" w:before="109" w:after="0"/>
        <w:ind w:left="0" w:right="0" w:hanging="0"/>
        <w:jc w:val="left"/>
        <w:rPr/>
      </w:pPr>
      <w:r>
        <w:rPr/>
        <w:t xml:space="preserve">2. Se till att länder och företag samarbetar närmare för att hitta riktade lösningar </w:t>
      </w:r>
    </w:p>
    <w:p>
      <w:pPr>
        <w:pStyle w:val="P68B1DB1Normal104"/>
        <w:widowControl w:val="false"/>
        <w:spacing w:lineRule="auto" w:line="240"/>
        <w:ind w:left="0" w:right="0" w:hanging="0"/>
        <w:jc w:val="left"/>
        <w:rPr/>
      </w:pPr>
      <w:r>
        <w:rPr/>
        <w:t xml:space="preserve">När det gäller klimatförändringar och miljö, finner holländarna att länder ofta pekar sina fingrar. Fokus ligger ofta på skillnader, till exempel mellan fattiga och rika länder inom EU. Eller mellan starkt industrialiserade eller svagt industrialiserade länder. Vi föredrar att försöka nå överenskommelser. Till exempel kan liknande företag i olika länder utbyta kunskap och tänka tillsammans om lösningar. Om detta gjordes skulle fattigare länder kunna vara mer delaktiga i klimatförändringsstrategin. De kan delta i reflektionen och kan också dra nytta av gemensamma lösningar. </w:t>
      </w:r>
    </w:p>
    <w:p>
      <w:pPr>
        <w:pStyle w:val="P68B1DB1Normal113"/>
        <w:widowControl w:val="false"/>
        <w:spacing w:lineRule="auto" w:line="240" w:before="143" w:after="0"/>
        <w:ind w:left="0" w:right="0" w:hanging="0"/>
        <w:jc w:val="center"/>
        <w:rPr/>
      </w:pPr>
      <w:r>
        <w:rPr/>
        <w:t xml:space="preserve">Strategin för klimatförändringar bör inte vara en kapplöpning, utan ett samarbete. </w:t>
      </w:r>
    </w:p>
    <w:p>
      <w:pPr>
        <w:pStyle w:val="P68B1DB1Normal111"/>
        <w:widowControl w:val="false"/>
        <w:spacing w:lineRule="auto" w:line="240" w:before="107" w:after="0"/>
        <w:ind w:left="0" w:right="0" w:hanging="0"/>
        <w:jc w:val="left"/>
        <w:rPr/>
      </w:pPr>
      <w:r>
        <w:rPr/>
        <w:t xml:space="preserve">3. Skapa ett koldioxidsystem som är rättvist och genomförbart i praktiken </w:t>
      </w:r>
    </w:p>
    <w:p>
      <w:pPr>
        <w:pStyle w:val="P68B1DB1Normal104"/>
        <w:widowControl w:val="false"/>
        <w:spacing w:lineRule="auto" w:line="240"/>
        <w:ind w:left="0" w:right="0" w:hanging="0"/>
        <w:jc w:val="left"/>
        <w:rPr/>
      </w:pPr>
      <w:r>
        <w:rPr/>
        <w:t xml:space="preserve">EU:s strategi för klimatförändringar lägger stor vikt vid att minska koldioxidutsläppen. Nederländerna anser att det finns ett behov av ett bättre system för detta ändamål, vilket skulle göra det möjligt för både producenter och konsumenter att beskattas rättvist. Holländarna är uppdelade i huruvida de länder som har flest invånare har rätt att släppa ut mer koldioxid. Vissa länder har till exempel en mycket förorenande industri. Å andra sidan har andra länder många möjligheter att producera grön energi. Dessa skillnader bör beaktas. Utan att detta blir för komplicerat, för systemet måste vara begripligt för alla. </w:t>
      </w:r>
    </w:p>
    <w:p>
      <w:pPr>
        <w:pStyle w:val="P68B1DB1Normal129"/>
        <w:widowControl w:val="false"/>
        <w:spacing w:lineRule="auto" w:line="240" w:before="135" w:after="0"/>
        <w:ind w:left="0" w:right="0" w:hanging="0"/>
        <w:jc w:val="center"/>
        <w:rPr/>
      </w:pPr>
      <w:r>
        <w:rPr>
          <w:sz w:val="26"/>
        </w:rPr>
        <w:t>Industriländerna exporterar mycket. Måste de alltså bara betala</w:t>
      </w:r>
      <w:r>
        <w:rPr>
          <w:position w:val="0"/>
          <w:sz w:val="17"/>
        </w:rPr>
        <w:t>koldioxidskatten</w:t>
      </w:r>
      <w:r>
        <w:rPr>
          <w:sz w:val="26"/>
        </w:rPr>
        <w:t xml:space="preserve">? Enligt min mening bör konsumenten också betala. </w:t>
      </w:r>
    </w:p>
    <w:p>
      <w:pPr>
        <w:pStyle w:val="P68B1DB1Normal120"/>
        <w:widowControl w:val="false"/>
        <w:spacing w:lineRule="auto" w:line="240" w:before="107" w:after="0"/>
        <w:ind w:left="0" w:right="0" w:hanging="0"/>
        <w:jc w:val="left"/>
        <w:rPr/>
      </w:pPr>
      <w:r>
        <w:rPr/>
        <w:t xml:space="preserve"> </w:t>
      </w:r>
    </w:p>
    <w:p>
      <w:pPr>
        <w:pStyle w:val="P68B1DB1Normal110"/>
        <w:widowControl w:val="false"/>
        <w:spacing w:lineRule="auto" w:line="240"/>
        <w:ind w:left="0" w:right="0" w:hanging="0"/>
        <w:jc w:val="both"/>
        <w:rPr/>
      </w:pPr>
      <w:r>
        <w:rPr>
          <w:b/>
        </w:rPr>
        <w:t xml:space="preserve">4. Kommunicera på ett tydligare och mer positivt sätt om klimatstrategin </w:t>
      </w:r>
      <w:r>
        <w:rPr>
          <w:sz w:val="21"/>
        </w:rPr>
        <w:t xml:space="preserve">Det holländska folket hör mycket om klimatförändringarna och läser mycket om det. Detta är dock ett abstrakt och komplext ämne för många människor. Det uppfattas ofta som något som kostar mycket pengar, medan inställningen till klimatförändringar också skapar möjligheter. Vi tänker till exempel på att stimulera lokal livsmedelsproduktion och utveckla ny och hållbar teknik. EU skulle kunna avslöja denna aspekt oftare och mer effektivt. Vi anser också att medlemsstaternas regeringschefer själva skulle kunna föregå med gott exempel. Att resa mindre – till exempel mellan Bryssel och Strasbourg – och att träffas oftare på nätet skulle till exempel kunna bidra till att stödja hållbarheten. </w:t>
      </w:r>
    </w:p>
    <w:p>
      <w:pPr>
        <w:pStyle w:val="P68B1DB1Normal113"/>
        <w:widowControl w:val="false"/>
        <w:spacing w:lineRule="auto" w:line="240" w:before="61" w:after="0"/>
        <w:ind w:left="0" w:right="0" w:hanging="0"/>
        <w:jc w:val="center"/>
        <w:rPr/>
      </w:pPr>
      <w:r>
        <w:rPr/>
        <w:t xml:space="preserve">Hållbarhet uppfattas fortfarande alltför ofta som en kostnad. Det bör ses som en möjlighet och inte ett hot. </w:t>
      </w:r>
    </w:p>
    <w:p>
      <w:pPr>
        <w:pStyle w:val="P68B1DB1Normal126"/>
        <w:widowControl w:val="false"/>
        <w:spacing w:lineRule="auto" w:line="240" w:before="129" w:after="0"/>
        <w:ind w:left="0" w:right="0" w:hanging="0"/>
        <w:jc w:val="left"/>
        <w:rPr/>
      </w:pPr>
      <w:r>
        <w:rPr/>
        <w:t xml:space="preserve">Diskussioner och idéer online och på plats </w:t>
      </w:r>
    </w:p>
    <w:p>
      <w:pPr>
        <w:pStyle w:val="P68B1DB1Normal129"/>
        <w:widowControl w:val="false"/>
        <w:spacing w:lineRule="auto" w:line="240" w:before="78" w:after="0"/>
        <w:ind w:left="0" w:right="0" w:hanging="0"/>
        <w:jc w:val="left"/>
        <w:rPr/>
      </w:pPr>
      <w:r>
        <w:rPr>
          <w:sz w:val="21"/>
        </w:rPr>
        <w:t>Vi bör inte betrakta koldioxidutsläppen som</w:t>
      </w:r>
      <w:r>
        <w:rPr>
          <w:position w:val="0"/>
          <w:sz w:val="14"/>
        </w:rPr>
        <w:t>en</w:t>
      </w:r>
      <w:r>
        <w:rPr>
          <w:sz w:val="21"/>
        </w:rPr>
        <w:t xml:space="preserve"> rättighet, utan som en besvärlig följd. </w:t>
      </w:r>
    </w:p>
    <w:p>
      <w:pPr>
        <w:pStyle w:val="P68B1DB1Normal104"/>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Jag har intrycket att vi i Europa ägnar mer tid åt att prata om klimatförändringar än att vidta verkliga åtgärder för att ta itu med den.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Striktare klimatregler kan i slutändan också vara till nytta för oss. Som en kontinent som bedriver handel måste vi försöka se möjligheter där.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Vi kan inte vänta på andra kontinenter. Vi har inte tid att vänta.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IDE:</w:t>
      </w:r>
      <w:r>
        <w:rPr>
          <w:i/>
        </w:rPr>
        <w:t xml:space="preserve"> Belöna länder ekonomiskt om de visar att deras natur och biologiska mångfald ökar.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IDE:</w:t>
      </w:r>
      <w:r>
        <w:rPr>
          <w:i/>
        </w:rPr>
        <w:t xml:space="preserve"> ”Stimulering av naturvänlig turism i fattiga regioner i EU.”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Doetinchem Yrkesstuderande: Avlägsna resor måste vara tillgängliga för alla.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Avhandlingen att flyg inom EU ska bli dyrare lämnades in till studenter vid Graafschap College i Doetinchem. Vissa studenter var överens om att dyrare biljetter skulle uppmuntra människor att leta efter billigare alternativ. Dessutom betonades att EU sedan bör säkerställa mer miljövänliga alternativ, t.ex. bättre järnvägsförbindelser. Andra deltagare uppgav att de inte var positiva till högre priser på flygbiljetter. ”Rika människor är de som reser mest idag och de kommer att kunna betala för det lätt”, säger en deltagare. Höga priser kommer inte att hindra dem från att resa. Medan avlägsna semester kommer då att bli omöjligt för ”vanliga” medborgare. </w:t>
      </w:r>
    </w:p>
    <w:p>
      <w:pPr>
        <w:pStyle w:val="P68B1DB1Normal118"/>
        <w:widowControl w:val="false"/>
        <w:spacing w:lineRule="auto" w:line="240"/>
        <w:ind w:left="0" w:right="0" w:hanging="0"/>
        <w:jc w:val="left"/>
        <w:rPr/>
      </w:pPr>
      <w:r>
        <w:rPr/>
        <w:t xml:space="preserve">Naturvänliga jordbrukare: ”EU skulle kunna bidra till att sprida kunskap om hållbara lösningar.”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BoerenNatuur är en sammanslutning av lantbrukargrupper. Under den tematiska dialogen fokuserade samtalet på klimatförändringar och miljö. </w:t>
      </w:r>
    </w:p>
    <w:p>
      <w:pPr>
        <w:pStyle w:val="Normal"/>
        <w:widowControl w:val="false"/>
        <w:spacing w:lineRule="auto" w:line="240"/>
        <w:ind w:left="0" w:right="0" w:hanging="0"/>
        <w:jc w:val="left"/>
        <w:rPr/>
      </w:pPr>
      <w:r>
        <w:rPr>
          <w:rFonts w:ascii="Calibri" w:hAnsi="Calibri"/>
          <w:color w:val="000000"/>
          <w:sz w:val="21"/>
        </w:rPr>
        <w:t>Vad som sannolikt kommer att förbättras enligt deltagarna är att olika länder tillämpar EU:s lagstiftning och bestämmelser. Kvävedokumentationen citerades som ett exempel. ”EU-lagstiftningen säger bara att ett naturområde inte kan försämras”. Men i södra Europa tolkas detta begrepp annorlunda än i Nederländerna.” De flesta av de närvarande är överens om att Europa måste spela en ledande roll i kampen mot klimatförändringarna. Och vi får inte nöja oss med tal, vi måste uppnå resultat. Särskilt genom kunskapsutbyte tror bönderna. Inom jordbrukssektorn arbetar vi med lösningar för att</w:t>
      </w:r>
      <w:r>
        <w:rPr>
          <w:rFonts w:ascii="Calibri" w:hAnsi="Calibri"/>
          <w:color w:val="000000"/>
          <w:sz w:val="21"/>
        </w:rPr>
        <w:commentReference w:id="27"/>
      </w:r>
      <w:r>
        <w:rPr>
          <w:rFonts w:ascii="Calibri" w:hAnsi="Calibri"/>
          <w:color w:val="000000"/>
          <w:sz w:val="21"/>
        </w:rPr>
        <w:t xml:space="preserve"> uppnå ett renare jordbruk. EU måste bidra till att snabbt sprida kunskap på detta område.” </w:t>
      </w:r>
      <w:r>
        <w:br w:type="page"/>
      </w:r>
    </w:p>
    <w:p>
      <w:pPr>
        <w:pStyle w:val="P68B1DB1Normal127"/>
        <w:widowControl w:val="false"/>
        <w:spacing w:lineRule="auto" w:line="240"/>
        <w:ind w:left="0" w:right="0" w:hanging="0"/>
        <w:jc w:val="left"/>
        <w:rPr/>
      </w:pPr>
      <w:r>
        <w:rPr>
          <w:b/>
          <w:color w:val="0070C0"/>
          <w:sz w:val="32"/>
        </w:rPr>
        <w:t>Migration</w:t>
      </w:r>
      <w:r>
        <w:rPr>
          <w:color w:val="365F91"/>
          <w:sz w:val="28"/>
        </w:rPr>
        <w:t xml:space="preserve"> </w:t>
      </w:r>
      <w:r>
        <w:rPr>
          <w:color w:val="0070C0"/>
          <w:sz w:val="21"/>
        </w:rPr>
        <w:t xml:space="preserve">(migration och flyktingar) </w:t>
      </w:r>
    </w:p>
    <w:p>
      <w:pPr>
        <w:pStyle w:val="P68B1DB1Normal20"/>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Gränserna mellan EU:s medlemsstater är öppna. Det pågår därför samarbete inom EU om t.ex. förvaltningen av de yttre gränserna och kampen mot smuggling av migranter. En rättvis fördelning av flyktingarna mellan de olika EU-medlemsstaterna diskuteras också. Vad är Nederländernas syn på detta? </w:t>
      </w:r>
    </w:p>
    <w:p>
      <w:pPr>
        <w:pStyle w:val="P68B1DB1Normal126"/>
        <w:widowControl w:val="false"/>
        <w:spacing w:lineRule="auto" w:line="240" w:before="93" w:after="0"/>
        <w:ind w:left="0" w:right="0" w:hanging="0"/>
        <w:jc w:val="left"/>
        <w:rPr/>
      </w:pPr>
      <w:r>
        <w:rPr/>
        <w:t xml:space="preserve">Rekommendationer – Vår vision om migration och flyktingar </w:t>
      </w:r>
    </w:p>
    <w:p>
      <w:pPr>
        <w:pStyle w:val="P68B1DB1Normal120"/>
        <w:widowControl w:val="false"/>
        <w:spacing w:lineRule="auto" w:line="240" w:before="90" w:after="0"/>
        <w:ind w:left="0" w:right="0" w:hanging="0"/>
        <w:jc w:val="left"/>
        <w:rPr/>
      </w:pPr>
      <w:r>
        <w:rPr/>
        <w:t xml:space="preserve">65 % av Nederländerna anser att migration och flyktingar är en viktig fråga och att EU måste ingripa på detta område. </w:t>
      </w:r>
    </w:p>
    <w:p>
      <w:pPr>
        <w:pStyle w:val="P68B1DB1Normal111"/>
        <w:widowControl w:val="false"/>
        <w:spacing w:lineRule="auto" w:line="240" w:before="83" w:after="0"/>
        <w:ind w:left="0" w:right="0" w:hanging="0"/>
        <w:jc w:val="left"/>
        <w:rPr/>
      </w:pPr>
      <w:r>
        <w:rPr/>
        <w:t xml:space="preserve">1. Undvik att debatter om flyktingfrågan är för lite nyanserade </w:t>
      </w:r>
    </w:p>
    <w:p>
      <w:pPr>
        <w:pStyle w:val="P68B1DB1Normal104"/>
        <w:widowControl w:val="false"/>
        <w:spacing w:lineRule="auto" w:line="240"/>
        <w:ind w:left="0" w:right="0" w:hanging="0"/>
        <w:jc w:val="left"/>
        <w:rPr/>
      </w:pPr>
      <w:r>
        <w:rPr/>
        <w:t xml:space="preserve">70 % av Nederländerna anser att EU:s yttre gränser måste skyddas bättre. Och av dessa anser 72 procent också att det innebär att fler flyktingar återvänder till osäkra länder. Holländarna anser att mer uppmärksamhet bör ägnas åt orsakerna till att människor flyr ett osäkert land. Dessa orsaker är ibland kopplade till klimatförändringar, ibland till krig. Dessa sammanhang nämns ofta endast i begränsad utsträckning i debatten om flyktingfrågan. Det mervärde som dessa flyktingar tillför ett land tas också sällan upp. Slutligen anser vi att EU måste göra en tydligare åtskillnad mellan människor från osäkra regioner som befinner sig vid gränserna och ekonomiska flyktingar. Sammanfattningsvis finner vi att debatterna om migration och flyktingar i allmänhet saknar sammanhang och nyanser. De europeiska politikerna skulle kunna åtgärda denna situation genom att föregå med gott exempel. </w:t>
      </w:r>
    </w:p>
    <w:p>
      <w:pPr>
        <w:pStyle w:val="P68B1DB1Normal113"/>
        <w:widowControl w:val="false"/>
        <w:spacing w:lineRule="auto" w:line="240" w:before="173" w:after="0"/>
        <w:ind w:left="0" w:right="0" w:hanging="0"/>
        <w:jc w:val="center"/>
        <w:rPr/>
      </w:pPr>
      <w:r>
        <w:rPr/>
        <w:t xml:space="preserve">Vi måste fortsätta att betrakta flyktingarna först och främst som våra medborgare. För nästan ingen kommer att överge en person i nöd. </w:t>
      </w:r>
    </w:p>
    <w:p>
      <w:pPr>
        <w:pStyle w:val="P68B1DB1Normal111"/>
        <w:widowControl w:val="false"/>
        <w:spacing w:lineRule="auto" w:line="240" w:before="138" w:after="0"/>
        <w:ind w:left="0" w:right="0" w:hanging="0"/>
        <w:jc w:val="left"/>
        <w:rPr/>
      </w:pPr>
      <w:r>
        <w:rPr/>
        <w:t xml:space="preserve">2. Definiera vad en rättvis och praktisk fördelning av flyktingar är </w:t>
      </w:r>
    </w:p>
    <w:p>
      <w:pPr>
        <w:pStyle w:val="P68B1DB1Normal104"/>
        <w:widowControl w:val="false"/>
        <w:spacing w:lineRule="auto" w:line="240"/>
        <w:ind w:left="0" w:right="0" w:hanging="0"/>
        <w:jc w:val="both"/>
        <w:rPr/>
      </w:pPr>
      <w:r>
        <w:rPr/>
        <w:t xml:space="preserve">En europeisk invandringstjänst bör se till att flyktingarna fördelas rättvist mellan EU:s medlemsstater. Nederländerna anser också att tydliga kriterier bör fastställas för att definiera vad en rättvis fördelning är. Ett bra socialt system kan till exempel göra ett land attraktivt för flyktingar, men andra faktorer är också viktiga för både flyktingar och det berörda landet. I Nederländerna står vi inför bostadsbrist, medan vissa länder eller sektorer helt enkelt behöver fler migrerande arbetstagare. Vi anser att det är viktigt att EU tar hänsyn till detta vid fördelningen av flyktingar. Tydliga mekanismer garanterar inte bara öppenhet, utan också mindre tvist, vilket i slutändan ligger i allas intresse. </w:t>
      </w:r>
    </w:p>
    <w:p>
      <w:pPr>
        <w:pStyle w:val="P68B1DB1Normal113"/>
        <w:widowControl w:val="false"/>
        <w:spacing w:lineRule="auto" w:line="240" w:before="173" w:after="0"/>
        <w:ind w:left="0" w:right="0" w:hanging="0"/>
        <w:jc w:val="center"/>
        <w:rPr/>
      </w:pPr>
      <w:r>
        <w:rPr/>
        <w:t xml:space="preserve">Flyktingar måste också kunna uttrycka sina talanger i ett destinationsland. </w:t>
      </w:r>
    </w:p>
    <w:p>
      <w:pPr>
        <w:pStyle w:val="P68B1DB1Normal111"/>
        <w:widowControl w:val="false"/>
        <w:spacing w:lineRule="auto" w:line="240" w:before="136" w:after="0"/>
        <w:ind w:left="0" w:right="0" w:hanging="0"/>
        <w:jc w:val="left"/>
        <w:rPr/>
      </w:pPr>
      <w:r>
        <w:rPr/>
        <w:t xml:space="preserve">3. Bygga vidare på de kunskaper och erfarenheter som gjorts för att hjälpa ursprungsregioner </w:t>
      </w:r>
    </w:p>
    <w:p>
      <w:pPr>
        <w:pStyle w:val="P68B1DB1Normal104"/>
        <w:widowControl w:val="false"/>
        <w:spacing w:lineRule="auto" w:line="240" w:before="86" w:after="0"/>
        <w:ind w:left="0" w:right="0" w:hanging="0"/>
        <w:jc w:val="left"/>
        <w:rPr/>
      </w:pPr>
      <w:r>
        <w:rPr/>
        <w:t xml:space="preserve">67 % av holländarna anser att EU ytterligare behöver hjälpa osäkra regioner att hejda flyktingströmmarna. Vi inser att flyktingar inte lämnar sitt land genom ett enkelt val. Så vi måste titta på de orsaker, såsom klimatförändringar eller konflikter, som gör regioner osäkra eller olivbara. EU kan hjälpa flyktingregionerna inte bara med ekonomiskt stöd, utan också genom kunskap. I Nederländerna har vi till exempel goda kunskaper inom jordbruket. Med moderna jordbruksmetoder kan vi hjälpa andra länder att klara sig bättre med torka och försaltning. Och människor som har tagit sin tillflykt till Europa kan delta i utbildning i ett europeiskt land och sedan hjälpa sitt ursprungsland själva.  </w:t>
      </w:r>
    </w:p>
    <w:p>
      <w:pPr>
        <w:pStyle w:val="P68B1DB1Normal104"/>
        <w:widowControl w:val="false"/>
        <w:spacing w:lineRule="auto" w:line="240" w:before="94" w:after="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Diskussioner och idéer online och på plats </w:t>
      </w:r>
    </w:p>
    <w:p>
      <w:pPr>
        <w:pStyle w:val="P68B1DB1Normal118"/>
        <w:widowControl w:val="false"/>
        <w:spacing w:lineRule="auto" w:line="240" w:before="85" w:after="0"/>
        <w:ind w:left="0" w:right="0" w:hanging="0"/>
        <w:jc w:val="left"/>
        <w:rPr/>
      </w:pPr>
      <w:r>
        <w:rPr/>
        <w:t>”</w:t>
      </w:r>
      <w:r>
        <w:rPr/>
        <w:t xml:space="preserve">EU måste införa snabbare asylförfaranden. Så det kommer att finnas mer utrymme för människor som verkligen behöver det. </w:t>
      </w:r>
    </w:p>
    <w:p>
      <w:pPr>
        <w:pStyle w:val="P68B1DB1Normal118"/>
        <w:widowControl w:val="false"/>
        <w:spacing w:lineRule="auto" w:line="240"/>
        <w:ind w:left="0" w:right="0" w:hanging="0"/>
        <w:jc w:val="left"/>
        <w:rPr/>
      </w:pPr>
      <w:r>
        <w:rPr/>
        <w:t xml:space="preserve">Jag känner många ungdomar runt omkring mig som vill köpa ett hus, men som inte hittar något överkomligt, medan flyktingar ser sig själva erbjuda bostäder. Jag tycker det är svårt att acceptera. </w:t>
      </w:r>
    </w:p>
    <w:p>
      <w:pPr>
        <w:pStyle w:val="P68B1DB1Normal118"/>
        <w:widowControl w:val="false"/>
        <w:spacing w:lineRule="auto" w:line="240"/>
        <w:ind w:left="0" w:right="0" w:hanging="0"/>
        <w:jc w:val="left"/>
        <w:rPr/>
      </w:pPr>
      <w:r>
        <w:rPr/>
        <w:t xml:space="preserve">Klimatförändringarna kommer ändå att leda till folkförflyttningar. Vi kan inte stoppa dessa flöden, men vi kan förmodligen reglera dem bättre. </w:t>
      </w:r>
    </w:p>
    <w:p>
      <w:pPr>
        <w:pStyle w:val="P68B1DB1Normal118"/>
        <w:widowControl w:val="false"/>
        <w:spacing w:lineRule="auto" w:line="240"/>
        <w:ind w:left="0" w:right="0" w:hanging="0"/>
        <w:jc w:val="left"/>
        <w:rPr/>
      </w:pPr>
      <w:r>
        <w:rPr/>
        <w:t xml:space="preserve">Jag bor i Betuwe. Under päron- och äppelsäsongen behöver vi helt enkelt en hel del migrerande arbetare. </w:t>
      </w:r>
    </w:p>
    <w:p>
      <w:pPr>
        <w:pStyle w:val="P68B1DB1Normal118"/>
        <w:widowControl w:val="false"/>
        <w:spacing w:lineRule="auto" w:line="240"/>
        <w:ind w:left="0" w:right="0" w:hanging="0"/>
        <w:jc w:val="left"/>
        <w:rPr/>
      </w:pPr>
      <w:r>
        <w:rPr/>
        <w:t xml:space="preserve">Osäkra regioner är inte säkra för ingenting, offentliga myndigheter är ofta otillförlitliga. Hur vet vi vart vår hjälp och våra pengar är på väg? </w:t>
      </w:r>
    </w:p>
    <w:p>
      <w:pPr>
        <w:pStyle w:val="P68B1DB1Normal104"/>
        <w:widowControl w:val="false"/>
        <w:spacing w:lineRule="auto" w:line="240"/>
        <w:ind w:left="0" w:right="0" w:hanging="0"/>
        <w:jc w:val="left"/>
        <w:rPr/>
      </w:pPr>
      <w:r>
        <w:rPr/>
        <w:t xml:space="preserve">IDE: </w:t>
      </w:r>
      <w:r>
        <w:rPr>
          <w:i/>
        </w:rPr>
        <w:t>Överväga även lokala strategier, såsom medborgarnas deltagande i det lokala mottagandet av flyktingar och finansiering av lokala integrationsinitiativ.</w:t>
      </w:r>
    </w:p>
    <w:p>
      <w:pPr>
        <w:pStyle w:val="P68B1DB1Normal104"/>
        <w:widowControl w:val="false"/>
        <w:spacing w:lineRule="auto" w:line="240"/>
        <w:ind w:left="0" w:right="0" w:hanging="0"/>
        <w:jc w:val="left"/>
        <w:rPr/>
      </w:pPr>
      <w:r>
        <w:rPr/>
        <w:t>IDE:</w:t>
      </w:r>
      <w:r>
        <w:rPr>
          <w:i/>
        </w:rPr>
        <w:t xml:space="preserve"> Bygg upp minihus i städer där flyktingar kan bo vid ankomsten. Detta skulle minska trycket på bostadsmarknaden och öka allmänhetens stöd för mottagandet av dessa människor. </w:t>
      </w:r>
    </w:p>
    <w:p>
      <w:pPr>
        <w:pStyle w:val="P68B1DB1Normal118"/>
        <w:widowControl w:val="false"/>
        <w:spacing w:lineRule="auto" w:line="240"/>
        <w:ind w:left="0" w:right="0" w:hanging="0"/>
        <w:jc w:val="left"/>
        <w:rPr/>
      </w:pPr>
      <w:r>
        <w:rPr/>
        <w:t xml:space="preserve">Volontärer som själva var flyktingar: I Europa håller sig människor ofta borta från varandra.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Taal Doet Meer är en frivilligorganisation som ser till att de nya Allofoninvånarna i Utrecht kan delta i samhället. Den tematiska dialogen med denna organisation inriktades inte bara på migration utan även på integration. Flera deltagare kom själva till Nederländerna som flyktingar, däribland en från Syrien. Efter sju år känner jag mig fortfarande inte holländsk. Jag hittade inte heller ett jobb, trots att jag fick en magisterexamen. Jag noterar att de europeiska länderna i första hand är oroade över sig själva och att de inte är särskilt öppna för andra länder och kulturer.” En annan deltagare noterade att européer ofta befinner sig långt ifrån varandra. De flesta är ensamma. alla stannar i sitt hörn. Jag tycker för min del att man måste tala med varandra och att man kan lära av varandra.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Ungdomar från Nationella ungdomsrådet: Du bör bara släppa in folk om du kan ta hand om dem. </w:t>
      </w:r>
    </w:p>
    <w:p>
      <w:pPr>
        <w:pStyle w:val="P68B1DB1Normal104"/>
        <w:widowControl w:val="false"/>
        <w:spacing w:lineRule="auto" w:line="240"/>
        <w:ind w:left="0" w:right="0" w:hanging="0"/>
        <w:jc w:val="both"/>
        <w:rPr/>
      </w:pPr>
      <w:r>
        <w:rPr/>
        <w:t xml:space="preserve">I Utrecht höll medlemmar i olika arbetsgrupper inom Nationella ungdomsrådet (CNJ) en debatt. Deltagarna (16–23 år) anser att man vid fördelningen av flyktingar i Europa måste ta hänsyn till flera aspekter, t.ex. antalet invånare, landets storlek, välståndet och antalet asylsökandes centrum. Flyktingar bör endast tillåtas att komma in i landet om de sedan kan tas om hand, säger en av dem.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Ungdomar anser också att det måste få konsekvenser när länder inte uppfyller sina åtaganden att ta emot flyktingar. De måste till exempel bötfällas. ”Och flyktingar måste också ha en uppfattning om vart de ska gå”, sade någon. Till exempel, om de redan har familj någonstans, kan vi inte skicka dem någon annanstans. </w:t>
      </w:r>
      <w:r>
        <w:br w:type="page"/>
      </w:r>
    </w:p>
    <w:p>
      <w:pPr>
        <w:pStyle w:val="P68B1DB1Normal125"/>
        <w:widowControl w:val="false"/>
        <w:spacing w:lineRule="auto" w:line="240"/>
        <w:ind w:left="0" w:right="0" w:hanging="0"/>
        <w:jc w:val="left"/>
        <w:rPr/>
      </w:pPr>
      <w:r>
        <w:rPr/>
        <w:t xml:space="preserve">Hälsa </w:t>
      </w:r>
    </w:p>
    <w:p>
      <w:pPr>
        <w:pStyle w:val="P68B1DB1Normal130"/>
        <w:widowControl w:val="false"/>
        <w:spacing w:lineRule="auto" w:line="240"/>
        <w:ind w:left="0" w:right="0" w:hanging="0"/>
        <w:jc w:val="left"/>
        <w:rPr/>
      </w:pPr>
      <w:r>
        <w:rPr/>
        <w:t xml:space="preserve">(Hälsovård) </w:t>
      </w:r>
    </w:p>
    <w:p>
      <w:pPr>
        <w:pStyle w:val="P68B1DB1Normal104"/>
        <w:widowControl w:val="false"/>
        <w:spacing w:lineRule="auto" w:line="240"/>
        <w:ind w:left="0" w:right="0" w:hanging="0"/>
        <w:jc w:val="left"/>
        <w:rPr/>
      </w:pPr>
      <w:r>
        <w:rPr/>
        <w:t xml:space="preserve">Även om hälso- och sjukvården i första hand är de enskilda ländernas ansvar kan den stödjas och stärkas genom EU:s politik, till exempel som svar på covid-19-pandemin eller andra (framtida) hälsokriser, eller genom partnerskapsforskning om allvarliga sjukdomar. Vad är Nederländernas syn på detta? </w:t>
      </w:r>
    </w:p>
    <w:p>
      <w:pPr>
        <w:pStyle w:val="P68B1DB1Normal126"/>
        <w:widowControl w:val="false"/>
        <w:spacing w:lineRule="auto" w:line="240" w:before="14" w:after="0"/>
        <w:ind w:left="0" w:right="0" w:hanging="0"/>
        <w:jc w:val="left"/>
        <w:rPr/>
      </w:pPr>
      <w:r>
        <w:rPr/>
        <w:t xml:space="preserve">Rekommendationer – Vår vision av hälso- och sjukvård </w:t>
      </w:r>
    </w:p>
    <w:p>
      <w:pPr>
        <w:pStyle w:val="P68B1DB1Normal120"/>
        <w:widowControl w:val="false"/>
        <w:spacing w:lineRule="auto" w:line="240"/>
        <w:ind w:left="0" w:right="0" w:hanging="0"/>
        <w:jc w:val="left"/>
        <w:rPr/>
      </w:pPr>
      <w:r>
        <w:rPr/>
        <w:t xml:space="preserve">64 % av Nederländerna anser att hälso- och sjukvård är en viktig fråga och att EU måste ingripa på detta område. </w:t>
      </w:r>
    </w:p>
    <w:p>
      <w:pPr>
        <w:pStyle w:val="P68B1DB1Normal111"/>
        <w:widowControl w:val="false"/>
        <w:spacing w:lineRule="auto" w:line="240" w:before="2" w:after="0"/>
        <w:ind w:left="0" w:right="0" w:hanging="0"/>
        <w:jc w:val="left"/>
        <w:rPr/>
      </w:pPr>
      <w:r>
        <w:rPr/>
        <w:t xml:space="preserve">1. Bättre kontroll över hanteringen av en pandemi </w:t>
      </w:r>
    </w:p>
    <w:p>
      <w:pPr>
        <w:pStyle w:val="P68B1DB1Normal104"/>
        <w:widowControl w:val="false"/>
        <w:spacing w:lineRule="auto" w:line="240"/>
        <w:ind w:left="0" w:right="0" w:hanging="0"/>
        <w:jc w:val="left"/>
        <w:rPr/>
      </w:pPr>
      <w:r>
        <w:rPr/>
        <w:t xml:space="preserve">83 % av holländarna anser att EU-länderna behöver arbeta mer tillsammans för att förhindra att en smittsam sjukdom sprids runt om i världen. Ett virus känner inga gränser. Detta kan vi se under den pågående pandemin. Politiken inom EU är ibland förvirrad. Detta är inte bra för att följa reglerna. Vi anser att reglerna för att bekämpa spridningen av ett virus i Europa måste samordnas bättre, utan att nödvändigtvis vara desamma överallt. Det måste finnas utrymme för lokala val. Inte bara för att antalet föroreningar kan skilja sig åt, utan också för att det finns olika kulturer i Europa. Vissa åtgärder fungerar bättre i vissa länder än i andra. </w:t>
      </w:r>
    </w:p>
    <w:p>
      <w:pPr>
        <w:pStyle w:val="P68B1DB1Normal113"/>
        <w:widowControl w:val="false"/>
        <w:spacing w:lineRule="auto" w:line="240" w:before="164" w:after="0"/>
        <w:ind w:left="0" w:right="0" w:hanging="0"/>
        <w:jc w:val="center"/>
        <w:rPr/>
      </w:pPr>
      <w:r>
        <w:rPr/>
        <w:t xml:space="preserve">Jag bor i Nederländerna, på gränsen till Tyskland. De olika åtgärder som vidtagits av de två länderna för att bekämpa coronaviruset gör mig galen.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Säkerställa tillgången till billiga och tillförlitliga läkemedel för alla</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procent av Nederländerna anser att EU måste se till att vi behöver färre tredjeländer för utveckling, produktion och leverans av läkemedel. Men om det innebär att vänta längre på att få mediciner, är åsikterna delade. Holländarna anser att tillverkning och distribution av läkemedel är en komplex fråga. Å ena sidan stiger sjukvårdskostnaderna kraftigt i Nederländerna, så vi anser att det är viktigt att hålla dem på lägsta möjliga nivå. Å andra sidan vill vi kunna lita på droger, även när de kommer från fjärran. De ska inte bara vara av kvalitet, utan också produceras på ett hållbart och etiskt ansvarsfullt sätt. I allmänhet anser vi att viktiga läkemedel måste vara tillgängliga för alla, även i fattigare länder. </w:t>
      </w:r>
    </w:p>
    <w:p>
      <w:pPr>
        <w:pStyle w:val="P68B1DB1Normal113"/>
        <w:widowControl w:val="false"/>
        <w:spacing w:lineRule="auto" w:line="240" w:before="167" w:after="0"/>
        <w:ind w:left="0" w:right="0" w:hanging="0"/>
        <w:jc w:val="both"/>
        <w:rPr/>
      </w:pPr>
      <w:r>
        <w:rPr/>
        <w:t>Sjukvårdskostnaderna är redan oöverkomliga. Så vi måste också försöka köpa de nya drogerna till lägsta möjliga pris.</w:t>
      </w:r>
      <w:r>
        <w:rPr>
          <w:b/>
        </w:rPr>
        <w:t xml:space="preserve"> </w:t>
      </w:r>
    </w:p>
    <w:p>
      <w:pPr>
        <w:pStyle w:val="P68B1DB1Normal111"/>
        <w:widowControl w:val="false"/>
        <w:spacing w:lineRule="auto" w:line="240" w:before="131" w:after="0"/>
        <w:ind w:left="0" w:right="0" w:hanging="0"/>
        <w:jc w:val="left"/>
        <w:rPr/>
      </w:pPr>
      <w:r>
        <w:rPr/>
        <w:t xml:space="preserve">3. Länderna måste fokusera på att förbättra sina hälso- och sjukvårdssystem och göra det mer rättvist. </w:t>
      </w:r>
    </w:p>
    <w:p>
      <w:pPr>
        <w:pStyle w:val="P68B1DB1Normal104"/>
        <w:widowControl w:val="false"/>
        <w:spacing w:lineRule="auto" w:line="240" w:before="85" w:after="0"/>
        <w:ind w:left="0" w:right="0" w:hanging="0"/>
        <w:jc w:val="left"/>
        <w:rPr/>
      </w:pPr>
      <w:r>
        <w:rPr/>
        <w:t xml:space="preserve">Nederländerna bryr sig mycket om hälso- och sjukvård, och denna oro går utöver effekterna av covid-19-pandemin. Vi känner till exempel på strukturella kapacitetsproblem på sjukhus. Vissa holländare har inte förtroende för effekterna av marknadskrafterna inom hälso- och sjukvårdssektorn. Vi förstår att läkemedelsföretag måste få tillbaka sina investeringar och att sjukförsäkringsfonder vill ha billig sjukvård, men stora företag bör inte missbruka sin makt. EU bör anta regler i detta avseende. Vi anser också att hälso- och sjukvården i första hand är en nationell fråga. Länderna vet bättre vad problemen och prioriteringarna är på lokal nivå. Vi anser dock att det är viktigt att de europeiska länderna kan lära av varandra för att förbättra hälso- och sjukvården. </w:t>
      </w:r>
    </w:p>
    <w:p>
      <w:pPr>
        <w:pStyle w:val="P68B1DB1Normal104"/>
        <w:widowControl w:val="false"/>
        <w:spacing w:lineRule="auto" w:line="240" w:before="94" w:after="0"/>
        <w:ind w:left="0" w:right="0" w:hanging="0"/>
        <w:jc w:val="left"/>
        <w:rPr/>
      </w:pPr>
      <w:r>
        <w:rPr/>
        <w:t xml:space="preserve"> </w:t>
      </w:r>
    </w:p>
    <w:p>
      <w:pPr>
        <w:pStyle w:val="P68B1DB1Normal126"/>
        <w:widowControl w:val="false"/>
        <w:spacing w:lineRule="auto" w:line="240"/>
        <w:ind w:left="0" w:right="0" w:hanging="0"/>
        <w:jc w:val="left"/>
        <w:rPr/>
      </w:pPr>
      <w:r>
        <w:rPr/>
        <w:t xml:space="preserve">Diskussioner och idéer online och på plats </w:t>
      </w:r>
    </w:p>
    <w:p>
      <w:pPr>
        <w:pStyle w:val="P68B1DB1Normal118"/>
        <w:widowControl w:val="false"/>
        <w:spacing w:lineRule="auto" w:line="240" w:before="95" w:after="0"/>
        <w:ind w:left="0" w:right="0" w:hanging="0"/>
        <w:jc w:val="left"/>
        <w:rPr/>
      </w:pPr>
      <w:r>
        <w:rPr/>
        <w:t xml:space="preserve">När det gäller tillgången på läkemedel i Europa skulle vi också kunna vara lite mer ekonomiska. Vi slänger för mycket av det idag. </w:t>
      </w:r>
    </w:p>
    <w:p>
      <w:pPr>
        <w:pStyle w:val="P68B1DB1Normal104"/>
        <w:widowControl w:val="false"/>
        <w:spacing w:lineRule="auto" w:line="240" w:before="104" w:after="0"/>
        <w:ind w:left="0" w:right="0" w:hanging="0"/>
        <w:jc w:val="left"/>
        <w:rPr/>
      </w:pPr>
      <w:r>
        <w:rPr/>
        <w:t xml:space="preserve"> </w:t>
      </w:r>
    </w:p>
    <w:p>
      <w:pPr>
        <w:pStyle w:val="P68B1DB1Normal118"/>
        <w:widowControl w:val="false"/>
        <w:spacing w:lineRule="auto" w:line="240"/>
        <w:ind w:left="0" w:right="0" w:hanging="0"/>
        <w:jc w:val="left"/>
        <w:rPr/>
      </w:pPr>
      <w:r>
        <w:rPr/>
        <w:t xml:space="preserve">Det är mycket bra att Tyskland har välkomnat patienter från Nederländerna med covid-19. Jag skulle vilja se mer sådan solidaritet i Europa.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Var du än bor i EU och oavsett om du är rik eller fattig har alla rätt till vård av hög kvalitet.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När du köper droger, måste du överväga inte bara kostnader, men också etik. Detta innebär till exempel att barnarbete inte ska användas.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IDE:</w:t>
      </w:r>
      <w:r>
        <w:rPr>
          <w:i/>
        </w:rPr>
        <w:t xml:space="preserve"> ”Förbättra européernas hälsa genom att se till att de utsätts för mindre stress. Till exempel, minska arbetsveckans längd.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IDE:</w:t>
      </w:r>
      <w:r>
        <w:rPr>
          <w:i/>
        </w:rPr>
        <w:t xml:space="preserve"> Göra det möjligt för ungdomar att göra hälsosammare val genom seriösa augmented reality-spel.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Av invånarna i Utrecht av marockanskt ursprung: Hälsa kan ha ett visst pris.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Stiftelsen ”Marokkaans Dialoog Overvecht” (MDO) (Marokkaans Dialoog Overvecht) (Marokkaans Dialoog Overvecht) (Marokkaans Dialoog Overvecht) (Marokkaans Dialoog Overvecht) (MDO) (Marokkaans Dialoog Overvecht) (Marokkaans Dialoog Overvecht) (Marokkaans Dialoog Overvecht) (MDO) (Marokkaans Dialoog Overvecht) (Marokkaans Dialoog Overvecht) (MDO) (Marokkaans Dialoog Overve I detta syfte uppmuntrar det till dialog i grannskapet och bekämpar därmed ojämlikhet. Deltagarna i den tematiska dialogen inom ramen för visionen om Europa anser att det europeiska samarbetet är mycket användbart. Vissa anser dock att Nederländerna ibland är alltför beroende av andra länder. Hanteringen av covid-19-krisen nämndes som ett exempel i detta avseende. De många samråden i Europa ledde enligt deltagarna till att Nederländerna började vaccinera sig mot covid-19 för sent. ”Kanske kommer det att kosta mer om Nederländerna vill bestämma mer på egen hand”, sade någon. Men det handlar om hälsa, det kan kosta lite mer.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Från Helmonds studenter: Det är bättre att lära sig av varandra på ett intelligent sätt än att ta samma tillvägagångssätt.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both"/>
        <w:rPr/>
      </w:pPr>
      <w:r>
        <w:rPr/>
        <w:t xml:space="preserve">Vid Dr. Knippenberg College i Helmond diskuterade studenter i åldern 16 år den europeiska hanteringen av covid-19-pandemin. Vissa anser att EU:s medlemsstater borde ha definierat vaccinationsprogrammet tillsammans. De flesta deltagarna ansåg att länderna själva hade en bättre uppfattning om vad som behövs och vad som fungerar. De är därför bättre kapabla att, enligt dem, bestämma vad som är rätt för befolkningen. De vet bättre, till exempel, vilka sektorer som behöver vaccineras först och vilka som kan vänta. ”Det är naturligtvis mycket bra för länderna att samråda med varandra”, säger en av studenterna. Om många länder har sin egen inställning kan de observera vad andra gör och lära av varandra.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pPr>
      <w:r>
        <w:rPr/>
        <w:t xml:space="preserve">EU:s roll i världen </w:t>
      </w:r>
    </w:p>
    <w:p>
      <w:pPr>
        <w:pStyle w:val="P68B1DB1Normal104"/>
        <w:widowControl w:val="false"/>
        <w:spacing w:lineRule="auto" w:line="240" w:before="126" w:after="0"/>
        <w:ind w:left="0" w:right="0" w:hanging="0"/>
        <w:jc w:val="left"/>
        <w:rPr/>
      </w:pPr>
      <w:r>
        <w:rPr/>
        <w:t xml:space="preserve">Världen står inför stora utmaningar. EU är övertygat om att frågor som klimatförändringar och pandemier endast kan hanteras genom globalt samarbete. EU vill göra sin röst hörd på världsscenen i detta avseende, till exempel vid sidan av USA och Kina. Vad är Nederländernas syn på detta? </w:t>
      </w:r>
    </w:p>
    <w:p>
      <w:pPr>
        <w:pStyle w:val="P68B1DB1Normal126"/>
        <w:widowControl w:val="false"/>
        <w:spacing w:lineRule="auto" w:line="240" w:before="125" w:after="0"/>
        <w:ind w:left="0" w:right="0" w:hanging="0"/>
        <w:jc w:val="left"/>
        <w:rPr/>
      </w:pPr>
      <w:r>
        <w:rPr/>
        <w:t xml:space="preserve">Rekommendationer – Vår vision av EU:s roll i världen </w:t>
      </w:r>
    </w:p>
    <w:p>
      <w:pPr>
        <w:pStyle w:val="P68B1DB1Normal120"/>
        <w:widowControl w:val="false"/>
        <w:spacing w:lineRule="auto" w:line="240" w:before="126" w:after="0"/>
        <w:ind w:left="0" w:right="0" w:hanging="0"/>
        <w:jc w:val="left"/>
        <w:rPr/>
      </w:pPr>
      <w:r>
        <w:rPr/>
        <w:t xml:space="preserve">56 % av Nederländerna anser att EU:s roll i världen är ett viktigt tema och att EU måste ingripa på detta område. </w:t>
      </w:r>
    </w:p>
    <w:p>
      <w:pPr>
        <w:pStyle w:val="P68B1DB1Normal111"/>
        <w:widowControl w:val="false"/>
        <w:spacing w:lineRule="auto" w:line="240" w:before="112" w:after="0"/>
        <w:ind w:left="0" w:right="0" w:hanging="0"/>
        <w:jc w:val="left"/>
        <w:rPr/>
      </w:pPr>
      <w:r>
        <w:rPr/>
        <w:t xml:space="preserve">1. Att utnyttja EU:s makt främst inom ramen för viktiga internationella teman </w:t>
      </w:r>
    </w:p>
    <w:p>
      <w:pPr>
        <w:pStyle w:val="P68B1DB1Normal104"/>
        <w:widowControl w:val="false"/>
        <w:spacing w:lineRule="auto" w:line="240"/>
        <w:ind w:left="0" w:right="0" w:hanging="0"/>
        <w:jc w:val="left"/>
        <w:rPr/>
      </w:pPr>
      <w:r>
        <w:rPr/>
        <w:t xml:space="preserve">Det faktum att dess inrättande har bidragit till européer som lever i fred i över 75 år betraktas av många holländare som EU:s främsta mervärde. Nederländerna anser också att EU:s makt ligger i den gemensamma hanteringen av stora internationella utmaningar. Vi tänker till exempel på klimatförändringar, covid-19-pandemin och flyktingkrisen. EU:s medlemsstater kan också få större inverkan på tredjeländer genom att kollektivt ingå EU:s internationella avtal. Vi anser att vårt land är för litet för att göra skillnad enbart på dessa områden. Med det sagt vill Nederländerna att Nederländerna ska fortsätta att göra sina egna val, baserat på sin egen kultur och intressen. Samarbetet i Europa måste därför framför allt också säkerställa effektivitet och politisk makt. </w:t>
      </w:r>
    </w:p>
    <w:p>
      <w:pPr>
        <w:pStyle w:val="P68B1DB1Normal113"/>
        <w:widowControl w:val="false"/>
        <w:spacing w:lineRule="auto" w:line="240" w:before="200" w:after="0"/>
        <w:ind w:left="0" w:right="0" w:hanging="0"/>
        <w:jc w:val="center"/>
        <w:rPr/>
      </w:pPr>
      <w:r>
        <w:rPr/>
        <w:t xml:space="preserve">Det är lättare att ingå samarbetsavtal inom EU än som ett isolerat land. </w:t>
      </w:r>
    </w:p>
    <w:p>
      <w:pPr>
        <w:pStyle w:val="P68B1DB1Normal111"/>
        <w:widowControl w:val="false"/>
        <w:spacing w:lineRule="auto" w:line="240" w:before="174" w:after="0"/>
        <w:ind w:left="0" w:right="0" w:hanging="0"/>
        <w:jc w:val="left"/>
        <w:rPr/>
      </w:pPr>
      <w:r>
        <w:rPr/>
        <w:t xml:space="preserve">2. Inom och utanför Europa, välj samarbete snarare än kamp </w:t>
      </w:r>
    </w:p>
    <w:p>
      <w:pPr>
        <w:pStyle w:val="P68B1DB1Normal104"/>
        <w:widowControl w:val="false"/>
        <w:spacing w:lineRule="auto" w:line="240" w:before="1" w:after="0"/>
        <w:ind w:left="0" w:right="0" w:hanging="0"/>
        <w:jc w:val="left"/>
        <w:rPr/>
      </w:pPr>
      <w:r>
        <w:rPr/>
        <w:t xml:space="preserve">66 % av Nederländerna anser att EU måste bilda ett starkare block mot andra internationella block. Vi ser en försvagning av balansen i världen. Länder som Kina och Ryssland expanderar ständigt sin makt inom olika områden. Det oroar oss mycket. EU måste därför ägna större uppmärksamhet åt t.ex. internationell säkerhet och skyddet av den europeiska ekonomin mot otillbörliga handelsmetoder. Vi anser att det är viktigt att medlemsstaterna samordnar bättre och snabbare. Detta gör det möjligt för oss att göra vår röst hörd tydligare. Det faktum att vi är starkare tillsammans som europeiska länder betyder inte att vi vill gå i konflikt. Vi vill också i möjligaste mån ha ett gott samarbete med tredjeländer. </w:t>
      </w:r>
    </w:p>
    <w:p>
      <w:pPr>
        <w:pStyle w:val="P68B1DB1Normal113"/>
        <w:widowControl w:val="false"/>
        <w:spacing w:lineRule="auto" w:line="240" w:before="200" w:after="0"/>
        <w:ind w:left="0" w:right="0" w:hanging="0"/>
        <w:jc w:val="center"/>
        <w:rPr/>
      </w:pPr>
      <w:r>
        <w:rPr/>
        <w:t xml:space="preserve">Att minska interna tvister och konflikter kommer att öka EU:s prestige och inflytande på världsscenen. </w:t>
      </w:r>
    </w:p>
    <w:p>
      <w:pPr>
        <w:pStyle w:val="P68B1DB1Normal111"/>
        <w:widowControl w:val="false"/>
        <w:spacing w:lineRule="auto" w:line="240" w:before="174" w:after="0"/>
        <w:ind w:left="0" w:right="0" w:hanging="0"/>
        <w:jc w:val="left"/>
        <w:rPr/>
      </w:pPr>
      <w:r>
        <w:rPr/>
        <w:t xml:space="preserve">3. Erbjuda, på ett genomtänkt sätt, hjälp i händelse av en konflikt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Som ett led i att stärka EU:s roll på den internationella arenan anser 50 % av Nederländerna att strategin för konflikter i världen är ett viktigt tema. Det bästa sättet att reagera på konflikter är enligt dem svårt att avgöra. Det förflutna har visat att militär intervention i ett land inte alltid är fördelaktigt. Det kan till exempel leda till oförutsedda höga kostnader och skapa ytterligare flyktingströmmar. Med tanke på detta lokala inflytande bör länderna själva besluta om de ska delta i ett krig. Vi är generellt intresserade av ett ökat samarbete mellan de europeiska arméerna: vi anser att det är viktigt att Europa försvarar sig väl. Men vi föredrar alltid att lösa konflikter utan att tillgripa våld. </w:t>
      </w:r>
      <w:r>
        <w:br w:type="page"/>
      </w:r>
    </w:p>
    <w:p>
      <w:pPr>
        <w:pStyle w:val="P68B1DB1Normal113"/>
        <w:widowControl w:val="false"/>
        <w:spacing w:lineRule="auto" w:line="240"/>
        <w:ind w:left="0" w:right="0" w:hanging="0"/>
        <w:jc w:val="left"/>
        <w:rPr/>
      </w:pPr>
      <w:r>
        <w:rPr/>
        <w:t xml:space="preserve">Under evakueringen av Afghanistan agerade varje land i sitt eget hörn. Vi kunde ha gjort bättre, eller hur? </w:t>
      </w:r>
    </w:p>
    <w:p>
      <w:pPr>
        <w:pStyle w:val="P68B1DB1Normal126"/>
        <w:widowControl w:val="false"/>
        <w:spacing w:lineRule="auto" w:line="240" w:before="85" w:after="0"/>
        <w:ind w:left="0" w:right="0" w:hanging="0"/>
        <w:jc w:val="left"/>
        <w:rPr/>
      </w:pPr>
      <w:r>
        <w:rPr/>
        <w:t xml:space="preserve">Diskussioner och idéer online och på plats </w:t>
      </w:r>
    </w:p>
    <w:p>
      <w:pPr>
        <w:pStyle w:val="P68B1DB1Normal118"/>
        <w:widowControl w:val="false"/>
        <w:spacing w:lineRule="auto" w:line="240" w:before="78" w:after="0"/>
        <w:ind w:left="0" w:right="0" w:hanging="0"/>
        <w:jc w:val="left"/>
        <w:rPr/>
      </w:pPr>
      <w:r>
        <w:rPr/>
        <w:t xml:space="preserve">EU måste först sätta ordning i sina egna angelägenheter innan man konfronterar andra. </w:t>
      </w:r>
    </w:p>
    <w:p>
      <w:pPr>
        <w:pStyle w:val="P68B1DB1Normal118"/>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Genom att massivt köpa kinesiska produkter som européer stöder vi Kina självt.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Förenta staterna fortsätter att spela en mycket viktig roll i försvaret av Europa.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Att vara medlem i EU innebär också att man sitter vid förhandlingsbordet. Detta gör det möjligt att diskutera viktiga beslut.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EU måste sluta se sig själv som en isolerad enhet, eftersom det inte är det. Det är en sammanslutning av europeiska medlemsstater och bör bete sig som sådant.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IDE:</w:t>
      </w:r>
      <w:r>
        <w:rPr>
          <w:i/>
        </w:rPr>
        <w:t xml:space="preserve"> I likhet med den vanliga globala klimatkonferensen bör också en konferens om mänskliga rättigheter hållas.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IDE: </w:t>
      </w:r>
      <w:r>
        <w:rPr>
          <w:i/>
        </w:rPr>
        <w:t>”Göra de europeiska arméerna effektivare, till exempel genom att i större utsträckning utnyttja det kollektiva inköpet av utrustning.”</w:t>
      </w:r>
      <w:r>
        <w:rPr/>
        <w:t xml:space="preserv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Holländska-marockanska kvinnor: Främja mänskliga rättigheter.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commentRangeStart w:id="28"/>
      <w:r>
        <w:rPr>
          <w:rFonts w:ascii="Calibri" w:hAnsi="Calibri"/>
          <w:color w:val="000000"/>
          <w:sz w:val="21"/>
        </w:rPr>
        <w:t>Women for</w:t>
      </w:r>
      <w:r>
        <w:rPr/>
      </w:r>
      <w:commentRangeEnd w:id="28"/>
      <w:r>
        <w:commentReference w:id="28"/>
      </w:r>
      <w:r>
        <w:rPr>
          <w:rFonts w:ascii="Calibri" w:hAnsi="Calibri"/>
          <w:color w:val="000000"/>
          <w:sz w:val="21"/>
        </w:rPr>
        <w:t xml:space="preserve">Freedom är en holländsk stiftelse som bekämpar tvångsäktenskap, sexuellt förtryck och ekonomiska övergrepp mot flickor och kvinnor med bikulturell bakgrund. I samarbete med denna stiftelse anordnades ett möte med en grupp nederländsk-marockanska kvinnor. Deltagarna anser att EU för närvarande är alltför beroende av Ryssland och Kina. ”Vi finner att EU i allmänhet inte vågar föreslå något, av rädsla för sanktioner”, sade en av dem. Läkemedelsproduktion, som ofta kan vara mycket billigare, har nämnts som ett exempel. ”I händelse av en konflikt kan Kina stänga av kranen, och vi kommer inte att ha något”, sade en deltagare. Frågan om mänskliga rättigheter togs också upp. Vi agerar alla som om vi tycker att det är väldigt viktigt, men vi blundar för vad Kina gör mot uigurerna, säger någon.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Studenter från Technasium i Alkmaar: Ingen gemensam armé.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I sin tematiska dialog diskuterade studenter från Technasium Jan Arentz i Alkmaar fördelarna och nackdelarna med en gemensam europeisk armé. Deltagarna uppgav att de inte stödde det. När ett EU-land bråkar med ett tredjeland bör vi automatiskt kunna delta i ett krig. Jag tror att länder måste kunna bestämma på egen hand, säger någon. Möjligheten till ett tredje världskrig diskuterades också. Denna möjlighet anses inte vara särskilt stor av eleverna, men de tror att om vi kom dit kunde en lösning ändå hittas snabbt. Arméer kan också samarbeta bra. Det finns enligt min mening inget behov av att det finns en europeisk armé. </w:t>
      </w:r>
      <w:r>
        <w:br w:type="page"/>
      </w:r>
    </w:p>
    <w:p>
      <w:pPr>
        <w:pStyle w:val="P68B1DB1Normal125"/>
        <w:widowControl w:val="false"/>
        <w:spacing w:lineRule="auto" w:line="240"/>
        <w:ind w:left="0" w:right="0" w:hanging="0"/>
        <w:jc w:val="left"/>
        <w:rPr/>
      </w:pPr>
      <w:r>
        <w:rPr/>
        <w:t xml:space="preserve">Metodik som använts i undersökningen </w:t>
      </w:r>
    </w:p>
    <w:p>
      <w:pPr>
        <w:pStyle w:val="P68B1DB1Normal104"/>
        <w:widowControl w:val="false"/>
        <w:spacing w:lineRule="auto" w:line="240" w:before="150" w:after="0"/>
        <w:ind w:left="0" w:right="0" w:hanging="0"/>
        <w:jc w:val="left"/>
        <w:rPr/>
      </w:pPr>
      <w:r>
        <w:rPr/>
        <w:t xml:space="preserve">Visionen om Europa består av olika former av sammanlänkade dialoger som samlar nederländska medborgares åsikter och idéer om Europas och EU:s framtid. I detta kapitel beskrivs hur dessa nära besläktade dialoger förs i enlighet med de riktlinjer som gäller för nationella medborgarpaneler inom ramen för konferensen om Europas framtid. </w:t>
      </w:r>
    </w:p>
    <w:p>
      <w:pPr>
        <w:pStyle w:val="P68B1DB1Normal126"/>
        <w:widowControl w:val="false"/>
        <w:spacing w:lineRule="auto" w:line="240" w:before="43" w:after="0"/>
        <w:ind w:left="0" w:right="0" w:hanging="0"/>
        <w:jc w:val="left"/>
        <w:rPr/>
      </w:pPr>
      <w:r>
        <w:rPr/>
        <w:t xml:space="preserve">Strukturer för närbesläktade dialoger </w:t>
      </w:r>
    </w:p>
    <w:p>
      <w:pPr>
        <w:pStyle w:val="P68B1DB1Normal104"/>
        <w:widowControl w:val="false"/>
        <w:spacing w:lineRule="auto" w:line="240" w:before="114" w:after="0"/>
        <w:ind w:left="0" w:right="0" w:hanging="0"/>
        <w:jc w:val="left"/>
        <w:rPr/>
      </w:pPr>
      <w:r>
        <w:rPr/>
        <w:t xml:space="preserve">Följande former av dialog anordnas: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Undersökning av en panel</w:t>
      </w:r>
    </w:p>
    <w:p>
      <w:pPr>
        <w:pStyle w:val="P68B1DB1Normal104"/>
        <w:widowControl w:val="false"/>
        <w:spacing w:lineRule="auto" w:line="240"/>
        <w:ind w:left="0" w:right="0" w:hanging="0"/>
        <w:jc w:val="left"/>
        <w:rPr/>
      </w:pPr>
      <w:r>
        <w:rPr/>
        <w:t xml:space="preserve">Online undersökning av en representativ del av den nederländska befolkningen.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Tematiska dialoger online för fördjupning</w:t>
      </w:r>
    </w:p>
    <w:p>
      <w:pPr>
        <w:pStyle w:val="P68B1DB1Normal104"/>
        <w:widowControl w:val="false"/>
        <w:spacing w:lineRule="auto" w:line="240"/>
        <w:ind w:left="0" w:right="0" w:hanging="0"/>
        <w:jc w:val="left"/>
        <w:rPr/>
      </w:pPr>
      <w:r>
        <w:rPr/>
        <w:t xml:space="preserve">Dialoger där resultaten av den första delrapporten ”Vår vision för Europa: yttranden, idéer och rekommendationer” (den 8 oktober 2021) diskuteras ingående med en grupp nederländska.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Dialoger med särskilda grupper</w:t>
      </w:r>
    </w:p>
    <w:p>
      <w:pPr>
        <w:pStyle w:val="P68B1DB1Normal104"/>
        <w:widowControl w:val="false"/>
        <w:spacing w:lineRule="auto" w:line="240"/>
        <w:ind w:left="0" w:right="0" w:hanging="0"/>
        <w:jc w:val="left"/>
        <w:rPr/>
      </w:pPr>
      <w:r>
        <w:rPr/>
        <w:t xml:space="preserve">Möten med holländare som inte är vana vid att delta i undersökningar eller paneler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 med ungdomar</w:t>
      </w:r>
    </w:p>
    <w:p>
      <w:pPr>
        <w:pStyle w:val="P68B1DB1Normal104"/>
        <w:widowControl w:val="false"/>
        <w:spacing w:lineRule="auto" w:line="240"/>
        <w:ind w:left="0" w:right="0" w:hanging="0"/>
        <w:jc w:val="left"/>
        <w:rPr/>
      </w:pPr>
      <w:r>
        <w:rPr/>
        <w:t xml:space="preserve">Möten där de europeiska teman som är mest relevanta för dessa ungdomar diskuteras.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Offentliga undersökningar online: Frågeformulär och ”Swipen naar de toekomst”</w:t>
      </w:r>
      <w:commentRangeStart w:id="29"/>
      <w:r>
        <w:rPr>
          <w:rFonts w:ascii="Calibri" w:hAnsi="Calibri"/>
          <w:b/>
          <w:color w:val="000000"/>
          <w:sz w:val="21"/>
        </w:rPr>
        <w:t>(</w:t>
      </w:r>
      <w:r>
        <w:rPr/>
      </w:r>
      <w:commentRangeEnd w:id="29"/>
      <w:r>
        <w:commentReference w:id="29"/>
      </w:r>
      <w:r>
        <w:rPr>
          <w:rFonts w:ascii="Calibri" w:hAnsi="Calibri"/>
          <w:b/>
          <w:color w:val="000000"/>
          <w:sz w:val="21"/>
        </w:rPr>
        <w:t xml:space="preserve"> Swiper till framtiden) </w:t>
      </w:r>
    </w:p>
    <w:p>
      <w:pPr>
        <w:pStyle w:val="P68B1DB1Normal104"/>
        <w:widowControl w:val="false"/>
        <w:spacing w:lineRule="auto" w:line="240"/>
        <w:ind w:left="0" w:right="0" w:hanging="0"/>
        <w:jc w:val="left"/>
        <w:rPr/>
      </w:pPr>
      <w:r>
        <w:rPr/>
        <w:t xml:space="preserve">Panelenkäten skulle också kunna fyllas i av alla holländare, även de som är bosatta utomlands. Frågeformuläret var tillgängligt från och med den 1 september 2021 till och med den 14 november 2021. Dessutom kunde varje nederländare under samma period delta i åtgärden ”Swipen naar de toekomst” (Swiper till framtiden), ett onlineverktyg med 20 anspråk.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pPr>
      <w:r>
        <w:rPr/>
        <w:t xml:space="preserve">1. Undersökning av en panel </w:t>
      </w:r>
    </w:p>
    <w:p>
      <w:pPr>
        <w:pStyle w:val="P68B1DB1Normal104"/>
        <w:widowControl w:val="false"/>
        <w:spacing w:lineRule="auto" w:line="240" w:before="150" w:after="0"/>
        <w:ind w:left="0" w:right="0" w:hanging="0"/>
        <w:jc w:val="left"/>
        <w:rPr/>
      </w:pPr>
      <w:r>
        <w:rPr/>
        <w:t xml:space="preserve">Den nederländska medborgardialogen ”Vision of Europe” inleddes den 1 september med en panelundersökning. I denna beskrivning av undersökningsmetoden förklarar vi kortfattat utformningen och genomförandet av denna undersökning till en panel. </w:t>
      </w:r>
    </w:p>
    <w:p>
      <w:pPr>
        <w:pStyle w:val="P68B1DB1Normal126"/>
        <w:widowControl w:val="false"/>
        <w:spacing w:lineRule="auto" w:line="240" w:before="43" w:after="0"/>
        <w:ind w:left="0" w:right="0" w:hanging="0"/>
        <w:jc w:val="left"/>
        <w:rPr/>
      </w:pPr>
      <w:r>
        <w:rPr/>
        <w:t xml:space="preserve">Mål- och målpopulation </w:t>
      </w:r>
    </w:p>
    <w:p>
      <w:pPr>
        <w:pStyle w:val="Normal"/>
        <w:widowControl w:val="false"/>
        <w:spacing w:lineRule="auto" w:line="240" w:before="114" w:after="0"/>
        <w:ind w:left="0" w:right="0" w:hanging="0"/>
        <w:jc w:val="left"/>
        <w:rPr/>
      </w:pPr>
      <w:r>
        <w:rPr>
          <w:rFonts w:ascii="Calibri" w:hAnsi="Calibri"/>
          <w:color w:val="000000"/>
          <w:sz w:val="21"/>
        </w:rPr>
        <w:t>Undersökningen ”Vision of Europe” inleddes med ett frågeformulär på nätet om hur holländarna ser på Europas framtid. Detta frågeformulär har lämnats in till en representativ panel och är också öppet för alla nederländska (inklusive dem som är bosatta utomlands). Dessutom kunde varje person delta i åtgärden ”Swipen naar de toekomst”</w:t>
      </w:r>
      <w:commentRangeStart w:id="30"/>
      <w:r>
        <w:rPr>
          <w:rFonts w:ascii="Calibri" w:hAnsi="Calibri"/>
          <w:color w:val="000000"/>
          <w:sz w:val="21"/>
        </w:rPr>
        <w:t>(Swiper</w:t>
      </w:r>
      <w:r>
        <w:rPr/>
      </w:r>
      <w:commentRangeEnd w:id="30"/>
      <w:r>
        <w:commentReference w:id="30"/>
      </w:r>
      <w:r>
        <w:rPr>
          <w:rFonts w:ascii="Calibri" w:hAnsi="Calibri"/>
          <w:color w:val="000000"/>
          <w:sz w:val="21"/>
        </w:rPr>
        <w:t xml:space="preserve"> till framtiden), ett onlineverktyg med 20 anspråk. Resultaten av panelenkäten gav upphov till flera tematiska dialoger som anordnades som en uppföljning av medborgardialogen ”Vision of Europe”.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Målpopulationen i panelenkäten omfattar alla holländare som var 18 år eller äldre och som var registrerade som invånare i befolkningsregistret när fältarbetet inleddes. Enligt det nederländska nationella statistikkontoret (Centraal Bureau voor de Statistiek – CBS) hade denna målgrupp 14 190 874 personer per den 1 januari 2021. Den lägre gränsen på 18 år motsvarar valmajoriteten. Vi kallar det populationen i panelundersökningen. </w:t>
      </w:r>
      <w:r>
        <w:br w:type="page"/>
      </w:r>
    </w:p>
    <w:p>
      <w:pPr>
        <w:pStyle w:val="P68B1DB1Normal126"/>
        <w:widowControl w:val="false"/>
        <w:spacing w:lineRule="auto" w:line="240" w:before="43" w:after="0"/>
        <w:ind w:left="0" w:right="0" w:hanging="0"/>
        <w:jc w:val="left"/>
        <w:rPr/>
      </w:pPr>
      <w:r>
        <w:rPr/>
        <w:t xml:space="preserve">Fältarbete </w:t>
      </w:r>
    </w:p>
    <w:p>
      <w:pPr>
        <w:pStyle w:val="P68B1DB1Normal104"/>
        <w:widowControl w:val="false"/>
        <w:spacing w:lineRule="auto" w:line="240" w:before="116" w:after="0"/>
        <w:ind w:left="0" w:right="0" w:hanging="0"/>
        <w:jc w:val="left"/>
        <w:rPr/>
      </w:pPr>
      <w:r>
        <w:rPr/>
        <w:t xml:space="preserve">En panel med mer än 100 000 deltagare från hela landet (ISO-certifierade, Research Keurmerk groep, Nederlandse marktonderzoek Associatie) användes för att få en digital bild av ”Medium Dutch”. Dessa deltagare anmälde sig till undersökningspanelen för att regelbundet ge sina synpunkter på ett brett spektrum av ämnen. Utöver deras inneboende motivation att bidra betalas de för att besvara frågeformulären. Flera vetenskapliga studier visar att respondenter som får ersättning för att fylla i ett frågeformulär inte ger signifikant olika svar (källa: </w:t>
      </w:r>
      <w:r>
        <w:rPr>
          <w:i/>
        </w:rPr>
        <w:t>Försämrar användningen av enkätincitament datakvaliteten?</w:t>
      </w:r>
      <w:r>
        <w:rPr/>
        <w:t xml:space="preserve">, Cole, J.S.,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Fältarbetet inleddes den 11 augusti 2021 och avslutades den 19 september 2021. För genomförandet användes endast en metod för datainsamling, dvs. Internetundersökningen. Undersökningspanelens medlemmar fick ett e-postmeddelande med en personlig länk till webbenkäten. Efter två veckor fick deltagarna en påminnelse. Inbjudningar att delta skickades i partier och stratifierades (genom att säkerställa en jämn fördelning av undergrupper) tills det erforderliga antalet svarande nåddes. </w:t>
      </w:r>
    </w:p>
    <w:p>
      <w:pPr>
        <w:pStyle w:val="P68B1DB1Normal126"/>
        <w:widowControl w:val="false"/>
        <w:spacing w:lineRule="auto" w:line="240" w:before="42" w:after="0"/>
        <w:ind w:left="0" w:right="0" w:hanging="0"/>
        <w:jc w:val="left"/>
        <w:rPr/>
      </w:pPr>
      <w:r>
        <w:rPr/>
        <w:t xml:space="preserve">Provtagning och distribution </w:t>
      </w:r>
    </w:p>
    <w:p>
      <w:pPr>
        <w:pStyle w:val="P68B1DB1Normal104"/>
        <w:widowControl w:val="false"/>
        <w:spacing w:lineRule="auto" w:line="240" w:before="114" w:after="0"/>
        <w:ind w:left="0" w:right="0" w:hanging="0"/>
        <w:jc w:val="left"/>
        <w:rPr/>
      </w:pPr>
      <w:r>
        <w:rPr/>
        <w:t xml:space="preserve">Undersökningens utformning bygger på principen att minst 3 600 respondenter måste delta i undersökningen för att säkerställa god statistisk tillförlitlighet. Dessutom möjliggör detta nummer en god fördelning mellan de olika allmänna egenskaperna hos befolkningen. Det finns inte bara en typ av holländare. Vi har därför i förväg sett till att urvalet fördelas väl över ett antal egenskaper. Nederländerna är ett relativt litet land, men åsikterna kan variera beroende på region. Placeringen och betydelsen av teman kan (delvis) bestämmas av den region där du bor. Till exempel kan människor som bor på landsbygden förstå ett ämne som säkerhet annorlunda än i stadsområden. Forskning från det nederländska kontoret för social- och kulturplanering visar också att personer med högre studienivå oftare stöder EU än de som har en lägre studienivå och att ungdomar är mer stödjande för EU än äldre (källa: </w:t>
      </w:r>
      <w:r>
        <w:rPr>
          <w:i/>
        </w:rPr>
        <w:t>Wat willen Nederlanders van de Europese Unie?</w:t>
      </w:r>
      <w:r>
        <w:rPr/>
        <w:t xml:space="preserve">, nederländska kontoret för social och kulturell planering, Haag,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Därför har vi tidigare fördelat följande tre egenskaper proportionellt för att säkerställa provets representativitet: 1) bosättning genom Corop-regioner, 2) ålder och 3) utbildningsnivå. Fördelningen av provet presenterades också enligt följande allmänna egenskaper: kön, ursprung, huvudsysselsättning, politisk inriktning.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Corop-regionerna har utvecklats på grundval av nodalprincipen (ett ”hjärta” med ett attraktivt område eller en regional funktion), baserat på flödet av människor som pendlar. Några överträdelser av nodalprincipen har medgetts så att regionerna följer provinsgränserna. Efter omorganisationen av kommunerna utöver COROP-gränserna justerades fördelningen (källa: Nederländska nationella statistikbyrån). Inom Corop-regionerna har vi säkerställt en god fördelning mellan åldersgrupperna, med följande uppdelning: åldrarna 18–34, 35–54, 55–75 och över 75 år.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Slutligen säkerställde vi en representativ fördelning av utbildningsnivåerna. I urvalet motsvarar fördelningen av respondenterna fördelningen på nationell nivå av den högsta utbildningsnivån, vilket är följande: </w:t>
      </w:r>
      <w:r>
        <w:br w:type="page"/>
      </w:r>
    </w:p>
    <w:p>
      <w:pPr>
        <w:pStyle w:val="P68B1DB1Normal120"/>
        <w:spacing w:lineRule="auto" w:line="240"/>
        <w:ind w:left="0" w:right="0" w:hanging="0"/>
        <w:rPr/>
      </w:pPr>
      <w:r>
        <w:rPr/>
        <w:t xml:space="preserve">Högsta utbildningsnivå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4"/>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Lågt: grundutbildning, yrkesförberedande utbildning, 1:a till 3:e klass i gymnasieutbildning/förskoleutbildning, gymnasieutbildningsnivå 1</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Intermediär: gymnasieutbildning/högskoleutbildning, yrkesinriktad gymnasieutbildning 2–4</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Hög: högre yrkesutbildning eller universitetsutbildning</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Okänd</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P68B1DB1Normal126"/>
        <w:spacing w:lineRule="auto" w:line="240"/>
        <w:ind w:left="0" w:right="0" w:hanging="0"/>
        <w:rPr/>
      </w:pPr>
      <w:r>
        <w:rPr/>
        <w:t xml:space="preserve">Svarsfrekvens </w:t>
      </w:r>
    </w:p>
    <w:p>
      <w:pPr>
        <w:pStyle w:val="P68B1DB1Normal104"/>
        <w:widowControl w:val="false"/>
        <w:spacing w:lineRule="exact" w:line="386" w:before="116" w:after="0"/>
        <w:ind w:left="0" w:right="368" w:hanging="0"/>
        <w:jc w:val="left"/>
        <w:rPr/>
      </w:pPr>
      <w:r>
        <w:rPr/>
        <w:t xml:space="preserve">Totalt deltog 4 086 personer i undersökningen per panel. Målet med 3 600 fullständigt besvarade frågeformulär uppnås därför.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Svar från Corop-regioner och ålder</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18–34 år gammal</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35–54 år gammal</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55–75 år gammal</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mer än 75 år gammal</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Akterhoek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Hotell nära 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Östra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Resten av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Centrala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Södra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Karta över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Nordost om norra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Väster om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Haarlem tätort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och dess omgivningar</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Utmärkt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och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Hollands spets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Zaan Region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Norra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Sydväst om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Resten av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Flandern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Tätbebyggelse Leiden och glödlampornas region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Tätort i Haag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och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Hotell nära 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Öster om södra 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Sydost om Sydholland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Svar efter utbildningsnivå</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Lågt</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Intermediär</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Hög</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Okänd</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Tillförlitlighet och representativitet </w:t>
      </w:r>
    </w:p>
    <w:p>
      <w:pPr>
        <w:pStyle w:val="P68B1DB1Normal104"/>
        <w:widowControl w:val="false"/>
        <w:spacing w:lineRule="auto" w:line="240" w:before="119" w:after="0"/>
        <w:ind w:left="0" w:right="0" w:hanging="0"/>
        <w:jc w:val="left"/>
        <w:rPr/>
      </w:pPr>
      <w:r>
        <w:rPr/>
        <w:t xml:space="preserve">Antalet respondenter på 4 086 gör det möjligt att göra observationer för populationen som helhet med en konfidensnivå på 95 % och en felmarginal på 1,53 %. Konfidensnivån och felmarginalen för resultaten bestäms av urvalets storlek. Ju större urvalet är, desto mer tillförlitligt och korrekt kan resultaten extrapoleras till hela populationen. </w:t>
      </w:r>
    </w:p>
    <w:p>
      <w:pPr>
        <w:pStyle w:val="P68B1DB1Normal104"/>
        <w:widowControl w:val="false"/>
        <w:spacing w:lineRule="auto" w:line="240" w:before="94" w:after="0"/>
        <w:ind w:left="0" w:right="0" w:hanging="0"/>
        <w:jc w:val="left"/>
        <w:rPr/>
      </w:pPr>
      <w:r>
        <w:rPr/>
        <w:t xml:space="preserve"> </w:t>
      </w:r>
    </w:p>
    <w:p>
      <w:pPr>
        <w:pStyle w:val="P68B1DB1Normal104"/>
        <w:widowControl w:val="false"/>
        <w:spacing w:lineRule="auto" w:line="240"/>
        <w:ind w:left="0" w:right="0" w:hanging="0"/>
        <w:jc w:val="left"/>
        <w:rPr/>
      </w:pPr>
      <w:r>
        <w:rPr/>
        <w:t xml:space="preserve">Konfidensnivån definieras som 1 (100 %) minus innebördsnivån. Det är vanligt att vara baserad på en 5 % meningsnivå. Vi talar om en konfidensnivå på 95 %. Med andra ord, om undersökningen upprepas på samma sätt och på samma villkor, skulle resultaten vara desamma i 95 % av fallen. </w:t>
      </w:r>
    </w:p>
    <w:p>
      <w:pPr>
        <w:pStyle w:val="P68B1DB1Normal104"/>
        <w:widowControl w:val="false"/>
        <w:spacing w:lineRule="auto" w:line="240"/>
        <w:ind w:left="0" w:right="0" w:hanging="0"/>
        <w:jc w:val="left"/>
        <w:rPr/>
      </w:pPr>
      <w:r>
        <w:rPr/>
        <w:t xml:space="preserve">Noggrannhet (uttryckt med felmarginal) anger det värdeintervall inom vilket det faktiska värdet i populationen finns. Med andra ord: vilken är den största skillnaden mellan resultaten av urvalet och de resultat som skulle erhållas från populationen som helhet? En felmarginal på 1,53 % innebär att det faktiska värdet inom den totala populationen kan vara 1,53 % högre eller lägre än stickprovsvärdet. Om till exempel en undersökning av ett urval av personer visar att 50 % av de svarande anser att ett visst tema är viktigt, är den faktiska procentandelen 1,53 % högre eller lägre än 50 %, dvs. mellan 48,47 och 51,53 %. En högsta felmarginal på 5 % är vanlig och allmänt accepterad i kvantitativa studier (statistik).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Förutom tillförlitligheten är provets representativitet viktig. Eftersom inbjudningarna att delta har skickats i partier och stratifierats, är resultaten representativa när det gäller Corop-regionens och åldersgruppernas särdrag per region COROP. Svaren är också representativa för utbildningsnivån jämfört med den högsta utbildningsnivån på nationell nivå.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pPr>
      <w:r>
        <w:rPr/>
        <w:t xml:space="preserve">Andra allmänna egenskaper </w:t>
      </w:r>
    </w:p>
    <w:p>
      <w:pPr>
        <w:pStyle w:val="P68B1DB1Normal104"/>
        <w:widowControl w:val="false"/>
        <w:spacing w:lineRule="auto" w:line="240"/>
        <w:ind w:left="0" w:right="0" w:hanging="0"/>
        <w:jc w:val="left"/>
        <w:rPr/>
      </w:pPr>
      <w:r>
        <w:rPr/>
        <w:t xml:space="preserve">Ett antal ytterligare kontextuella frågor ställdes till undersökningsdeltagarna per panel. Dessa inkluderar kön, EU-ställning, ursprung, huvudsysselsättning och det politiska parti som personen skulle rösta på vid val.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49 % av de svarande är män, 50 % är kvinnor och 1 % föredrar att inte svara på denna fråga.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51 % av de tillfrågade anser att det är bra för Nederländerna att vara medlem i EU, 13 % tycker att det är en dålig sak och 36 % är neutrala eller har ingen åsikt.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95 % av respondenterna är födda i Nederländerna. 89 % av de tillfrågade uppgav att båda föräldrarna var födda i Nederländerna. 5 % är födda till två föräldrar som är födda utomlands.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pPr>
      <w:r>
        <w:rPr/>
        <w:t xml:space="preserve">De svarandes nuvarande politiska inriktning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Festligheter</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(Folkpartiet för frihet och demokrati)</w:t>
            </w:r>
          </w:p>
        </w:tc>
        <w:tc>
          <w:tcPr>
            <w:tcW w:w="34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(Party for Freedom)</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(Socialistiska 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(Demokrater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(Christian Democratic Call)</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(Arbetspartiet)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(djurpartiet)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(grön vänster)</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(Kristna Unionen)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(Farmer-medborgarrörelsen)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Forum voor Democratie (Forum för demokrati)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(reformerat politiskt parti)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Groep Van Haga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Fractie Den Haan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Övriga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Vit röst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föredrar att inte svara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röstar inte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pPr>
      <w:r>
        <w:rPr/>
        <w:t xml:space="preserve">Vilket är ditt huvudsakliga yrke idag?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5"/>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Yrke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SVENSKA</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Student/student</w:t>
            </w:r>
          </w:p>
        </w:tc>
        <w:tc>
          <w:tcPr>
            <w:tcW w:w="351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Deltidsanställd</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Heltidsanställd</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Oberoende entreprenör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Person hemma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Arbetssökande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Volontär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Arbetsoförmåga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Pensionär</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Övriga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Jag föredrar att inte svara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Frågeformulär </w:t>
      </w:r>
    </w:p>
    <w:p>
      <w:pPr>
        <w:pStyle w:val="P68B1DB1Normal104"/>
        <w:widowControl w:val="false"/>
        <w:spacing w:lineRule="exact" w:line="339" w:before="1" w:after="0"/>
        <w:ind w:left="0" w:right="0" w:hanging="0"/>
        <w:jc w:val="left"/>
        <w:rPr/>
      </w:pPr>
      <w:r>
        <w:rPr/>
        <w:t xml:space="preserve">Frågeformuläret och denna rapport utarbetades av en oberoende extern organisation på begäran av utrikesministeriet. Frågeformuläret innehåller en modulstruktur och innehåller följande frågor, i linje med de teman som fastställts för konferensen om Europas framtid: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Viktiga teman och EU:s roll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Klimatförändringar och miljö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Hälsa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Ekonomi och sysselsättning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Europeiska unionens roll i världen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Säkerhet och rättsstatsprincipen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Den virtuella världen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Europeisk demokrati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Migration och flyktingar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Utbildning/kultur/ungdom/idrott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Under utarbetandet av frågeformuläret ägnades stor uppmärksamhet åt frågornas kvalitet, tillförlitlighet och giltighet. Därför söktes en neutral, icke-styrd formulering av frågor, påståenden och svarsalternativ, och det kontrollerades att frågorna formulerades på begripligt språk (nivå B1).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Enkäten har genomgått kvalitetstester genom personliga intervjuer med testdeltagare som tillhör målgruppen. Detta gjorde det möjligt för oss att studera hur frågor uppfattas av olika typer av respondenter. Om en fråga verkade representera en alltför stor (för komplex) kognitiv belastning, var det lämpligt. </w:t>
      </w:r>
    </w:p>
    <w:p>
      <w:pPr>
        <w:pStyle w:val="P68B1DB1Normal126"/>
        <w:widowControl w:val="false"/>
        <w:spacing w:lineRule="auto" w:line="240" w:before="333" w:after="0"/>
        <w:ind w:left="0" w:right="0" w:hanging="0"/>
        <w:jc w:val="left"/>
        <w:rPr/>
      </w:pPr>
      <w:r>
        <w:rPr/>
        <w:t xml:space="preserve">Analysmetoder </w:t>
      </w:r>
    </w:p>
    <w:p>
      <w:pPr>
        <w:pStyle w:val="P68B1DB1Normal104"/>
        <w:widowControl w:val="false"/>
        <w:spacing w:lineRule="auto" w:line="240" w:before="80" w:after="0"/>
        <w:ind w:left="0" w:right="0" w:hanging="0"/>
        <w:jc w:val="left"/>
        <w:rPr/>
      </w:pPr>
      <w:r>
        <w:rPr/>
        <w:t xml:space="preserve">Två analysmetoder användes i denna undersökning: </w:t>
      </w:r>
    </w:p>
    <w:p>
      <w:pPr>
        <w:pStyle w:val="P68B1DB1Normal111"/>
        <w:widowControl w:val="false"/>
        <w:spacing w:lineRule="auto" w:line="240" w:before="48" w:after="0"/>
        <w:ind w:left="0" w:right="0" w:hanging="0"/>
        <w:jc w:val="left"/>
        <w:rPr/>
      </w:pPr>
      <w:r>
        <w:rPr/>
        <w:t xml:space="preserve">Univariate analyser </w:t>
      </w:r>
    </w:p>
    <w:p>
      <w:pPr>
        <w:pStyle w:val="P68B1DB1Normal104"/>
        <w:widowControl w:val="false"/>
        <w:spacing w:lineRule="auto" w:line="240" w:before="6" w:after="0"/>
        <w:ind w:left="0" w:right="0" w:hanging="0"/>
        <w:jc w:val="left"/>
        <w:rPr/>
      </w:pPr>
      <w:r>
        <w:rPr/>
        <w:t xml:space="preserve">Beskrivande statistik används för att beskriva variablerna i en enkät. Frekvenser och medelvärden används i denna undersökning. </w:t>
      </w:r>
    </w:p>
    <w:p>
      <w:pPr>
        <w:pStyle w:val="P68B1DB1Normal111"/>
        <w:widowControl w:val="false"/>
        <w:spacing w:lineRule="auto" w:line="240" w:before="48" w:after="0"/>
        <w:ind w:left="0" w:right="0" w:hanging="0"/>
        <w:jc w:val="left"/>
        <w:rPr/>
      </w:pPr>
      <w:r>
        <w:rPr/>
        <w:t xml:space="preserve">Bivariata analyser </w:t>
      </w:r>
    </w:p>
    <w:p>
      <w:pPr>
        <w:pStyle w:val="P68B1DB1Normal104"/>
        <w:widowControl w:val="false"/>
        <w:spacing w:lineRule="auto" w:line="240" w:before="6" w:after="0"/>
        <w:ind w:left="0" w:right="0" w:hanging="0"/>
        <w:jc w:val="left"/>
        <w:rPr/>
      </w:pPr>
      <w:r>
        <w:rPr/>
        <w:t xml:space="preserve">De bivariata analyserna gör det möjligt att undersöka förhållandet mellan två variabler, i detta fall förhållandet mellan de olika temanas betydelse och frågan om huruvida EU bör ingripa på detta område och det allmänna kännetecknet för ålder. En översyn genomfördes för att avgöra om olika åldersgrupper fäster en annan vikt vid ett ämne och om det finns olika uppfattningar om i vilken utsträckning dessa är frågor som EU bör vara involverat i.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pPr>
      <w:r>
        <w:rPr/>
        <w:t xml:space="preserve">Offentliggörande av information och fullständighet </w:t>
      </w:r>
    </w:p>
    <w:p>
      <w:pPr>
        <w:pStyle w:val="P68B1DB1Normal76"/>
        <w:widowControl w:val="false"/>
        <w:spacing w:lineRule="auto" w:line="240" w:before="116" w:after="0"/>
        <w:ind w:left="0" w:right="0" w:hanging="0"/>
        <w:jc w:val="left"/>
        <w:rPr/>
      </w:pPr>
      <w:r>
        <w:rPr>
          <w:rFonts w:ascii="Calibri" w:hAnsi="Calibri"/>
          <w:sz w:val="21"/>
        </w:rPr>
        <w:t>Denna rapport innehåller resultaten av alla frågor som ställts till enkätpanelens respondenter. För vissa frågor fick respondenten möjlighet att ge ”öppna” (dvs. inte förutbestämda) svar. Öppna svar kategoriserades sedan och inkluderades i publikationen. De idéer som respondenterna delade i de fria kommentarerna används för att bidra till de olika tematiska dialoger som anordnas som en uppföljning av medborgardialogprocessen ”Europas vision”.</w:t>
      </w:r>
      <w:r>
        <w:rPr>
          <w:rFonts w:ascii="Times New Roman" w:hAnsi="Times New Roman"/>
          <w:sz w:val="24"/>
        </w:rPr>
        <w:t xml:space="preserve"> </w:t>
      </w:r>
    </w:p>
    <w:p>
      <w:pPr>
        <w:pStyle w:val="P68B1DB1Normal125"/>
        <w:widowControl w:val="false"/>
        <w:spacing w:lineRule="auto" w:line="240" w:before="233" w:after="0"/>
        <w:ind w:left="0" w:right="0" w:hanging="0"/>
        <w:jc w:val="left"/>
        <w:rPr/>
      </w:pPr>
      <w:r>
        <w:rPr/>
        <w:t xml:space="preserve">2. Tematiska dialoger online för fördjupning </w:t>
      </w:r>
    </w:p>
    <w:p>
      <w:pPr>
        <w:pStyle w:val="P68B1DB1Normal104"/>
        <w:widowControl w:val="false"/>
        <w:spacing w:lineRule="auto" w:line="240"/>
        <w:ind w:left="0" w:right="0" w:hanging="0"/>
        <w:jc w:val="left"/>
        <w:rPr/>
      </w:pPr>
      <w:r>
        <w:rPr/>
        <w:t xml:space="preserve">De teman som står i centrum för konferensen om Europas framtid har fördjupats genom åtta tematiska dialoger online. Syftet med dessa dialoger var att ta reda på </w:t>
      </w:r>
      <w:r>
        <w:rPr>
          <w:i/>
        </w:rPr>
        <w:t>orsakerna</w:t>
      </w:r>
      <w:r>
        <w:rPr/>
        <w:t xml:space="preserve"> till de åsikter som framförts, samt motiven och känslorna bakom dem. Vilka är de upplevda problemen och möjligheterna? Diskussionssessionerna gjorde det också möjligt för deltagarna att formulera förslag och idéer om dessa ämnen, samt att ta upp frågor som inte är en del av konferensen men som fortfarande är viktiga för dem.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De tematiska dialogerna ägde rum den 12–14 oktober och den 9–11 november. Fyra tematiska dialoger på nätet anordnades i oktober om temana ”Ekonomik” och ”demokrati”. </w:t>
      </w:r>
    </w:p>
    <w:p>
      <w:pPr>
        <w:pStyle w:val="Normal"/>
        <w:widowControl w:val="false"/>
        <w:spacing w:lineRule="auto" w:line="240" w:before="10" w:after="0"/>
        <w:ind w:left="0" w:right="0" w:hanging="0"/>
        <w:jc w:val="left"/>
        <w:rPr/>
      </w:pPr>
      <w:r>
        <w:rPr/>
        <w:t>I november hölls</w:t>
      </w:r>
      <w:r>
        <w:rPr>
          <w:rFonts w:ascii="Calibri" w:hAnsi="Calibri"/>
          <w:color w:val="000000"/>
          <w:sz w:val="21"/>
        </w:rPr>
        <w:t xml:space="preserve">fyra tematiska dialoger online om temat ”Klimat” och ”EU i världen”. I genomsnitt deltog 29 personer i varje diskussionssession (231 totalt). Deltagarna rekryterades bland panelmedlemmarna (se punkt 1) och via sociala medier. </w:t>
      </w:r>
      <w:r>
        <w:br w:type="page"/>
      </w:r>
    </w:p>
    <w:p>
      <w:pPr>
        <w:pStyle w:val="P68B1DB1Normal125"/>
        <w:spacing w:lineRule="auto" w:line="240"/>
        <w:ind w:left="0" w:right="0" w:hanging="0"/>
        <w:rPr/>
      </w:pPr>
      <w:r>
        <w:rPr/>
        <w:t xml:space="preserve">3. Dialoger med särskilda grupper </w:t>
      </w:r>
    </w:p>
    <w:p>
      <w:pPr>
        <w:pStyle w:val="P68B1DB1Normal104"/>
        <w:widowControl w:val="false"/>
        <w:spacing w:lineRule="auto" w:line="240" w:before="73" w:after="0"/>
        <w:ind w:left="0" w:right="0" w:hanging="0"/>
        <w:jc w:val="left"/>
        <w:rPr/>
      </w:pPr>
      <w:r>
        <w:rPr/>
        <w:t xml:space="preserve">Vissa nederländska grupper är kända för att vara mindre vana vid att delta i undersökningar och paneler (online). För att få en representativ bild av ”Nederländernas röst” var det viktigt att dessa medborgare också kunde uttrycka sina idéer och åsikter. Därför anordnade vi också ett antal dialoger på plats för undersökningen ”Vision of Europe”. De åsikter och idéer som vi kunde samla in användes som grund (bland annat) för att formulera rekommendationerna. </w:t>
      </w:r>
    </w:p>
    <w:p>
      <w:pPr>
        <w:pStyle w:val="P68B1DB1Normal126"/>
        <w:widowControl w:val="false"/>
        <w:spacing w:lineRule="auto" w:line="240" w:before="94" w:after="0"/>
        <w:ind w:left="0" w:right="0" w:hanging="0"/>
        <w:jc w:val="left"/>
        <w:rPr/>
      </w:pPr>
      <w:r>
        <w:rPr/>
        <w:t xml:space="preserve">Målgrupper </w:t>
      </w:r>
    </w:p>
    <w:p>
      <w:pPr>
        <w:pStyle w:val="P68B1DB1Normal110"/>
        <w:widowControl w:val="false"/>
        <w:spacing w:lineRule="auto" w:line="240" w:before="88" w:after="0"/>
        <w:ind w:left="0" w:right="0" w:hanging="0"/>
        <w:jc w:val="left"/>
        <w:rPr/>
      </w:pPr>
      <w:r>
        <w:rPr>
          <w:sz w:val="21"/>
        </w:rPr>
        <w:t xml:space="preserve">Målgrupper som är svåråtkomliga kan inte definieras entydigt. Studier och erfarenheter gör det möjligt för oss att veta att nederländskt folk med </w:t>
      </w:r>
      <w:r>
        <w:rPr>
          <w:b/>
          <w:sz w:val="21"/>
        </w:rPr>
        <w:t>icke-västerländskt ursprung</w:t>
      </w:r>
      <w:r>
        <w:rPr>
          <w:sz w:val="21"/>
        </w:rPr>
        <w:t>deltar betydligt mindre av sig själva i utredningar och diskussioner. Eftersom detta utgör en stor grupp (14 % av de nederländska</w:t>
      </w:r>
      <w:r>
        <w:rPr>
          <w:b/>
          <w:position w:val="6"/>
          <w:sz w:val="14"/>
        </w:rPr>
        <w:t>1</w:t>
      </w:r>
      <w:r>
        <w:rPr>
          <w:sz w:val="21"/>
        </w:rPr>
        <w:t xml:space="preserve">), valdes de ut att delta i dialogen Vision of Europe. Samma resonemang följdes när det gäller </w:t>
      </w:r>
      <w:r>
        <w:rPr>
          <w:b/>
          <w:sz w:val="21"/>
        </w:rPr>
        <w:t>personer med liten utbildning</w:t>
      </w:r>
      <w:r>
        <w:rPr>
          <w:sz w:val="21"/>
        </w:rPr>
        <w:t>. Det är också en stor grupp (2,5 miljoner nederländska</w:t>
      </w:r>
      <w:r>
        <w:rPr>
          <w:position w:val="6"/>
          <w:sz w:val="14"/>
        </w:rPr>
        <w:t>2</w:t>
      </w:r>
      <w:r>
        <w:rPr>
          <w:sz w:val="21"/>
        </w:rPr>
        <w:t xml:space="preserve">), som delvis överlappar invandrargruppen (39 %). Slutligen har en dialog förts med en grupp människor som sällan förekommer i undersökningar och diskussioner, </w:t>
      </w:r>
      <w:r>
        <w:rPr>
          <w:b/>
          <w:sz w:val="21"/>
        </w:rPr>
        <w:t>som är kritiska till Europa, men för vilka Europa spelar en viktig roll på det professionella området.</w:t>
      </w:r>
      <w:r>
        <w:rPr>
          <w:sz w:val="21"/>
        </w:rPr>
        <w:t xml:space="preserve"> Företagare från jordbrukssektorn valdes ut.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De ovannämnda grupperna har kontaktats genom organisationer som de är medlemmar i, t.ex. invandrarorganisationer, intresseorganisationer och yrkesorganisationer. Eftersom vi begränsade antalet dialoger till åtta, kunde vi inte vara helt ”uttömmande”. Detta gör valet av deltagare något godtyckligt. För att göra detta val tog vi också hänsyn till entusiasmen att delta och hjälpa till att mobilisera deras bas, liksom praktiska frågor som tillgänglighet beroende på datum och plats.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Dialoger på plats hölls med medlemmar i följande organisationer: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samhället,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hinduiska samhället, Utrecht (två diskussionssessioner)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det civila samhällets organisation,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en organisation för lågutbildade,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sammanslutning av jordbruksgrupper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marockansk gemenskap,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Kvinnor för frihet, intresseorganisation för kvinnor med invandrarbakgrund, Haag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Totalt deltog 110 personer i dessa diskussionsmöten. </w:t>
      </w:r>
    </w:p>
    <w:p>
      <w:pPr>
        <w:pStyle w:val="P68B1DB1Normal104"/>
        <w:widowControl w:val="false"/>
        <w:spacing w:lineRule="auto" w:line="240"/>
        <w:ind w:left="0" w:right="0" w:hanging="0"/>
        <w:jc w:val="left"/>
        <w:rPr/>
      </w:pPr>
      <w:r>
        <w:rPr/>
        <w:t xml:space="preserve"> </w:t>
      </w:r>
    </w:p>
    <w:p>
      <w:pPr>
        <w:pStyle w:val="P68B1DB1Normal125"/>
        <w:widowControl w:val="false"/>
        <w:spacing w:lineRule="auto" w:line="240" w:before="205" w:after="0"/>
        <w:ind w:left="0" w:right="0" w:hanging="0"/>
        <w:jc w:val="left"/>
        <w:rPr/>
      </w:pPr>
      <w:r>
        <w:rPr/>
        <w:t xml:space="preserve">4. Dialog med ungdomar </w:t>
      </w:r>
    </w:p>
    <w:p>
      <w:pPr>
        <w:pStyle w:val="P68B1DB1Normal104"/>
        <w:widowControl w:val="false"/>
        <w:spacing w:lineRule="auto" w:line="240" w:before="145" w:after="0"/>
        <w:ind w:left="0" w:right="0" w:hanging="0"/>
        <w:jc w:val="both"/>
        <w:rPr/>
      </w:pPr>
      <w:r>
        <w:rPr/>
        <w:t xml:space="preserve">Ungdomar är en prioriterad målgrupp för konferensen om Europas framtid. För att aktivt uppmuntra deras deltagande i medborgardialogen ”Europas vision” och för att göra denna grupps åsikter och idéer väl hörda anordnades sex fysiska diskussionsmöten särskilt för ungdomar.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Mötena ägde rum vid följande institutioner: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Föreningen för historiestuderande, Leidens universitet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Ekonomiska och sociala rådets ungdomsplattform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yrkesinriktad gymnasieutbildning,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gymnasieutbildning med inriktning på tekniska ämnen,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Nationella ungdomsrådet (mötet ägde rum på annan plats)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Totalt deltog 110 ungdomar i diskussionsmötena. </w:t>
      </w:r>
      <w:r>
        <w:br w:type="page"/>
      </w:r>
    </w:p>
    <w:p>
      <w:pPr>
        <w:pStyle w:val="P68B1DB1Normal126"/>
        <w:spacing w:lineRule="auto" w:line="240"/>
        <w:ind w:left="0" w:right="0" w:hanging="0"/>
        <w:rPr/>
      </w:pPr>
      <w:r>
        <w:rPr/>
        <w:t xml:space="preserve">Underhållstekniker som används </w:t>
      </w:r>
    </w:p>
    <w:p>
      <w:pPr>
        <w:pStyle w:val="P68B1DB1Normal104"/>
        <w:widowControl w:val="false"/>
        <w:spacing w:lineRule="auto" w:line="240" w:before="92" w:after="0"/>
        <w:ind w:left="0" w:right="0" w:hanging="0"/>
        <w:jc w:val="left"/>
        <w:rPr/>
      </w:pPr>
      <w:r>
        <w:rPr/>
        <w:t xml:space="preserve">Tematiska dialoger online, dialoger med särskilda grupper och dialoger med ungdomar fördes med hjälp av den så kallade ”sokratiska” intervjumetoden. Denna metod har använts i många år på Dialogdagen, där människor över hela Nederländerna interagerar om frågor som påverkar dem. Inom ramen för den sokratiska underhållsmetoden ska moderatorn beakta följande principer: </w:t>
      </w:r>
    </w:p>
    <w:p>
      <w:pPr>
        <w:pStyle w:val="P68B1DB1Normal105"/>
        <w:widowControl w:val="false"/>
        <w:spacing w:lineRule="auto" w:line="240"/>
        <w:ind w:left="0" w:right="0" w:hanging="0"/>
        <w:jc w:val="left"/>
        <w:rPr/>
      </w:pPr>
      <w:r>
        <w:rPr>
          <w:rFonts w:ascii="Verdana" w:hAnsi="Verdana"/>
        </w:rPr>
        <w:t>Låt</w:t>
      </w:r>
      <w:r>
        <w:rPr/>
        <w:t xml:space="preserve"> den andre berätta sin historia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Svara</w:t>
      </w:r>
      <w:r>
        <w:rPr/>
        <w:t xml:space="preserve"> </w:t>
      </w:r>
      <w:r>
        <w:rPr>
          <w:rFonts w:ascii="Calibri" w:hAnsi="Calibri"/>
        </w:rPr>
        <w:t xml:space="preserve">inte omedelbart med en annan historia </w:t>
      </w:r>
    </w:p>
    <w:p>
      <w:pPr>
        <w:pStyle w:val="P68B1DB1Normal105"/>
        <w:widowControl w:val="false"/>
        <w:spacing w:lineRule="auto" w:line="240"/>
        <w:ind w:left="0" w:right="0" w:hanging="0"/>
        <w:jc w:val="left"/>
        <w:rPr/>
      </w:pPr>
      <w:r>
        <w:rPr>
          <w:rFonts w:ascii="Verdana" w:hAnsi="Verdana"/>
        </w:rPr>
        <w:t>Behandla</w:t>
      </w:r>
      <w:r>
        <w:rPr/>
        <w:t xml:space="preserve"> </w:t>
      </w:r>
      <w:r>
        <w:rPr>
          <w:rFonts w:ascii="Calibri" w:hAnsi="Calibri"/>
        </w:rPr>
        <w:t xml:space="preserve">dig själv med respekt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Prata om sin egen synvinkel (”Jag finner” snarare än ”de säger”)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Be om fler förklaringar om de åsikter som framförs är begränsade till allmängiltighet. </w:t>
      </w:r>
    </w:p>
    <w:p>
      <w:pPr>
        <w:pStyle w:val="P68B1DB1Normal105"/>
        <w:widowControl w:val="false"/>
        <w:spacing w:lineRule="auto" w:line="240"/>
        <w:ind w:left="0" w:right="0" w:hanging="0"/>
        <w:jc w:val="left"/>
        <w:rPr/>
      </w:pPr>
      <w:r>
        <w:rPr>
          <w:rFonts w:ascii="Verdana" w:hAnsi="Verdana"/>
        </w:rPr>
        <w:t>Undvik</w:t>
      </w:r>
      <w:r>
        <w:rPr/>
        <w:t xml:space="preserve"> </w:t>
      </w:r>
      <w:r>
        <w:rPr>
          <w:rFonts w:ascii="Calibri" w:hAnsi="Calibri"/>
        </w:rPr>
        <w:t xml:space="preserve">domar och analysera dem </w:t>
      </w:r>
    </w:p>
    <w:p>
      <w:pPr>
        <w:pStyle w:val="P68B1DB1Normal105"/>
        <w:widowControl w:val="false"/>
        <w:spacing w:lineRule="auto" w:line="240"/>
        <w:ind w:left="0" w:right="0" w:hanging="0"/>
        <w:jc w:val="left"/>
        <w:rPr/>
      </w:pPr>
      <w:r>
        <w:rPr>
          <w:rFonts w:ascii="Verdana" w:hAnsi="Verdana"/>
        </w:rPr>
        <w:t>Ge</w:t>
      </w:r>
      <w:r>
        <w:rPr/>
        <w:t xml:space="preserve"> </w:t>
      </w:r>
      <w:r>
        <w:rPr>
          <w:rFonts w:ascii="Calibri" w:hAnsi="Calibri"/>
        </w:rPr>
        <w:t xml:space="preserve">stunder av tystnad om människor behöver tänka för en stund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Under dialogerna ska följande rytm användas: divergens – konvergens – divergens. Principen är att du först måste avvika (direkt uttrycka individuella känslor och åsikter), innan du kan konvergera (prata möjliga vägar) och sedan slutligen avvika igen (till exempel samla individuella rekommendationer). Erfarenhet och teori visar att denna rytm säkerställer ett optimalt flöde av dialog.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Alla dialoger fördes av professionella facilitatorer. </w:t>
      </w:r>
    </w:p>
    <w:p>
      <w:pPr>
        <w:pStyle w:val="Normal"/>
        <w:widowControl w:val="false"/>
        <w:spacing w:lineRule="auto" w:line="240" w:before="197" w:after="0"/>
        <w:ind w:left="0" w:right="0" w:hanging="0"/>
        <w:jc w:val="left"/>
        <w:rPr/>
      </w:pPr>
      <w:r>
        <w:rPr>
          <w:rFonts w:ascii="Calibri" w:hAnsi="Calibri"/>
          <w:b/>
          <w:color w:val="0070C0"/>
          <w:sz w:val="32"/>
        </w:rPr>
        <w:t>5. Offentliga undersökningar online: Frågeformulär och ”Swipen naar de toekomst”</w:t>
      </w:r>
      <w:commentRangeStart w:id="31"/>
      <w:r>
        <w:rPr>
          <w:rFonts w:ascii="Calibri" w:hAnsi="Calibri"/>
          <w:b/>
          <w:color w:val="0070C0"/>
          <w:sz w:val="32"/>
        </w:rPr>
        <w:t>(</w:t>
      </w:r>
      <w:r>
        <w:rPr/>
      </w:r>
      <w:commentRangeEnd w:id="31"/>
      <w:r>
        <w:commentReference w:id="31"/>
      </w:r>
      <w:r>
        <w:rPr>
          <w:rFonts w:ascii="Calibri" w:hAnsi="Calibri"/>
          <w:b/>
          <w:color w:val="0070C0"/>
          <w:sz w:val="32"/>
        </w:rPr>
        <w:t xml:space="preserve"> Swiper till framtiden) </w:t>
      </w:r>
    </w:p>
    <w:p>
      <w:pPr>
        <w:pStyle w:val="P68B1DB1Normal110"/>
        <w:widowControl w:val="false"/>
        <w:spacing w:lineRule="auto" w:line="240"/>
        <w:ind w:left="0" w:right="0" w:hanging="0"/>
        <w:jc w:val="left"/>
        <w:rPr/>
      </w:pPr>
      <w:r>
        <w:rPr>
          <w:sz w:val="21"/>
        </w:rPr>
        <w:t>Panelenkäten var också öppen för alla holländare, inklusive dem som är bosatta utomlands. Frågeformuläret var tillgängligt mellan den</w:t>
      </w:r>
      <w:r>
        <w:rPr>
          <w:position w:val="6"/>
          <w:sz w:val="14"/>
        </w:rPr>
        <w:t>1</w:t>
      </w:r>
      <w:r>
        <w:rPr>
          <w:sz w:val="21"/>
        </w:rPr>
        <w:t xml:space="preserve"> september 2021 och den 14 november 2021. Dessutom kunde varje nederländare under samma period delta i åtgärden ”Swipen naar de toekomst” (Swiper till framtiden), ett onlineverktyg med 20 anspråk. </w:t>
      </w:r>
    </w:p>
    <w:p>
      <w:pPr>
        <w:pStyle w:val="P68B1DB1Normal126"/>
        <w:widowControl w:val="false"/>
        <w:spacing w:lineRule="auto" w:line="240" w:before="14" w:after="0"/>
        <w:ind w:left="0" w:right="0" w:hanging="0"/>
        <w:jc w:val="left"/>
        <w:rPr/>
      </w:pPr>
      <w:r>
        <w:rPr/>
        <w:t xml:space="preserve">Svar och användning </w:t>
      </w:r>
    </w:p>
    <w:p>
      <w:pPr>
        <w:pStyle w:val="P68B1DB1Normal104"/>
        <w:widowControl w:val="false"/>
        <w:spacing w:lineRule="auto" w:line="240"/>
        <w:ind w:left="0" w:right="0" w:hanging="0"/>
        <w:jc w:val="left"/>
        <w:rPr/>
      </w:pPr>
      <w:r>
        <w:rPr/>
        <w:t xml:space="preserve">Totalt 1 967 deltagare fyllde i frågeformuläret och 6 968 var till slutet av skärmskanningsverktyget. Både frågeformuläret och skärmskanningsverktyget var öppna för alla: det fanns inga förutsättningar eller urvalskriterier för att delta. I frågeformuläret var det möjligt att ställa frågor (det fanns inga obligatoriska frågor) för att maximera svarsfrekvensen. Deltagarna valde ”Jag föredrar att inte svara” mycket oftare än i den representativa panelenkäten. </w:t>
      </w:r>
    </w:p>
    <w:p>
      <w:pPr>
        <w:pStyle w:val="P68B1DB1Normal104"/>
        <w:widowControl w:val="false"/>
        <w:spacing w:lineRule="auto" w:line="240"/>
        <w:ind w:left="0" w:right="0" w:hanging="0"/>
        <w:jc w:val="left"/>
        <w:rPr/>
      </w:pPr>
      <w:r>
        <w:rPr/>
        <w:t xml:space="preserve">De allmänna egenskaperna hos deltagarna i det öppna frågeformuläret och skärmskanningsverktyget skiljer sig i flera avseenden från deltagarna i den representativa panelen. Till skillnad från panelenkäten är resultaten från det öppna frågeformuläret och skärmskanningsverktyget inte representativa. Resultaten av den öppna onlineundersökningen användes som komplement till panelundersökningen. De ger en översikt över de känslor och idéer som cirkulerar i Nederländerna. De förbättringsförslag som nämns i inmatningsfälten användes i avsnittet ”Discussions and ideas online and on site”. Skärmskanningsverktyget har använts för att bättre förstå några av de känslor som cirkulerar i Nederländerna. Dessa resultat beaktades vid utarbetandet av rekommendationerna. På grund av kravet på representativitet har resultaten av den undersökning som inletts online endast beaktats i denna rapport.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Denna rapport publiceras av utrikesministeriet.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Hänvisningar till resultaten av nationella evenemang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Belgien</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Bulgarien</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Tjeckien</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3">
        <w:r>
          <w:rPr>
            <w:rStyle w:val="LienInternet"/>
            <w:rFonts w:ascii="Times New Roman" w:hAnsi="Times New Roman"/>
            <w:b/>
            <w:color w:val="0000FF"/>
          </w:rPr>
          <w:t>Danmark</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I</w:t>
        </w:r>
      </w:hyperlink>
      <w:hyperlink r:id="rId125">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Estland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7">
        <w:r>
          <w:rPr>
            <w:rStyle w:val="LienInternet"/>
            <w:rFonts w:ascii="Times New Roman" w:hAnsi="Times New Roman"/>
            <w:b/>
            <w:color w:val="0000FF"/>
          </w:rPr>
          <w:t>Irland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Grekland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Spanien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Frankrike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Kroatien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Italien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Cypern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Lettland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Litauen</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6">
        <w:r>
          <w:rPr>
            <w:rStyle w:val="LienInternet"/>
            <w:rFonts w:ascii="Times New Roman" w:hAnsi="Times New Roman"/>
            <w:b/>
            <w:color w:val="0000FF"/>
          </w:rPr>
          <w:t>Luxemburg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Ungern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8">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Nederländerna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Österrike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Polen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Portugal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Rumänien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Slovenien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Slovakien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Finland</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47">
        <w:r>
          <w:rPr>
            <w:rStyle w:val="LienInternet"/>
            <w:rFonts w:ascii="Times New Roman" w:hAnsi="Times New Roman"/>
            <w:b/>
            <w:color w:val="0000FF"/>
          </w:rPr>
          <w:t>Sverige</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Hänvisning till rapporten från den flerspråkiga digitala plattformen </w:t>
      </w:r>
    </w:p>
    <w:p>
      <w:pPr>
        <w:pStyle w:val="P68B1DB1Normal34"/>
        <w:widowControl w:val="false"/>
        <w:spacing w:lineRule="exact" w:line="393"/>
        <w:ind w:left="0" w:right="0" w:hanging="0"/>
        <w:jc w:val="left"/>
        <w:rPr/>
      </w:pPr>
      <w:r>
        <w:rPr/>
        <w:t xml:space="preserve"> </w:t>
      </w:r>
    </w:p>
    <w:p>
      <w:pPr>
        <w:pStyle w:val="Normal"/>
        <w:widowControl w:val="false"/>
        <w:spacing w:lineRule="exact" w:line="331" w:before="4" w:after="0"/>
        <w:ind w:left="0" w:right="360" w:hanging="0"/>
        <w:jc w:val="left"/>
        <w:rPr/>
      </w:pPr>
      <w:hyperlink r:id="rId148">
        <w:r>
          <w:rPr>
            <w:rStyle w:val="LienInternet"/>
            <w:color w:val="0000FF"/>
            <w:sz w:val="24"/>
          </w:rPr>
          <w:t>PL</w:t>
        </w:r>
      </w:hyperlink>
      <w:hyperlink r:id="rId149">
        <w:r>
          <w:rPr>
            <w:rStyle w:val="LienInternet"/>
            <w:color w:val="0000FF"/>
            <w:sz w:val="24"/>
          </w:rPr>
          <w:t>flerspråkig</w:t>
        </w:r>
      </w:hyperlink>
      <w:hyperlink r:id="rId150">
        <w:r>
          <w:rPr>
            <w:rStyle w:val="LienInternet"/>
            <w:color w:val="0000FF"/>
            <w:sz w:val="24"/>
          </w:rPr>
          <w:t xml:space="preserve">numeform från konferensen om Europas framtid – rapport frånfebruari 2022  </w:t>
        </w:r>
      </w:hyperlink>
    </w:p>
    <w:p>
      <w:pPr>
        <w:pStyle w:val="P68B1DB1Normal131"/>
        <w:widowControl w:val="false"/>
        <w:spacing w:lineRule="exact" w:line="393" w:before="4" w:after="0"/>
        <w:ind w:left="0" w:right="0" w:hanging="0"/>
        <w:jc w:val="left"/>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6120130" cy="4867275"/>
            <wp:effectExtent l="0" t="0" r="0" b="0"/>
            <wp:wrapTopAndBottom/>
            <wp:docPr id="111" name="Bild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48" descr=""/>
                    <pic:cNvPicPr>
                      <a:picLocks noChangeAspect="1" noChangeArrowheads="1"/>
                    </pic:cNvPicPr>
                  </pic:nvPicPr>
                  <pic:blipFill>
                    <a:blip r:embed="rId151"/>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Skriv ut ISBN 978–92–824–8729–7 doi:10.2860/533066 QC-05–22–131-SV-C</w:t>
      </w:r>
    </w:p>
    <w:p>
      <w:pPr>
        <w:pStyle w:val="P68B1DB1Normal132"/>
        <w:widowControl w:val="false"/>
        <w:spacing w:lineRule="exact" w:line="330" w:before="117" w:after="0"/>
        <w:ind w:left="1668" w:right="0" w:firstLine="2132"/>
        <w:jc w:val="right"/>
        <w:rPr/>
      </w:pPr>
      <w:r>
        <w:rPr/>
        <w:t>© Europeiska unionen, 2022 Återanvändning tillåten, förutsatt att källan anges.</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Begreppet ”intereuropeiskt” är förvirrat.</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konstig gruppering</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konstig gruppering</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konstig gruppering</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i kursiv stil i den första rapporten på franska</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originalet var ”kamrat”</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Jag lade till ett ”s” (plural beviljas med skatter)</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Jag har lagt till Dash</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lagt till en stor bokstav</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Jag tog bort ett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originalet hade en instrumentpanel. Jag vet inte vad instrumentbrädan är. Jag begärde därför en översättning av den engelska texten från Google, som angav ”dashboard”, vilket är förståeligt på franska. eTranslation anger också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Jag skrev på ett stort brev.</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Jag har lagt till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Jag har lagt till ett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originalet hade ”referenser”. eftersom det på andra ställen finns ett ”referendum” med accenter, måste plural vara ”referenda”, vid användning av den latinska declinationen.</w:t>
      </w:r>
    </w:p>
    <w:p>
      <w:r>
        <w:rPr>
          <w:rFonts w:ascii="Times New Roman" w:hAnsi="Times New Roman" w:eastAsia="Segoe UI" w:cs="Tahoma"/>
          <w:color w:val="auto"/>
          <w:kern w:val="0"/>
          <w:sz w:val="24"/>
          <w:szCs w:val="24"/>
          <w:lang w:val="en-US" w:eastAsia="en-US" w:bidi="en-US"/>
        </w:rPr>
        <w:t xml:space="preserve">se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där fanns också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Originalet hade ”på listorna över mekanismerna i lådan”? Jag förstår inte, så jag översatte från den engelska versionen.</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Originalet på franska var ”ombudsmannens webbplats är välgjord men är inte EU-märkt”. Termen ”branded” är obegriplig. Den engelska versionen är ”ombudsmannens webbplats är välgjord men har ingen ordentlig europeisk ”bild”, så jag ersätter den med en mer begriplig direktöversättning av engelska.</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originalet på franska var ”offentligt”, vilket inte beviljades med ”samråd”. Var det ett offentligt samråd eller ett offentligt samråd?</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det fanns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tillsatta versaler (kommersiella namn)</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ersatt ”la” med ”den”</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ersatt ”ta” med ”ta”</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ta bort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Lägg till ett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Jag förstår inte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Lägg till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titel på två främmande språk: konstiga</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t>Medborgarrekommendationer som ligger till grund för förslaget: #3, #17, #18, #19</w:t>
      </w:r>
    </w:p>
  </w:endnote>
  <w:endnote w:id="3">
    <w:p>
      <w:pPr>
        <w:pStyle w:val="Notedefin"/>
        <w:suppressLineNumbers/>
        <w:spacing w:before="57" w:after="57"/>
        <w:ind w:left="339" w:right="0" w:hanging="339"/>
        <w:rPr/>
      </w:pPr>
      <w:r>
        <w:rPr>
          <w:rStyle w:val="Caractresdenotedefin"/>
        </w:rPr>
        <w:endnoteRef/>
      </w:r>
      <w:r>
        <w:rPr/>
        <w:tab/>
        <w:t># = rekommendation från de europeiska medborgarpanelerna.</w:t>
      </w:r>
    </w:p>
  </w:endnote>
  <w:endnote w:id="4">
    <w:p>
      <w:pPr>
        <w:pStyle w:val="Notedefin"/>
        <w:suppressLineNumbers/>
        <w:spacing w:before="57" w:after="57"/>
        <w:ind w:left="339" w:right="0" w:hanging="339"/>
        <w:rPr/>
      </w:pPr>
      <w:r>
        <w:rPr>
          <w:rStyle w:val="Caractresdenotedefin"/>
        </w:rPr>
        <w:endnoteRef/>
      </w:r>
      <w:r>
        <w:rPr/>
        <w:tab/>
        <w:t>Medborgarrekommendationer som ligger till grund för förslaget: #39, #40, #41, #42, #43, NL1, NL2, #51</w:t>
      </w:r>
    </w:p>
  </w:endnote>
  <w:endnote w:id="5">
    <w:p>
      <w:pPr>
        <w:pStyle w:val="Notedefin"/>
        <w:suppressLineNumbers/>
        <w:spacing w:before="57" w:after="57"/>
        <w:ind w:left="339" w:right="0" w:hanging="339"/>
        <w:rPr/>
      </w:pPr>
      <w:r>
        <w:rPr>
          <w:rStyle w:val="Caractresdenotedefin"/>
        </w:rPr>
        <w:endnoteRef/>
      </w:r>
      <w:r>
        <w:rPr/>
        <w:tab/>
        <w:t>Rekommendation från en nationell medborgarpanel</w:t>
      </w:r>
    </w:p>
  </w:endnote>
  <w:endnote w:id="6">
    <w:p>
      <w:pPr>
        <w:pStyle w:val="Notedefin"/>
        <w:suppressLineNumbers/>
        <w:spacing w:before="57" w:after="57"/>
        <w:ind w:left="339" w:right="0" w:hanging="339"/>
        <w:rPr/>
      </w:pPr>
      <w:r>
        <w:rPr>
          <w:rStyle w:val="Caractresdenotedefin"/>
        </w:rPr>
        <w:endnoteRef/>
      </w:r>
      <w:r>
        <w:rPr/>
        <w:tab/>
        <w:t>Medborgarrekommendationer som ligger till grund för förslaget: #44, #45, #46, #47, #50</w:t>
      </w:r>
    </w:p>
  </w:endnote>
  <w:endnote w:id="7">
    <w:p>
      <w:pPr>
        <w:pStyle w:val="Notedefin"/>
        <w:suppressLineNumbers/>
        <w:spacing w:before="57" w:after="57"/>
        <w:ind w:left="339" w:right="0" w:hanging="339"/>
        <w:rPr/>
      </w:pPr>
      <w:r>
        <w:rPr>
          <w:rStyle w:val="Caractresdenotedefin"/>
        </w:rPr>
        <w:endnoteRef/>
      </w:r>
      <w:r>
        <w:rPr/>
        <w:tab/>
        <w:t>Medborgarrekommendationer som ligger till grund för förslaget: #39, #40, #45, #48, #50, FRchangement8, FRswait11, #51</w:t>
      </w:r>
    </w:p>
  </w:endnote>
  <w:endnote w:id="8">
    <w:p>
      <w:pPr>
        <w:pStyle w:val="Notedefin"/>
        <w:suppressLineNumbers/>
        <w:spacing w:before="57" w:after="57"/>
        <w:ind w:left="339" w:right="0" w:hanging="339"/>
        <w:rPr/>
      </w:pPr>
      <w:r>
        <w:rPr>
          <w:rStyle w:val="Caractresdenotedefin"/>
        </w:rPr>
        <w:endnoteRef/>
      </w:r>
      <w:r>
        <w:rPr/>
        <w:tab/>
        <w:t>Rekommendationerna från den nederländska medborgarpanelen skiljer sig från rekommendationerna från den europeiska medborgarpanelen: han hävdar att hälso- och sjukvård i första hand bör vara ett nationellt ansvar [NL3].</w:t>
      </w:r>
    </w:p>
  </w:endnote>
  <w:endnote w:id="9">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9, 10, 11, 12, 14; Nederländerna: 1; Italien: 1.1; Sverige: 3, 8.</w:t>
      </w:r>
    </w:p>
  </w:endnote>
  <w:endnote w:id="10">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10, 11 och 14; Tyskland: 2.1, 2.2; Nederländerna: 1, 2; Frankrike: 3, 9; Italien: 1,2, 1.3, 1.4, 1.5, 2.1, 2.2, 2,4, 4.a.2 och 6.1. Sverige: 1, 7.</w:t>
      </w:r>
    </w:p>
  </w:endnote>
  <w:endnote w:id="11">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1, 2, 7, 28, 30; Tyskland: 4.1, 4.2; Nederländerna: 4; Frankrike: 6; Italien: 5.a.1, 5.a.4, 6.1 och 6.2.</w:t>
      </w:r>
    </w:p>
  </w:endnote>
  <w:endnote w:id="12">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19, 20, 21, 25; Italien: 4.a.1.</w:t>
      </w:r>
    </w:p>
  </w:endnote>
  <w:endnote w:id="13">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21, 22, 23, 26, 27; Italien: 5.a.1.</w:t>
      </w:r>
    </w:p>
  </w:endnote>
  <w:endnote w:id="14">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13, 31; Nederländerna: 2.3; Italien: 4.b.3, 4.b.6. Sverige: 9, 10.</w:t>
      </w:r>
    </w:p>
  </w:endnote>
  <w:endnote w:id="15">
    <w:p>
      <w:pPr>
        <w:pStyle w:val="Notedefin"/>
        <w:suppressLineNumbers/>
        <w:spacing w:before="57" w:after="57"/>
        <w:ind w:left="339" w:right="0" w:hanging="339"/>
        <w:rPr/>
      </w:pPr>
      <w:r>
        <w:rPr>
          <w:rStyle w:val="Caractresdenotedefin"/>
        </w:rPr>
        <w:endnoteRef/>
      </w:r>
      <w:r>
        <w:rPr/>
        <w:tab/>
        <w:t>På grundval av diskussionerna i arbetsgruppen och plenarsessionen.</w:t>
      </w:r>
    </w:p>
  </w:endnote>
  <w:endnote w:id="16">
    <w:p>
      <w:pPr>
        <w:pStyle w:val="Notedefin"/>
        <w:suppressLineNumbers/>
        <w:spacing w:before="57" w:after="57"/>
        <w:ind w:left="339" w:right="0" w:hanging="339"/>
        <w:rPr/>
      </w:pPr>
      <w:r>
        <w:rPr>
          <w:rStyle w:val="Caractresdenotedefin"/>
        </w:rPr>
        <w:endnoteRef/>
      </w:r>
      <w:r>
        <w:rPr/>
        <w:tab/>
        <w:t>Se rekommendation nr 1 från ECP4, rekommendation nr 2 från den nationella kontaktpunkten Tyskland, panel 1 ”EU i världen”, och från Italiens nationella kontaktpunkter, grupp 2, Rec. 1, som utarbetats inom arbetsgruppen.</w:t>
      </w:r>
    </w:p>
  </w:endnote>
  <w:endnote w:id="17">
    <w:p>
      <w:pPr>
        <w:pStyle w:val="Notedefin"/>
        <w:suppressLineNumbers/>
        <w:spacing w:before="57" w:after="57"/>
        <w:ind w:left="339" w:right="0" w:hanging="339"/>
        <w:rPr/>
      </w:pPr>
      <w:r>
        <w:rPr>
          <w:rStyle w:val="Caractresdenotedefin"/>
        </w:rPr>
        <w:endnoteRef/>
      </w:r>
      <w:r>
        <w:rPr/>
        <w:tab/>
        <w:t>Se rekommendation 4 från ECP4 och rekommendationerna 5 och 6 från Italiens nationella kontaktpunkter, grupp 2, som utarbetats inom arbetsgruppen.</w:t>
      </w:r>
    </w:p>
  </w:endnote>
  <w:endnote w:id="18">
    <w:p>
      <w:pPr>
        <w:pStyle w:val="Notedefin"/>
        <w:suppressLineNumbers/>
        <w:spacing w:before="57" w:after="57"/>
        <w:ind w:left="339" w:right="0" w:hanging="339"/>
        <w:rPr/>
      </w:pPr>
      <w:r>
        <w:rPr>
          <w:rStyle w:val="Caractresdenotedefin"/>
        </w:rPr>
        <w:endnoteRef/>
      </w:r>
      <w:r>
        <w:rPr/>
        <w:tab/>
        <w:t xml:space="preserve">Se den digitala plattformen och rekommendationerna 2 och 3 från Italiens nationella kontaktpunkter, grupp 2, som utarbetats inom arbetsgruppen,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t>Se rekommendation 14 från ECP 4, som utarbetats av arbetsgruppen.</w:t>
      </w:r>
    </w:p>
  </w:endnote>
  <w:endnote w:id="20">
    <w:p>
      <w:pPr>
        <w:pStyle w:val="Notedefin"/>
        <w:suppressLineNumbers/>
        <w:spacing w:before="57" w:after="57"/>
        <w:ind w:left="339" w:right="0" w:hanging="339"/>
        <w:rPr/>
      </w:pPr>
      <w:r>
        <w:rPr>
          <w:rStyle w:val="Caractresdenotedefin"/>
        </w:rPr>
        <w:endnoteRef/>
      </w:r>
      <w:r>
        <w:rPr/>
        <w:tab/>
        <w:t>Se rekommendation nr 2 från ECP4 och rekommendation nr 4 från Italiens nationella kontaktpunkter, grupp 2, som utarbetats inom arbetsgruppen.</w:t>
      </w:r>
    </w:p>
  </w:endnote>
  <w:endnote w:id="21">
    <w:p>
      <w:pPr>
        <w:pStyle w:val="Notedefin"/>
        <w:suppressLineNumbers/>
        <w:spacing w:before="57" w:after="57"/>
        <w:ind w:left="339" w:right="0" w:hanging="339"/>
        <w:rPr/>
      </w:pPr>
      <w:r>
        <w:rPr>
          <w:rStyle w:val="Caractresdenotedefin"/>
        </w:rPr>
        <w:endnoteRef/>
      </w:r>
      <w:r>
        <w:rPr/>
        <w:tab/>
        <w:t>Se rekommendation nr 17 från ECP4 och rekommendation nr 4 från Italiens nationella kontaktpunkter, grupp 2, som utarbetats inom arbetsgruppen.</w:t>
      </w:r>
    </w:p>
  </w:endnote>
  <w:endnote w:id="22">
    <w:p>
      <w:pPr>
        <w:pStyle w:val="Notedefin"/>
        <w:suppressLineNumbers/>
        <w:spacing w:before="57" w:after="57"/>
        <w:ind w:left="339" w:right="0" w:hanging="339"/>
        <w:rPr/>
      </w:pPr>
      <w:r>
        <w:rPr>
          <w:rStyle w:val="Caractresdenotedefin"/>
        </w:rPr>
        <w:endnoteRef/>
      </w:r>
      <w:r>
        <w:rPr/>
        <w:tab/>
        <w:t>Se rekommendation 1 från den nationella kontaktpunkten Tyskland, panel 1 ”EU i världen”, utarbetad i arbetsgruppen.</w:t>
      </w:r>
    </w:p>
  </w:endnote>
  <w:endnote w:id="23">
    <w:p>
      <w:pPr>
        <w:pStyle w:val="Notedefin"/>
        <w:suppressLineNumbers/>
        <w:spacing w:before="57" w:after="57"/>
        <w:ind w:left="339" w:right="0" w:hanging="339"/>
        <w:rPr/>
      </w:pPr>
      <w:r>
        <w:rPr>
          <w:rStyle w:val="Caractresdenotedefin"/>
        </w:rPr>
        <w:endnoteRef/>
      </w:r>
      <w:r>
        <w:rPr/>
        <w:tab/>
        <w:t>Se rekommendation 3 från ECP 4, som utarbetats av arbetsgruppen.</w:t>
      </w:r>
    </w:p>
  </w:endnote>
  <w:endnote w:id="24">
    <w:p>
      <w:pPr>
        <w:pStyle w:val="Notedefin"/>
        <w:suppressLineNumbers/>
        <w:spacing w:before="57" w:after="57"/>
        <w:ind w:left="339" w:right="0" w:hanging="339"/>
        <w:rPr/>
      </w:pPr>
      <w:r>
        <w:rPr>
          <w:rStyle w:val="Caractresdenotedefin"/>
        </w:rPr>
        <w:endnoteRef/>
      </w:r>
      <w:r>
        <w:rPr/>
        <w:tab/>
        <w:t>Se rekommendation 11 från ECP 4, som utarbetats av arbetsgruppen.</w:t>
      </w:r>
    </w:p>
  </w:endnote>
  <w:endnote w:id="25">
    <w:p>
      <w:pPr>
        <w:pStyle w:val="Notedefin"/>
        <w:suppressLineNumbers/>
        <w:spacing w:before="57" w:after="57"/>
        <w:ind w:left="339" w:right="0" w:hanging="339"/>
        <w:rPr/>
      </w:pPr>
      <w:r>
        <w:rPr>
          <w:rStyle w:val="Caractresdenotedefin"/>
        </w:rPr>
        <w:endnoteRef/>
      </w:r>
      <w:r>
        <w:rPr/>
        <w:tab/>
        <w:t>Se rekommendation 13 från ECP 4, som utarbetats av arbetsgruppen.</w:t>
      </w:r>
    </w:p>
  </w:endnote>
  <w:endnote w:id="26">
    <w:p>
      <w:pPr>
        <w:pStyle w:val="Notedefin"/>
        <w:suppressLineNumbers/>
        <w:spacing w:before="57" w:after="57"/>
        <w:ind w:left="339" w:right="0" w:hanging="339"/>
        <w:rPr/>
      </w:pPr>
      <w:r>
        <w:rPr>
          <w:rStyle w:val="Caractresdenotedefin"/>
        </w:rPr>
        <w:endnoteRef/>
      </w:r>
      <w:r>
        <w:rPr/>
        <w:tab/>
        <w:t>Se rekommendation 15 från ECP 4, som utarbetats av arbetsgruppen.</w:t>
      </w:r>
    </w:p>
  </w:endnote>
  <w:endnote w:id="27">
    <w:p>
      <w:pPr>
        <w:pStyle w:val="Notedefin"/>
        <w:suppressLineNumbers/>
        <w:spacing w:before="57" w:after="57"/>
        <w:ind w:left="339" w:right="0" w:hanging="339"/>
        <w:rPr/>
      </w:pPr>
      <w:r>
        <w:rPr>
          <w:rStyle w:val="Caractresdenotedefin"/>
        </w:rPr>
        <w:endnoteRef/>
      </w:r>
      <w:r>
        <w:rPr/>
        <w:tab/>
        <w:t>Se rekommendation 16 från ECP 4, som utarbetats av arbetsgruppen.</w:t>
      </w:r>
    </w:p>
  </w:endnote>
  <w:endnote w:id="28">
    <w:p>
      <w:pPr>
        <w:pStyle w:val="Notedefin"/>
        <w:suppressLineNumbers/>
        <w:spacing w:before="57" w:after="57"/>
        <w:ind w:left="339" w:right="0" w:hanging="339"/>
        <w:rPr/>
      </w:pPr>
      <w:r>
        <w:rPr>
          <w:rStyle w:val="Caractresdenotedefin"/>
        </w:rPr>
        <w:endnoteRef/>
      </w:r>
      <w:r>
        <w:rPr/>
        <w:tab/>
        <w:t>Se rekommendation 12 från ECP 4, som utarbetats av arbetsgruppen.</w:t>
      </w:r>
    </w:p>
  </w:endnote>
  <w:endnote w:id="29">
    <w:p>
      <w:pPr>
        <w:pStyle w:val="Notedefin"/>
        <w:suppressLineNumbers/>
        <w:spacing w:before="57" w:after="57"/>
        <w:ind w:left="339" w:right="0" w:hanging="339"/>
        <w:rPr/>
      </w:pPr>
      <w:r>
        <w:rPr>
          <w:rStyle w:val="Caractresdenotedefin"/>
        </w:rPr>
        <w:endnoteRef/>
      </w:r>
      <w:r>
        <w:rPr/>
        <w:tab/>
        <w:t>Se rekommendation 21 från ECP 4, som utarbetats av arbetsgruppen.</w:t>
      </w:r>
    </w:p>
  </w:endnote>
  <w:endnote w:id="30">
    <w:p>
      <w:pPr>
        <w:pStyle w:val="Notedefin"/>
        <w:suppressLineNumbers/>
        <w:spacing w:before="57" w:after="57"/>
        <w:ind w:left="339" w:right="0" w:hanging="339"/>
        <w:rPr/>
      </w:pPr>
      <w:r>
        <w:rPr>
          <w:rStyle w:val="Caractresdenotedefin"/>
        </w:rPr>
        <w:endnoteRef/>
      </w:r>
      <w:r>
        <w:rPr/>
        <w:tab/>
        <w:t>Se den digitala plattformen som utvecklats inom arbetsgruppen.</w:t>
      </w:r>
    </w:p>
  </w:endnote>
  <w:endnote w:id="31">
    <w:p>
      <w:pPr>
        <w:pStyle w:val="Notedefin"/>
        <w:suppressLineNumbers/>
        <w:spacing w:before="57" w:after="57"/>
        <w:ind w:left="339" w:right="0" w:hanging="339"/>
        <w:rPr/>
      </w:pPr>
      <w:r>
        <w:rPr>
          <w:rStyle w:val="Caractresdenotedefin"/>
        </w:rPr>
        <w:endnoteRef/>
      </w:r>
      <w:r>
        <w:rPr/>
        <w:tab/>
        <w:t>Se den digitala plattformen som utvecklats inom arbetsgruppen.</w:t>
      </w:r>
    </w:p>
  </w:endnote>
  <w:endnote w:id="32">
    <w:p>
      <w:pPr>
        <w:pStyle w:val="Notedefin"/>
        <w:suppressLineNumbers/>
        <w:spacing w:before="57" w:after="57"/>
        <w:ind w:left="339" w:right="0" w:hanging="339"/>
        <w:rPr/>
      </w:pPr>
      <w:r>
        <w:rPr>
          <w:rStyle w:val="Caractresdenotedefin"/>
        </w:rPr>
        <w:endnoteRef/>
      </w:r>
      <w:r>
        <w:rPr/>
        <w:tab/>
        <w:t>Se rekommendation 26 från ECP 4, utarbetad i arbetsgruppen.</w:t>
      </w:r>
    </w:p>
  </w:endnote>
  <w:endnote w:id="33">
    <w:p>
      <w:pPr>
        <w:pStyle w:val="Notedefin"/>
        <w:suppressLineNumbers/>
        <w:spacing w:before="57" w:after="57"/>
        <w:ind w:left="339" w:right="0" w:hanging="339"/>
        <w:rPr/>
      </w:pPr>
      <w:r>
        <w:rPr>
          <w:rStyle w:val="Caractresdenotedefin"/>
        </w:rPr>
        <w:endnoteRef/>
      </w:r>
      <w:r>
        <w:rPr/>
        <w:tab/>
        <w:t>Se rekommendation 18 från ECP 4, utarbetad i arbetsgruppen.</w:t>
      </w:r>
    </w:p>
  </w:endnote>
  <w:endnote w:id="34">
    <w:p>
      <w:pPr>
        <w:pStyle w:val="Notedefin"/>
        <w:suppressLineNumbers/>
        <w:spacing w:before="57" w:after="57"/>
        <w:ind w:left="339" w:right="0" w:hanging="339"/>
        <w:rPr/>
      </w:pPr>
      <w:r>
        <w:rPr>
          <w:rStyle w:val="Caractresdenotedefin"/>
        </w:rPr>
        <w:endnoteRef/>
      </w:r>
      <w:r>
        <w:rPr/>
        <w:tab/>
        <w:t>Se rekommendation 19 från ECP 4, utarbetad i arbetsgruppen.</w:t>
      </w:r>
    </w:p>
  </w:endnote>
  <w:endnote w:id="35">
    <w:p>
      <w:pPr>
        <w:pStyle w:val="Notedefin"/>
        <w:suppressLineNumbers/>
        <w:spacing w:before="57" w:after="57"/>
        <w:ind w:left="339" w:right="0" w:hanging="339"/>
        <w:rPr/>
      </w:pPr>
      <w:r>
        <w:rPr>
          <w:rStyle w:val="Caractresdenotedefin"/>
        </w:rPr>
        <w:endnoteRef/>
      </w:r>
      <w:r>
        <w:rPr/>
        <w:tab/>
        <w:t>Se rekommendation 19 från ECP 4, utarbetad i arbetsgruppen.</w:t>
      </w:r>
    </w:p>
  </w:endnote>
  <w:endnote w:id="36">
    <w:p>
      <w:pPr>
        <w:pStyle w:val="Notedefin"/>
        <w:suppressLineNumbers/>
        <w:spacing w:before="57" w:after="57"/>
        <w:ind w:left="339" w:right="0" w:hanging="339"/>
        <w:rPr/>
      </w:pPr>
      <w:r>
        <w:rPr>
          <w:rStyle w:val="Caractresdenotedefin"/>
        </w:rPr>
        <w:endnoteRef/>
      </w:r>
      <w:r>
        <w:rPr/>
        <w:tab/>
        <w:t>Se rekommendation 25 från ECP 4.</w:t>
      </w:r>
    </w:p>
  </w:endnote>
  <w:endnote w:id="37">
    <w:p>
      <w:pPr>
        <w:pStyle w:val="Notedefin"/>
        <w:suppressLineNumbers/>
        <w:spacing w:before="57" w:after="57"/>
        <w:ind w:left="339" w:right="0" w:hanging="339"/>
        <w:rPr/>
      </w:pPr>
      <w:r>
        <w:rPr>
          <w:rStyle w:val="Caractresdenotedefin"/>
        </w:rPr>
        <w:endnoteRef/>
      </w:r>
      <w:r>
        <w:rPr/>
        <w:tab/>
        <w:t>På grundval av diskussionerna i arbetsgruppen och plenarsessionen.</w:t>
      </w:r>
    </w:p>
  </w:endnote>
  <w:endnote w:id="38">
    <w:p>
      <w:pPr>
        <w:pStyle w:val="Notedefin"/>
        <w:suppressLineNumbers/>
        <w:spacing w:before="57" w:after="57"/>
        <w:ind w:left="339" w:right="0" w:hanging="339"/>
        <w:rPr/>
      </w:pPr>
      <w:r>
        <w:rPr>
          <w:rStyle w:val="Caractresdenotedefin"/>
        </w:rPr>
        <w:endnoteRef/>
      </w:r>
      <w:r>
        <w:rPr/>
        <w:tab/>
        <w:t>Se ändring 2 i den franska nationella panelen/evenemangen.</w:t>
      </w:r>
    </w:p>
  </w:endnote>
  <w:endnote w:id="39">
    <w:p>
      <w:pPr>
        <w:pStyle w:val="Notedefin"/>
        <w:suppressLineNumbers/>
        <w:spacing w:before="57" w:after="57"/>
        <w:ind w:left="339" w:right="0" w:hanging="339"/>
        <w:rPr/>
      </w:pPr>
      <w:r>
        <w:rPr>
          <w:rStyle w:val="Caractresdenotedefin"/>
        </w:rPr>
        <w:endnoteRef/>
      </w:r>
      <w:r>
        <w:rPr/>
        <w:tab/>
        <w:t>Se rekommendation 20 från ECP4 och rekommendation 7 från Italien, grupp 2 NCP, som utarbetats inom arbetsgruppen.</w:t>
      </w:r>
    </w:p>
  </w:endnote>
  <w:endnote w:id="40">
    <w:p>
      <w:pPr>
        <w:pStyle w:val="Notedefin"/>
        <w:suppressLineNumbers/>
        <w:spacing w:before="57" w:after="57"/>
        <w:ind w:left="339" w:right="0" w:hanging="339"/>
        <w:rPr/>
      </w:pPr>
      <w:r>
        <w:rPr>
          <w:rStyle w:val="Caractresdenotedefin"/>
        </w:rPr>
        <w:endnoteRef/>
      </w:r>
      <w:r>
        <w:rPr/>
        <w:tab/>
        <w:t>Se ändring 2 i den franska medborgarpanelen.</w:t>
      </w:r>
    </w:p>
  </w:endnote>
  <w:endnote w:id="41">
    <w:p>
      <w:pPr>
        <w:pStyle w:val="Notedefin"/>
        <w:suppressLineNumbers/>
        <w:spacing w:before="57" w:after="57"/>
        <w:ind w:left="339" w:right="0" w:hanging="339"/>
        <w:rPr/>
      </w:pPr>
      <w:r>
        <w:rPr>
          <w:rStyle w:val="Caractresdenotedefin"/>
        </w:rPr>
        <w:endnoteRef/>
      </w:r>
      <w:r>
        <w:rPr/>
        <w:tab/>
        <w:t>Se rekommendation 24 från ECP4 och rekommendation 7 från Italien, grupp 2 NCP, som utarbetats inom arbetsgruppen.</w:t>
      </w:r>
    </w:p>
  </w:endnote>
  <w:endnote w:id="42">
    <w:p>
      <w:pPr>
        <w:pStyle w:val="Notedefin"/>
        <w:suppressLineNumbers/>
        <w:spacing w:before="57" w:after="57"/>
        <w:ind w:left="339" w:right="0" w:hanging="339"/>
        <w:rPr/>
      </w:pPr>
      <w:r>
        <w:rPr>
          <w:rStyle w:val="Caractresdenotedefin"/>
        </w:rPr>
        <w:endnoteRef/>
      </w:r>
      <w:r>
        <w:rPr/>
        <w:tab/>
        <w:t>Se rekommendation 22 från ECP 4, som utarbetats av arbetsgruppen.</w:t>
      </w:r>
    </w:p>
  </w:endnote>
  <w:endnote w:id="43">
    <w:p>
      <w:pPr>
        <w:pStyle w:val="Notedefin"/>
        <w:suppressLineNumbers/>
        <w:spacing w:before="57" w:after="57"/>
        <w:ind w:left="339" w:right="0" w:hanging="339"/>
        <w:rPr/>
      </w:pPr>
      <w:r>
        <w:rPr>
          <w:rStyle w:val="Caractresdenotedefin"/>
        </w:rPr>
        <w:endnoteRef/>
      </w:r>
      <w:r>
        <w:rPr/>
        <w:tab/>
        <w:t>Se rekommendation 1 om ”EU i världen” från den nederländska nationella medborgarpanelen, som utarbetats av arbetsgruppen.</w:t>
      </w:r>
    </w:p>
  </w:endnote>
  <w:endnote w:id="44">
    <w:p>
      <w:pPr>
        <w:pStyle w:val="Notedefin"/>
        <w:suppressLineNumbers/>
        <w:spacing w:before="57" w:after="57"/>
        <w:ind w:left="339" w:right="0" w:hanging="339"/>
        <w:rPr/>
      </w:pPr>
      <w:r>
        <w:rPr>
          <w:rStyle w:val="Caractresdenotedefin"/>
        </w:rPr>
        <w:endnoteRef/>
      </w:r>
      <w:r>
        <w:rPr/>
        <w:tab/>
        <w:t>Se den digitala plattformen och plenardebatterna, som utarbetats i arbetsgruppen.</w:t>
      </w:r>
    </w:p>
  </w:endnote>
  <w:endnote w:id="45">
    <w:p>
      <w:pPr>
        <w:pStyle w:val="Notedefin"/>
        <w:suppressLineNumbers/>
        <w:spacing w:before="57" w:after="57"/>
        <w:ind w:left="339" w:right="0" w:hanging="339"/>
        <w:rPr/>
      </w:pPr>
      <w:r>
        <w:rPr>
          <w:rStyle w:val="Caractresdenotedefin"/>
        </w:rPr>
        <w:endnoteRef/>
      </w:r>
      <w:r>
        <w:rPr/>
        <w:tab/>
        <w:t>Se den digitala plattformen som utvecklats inom arbetsgruppen.</w:t>
      </w:r>
    </w:p>
  </w:endnote>
  <w:endnote w:id="46">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2 (CEP 2) 10, 11, 14, 30, Belgiens nationella medborgarpanel (NCP): 1.3.1, 1.4.2 OCH 1.4.3. Tyska NCP: 5.1, 5.2; Nederländska NCP: 1.2.</w:t>
      </w:r>
    </w:p>
  </w:endnote>
  <w:endnote w:id="47">
    <w:p>
      <w:pPr>
        <w:pStyle w:val="Notedefin"/>
        <w:suppressLineNumbers/>
        <w:spacing w:before="57" w:after="57"/>
        <w:ind w:left="339" w:right="0" w:hanging="339"/>
        <w:rPr/>
      </w:pPr>
      <w:r>
        <w:rPr>
          <w:rStyle w:val="Caractresdenotedefin"/>
        </w:rPr>
        <w:endnoteRef/>
      </w:r>
      <w:r>
        <w:rPr/>
        <w:tab/>
        <w:t>Rekommendation 14 från ECP2. Rekommendationerna 1.3.1, 1.4.2 och 1.4.3 i den belgiska nationella kontaktpunkten och 1.2 i den nederländska nationella kontaktpunkten.</w:t>
      </w:r>
    </w:p>
  </w:endnote>
  <w:endnote w:id="48">
    <w:p>
      <w:pPr>
        <w:pStyle w:val="Notedefin"/>
        <w:suppressLineNumbers/>
        <w:spacing w:before="57" w:after="57"/>
        <w:ind w:left="339" w:right="0" w:hanging="339"/>
        <w:rPr/>
      </w:pPr>
      <w:r>
        <w:rPr>
          <w:rStyle w:val="Caractresdenotedefin"/>
        </w:rPr>
        <w:endnoteRef/>
      </w:r>
      <w:r>
        <w:rPr/>
        <w:tab/>
        <w:t>ECP:s rekommendation nr 112. Rekommendationerna 5.1 och 5.2 från den tyska nationella kontaktpunkten. Debatt i arbetsgruppen.</w:t>
      </w:r>
    </w:p>
  </w:endnote>
  <w:endnote w:id="49">
    <w:p>
      <w:pPr>
        <w:pStyle w:val="Notedefin"/>
        <w:suppressLineNumbers/>
        <w:spacing w:before="57" w:after="57"/>
        <w:ind w:left="339" w:right="0" w:hanging="339"/>
        <w:rPr/>
      </w:pPr>
      <w:r>
        <w:rPr>
          <w:rStyle w:val="Caractresdenotedefin"/>
        </w:rPr>
        <w:endnoteRef/>
      </w:r>
      <w:r>
        <w:rPr/>
        <w:tab/>
        <w:t>ECP:s rekommendation nr 112. Debatt i arbetsgruppen. Debatt i kammaren.</w:t>
      </w:r>
    </w:p>
  </w:endnote>
  <w:endnote w:id="50">
    <w:p>
      <w:pPr>
        <w:pStyle w:val="Notedefin"/>
        <w:suppressLineNumbers/>
        <w:spacing w:before="57" w:after="57"/>
        <w:ind w:left="339" w:right="0" w:hanging="339"/>
        <w:rPr/>
      </w:pPr>
      <w:r>
        <w:rPr>
          <w:rStyle w:val="Caractresdenotedefin"/>
        </w:rPr>
        <w:endnoteRef/>
      </w:r>
      <w:r>
        <w:rPr/>
        <w:tab/>
        <w:t>Rekommendation 10 från ECP2.</w:t>
      </w:r>
    </w:p>
  </w:endnote>
  <w:endnote w:id="51">
    <w:p>
      <w:pPr>
        <w:pStyle w:val="Notedefin"/>
        <w:suppressLineNumbers/>
        <w:spacing w:before="57" w:after="57"/>
        <w:ind w:left="339" w:right="0" w:hanging="339"/>
        <w:rPr/>
      </w:pPr>
      <w:r>
        <w:rPr>
          <w:rStyle w:val="Caractresdenotedefin"/>
        </w:rPr>
        <w:endnoteRef/>
      </w:r>
      <w:r>
        <w:rPr/>
        <w:tab/>
        <w:t>ECP:s rekommendation nr 302.</w:t>
      </w:r>
    </w:p>
  </w:endnote>
  <w:endnote w:id="52">
    <w:p>
      <w:pPr>
        <w:pStyle w:val="Notedefin"/>
        <w:suppressLineNumbers/>
        <w:spacing w:before="57" w:after="57"/>
        <w:ind w:left="339" w:right="0" w:hanging="339"/>
        <w:rPr/>
      </w:pPr>
      <w:r>
        <w:rPr>
          <w:rStyle w:val="Caractresdenotedefin"/>
        </w:rPr>
        <w:endnoteRef/>
      </w:r>
      <w:r>
        <w:rPr/>
        <w:tab/>
        <w:t>Medborgarrekommendationer som ligger till grund för förslaget: PCE2: 7, 8, 9; Nederländska NCP: 1.3, 4.3.</w:t>
      </w:r>
    </w:p>
  </w:endnote>
  <w:endnote w:id="53">
    <w:p>
      <w:pPr>
        <w:pStyle w:val="Notedefin"/>
        <w:suppressLineNumbers/>
        <w:spacing w:before="57" w:after="57"/>
        <w:ind w:left="339" w:right="0" w:hanging="339"/>
        <w:rPr/>
      </w:pPr>
      <w:r>
        <w:rPr>
          <w:rStyle w:val="Caractresdenotedefin"/>
        </w:rPr>
        <w:endnoteRef/>
      </w:r>
      <w:r>
        <w:rPr/>
        <w:tab/>
        <w:t>Rekommendation 7 från ECP2. Debatt i arbetsgruppen.</w:t>
      </w:r>
    </w:p>
  </w:endnote>
  <w:endnote w:id="54">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55">
    <w:p>
      <w:pPr>
        <w:pStyle w:val="Notedefin"/>
        <w:suppressLineNumbers/>
        <w:spacing w:before="57" w:after="57"/>
        <w:ind w:left="339" w:right="0" w:hanging="339"/>
        <w:rPr/>
      </w:pPr>
      <w:r>
        <w:rPr>
          <w:rStyle w:val="Caractresdenotedefin"/>
        </w:rPr>
        <w:endnoteRef/>
      </w:r>
      <w:r>
        <w:rPr/>
        <w:tab/>
        <w:t>Rekommendation 9 från ECP2.</w:t>
      </w:r>
    </w:p>
  </w:endnote>
  <w:endnote w:id="56">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57">
    <w:p>
      <w:pPr>
        <w:pStyle w:val="Notedefin"/>
        <w:suppressLineNumbers/>
        <w:spacing w:before="57" w:after="57"/>
        <w:ind w:left="339" w:right="0" w:hanging="339"/>
        <w:rPr/>
      </w:pPr>
      <w:r>
        <w:rPr>
          <w:rStyle w:val="Caractresdenotedefin"/>
        </w:rPr>
        <w:endnoteRef/>
      </w:r>
      <w:r>
        <w:rPr/>
        <w:tab/>
        <w:t>Rekommendation 8 från ECP2. Rekommendationerna 1.3 och 4.3 från den nederländska nationella kontaktpunkten.</w:t>
      </w:r>
    </w:p>
  </w:endnote>
  <w:endnote w:id="58">
    <w:p>
      <w:pPr>
        <w:pStyle w:val="Notedefin"/>
        <w:suppressLineNumbers/>
        <w:spacing w:before="57" w:after="57"/>
        <w:ind w:left="339" w:right="0" w:hanging="339"/>
        <w:rPr/>
      </w:pPr>
      <w:r>
        <w:rPr>
          <w:rStyle w:val="Caractresdenotedefin"/>
        </w:rPr>
        <w:endnoteRef/>
      </w:r>
      <w:r>
        <w:rPr/>
        <w:tab/>
        <w:t>Rekommendationerna nr 7 och 8 i ECP2.</w:t>
      </w:r>
    </w:p>
  </w:endnote>
  <w:endnote w:id="59">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60">
    <w:p>
      <w:pPr>
        <w:pStyle w:val="Notedefin"/>
        <w:suppressLineNumbers/>
        <w:spacing w:before="57" w:after="57"/>
        <w:ind w:left="339" w:right="0" w:hanging="339"/>
        <w:rPr/>
      </w:pPr>
      <w:r>
        <w:rPr>
          <w:rStyle w:val="Caractresdenotedefin"/>
        </w:rPr>
        <w:endnoteRef/>
      </w:r>
      <w:r>
        <w:rPr/>
        <w:tab/>
        <w:t>Medborgarrekommendationer som ligger till grund för förslaget: PCE2: 5, 12, 13, 17, 28; Belgiska nationella kontaktpunkter: 1.5.1, 2.1.1–2.4.3. Nederländska NCP: 3.1.</w:t>
      </w:r>
    </w:p>
  </w:endnote>
  <w:endnote w:id="61">
    <w:p>
      <w:pPr>
        <w:pStyle w:val="Notedefin"/>
        <w:suppressLineNumbers/>
        <w:spacing w:before="57" w:after="57"/>
        <w:ind w:left="339" w:right="0" w:hanging="339"/>
        <w:rPr/>
      </w:pPr>
      <w:r>
        <w:rPr>
          <w:rStyle w:val="Caractresdenotedefin"/>
        </w:rPr>
        <w:endnoteRef/>
      </w:r>
      <w:r>
        <w:rPr/>
        <w:tab/>
        <w:t>Rekommendation 5 från ECP2. Rekommendation 2.1.1 från den belgiska nationella kontaktpunkten. Rekommendation 3.1 från den nederländska nationella kontaktpunkten.</w:t>
      </w:r>
    </w:p>
  </w:endnote>
  <w:endnote w:id="62">
    <w:p>
      <w:pPr>
        <w:pStyle w:val="Notedefin"/>
        <w:suppressLineNumbers/>
        <w:spacing w:before="57" w:after="57"/>
        <w:ind w:left="339" w:right="0" w:hanging="339"/>
        <w:rPr/>
      </w:pPr>
      <w:r>
        <w:rPr>
          <w:rStyle w:val="Caractresdenotedefin"/>
        </w:rPr>
        <w:endnoteRef/>
      </w:r>
      <w:r>
        <w:rPr/>
        <w:tab/>
        <w:t>ECP:s rekommendation nr 122. Rekommendation 2.1.4 från den belgiska nationella kontaktpunkten.</w:t>
      </w:r>
    </w:p>
  </w:endnote>
  <w:endnote w:id="63">
    <w:p>
      <w:pPr>
        <w:pStyle w:val="Notedefin"/>
        <w:suppressLineNumbers/>
        <w:spacing w:before="57" w:after="57"/>
        <w:ind w:left="339" w:right="0" w:hanging="339"/>
        <w:rPr/>
      </w:pPr>
      <w:r>
        <w:rPr>
          <w:rStyle w:val="Caractresdenotedefin"/>
        </w:rPr>
        <w:endnoteRef/>
      </w:r>
      <w:r>
        <w:rPr/>
        <w:tab/>
        <w:t>PCE2-rekommendationerna nr 17 och 28. Rekommendationerna 1.5.1, 2.1.3, 2.2.1 och 2.2.2 i den belgiska nationella kontaktpunkten.</w:t>
      </w:r>
    </w:p>
  </w:endnote>
  <w:endnote w:id="64">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65">
    <w:p>
      <w:pPr>
        <w:pStyle w:val="Notedefin"/>
        <w:suppressLineNumbers/>
        <w:spacing w:before="57" w:after="57"/>
        <w:ind w:left="339" w:right="0" w:hanging="339"/>
        <w:rPr/>
      </w:pPr>
      <w:r>
        <w:rPr>
          <w:rStyle w:val="Caractresdenotedefin"/>
        </w:rPr>
        <w:endnoteRef/>
      </w:r>
      <w:r>
        <w:rPr/>
        <w:tab/>
        <w:t>PCE2-rekommendationerna nr 5 och 28. Rekommendationerna 2.3.2 och 2.3.3 i den belgiska nationella kontaktpunkten.</w:t>
      </w:r>
    </w:p>
  </w:endnote>
  <w:endnote w:id="66">
    <w:p>
      <w:pPr>
        <w:pStyle w:val="Notedefin"/>
        <w:suppressLineNumbers/>
        <w:spacing w:before="57" w:after="57"/>
        <w:ind w:left="339" w:right="0" w:hanging="339"/>
        <w:rPr/>
      </w:pPr>
      <w:r>
        <w:rPr>
          <w:rStyle w:val="Caractresdenotedefin"/>
        </w:rPr>
        <w:endnoteRef/>
      </w:r>
      <w:r>
        <w:rPr/>
        <w:tab/>
        <w:t>ECP:s rekommendation nr 282. Rekommendationerna 2.3.1, 2.4.1 och 2.4.2 i den belgiska nationella kontaktpunkten.</w:t>
      </w:r>
    </w:p>
  </w:endnote>
  <w:endnote w:id="67">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68">
    <w:p>
      <w:pPr>
        <w:pStyle w:val="Notedefin"/>
        <w:suppressLineNumbers/>
        <w:spacing w:before="57" w:after="57"/>
        <w:ind w:left="339" w:right="0" w:hanging="339"/>
        <w:rPr/>
      </w:pPr>
      <w:r>
        <w:rPr>
          <w:rStyle w:val="Caractresdenotedefin"/>
        </w:rPr>
        <w:endnoteRef/>
      </w:r>
      <w:r>
        <w:rPr/>
        <w:tab/>
        <w:t>ECP:s rekommendation nr 132.</w:t>
      </w:r>
    </w:p>
  </w:endnote>
  <w:endnote w:id="69">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70">
    <w:p>
      <w:pPr>
        <w:pStyle w:val="Notedefin"/>
        <w:suppressLineNumbers/>
        <w:spacing w:before="57" w:after="57"/>
        <w:ind w:left="339" w:right="0" w:hanging="339"/>
        <w:rPr/>
      </w:pPr>
      <w:r>
        <w:rPr>
          <w:rStyle w:val="Caractresdenotedefin"/>
        </w:rPr>
        <w:endnoteRef/>
      </w:r>
      <w:r>
        <w:rPr/>
        <w:tab/>
        <w:t>ECP:s rekommendation nr 132.</w:t>
      </w:r>
    </w:p>
  </w:endnote>
  <w:endnote w:id="71">
    <w:p>
      <w:pPr>
        <w:pStyle w:val="Notedefin"/>
        <w:suppressLineNumbers/>
        <w:spacing w:before="57" w:after="57"/>
        <w:ind w:left="339" w:right="0" w:hanging="339"/>
        <w:rPr/>
      </w:pPr>
      <w:r>
        <w:rPr>
          <w:rStyle w:val="Caractresdenotedefin"/>
        </w:rPr>
        <w:endnoteRef/>
      </w:r>
      <w:r>
        <w:rPr/>
        <w:tab/>
        <w:t>Frågan diskuterades också i arbetsgruppen för digital omvandling.</w:t>
      </w:r>
    </w:p>
  </w:endnote>
  <w:endnote w:id="72">
    <w:p>
      <w:pPr>
        <w:pStyle w:val="Notedefin"/>
        <w:suppressLineNumbers/>
        <w:spacing w:before="57" w:after="57"/>
        <w:ind w:left="339" w:right="0" w:hanging="339"/>
        <w:rPr/>
      </w:pPr>
      <w:r>
        <w:rPr>
          <w:rStyle w:val="Caractresdenotedefin"/>
        </w:rPr>
        <w:endnoteRef/>
      </w:r>
      <w:r>
        <w:rPr/>
        <w:tab/>
        <w:t>Medborgarrekommendationer som ligger till grund för förslaget: PCE2: 1, 2, 21, 22, 23; Nederländska NCP: 1.1.</w:t>
      </w:r>
    </w:p>
  </w:endnote>
  <w:endnote w:id="73">
    <w:p>
      <w:pPr>
        <w:pStyle w:val="Notedefin"/>
        <w:suppressLineNumbers/>
        <w:spacing w:before="57" w:after="57"/>
        <w:ind w:left="339" w:right="0" w:hanging="339"/>
        <w:rPr/>
      </w:pPr>
      <w:r>
        <w:rPr>
          <w:rStyle w:val="Caractresdenotedefin"/>
        </w:rPr>
        <w:endnoteRef/>
      </w:r>
      <w:r>
        <w:rPr/>
        <w:tab/>
        <w:t>ECP:s rekommendation nr 222. Debatt i arbetsgruppen.</w:t>
      </w:r>
    </w:p>
  </w:endnote>
  <w:endnote w:id="74">
    <w:p>
      <w:pPr>
        <w:pStyle w:val="Notedefin"/>
        <w:suppressLineNumbers/>
        <w:spacing w:before="57" w:after="57"/>
        <w:ind w:left="339" w:right="0" w:hanging="339"/>
        <w:rPr/>
      </w:pPr>
      <w:r>
        <w:rPr>
          <w:rStyle w:val="Caractresdenotedefin"/>
        </w:rPr>
        <w:endnoteRef/>
      </w:r>
      <w:r>
        <w:rPr/>
        <w:tab/>
        <w:t>En fråga som också diskuterades i arbetsgruppen för en starkare ekonomi, social rättvisa och sysselsättning.</w:t>
      </w:r>
    </w:p>
  </w:endnote>
  <w:endnote w:id="75">
    <w:p>
      <w:pPr>
        <w:pStyle w:val="Notedefin"/>
        <w:suppressLineNumbers/>
        <w:spacing w:before="57" w:after="57"/>
        <w:ind w:left="339" w:right="0" w:hanging="339"/>
        <w:rPr/>
      </w:pPr>
      <w:r>
        <w:rPr>
          <w:rStyle w:val="Caractresdenotedefin"/>
        </w:rPr>
        <w:endnoteRef/>
      </w:r>
      <w:r>
        <w:rPr/>
        <w:tab/>
        <w:t>ECP:s rekommendation nr 212. Rekommendation 1.1 från den nederländska nationella kontaktpunkten.</w:t>
      </w:r>
    </w:p>
  </w:endnote>
  <w:endnote w:id="76">
    <w:p>
      <w:pPr>
        <w:pStyle w:val="Notedefin"/>
        <w:suppressLineNumbers/>
        <w:spacing w:before="57" w:after="57"/>
        <w:ind w:left="339" w:right="0" w:hanging="339"/>
        <w:rPr/>
      </w:pPr>
      <w:r>
        <w:rPr>
          <w:rStyle w:val="Caractresdenotedefin"/>
        </w:rPr>
        <w:endnoteRef/>
      </w:r>
      <w:r>
        <w:rPr/>
        <w:tab/>
        <w:t>ECP:s rekommendation nr 232.</w:t>
      </w:r>
    </w:p>
  </w:endnote>
  <w:endnote w:id="77">
    <w:p>
      <w:pPr>
        <w:pStyle w:val="Notedefin"/>
        <w:suppressLineNumbers/>
        <w:spacing w:before="57" w:after="57"/>
        <w:ind w:left="339" w:right="0" w:hanging="339"/>
        <w:rPr/>
      </w:pPr>
      <w:r>
        <w:rPr>
          <w:rStyle w:val="Caractresdenotedefin"/>
        </w:rPr>
        <w:endnoteRef/>
      </w:r>
      <w:r>
        <w:rPr/>
        <w:tab/>
        <w:t>En fråga som också diskuterades i arbetsgruppen för en starkare ekonomi, social rättvisa och sysselsättning.</w:t>
      </w:r>
    </w:p>
  </w:endnote>
  <w:endnote w:id="78">
    <w:p>
      <w:pPr>
        <w:pStyle w:val="Notedefin"/>
        <w:suppressLineNumbers/>
        <w:spacing w:before="57" w:after="57"/>
        <w:ind w:left="339" w:right="0" w:hanging="339"/>
        <w:rPr/>
      </w:pPr>
      <w:r>
        <w:rPr>
          <w:rStyle w:val="Caractresdenotedefin"/>
        </w:rPr>
        <w:endnoteRef/>
      </w:r>
      <w:r>
        <w:rPr/>
        <w:tab/>
        <w:t>Rekommendation 1 från ECP2. Debatt i arbetsgruppen.</w:t>
      </w:r>
    </w:p>
  </w:endnote>
  <w:endnote w:id="79">
    <w:p>
      <w:pPr>
        <w:pStyle w:val="Notedefin"/>
        <w:suppressLineNumbers/>
        <w:spacing w:before="57" w:after="57"/>
        <w:ind w:left="339" w:right="0" w:hanging="339"/>
        <w:rPr/>
      </w:pPr>
      <w:r>
        <w:rPr>
          <w:rStyle w:val="Caractresdenotedefin"/>
        </w:rPr>
        <w:endnoteRef/>
      </w:r>
      <w:r>
        <w:rPr/>
        <w:tab/>
        <w:t>Rekommendation 2 från ECP2. Debatt i arbetsgruppen.</w:t>
      </w:r>
    </w:p>
  </w:endnote>
  <w:endnote w:id="80">
    <w:p>
      <w:pPr>
        <w:pStyle w:val="Notedefin"/>
        <w:suppressLineNumbers/>
        <w:spacing w:before="57" w:after="57"/>
        <w:ind w:left="339" w:right="0" w:hanging="339"/>
        <w:rPr/>
      </w:pPr>
      <w:r>
        <w:rPr>
          <w:rStyle w:val="Caractresdenotedefin"/>
        </w:rPr>
        <w:endnoteRef/>
      </w:r>
      <w:r>
        <w:rPr/>
        <w:tab/>
        <w:t>Medborgarrekommendationer som ligger till grund för förslaget: PCE2: 3, 4, 6.</w:t>
      </w:r>
    </w:p>
  </w:endnote>
  <w:endnote w:id="81">
    <w:p>
      <w:pPr>
        <w:pStyle w:val="Notedefin"/>
        <w:suppressLineNumbers/>
        <w:spacing w:before="57" w:after="57"/>
        <w:ind w:left="339" w:right="0" w:hanging="339"/>
        <w:rPr/>
      </w:pPr>
      <w:r>
        <w:rPr>
          <w:rStyle w:val="Caractresdenotedefin"/>
        </w:rPr>
        <w:endnoteRef/>
      </w:r>
      <w:r>
        <w:rPr/>
        <w:tab/>
        <w:t>Rekommendation 3 från ECP2.</w:t>
      </w:r>
    </w:p>
  </w:endnote>
  <w:endnote w:id="82">
    <w:p>
      <w:pPr>
        <w:pStyle w:val="Notedefin"/>
        <w:suppressLineNumbers/>
        <w:spacing w:before="57" w:after="57"/>
        <w:ind w:left="339" w:right="0" w:hanging="339"/>
        <w:rPr/>
      </w:pPr>
      <w:r>
        <w:rPr>
          <w:rStyle w:val="Caractresdenotedefin"/>
        </w:rPr>
        <w:endnoteRef/>
      </w:r>
      <w:r>
        <w:rPr/>
        <w:tab/>
        <w:t>Frågan diskuterades också i arbetsgruppen för klimatförändringar och miljö.</w:t>
      </w:r>
    </w:p>
  </w:endnote>
  <w:endnote w:id="83">
    <w:p>
      <w:pPr>
        <w:pStyle w:val="Notedefin"/>
        <w:suppressLineNumbers/>
        <w:spacing w:before="57" w:after="57"/>
        <w:ind w:left="339" w:right="0" w:hanging="339"/>
        <w:rPr/>
      </w:pPr>
      <w:r>
        <w:rPr>
          <w:rStyle w:val="Caractresdenotedefin"/>
        </w:rPr>
        <w:endnoteRef/>
      </w:r>
      <w:r>
        <w:rPr/>
        <w:tab/>
        <w:t>Rekommendation 4 från ECP2.</w:t>
      </w:r>
    </w:p>
  </w:endnote>
  <w:endnote w:id="84">
    <w:p>
      <w:pPr>
        <w:pStyle w:val="Notedefin"/>
        <w:suppressLineNumbers/>
        <w:spacing w:before="57" w:after="57"/>
        <w:ind w:left="339" w:right="0" w:hanging="339"/>
        <w:rPr/>
      </w:pPr>
      <w:r>
        <w:rPr>
          <w:rStyle w:val="Caractresdenotedefin"/>
        </w:rPr>
        <w:endnoteRef/>
      </w:r>
      <w:r>
        <w:rPr/>
        <w:tab/>
        <w:t>Rekommendation 6 från ECP2.</w:t>
      </w:r>
    </w:p>
  </w:endnote>
  <w:endnote w:id="85">
    <w:p>
      <w:pPr>
        <w:pStyle w:val="Notedefin"/>
        <w:suppressLineNumbers/>
        <w:spacing w:before="57" w:after="57"/>
        <w:ind w:left="339" w:right="0" w:hanging="339"/>
        <w:rPr/>
      </w:pPr>
      <w:r>
        <w:rPr>
          <w:rStyle w:val="Caractresdenotedefin"/>
        </w:rPr>
        <w:endnoteRef/>
      </w:r>
      <w:r>
        <w:rPr/>
        <w:tab/>
        <w:t>Frågan diskuterades också i arbetsgruppen för klimatförändringar och miljö.</w:t>
      </w:r>
    </w:p>
  </w:endnote>
  <w:endnote w:id="86">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(ECP 1): 17, 40, 47; Nederländska nationella medborgarpanelen (NCP) nr 1.</w:t>
      </w:r>
    </w:p>
  </w:endnote>
  <w:endnote w:id="87">
    <w:p>
      <w:pPr>
        <w:pStyle w:val="Notedefin"/>
        <w:suppressLineNumbers/>
        <w:spacing w:before="57" w:after="57"/>
        <w:ind w:left="339" w:right="0" w:hanging="339"/>
        <w:rPr/>
      </w:pPr>
      <w:r>
        <w:rPr>
          <w:rStyle w:val="Caractresdenotedefin"/>
        </w:rPr>
        <w:endnoteRef/>
      </w:r>
      <w:r>
        <w:rPr/>
        <w:tab/>
        <w:t>Se länk till ECP 3 Rekommendation 38 när det gäller infrastruktur för elfordon.</w:t>
      </w:r>
    </w:p>
  </w:endnote>
  <w:endnote w:id="88">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1 (ECP 1): 8, 34 och 47, Italienska nationella medborgarpanelen (NCP) 5.2.</w:t>
      </w:r>
    </w:p>
  </w:endnote>
  <w:endnote w:id="89">
    <w:p>
      <w:pPr>
        <w:pStyle w:val="Notedefin"/>
        <w:suppressLineNumbers/>
        <w:spacing w:before="57" w:after="57"/>
        <w:ind w:left="339" w:right="0" w:hanging="339"/>
        <w:rPr/>
      </w:pPr>
      <w:r>
        <w:rPr>
          <w:rStyle w:val="Caractresdenotedefin"/>
        </w:rPr>
        <w:endnoteRef/>
      </w:r>
      <w:r>
        <w:rPr/>
        <w:tab/>
        <w:t>Medborgarrekommendationer som ligger till grund för förslaget: rekommendationerna 39 och 46 från Europeiska medborgarpanelen 1 (CEP 1) och rekommendationer 2.6 från den litauiska nationella medborgarpanelen och Nederländernas nationella kontaktpunkter.</w:t>
      </w:r>
    </w:p>
  </w:endnote>
  <w:endnote w:id="90">
    <w:p>
      <w:pPr>
        <w:pStyle w:val="Notedefin"/>
        <w:suppressLineNumbers/>
        <w:spacing w:before="57" w:after="57"/>
        <w:ind w:left="339" w:right="0" w:hanging="339"/>
        <w:rPr/>
      </w:pPr>
      <w:r>
        <w:rPr>
          <w:rStyle w:val="Caractresdenotedefin"/>
        </w:rPr>
        <w:endnoteRef/>
      </w:r>
      <w:r>
        <w:rPr/>
        <w:tab/>
        <w:t>Medborgarrekommendationer som ligger till grund för förslaget: rekommendationerna 42, 43, 44 och 45 från Europeiska medborgarpanelen nr 1 (PCE 1) och rekommendation nr 2 från den nederländska nationella medborgarpanelen.</w:t>
      </w:r>
    </w:p>
  </w:endnote>
  <w:endnote w:id="91">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nr 1 (PCE 1) nr 7, 16 och 17 och de nationella medborgarpanelerna i Tyskland och Italien 1.3.</w:t>
      </w:r>
    </w:p>
  </w:endnote>
  <w:endnote w:id="92">
    <w:p>
      <w:pPr>
        <w:pStyle w:val="Notedefin"/>
        <w:suppressLineNumbers/>
        <w:spacing w:before="57" w:after="57"/>
        <w:ind w:left="339" w:right="0" w:hanging="339"/>
        <w:rPr/>
      </w:pPr>
      <w:r>
        <w:rPr>
          <w:rStyle w:val="Caractresdenotedefin"/>
        </w:rPr>
        <w:endnoteRef/>
      </w:r>
      <w:r>
        <w:rPr/>
        <w:tab/>
        <w:t>Ska övervägas i samband med förslagen från arbetsgruppen för en starkare ekonomi.</w:t>
      </w:r>
    </w:p>
  </w:endnote>
  <w:endnote w:id="93">
    <w:p>
      <w:pPr>
        <w:pStyle w:val="Notedefin"/>
        <w:suppressLineNumbers/>
        <w:spacing w:before="57" w:after="57"/>
        <w:ind w:left="339" w:right="0" w:hanging="339"/>
        <w:rPr/>
      </w:pPr>
      <w:r>
        <w:rPr>
          <w:rStyle w:val="Caractresdenotedefin"/>
        </w:rPr>
        <w:endnoteRef/>
      </w:r>
      <w:r>
        <w:rPr/>
        <w:tab/>
        <w:t>Ändringsförslagen 3A och 3B från arbetsgruppen.</w:t>
      </w:r>
    </w:p>
  </w:endnote>
  <w:endnote w:id="94">
    <w:p>
      <w:pPr>
        <w:pStyle w:val="Notedefin"/>
        <w:suppressLineNumbers/>
        <w:spacing w:before="57" w:after="57"/>
        <w:ind w:left="339" w:right="0" w:hanging="339"/>
        <w:rPr/>
      </w:pPr>
      <w:r>
        <w:rPr>
          <w:rStyle w:val="Caractresdenotedefin"/>
        </w:rPr>
        <w:endnoteRef/>
      </w:r>
      <w:r>
        <w:rPr/>
        <w:tab/>
        <w:t>Rekommendationerna 32 och 37 från Europeiska medborgarpanelen 2 (PCE 2). nationella paneler BE, FR och NL.</w:t>
      </w:r>
    </w:p>
  </w:endnote>
  <w:endnote w:id="95">
    <w:p>
      <w:pPr>
        <w:pStyle w:val="Notedefin"/>
        <w:suppressLineNumbers/>
        <w:spacing w:before="57" w:after="57"/>
        <w:ind w:left="339" w:right="0" w:hanging="339"/>
        <w:rPr/>
      </w:pPr>
      <w:r>
        <w:rPr>
          <w:rStyle w:val="Caractresdenotedefin"/>
        </w:rPr>
        <w:endnoteRef/>
      </w:r>
      <w:r>
        <w:rPr/>
        <w:tab/>
        <w:t>Nationell panel FR.</w:t>
      </w:r>
    </w:p>
  </w:endnote>
  <w:endnote w:id="96">
    <w:p>
      <w:pPr>
        <w:pStyle w:val="Notedefin"/>
        <w:suppressLineNumbers/>
        <w:spacing w:before="57" w:after="57"/>
        <w:ind w:left="339" w:right="0" w:hanging="339"/>
        <w:rPr/>
      </w:pPr>
      <w:r>
        <w:rPr>
          <w:rStyle w:val="Caractresdenotedefin"/>
        </w:rPr>
        <w:endnoteRef/>
      </w:r>
      <w:r>
        <w:rPr/>
        <w:tab/>
        <w:t>Ändringsförslag 8 i arbetsgruppen, en mer koncis formulering.</w:t>
      </w:r>
    </w:p>
  </w:endnote>
  <w:endnote w:id="97">
    <w:p>
      <w:pPr>
        <w:pStyle w:val="Notedefin"/>
        <w:suppressLineNumbers/>
        <w:spacing w:before="57" w:after="57"/>
        <w:ind w:left="339" w:right="0" w:hanging="339"/>
        <w:rPr/>
      </w:pPr>
      <w:r>
        <w:rPr>
          <w:rStyle w:val="Caractresdenotedefin"/>
        </w:rPr>
        <w:endnoteRef/>
      </w:r>
      <w:r>
        <w:rPr/>
        <w:tab/>
        <w:t>ECP:s rekommendation nr 29 2.</w:t>
      </w:r>
    </w:p>
  </w:endnote>
  <w:endnote w:id="98">
    <w:p>
      <w:pPr>
        <w:pStyle w:val="Notedefin"/>
        <w:suppressLineNumbers/>
        <w:spacing w:before="57" w:after="57"/>
        <w:ind w:left="339" w:right="0" w:hanging="339"/>
        <w:rPr/>
      </w:pPr>
      <w:r>
        <w:rPr>
          <w:rStyle w:val="Caractresdenotedefin"/>
        </w:rPr>
        <w:endnoteRef/>
      </w:r>
      <w:r>
        <w:rPr/>
        <w:tab/>
        <w:t>ECP 2 Rekommendationer 19 och 32. nationella BE- och FR-paneler och DK:s företrädare för nationella evenemang.</w:t>
      </w:r>
    </w:p>
  </w:endnote>
  <w:endnote w:id="99">
    <w:p>
      <w:pPr>
        <w:pStyle w:val="Notedefin"/>
        <w:suppressLineNumbers/>
        <w:spacing w:before="57" w:after="57"/>
        <w:ind w:left="339" w:right="0" w:hanging="339"/>
        <w:rPr/>
      </w:pPr>
      <w:r>
        <w:rPr>
          <w:rStyle w:val="Caractresdenotedefin"/>
        </w:rPr>
        <w:endnoteRef/>
      </w:r>
      <w:r>
        <w:rPr/>
        <w:tab/>
        <w:t>Nationell panel BE.</w:t>
      </w:r>
    </w:p>
  </w:endnote>
  <w:endnote w:id="100">
    <w:p>
      <w:pPr>
        <w:pStyle w:val="Notedefin"/>
        <w:suppressLineNumbers/>
        <w:spacing w:before="57" w:after="57"/>
        <w:ind w:left="339" w:right="0" w:hanging="339"/>
        <w:rPr/>
      </w:pPr>
      <w:r>
        <w:rPr>
          <w:rStyle w:val="Caractresdenotedefin"/>
        </w:rPr>
        <w:endnoteRef/>
      </w:r>
      <w:r>
        <w:rPr/>
        <w:tab/>
        <w:t>Ändringsförslag 7B i arbetsgruppen.</w:t>
      </w:r>
    </w:p>
  </w:endnote>
  <w:endnote w:id="101">
    <w:p>
      <w:pPr>
        <w:pStyle w:val="Notedefin"/>
        <w:suppressLineNumbers/>
        <w:spacing w:before="57" w:after="57"/>
        <w:ind w:left="339" w:right="0" w:hanging="339"/>
        <w:rPr/>
      </w:pPr>
      <w:r>
        <w:rPr>
          <w:rStyle w:val="Caractresdenotedefin"/>
        </w:rPr>
        <w:endnoteRef/>
      </w:r>
      <w:r>
        <w:rPr/>
        <w:tab/>
        <w:t>Nationell panel BE.</w:t>
      </w:r>
    </w:p>
  </w:endnote>
  <w:endnote w:id="102">
    <w:p>
      <w:pPr>
        <w:pStyle w:val="Notedefin"/>
        <w:suppressLineNumbers/>
        <w:spacing w:before="57" w:after="57"/>
        <w:ind w:left="339" w:right="0" w:hanging="339"/>
        <w:rPr/>
      </w:pPr>
      <w:r>
        <w:rPr>
          <w:rStyle w:val="Caractresdenotedefin"/>
        </w:rPr>
        <w:endnoteRef/>
      </w:r>
      <w:r>
        <w:rPr/>
        <w:tab/>
        <w:t>Kantars slutrapport, s. 85.</w:t>
      </w:r>
    </w:p>
  </w:endnote>
  <w:endnote w:id="103">
    <w:p>
      <w:pPr>
        <w:pStyle w:val="Notedefin"/>
        <w:suppressLineNumbers/>
        <w:spacing w:before="57" w:after="57"/>
        <w:ind w:left="339" w:right="0" w:hanging="339"/>
        <w:rPr/>
      </w:pPr>
      <w:r>
        <w:rPr>
          <w:rStyle w:val="Caractresdenotedefin"/>
        </w:rPr>
        <w:endnoteRef/>
      </w:r>
      <w:r>
        <w:rPr/>
        <w:tab/>
        <w:t>Rekommendation 39 från ECP 2. nationell panel nummer 3 BE.</w:t>
      </w:r>
    </w:p>
  </w:endnote>
  <w:endnote w:id="104">
    <w:p>
      <w:pPr>
        <w:pStyle w:val="Notedefin"/>
        <w:suppressLineNumbers/>
        <w:spacing w:before="57" w:after="57"/>
        <w:ind w:left="339" w:right="0" w:hanging="339"/>
        <w:rPr/>
      </w:pPr>
      <w:r>
        <w:rPr>
          <w:rStyle w:val="Caractresdenotedefin"/>
        </w:rPr>
        <w:endnoteRef/>
      </w:r>
      <w:r>
        <w:rPr/>
        <w:tab/>
        <w:t>WG ändringsförslag 10A, mer kortfattad formulering.</w:t>
      </w:r>
    </w:p>
  </w:endnote>
  <w:endnote w:id="105">
    <w:p>
      <w:pPr>
        <w:pStyle w:val="Notedefin"/>
        <w:suppressLineNumbers/>
        <w:spacing w:before="57" w:after="57"/>
        <w:ind w:left="339" w:right="0" w:hanging="339"/>
        <w:rPr/>
      </w:pPr>
      <w:r>
        <w:rPr>
          <w:rStyle w:val="Caractresdenotedefin"/>
        </w:rPr>
        <w:endnoteRef/>
      </w:r>
      <w:r>
        <w:rPr/>
        <w:tab/>
        <w:t>DK:s företrädare för nationella evenemang.</w:t>
      </w:r>
    </w:p>
  </w:endnote>
  <w:endnote w:id="106">
    <w:p>
      <w:pPr>
        <w:pStyle w:val="Notedefin"/>
        <w:suppressLineNumbers/>
        <w:spacing w:before="57" w:after="57"/>
        <w:ind w:left="339" w:right="0" w:hanging="339"/>
        <w:rPr/>
      </w:pPr>
      <w:r>
        <w:rPr>
          <w:rStyle w:val="Caractresdenotedefin"/>
        </w:rPr>
        <w:endnoteRef/>
      </w:r>
      <w:r>
        <w:rPr/>
        <w:tab/>
        <w:t>Ändring nr 54C i arbetsgruppen.</w:t>
      </w:r>
    </w:p>
  </w:endnote>
  <w:endnote w:id="107">
    <w:p>
      <w:pPr>
        <w:pStyle w:val="Notedefin"/>
        <w:suppressLineNumbers/>
        <w:spacing w:before="57" w:after="57"/>
        <w:ind w:left="339" w:right="0" w:hanging="339"/>
        <w:rPr/>
      </w:pPr>
      <w:r>
        <w:rPr>
          <w:rStyle w:val="Caractresdenotedefin"/>
        </w:rPr>
        <w:endnoteRef/>
      </w:r>
      <w:r>
        <w:rPr/>
        <w:tab/>
        <w:t>DK:s företrädare för nationella evenemang.</w:t>
      </w:r>
    </w:p>
  </w:endnote>
  <w:endnote w:id="108">
    <w:p>
      <w:pPr>
        <w:pStyle w:val="Notedefin"/>
        <w:suppressLineNumbers/>
        <w:spacing w:before="57" w:after="57"/>
        <w:ind w:left="339" w:right="0" w:hanging="339"/>
        <w:rPr/>
      </w:pPr>
      <w:r>
        <w:rPr>
          <w:rStyle w:val="Caractresdenotedefin"/>
        </w:rPr>
        <w:endnoteRef/>
      </w:r>
      <w:r>
        <w:rPr/>
        <w:tab/>
        <w:t>DK:s företrädare för nationella evenemang.</w:t>
      </w:r>
    </w:p>
  </w:endnote>
  <w:endnote w:id="109">
    <w:p>
      <w:pPr>
        <w:pStyle w:val="Notedefin"/>
        <w:suppressLineNumbers/>
        <w:spacing w:before="57" w:after="57"/>
        <w:ind w:left="339" w:right="0" w:hanging="339"/>
        <w:rPr/>
      </w:pPr>
      <w:r>
        <w:rPr>
          <w:rStyle w:val="Caractresdenotedefin"/>
        </w:rPr>
        <w:endnoteRef/>
      </w:r>
      <w:r>
        <w:rPr/>
        <w:tab/>
        <w:t>Arbetsgruppens ändringsförslag 15A, kompromisstext.</w:t>
      </w:r>
    </w:p>
  </w:endnote>
  <w:endnote w:id="110">
    <w:p>
      <w:pPr>
        <w:pStyle w:val="Notedefin"/>
        <w:suppressLineNumbers/>
        <w:spacing w:before="57" w:after="57"/>
        <w:ind w:left="339" w:right="0" w:hanging="339"/>
        <w:rPr/>
      </w:pPr>
      <w:r>
        <w:rPr>
          <w:rStyle w:val="Caractresdenotedefin"/>
        </w:rPr>
        <w:endnoteRef/>
      </w:r>
      <w:r>
        <w:rPr/>
        <w:tab/>
        <w:t>PCE 2 Rekommendationer 24, 36 och 38. nationell panel BE.</w:t>
      </w:r>
    </w:p>
  </w:endnote>
  <w:endnote w:id="111">
    <w:p>
      <w:pPr>
        <w:pStyle w:val="Notedefin"/>
        <w:suppressLineNumbers/>
        <w:spacing w:before="57" w:after="57"/>
        <w:ind w:left="339" w:right="0" w:hanging="339"/>
        <w:rPr/>
      </w:pPr>
      <w:r>
        <w:rPr>
          <w:rStyle w:val="Caractresdenotedefin"/>
        </w:rPr>
        <w:endnoteRef/>
      </w:r>
      <w:r>
        <w:rPr/>
        <w:tab/>
        <w:t>Ändringsförslag 16C i arbetsgruppen.</w:t>
      </w:r>
    </w:p>
  </w:endnote>
  <w:endnote w:id="112">
    <w:p>
      <w:pPr>
        <w:pStyle w:val="Notedefin"/>
        <w:suppressLineNumbers/>
        <w:spacing w:before="57" w:after="57"/>
        <w:ind w:left="339" w:right="0" w:hanging="339"/>
        <w:rPr/>
      </w:pPr>
      <w:r>
        <w:rPr>
          <w:rStyle w:val="Caractresdenotedefin"/>
        </w:rPr>
        <w:endnoteRef/>
      </w:r>
      <w:r>
        <w:rPr/>
        <w:tab/>
        <w:t>Rekommendation 33 från ECP 2. nationella paneler BE, FR och NL.</w:t>
      </w:r>
    </w:p>
  </w:endnote>
  <w:endnote w:id="113">
    <w:p>
      <w:pPr>
        <w:pStyle w:val="Notedefin"/>
        <w:suppressLineNumbers/>
        <w:spacing w:before="57" w:after="57"/>
        <w:ind w:left="339" w:right="0" w:hanging="339"/>
        <w:rPr/>
      </w:pPr>
      <w:r>
        <w:rPr>
          <w:rStyle w:val="Caractresdenotedefin"/>
        </w:rPr>
        <w:endnoteRef/>
      </w:r>
      <w:r>
        <w:rPr/>
        <w:tab/>
        <w:t>ECP:s rekommendation nr 26 2.</w:t>
      </w:r>
    </w:p>
  </w:endnote>
  <w:endnote w:id="114">
    <w:p>
      <w:pPr>
        <w:pStyle w:val="Notedefin"/>
        <w:suppressLineNumbers/>
        <w:spacing w:before="57" w:after="57"/>
        <w:ind w:left="339" w:right="0" w:hanging="339"/>
        <w:rPr/>
      </w:pPr>
      <w:r>
        <w:rPr>
          <w:rStyle w:val="Caractresdenotedefin"/>
        </w:rPr>
        <w:endnoteRef/>
      </w:r>
      <w:r>
        <w:rPr/>
        <w:tab/>
        <w:t>Ändringsförslag nr 17 i arbetsgruppen.</w:t>
      </w:r>
    </w:p>
  </w:endnote>
  <w:endnote w:id="115">
    <w:p>
      <w:pPr>
        <w:pStyle w:val="Notedefin"/>
        <w:suppressLineNumbers/>
        <w:spacing w:before="57" w:after="57"/>
        <w:ind w:left="339" w:right="0" w:hanging="339"/>
        <w:rPr/>
      </w:pPr>
      <w:r>
        <w:rPr>
          <w:rStyle w:val="Caractresdenotedefin"/>
        </w:rPr>
        <w:endnoteRef/>
      </w:r>
      <w:r>
        <w:rPr/>
        <w:tab/>
        <w:t>Nationell panel BE.</w:t>
      </w:r>
    </w:p>
  </w:endnote>
  <w:endnote w:id="116">
    <w:p>
      <w:pPr>
        <w:pStyle w:val="Notedefin"/>
        <w:suppressLineNumbers/>
        <w:spacing w:before="57" w:after="57"/>
        <w:ind w:left="339" w:right="0" w:hanging="339"/>
        <w:rPr/>
      </w:pPr>
      <w:r>
        <w:rPr>
          <w:rStyle w:val="Caractresdenotedefin"/>
        </w:rPr>
        <w:endnoteRef/>
      </w:r>
      <w:r>
        <w:rPr/>
        <w:tab/>
        <w:t>Arbetsgruppens ändringsförslag nr 18A.</w:t>
      </w:r>
    </w:p>
  </w:endnote>
  <w:endnote w:id="117">
    <w:p>
      <w:pPr>
        <w:pStyle w:val="Notedefin"/>
        <w:suppressLineNumbers/>
        <w:spacing w:before="57" w:after="57"/>
        <w:ind w:left="339" w:right="0" w:hanging="339"/>
        <w:rPr/>
      </w:pPr>
      <w:r>
        <w:rPr>
          <w:rStyle w:val="Caractresdenotedefin"/>
        </w:rPr>
        <w:endnoteRef/>
      </w:r>
      <w:r>
        <w:rPr/>
        <w:tab/>
        <w:t>ECP:s rekommendation nr 252.</w:t>
      </w:r>
    </w:p>
  </w:endnote>
  <w:endnote w:id="118">
    <w:p>
      <w:pPr>
        <w:pStyle w:val="Notedefin"/>
        <w:suppressLineNumbers/>
        <w:spacing w:before="57" w:after="57"/>
        <w:ind w:left="339" w:right="0" w:hanging="339"/>
        <w:rPr/>
      </w:pPr>
      <w:r>
        <w:rPr>
          <w:rStyle w:val="Caractresdenotedefin"/>
        </w:rPr>
        <w:endnoteRef/>
      </w:r>
      <w:r>
        <w:rPr/>
        <w:tab/>
        <w:t>Ändringsförslag nr 18B i arbetsgruppen.</w:t>
      </w:r>
    </w:p>
  </w:endnote>
  <w:endnote w:id="119">
    <w:p>
      <w:pPr>
        <w:pStyle w:val="Notedefin"/>
        <w:suppressLineNumbers/>
        <w:spacing w:before="57" w:after="57"/>
        <w:ind w:left="339" w:right="0" w:hanging="339"/>
        <w:rPr/>
      </w:pPr>
      <w:r>
        <w:rPr>
          <w:rStyle w:val="Caractresdenotedefin"/>
        </w:rPr>
        <w:endnoteRef/>
      </w:r>
      <w:r>
        <w:rPr/>
        <w:tab/>
        <w:t>Rekommendation 31 från ECP 2. nationella paneler BE och NL.</w:t>
      </w:r>
    </w:p>
  </w:endnote>
  <w:endnote w:id="120">
    <w:p>
      <w:pPr>
        <w:pStyle w:val="Notedefin"/>
        <w:suppressLineNumbers/>
        <w:spacing w:before="57" w:after="57"/>
        <w:ind w:left="339" w:right="0" w:hanging="339"/>
        <w:rPr/>
      </w:pPr>
      <w:r>
        <w:rPr>
          <w:rStyle w:val="Caractresdenotedefin"/>
        </w:rPr>
        <w:endnoteRef/>
      </w:r>
      <w:r>
        <w:rPr/>
        <w:tab/>
        <w:t>Arbetsgruppens ändringsförslag nr 19A, omformulering för att ta fram lämpligare text.</w:t>
      </w:r>
    </w:p>
  </w:endnote>
  <w:endnote w:id="121">
    <w:p>
      <w:pPr>
        <w:pStyle w:val="Notedefin"/>
        <w:suppressLineNumbers/>
        <w:spacing w:before="57" w:after="57"/>
        <w:ind w:left="339" w:right="0" w:hanging="339"/>
        <w:rPr/>
      </w:pPr>
      <w:r>
        <w:rPr>
          <w:rStyle w:val="Caractresdenotedefin"/>
        </w:rPr>
        <w:endnoteRef/>
      </w:r>
      <w:r>
        <w:rPr/>
        <w:tab/>
        <w:t>Ändringsförslag 21 i arbetsgruppen, kompromiss.</w:t>
      </w:r>
    </w:p>
  </w:endnote>
  <w:endnote w:id="122">
    <w:p>
      <w:pPr>
        <w:pStyle w:val="Notedefin"/>
        <w:suppressLineNumbers/>
        <w:spacing w:before="57" w:after="57"/>
        <w:ind w:left="339" w:right="0" w:hanging="339"/>
        <w:rPr/>
      </w:pPr>
      <w:r>
        <w:rPr>
          <w:rStyle w:val="Caractresdenotedefin"/>
        </w:rPr>
        <w:endnoteRef/>
      </w:r>
      <w:r>
        <w:rPr/>
        <w:tab/>
        <w:t>Nationella paneler BE och FR.</w:t>
      </w:r>
    </w:p>
  </w:endnote>
  <w:endnote w:id="123">
    <w:p>
      <w:pPr>
        <w:pStyle w:val="Notedefin"/>
        <w:suppressLineNumbers/>
        <w:spacing w:before="57" w:after="57"/>
        <w:ind w:left="339" w:right="0" w:hanging="339"/>
        <w:rPr/>
      </w:pPr>
      <w:r>
        <w:rPr>
          <w:rStyle w:val="Caractresdenotedefin"/>
        </w:rPr>
        <w:endnoteRef/>
      </w:r>
      <w:r>
        <w:rPr/>
        <w:tab/>
        <w:t>Ändringsförslag 23B till arbetsgruppen.</w:t>
      </w:r>
    </w:p>
  </w:endnote>
  <w:endnote w:id="124">
    <w:p>
      <w:pPr>
        <w:pStyle w:val="Notedefin"/>
        <w:suppressLineNumbers/>
        <w:spacing w:before="57" w:after="57"/>
        <w:ind w:left="339" w:right="0" w:hanging="339"/>
        <w:rPr/>
      </w:pPr>
      <w:r>
        <w:rPr>
          <w:rStyle w:val="Caractresdenotedefin"/>
        </w:rPr>
        <w:endnoteRef/>
      </w:r>
      <w:r>
        <w:rPr/>
        <w:tab/>
        <w:t>Rekommendation 27 från ECP 2. nationell panel BE.</w:t>
      </w:r>
    </w:p>
  </w:endnote>
  <w:endnote w:id="125">
    <w:p>
      <w:pPr>
        <w:pStyle w:val="Notedefin"/>
        <w:suppressLineNumbers/>
        <w:spacing w:before="57" w:after="57"/>
        <w:ind w:left="339" w:right="0" w:hanging="339"/>
        <w:rPr/>
      </w:pPr>
      <w:r>
        <w:rPr>
          <w:rStyle w:val="Caractresdenotedefin"/>
        </w:rPr>
        <w:endnoteRef/>
      </w:r>
      <w:r>
        <w:rPr/>
        <w:tab/>
        <w:t>Ändringsförslag 25C i arbetsgruppen.</w:t>
      </w:r>
    </w:p>
  </w:endnote>
  <w:endnote w:id="126">
    <w:p>
      <w:pPr>
        <w:pStyle w:val="Notedefin"/>
        <w:suppressLineNumbers/>
        <w:spacing w:before="57" w:after="57"/>
        <w:ind w:left="339" w:right="0" w:hanging="339"/>
        <w:rPr/>
      </w:pPr>
      <w:r>
        <w:rPr>
          <w:rStyle w:val="Caractresdenotedefin"/>
        </w:rPr>
        <w:endnoteRef/>
      </w:r>
      <w:r>
        <w:rPr/>
        <w:tab/>
        <w:t>Rekommendation 14 från ECP.</w:t>
      </w:r>
    </w:p>
  </w:endnote>
  <w:endnote w:id="127">
    <w:p>
      <w:pPr>
        <w:pStyle w:val="Notedefin"/>
        <w:suppressLineNumbers/>
        <w:spacing w:before="57" w:after="57"/>
        <w:ind w:left="339" w:right="0" w:hanging="339"/>
        <w:rPr/>
      </w:pPr>
      <w:r>
        <w:rPr>
          <w:rStyle w:val="Caractresdenotedefin"/>
        </w:rPr>
        <w:endnoteRef/>
      </w:r>
      <w:r>
        <w:rPr/>
        <w:tab/>
        <w:t>ECP:s rekommendation nr 18. ANM.: Medborgarnas företrädare förklarade att denna mekanism bör utformas och användas med försiktighet.</w:t>
      </w:r>
    </w:p>
  </w:endnote>
  <w:endnote w:id="128">
    <w:p>
      <w:pPr>
        <w:pStyle w:val="Notedefin"/>
        <w:suppressLineNumbers/>
        <w:spacing w:before="57" w:after="57"/>
        <w:ind w:left="339" w:right="0" w:hanging="339"/>
        <w:rPr/>
      </w:pPr>
      <w:r>
        <w:rPr>
          <w:rStyle w:val="Caractresdenotedefin"/>
        </w:rPr>
        <w:endnoteRef/>
      </w:r>
      <w:r>
        <w:rPr/>
        <w:tab/>
        <w:t>Ändringsförslag 28E, 28G och 28H till arbetsgruppen.</w:t>
      </w:r>
    </w:p>
  </w:endnote>
  <w:endnote w:id="129">
    <w:p>
      <w:pPr>
        <w:pStyle w:val="Notedefin"/>
        <w:suppressLineNumbers/>
        <w:spacing w:before="57" w:after="57"/>
        <w:ind w:left="339" w:right="0" w:hanging="339"/>
        <w:rPr/>
      </w:pPr>
      <w:r>
        <w:rPr>
          <w:rStyle w:val="Caractresdenotedefin"/>
        </w:rPr>
        <w:endnoteRef/>
      </w:r>
      <w:r>
        <w:rPr/>
        <w:tab/>
        <w:t>Rekommendation 16 från ECP 2. NL Nationella panel nr 20, uppdelad på transnationella listor.</w:t>
      </w:r>
    </w:p>
  </w:endnote>
  <w:endnote w:id="130">
    <w:p>
      <w:pPr>
        <w:pStyle w:val="Notedefin"/>
        <w:suppressLineNumbers/>
        <w:spacing w:before="57" w:after="57"/>
        <w:ind w:left="339" w:right="0" w:hanging="339"/>
        <w:rPr/>
      </w:pPr>
      <w:r>
        <w:rPr>
          <w:rStyle w:val="Caractresdenotedefin"/>
        </w:rPr>
        <w:endnoteRef/>
      </w:r>
      <w:r>
        <w:rPr/>
        <w:tab/>
        <w:t>På grundval av rekommendation 16 från ECP 2, diskussion i GT.</w:t>
      </w:r>
    </w:p>
  </w:endnote>
  <w:endnote w:id="131">
    <w:p>
      <w:pPr>
        <w:pStyle w:val="Notedefin"/>
        <w:suppressLineNumbers/>
        <w:spacing w:before="57" w:after="57"/>
        <w:ind w:left="339" w:right="0" w:hanging="339"/>
        <w:rPr/>
      </w:pPr>
      <w:r>
        <w:rPr>
          <w:rStyle w:val="Caractresdenotedefin"/>
        </w:rPr>
        <w:endnoteRef/>
      </w:r>
      <w:r>
        <w:rPr/>
        <w:tab/>
        <w:t>ECP 2 Rekommendation 19 och flerspråkig digital plattform (MNP).</w:t>
      </w:r>
    </w:p>
  </w:endnote>
  <w:endnote w:id="132">
    <w:p>
      <w:pPr>
        <w:pStyle w:val="Notedefin"/>
        <w:suppressLineNumbers/>
        <w:spacing w:before="57" w:after="57"/>
        <w:ind w:left="339" w:right="0" w:hanging="339"/>
        <w:rPr/>
      </w:pPr>
      <w:r>
        <w:rPr>
          <w:rStyle w:val="Caractresdenotedefin"/>
        </w:rPr>
        <w:endnoteRef/>
      </w:r>
      <w:r>
        <w:rPr/>
        <w:tab/>
        <w:t>EESK.</w:t>
      </w:r>
    </w:p>
  </w:endnote>
  <w:endnote w:id="133">
    <w:p>
      <w:pPr>
        <w:pStyle w:val="Notedefin"/>
        <w:suppressLineNumbers/>
        <w:spacing w:before="57" w:after="57"/>
        <w:ind w:left="339" w:right="0" w:hanging="339"/>
        <w:rPr/>
      </w:pPr>
      <w:r>
        <w:rPr>
          <w:rStyle w:val="Caractresdenotedefin"/>
        </w:rPr>
        <w:endnoteRef/>
      </w:r>
      <w:r>
        <w:rPr/>
        <w:tab/>
        <w:t>Ändringsförslag nr 32B till arbetsgruppen.</w:t>
      </w:r>
    </w:p>
  </w:endnote>
  <w:endnote w:id="134">
    <w:p>
      <w:pPr>
        <w:pStyle w:val="Notedefin"/>
        <w:suppressLineNumbers/>
        <w:spacing w:before="57" w:after="57"/>
        <w:ind w:left="339" w:right="0" w:hanging="339"/>
        <w:rPr/>
      </w:pPr>
      <w:r>
        <w:rPr>
          <w:rStyle w:val="Caractresdenotedefin"/>
        </w:rPr>
        <w:endnoteRef/>
      </w:r>
      <w:r>
        <w:rPr/>
        <w:tab/>
        <w:t>Rekommendation 36 från ECP 2. nationella paneler BE och FR.</w:t>
      </w:r>
    </w:p>
  </w:endnote>
  <w:endnote w:id="135">
    <w:p>
      <w:pPr>
        <w:pStyle w:val="Notedefin"/>
        <w:suppressLineNumbers/>
        <w:spacing w:before="57" w:after="57"/>
        <w:ind w:left="339" w:right="0" w:hanging="339"/>
        <w:rPr/>
      </w:pPr>
      <w:r>
        <w:rPr>
          <w:rStyle w:val="Caractresdenotedefin"/>
        </w:rPr>
        <w:endnoteRef/>
      </w:r>
      <w:r>
        <w:rPr/>
        <w:tab/>
        <w:t>Den nationella panelen FR (”val av Europeiska kommissionens ordförande i allmänna val”) PNM (Final Kantar Report: en grupp bidrag gäller medborgarnas direkta val av kommissionens ordförande).</w:t>
      </w:r>
    </w:p>
  </w:endnote>
  <w:endnote w:id="136">
    <w:p>
      <w:pPr>
        <w:pStyle w:val="Notedefin"/>
        <w:suppressLineNumbers/>
        <w:spacing w:before="57" w:after="57"/>
        <w:ind w:left="339" w:right="0" w:hanging="339"/>
        <w:rPr/>
      </w:pPr>
      <w:r>
        <w:rPr>
          <w:rStyle w:val="Caractresdenotedefin"/>
        </w:rPr>
        <w:endnoteRef/>
      </w:r>
      <w:r>
        <w:rPr/>
        <w:tab/>
        <w:t>Ändring nr 34C i arbetsgruppen.</w:t>
      </w:r>
    </w:p>
  </w:endnote>
  <w:endnote w:id="137">
    <w:p>
      <w:pPr>
        <w:pStyle w:val="Notedefin"/>
        <w:suppressLineNumbers/>
        <w:spacing w:before="57" w:after="57"/>
        <w:ind w:left="339" w:right="0" w:hanging="339"/>
        <w:rPr/>
      </w:pPr>
      <w:r>
        <w:rPr>
          <w:rStyle w:val="Caractresdenotedefin"/>
        </w:rPr>
        <w:endnoteRef/>
      </w:r>
      <w:r>
        <w:rPr/>
        <w:tab/>
        <w:t>Nationell panel BE (3.2), nationell panel FR (11) PNM (slutrapport Kantar: ”När det gäller Europaparlamentet kräver bidragsgivarna oftast att det ges verklig befogenhet att ta initiativ till lagstiftning”.</w:t>
      </w:r>
    </w:p>
  </w:endnote>
  <w:endnote w:id="138">
    <w:p>
      <w:pPr>
        <w:pStyle w:val="Notedefin"/>
        <w:suppressLineNumbers/>
        <w:spacing w:before="57" w:after="57"/>
        <w:ind w:left="339" w:right="0" w:hanging="339"/>
        <w:rPr/>
      </w:pPr>
      <w:r>
        <w:rPr>
          <w:rStyle w:val="Caractresdenotedefin"/>
        </w:rPr>
        <w:endnoteRef/>
      </w:r>
      <w:r>
        <w:rPr/>
        <w:tab/>
        <w:t>PNM (Final Kantar Report: ”När det gäller Europaparlamentet (...) finns det också en begäran om att det ska tilldelas budgetbefogenheter”).</w:t>
      </w:r>
    </w:p>
  </w:endnote>
  <w:endnote w:id="139">
    <w:p>
      <w:pPr>
        <w:pStyle w:val="Notedefin"/>
        <w:suppressLineNumbers/>
        <w:spacing w:before="57" w:after="57"/>
        <w:ind w:left="339" w:right="0" w:hanging="339"/>
        <w:rPr/>
      </w:pPr>
      <w:r>
        <w:rPr>
          <w:rStyle w:val="Caractresdenotedefin"/>
        </w:rPr>
        <w:endnoteRef/>
      </w:r>
      <w:r>
        <w:rPr/>
        <w:tab/>
        <w:t>PNM (Final Kantar Report: Enligt ett annat bidrag bör parterna bli mer tillgängliga för människor med olika kulturell eller socioekonomisk bakgrund.</w:t>
      </w:r>
    </w:p>
  </w:endnote>
  <w:endnote w:id="140">
    <w:p>
      <w:pPr>
        <w:pStyle w:val="Notedefin"/>
        <w:suppressLineNumbers/>
        <w:spacing w:before="57" w:after="57"/>
        <w:ind w:left="339" w:right="0" w:hanging="339"/>
        <w:rPr/>
      </w:pPr>
      <w:r>
        <w:rPr>
          <w:rStyle w:val="Caractresdenotedefin"/>
        </w:rPr>
        <w:endnoteRef/>
      </w:r>
      <w:r>
        <w:rPr/>
        <w:tab/>
        <w:t>ReK i arbetsgruppen.</w:t>
      </w:r>
    </w:p>
  </w:endnote>
  <w:endnote w:id="141">
    <w:p>
      <w:pPr>
        <w:pStyle w:val="Notedefin"/>
        <w:suppressLineNumbers/>
        <w:spacing w:before="57" w:after="57"/>
        <w:ind w:left="339" w:right="0" w:hanging="339"/>
        <w:rPr/>
      </w:pPr>
      <w:r>
        <w:rPr>
          <w:rStyle w:val="Caractresdenotedefin"/>
        </w:rPr>
        <w:endnoteRef/>
      </w:r>
      <w:r>
        <w:rPr/>
        <w:tab/>
        <w:t>Ändringsförslag 38 i arbetsgruppen, kompromisstext.</w:t>
      </w:r>
    </w:p>
  </w:endnote>
  <w:endnote w:id="142">
    <w:p>
      <w:pPr>
        <w:pStyle w:val="Notedefin"/>
        <w:suppressLineNumbers/>
        <w:spacing w:before="57" w:after="57"/>
        <w:ind w:left="339" w:right="0" w:hanging="339"/>
        <w:rPr/>
      </w:pPr>
      <w:r>
        <w:rPr>
          <w:rStyle w:val="Caractresdenotedefin"/>
        </w:rPr>
        <w:endnoteRef/>
      </w:r>
      <w:r>
        <w:rPr/>
        <w:tab/>
        <w:t>ECP:s rekommendation nr 20 2.</w:t>
      </w:r>
    </w:p>
  </w:endnote>
  <w:endnote w:id="143">
    <w:p>
      <w:pPr>
        <w:pStyle w:val="Notedefin"/>
        <w:suppressLineNumbers/>
        <w:spacing w:before="57" w:after="57"/>
        <w:ind w:left="339" w:right="0" w:hanging="339"/>
        <w:rPr/>
      </w:pPr>
      <w:r>
        <w:rPr>
          <w:rStyle w:val="Caractresdenotedefin"/>
        </w:rPr>
        <w:endnoteRef/>
      </w:r>
      <w:r>
        <w:rPr/>
        <w:tab/>
        <w:t>ECP:s rekommendation nr 21 4.</w:t>
      </w:r>
    </w:p>
  </w:endnote>
  <w:endnote w:id="144">
    <w:p>
      <w:pPr>
        <w:pStyle w:val="Notedefin"/>
        <w:suppressLineNumbers/>
        <w:spacing w:before="57" w:after="57"/>
        <w:ind w:left="339" w:right="0" w:hanging="339"/>
        <w:rPr/>
      </w:pPr>
      <w:r>
        <w:rPr>
          <w:rStyle w:val="Caractresdenotedefin"/>
        </w:rPr>
        <w:endnoteRef/>
      </w:r>
      <w:r>
        <w:rPr/>
        <w:tab/>
        <w:t>Ändringsförslag 43 i arbetsgruppen.</w:t>
      </w:r>
    </w:p>
  </w:endnote>
  <w:endnote w:id="145">
    <w:p>
      <w:pPr>
        <w:pStyle w:val="Notedefin"/>
        <w:suppressLineNumbers/>
        <w:spacing w:before="57" w:after="57"/>
        <w:ind w:left="339" w:right="0" w:hanging="339"/>
        <w:rPr/>
      </w:pPr>
      <w:r>
        <w:rPr>
          <w:rStyle w:val="Caractresdenotedefin"/>
        </w:rPr>
        <w:endnoteRef/>
      </w:r>
      <w:r>
        <w:rPr/>
        <w:tab/>
        <w:t>Rekommendation 34 från ECP 2. nationell panel NL.</w:t>
      </w:r>
    </w:p>
  </w:endnote>
  <w:endnote w:id="146">
    <w:p>
      <w:pPr>
        <w:pStyle w:val="Notedefin"/>
        <w:suppressLineNumbers/>
        <w:spacing w:before="57" w:after="57"/>
        <w:ind w:left="339" w:right="0" w:hanging="339"/>
        <w:rPr/>
      </w:pPr>
      <w:r>
        <w:rPr>
          <w:rStyle w:val="Caractresdenotedefin"/>
        </w:rPr>
        <w:endnoteRef/>
      </w:r>
      <w:r>
        <w:rPr/>
        <w:tab/>
        <w:t>Arbetsgruppens debatt på grundval av rekommendation 34 i ECP 2. den nationella panelen NL. PNM (Final Kantar Report: ”Att öka insynen och öka medborgarnas deltagande i EU:s beslutsprocess stöds också”.</w:t>
      </w:r>
    </w:p>
  </w:endnote>
  <w:endnote w:id="147">
    <w:p>
      <w:pPr>
        <w:pStyle w:val="Notedefin"/>
        <w:suppressLineNumbers/>
        <w:spacing w:before="57" w:after="57"/>
        <w:ind w:left="339" w:right="0" w:hanging="339"/>
        <w:rPr/>
      </w:pPr>
      <w:r>
        <w:rPr>
          <w:rStyle w:val="Caractresdenotedefin"/>
        </w:rPr>
        <w:endnoteRef/>
      </w:r>
      <w:r>
        <w:rPr/>
        <w:tab/>
        <w:t>Arbetsgruppens ändringsförslag nr 44A.</w:t>
      </w:r>
    </w:p>
  </w:endnote>
  <w:endnote w:id="148">
    <w:p>
      <w:pPr>
        <w:pStyle w:val="Notedefin"/>
        <w:suppressLineNumbers/>
        <w:spacing w:before="57" w:after="57"/>
        <w:ind w:left="339" w:right="0" w:hanging="339"/>
        <w:rPr/>
      </w:pPr>
      <w:r>
        <w:rPr>
          <w:rStyle w:val="Caractresdenotedefin"/>
        </w:rPr>
        <w:endnoteRef/>
      </w:r>
      <w:r>
        <w:rPr/>
        <w:tab/>
        <w:t>Arbetsgruppens debatt (presentation av nationella parlament och ReK).</w:t>
      </w:r>
    </w:p>
  </w:endnote>
  <w:endnote w:id="149">
    <w:p>
      <w:pPr>
        <w:pStyle w:val="Notedefin"/>
        <w:suppressLineNumbers/>
        <w:spacing w:before="57" w:after="57"/>
        <w:ind w:left="339" w:right="0" w:hanging="339"/>
        <w:rPr/>
      </w:pPr>
      <w:r>
        <w:rPr>
          <w:rStyle w:val="Caractresdenotedefin"/>
        </w:rPr>
        <w:endnoteRef/>
      </w:r>
      <w:r>
        <w:rPr/>
        <w:tab/>
        <w:t>Ändringsförslag nr 45C i arbetsgruppen.</w:t>
      </w:r>
    </w:p>
  </w:endnote>
  <w:endnote w:id="150">
    <w:p>
      <w:pPr>
        <w:pStyle w:val="Notedefin"/>
        <w:suppressLineNumbers/>
        <w:spacing w:before="57" w:after="57"/>
        <w:ind w:left="339" w:right="0" w:hanging="339"/>
        <w:rPr/>
      </w:pPr>
      <w:r>
        <w:rPr>
          <w:rStyle w:val="Caractresdenotedefin"/>
        </w:rPr>
        <w:endnoteRef/>
      </w:r>
      <w:r>
        <w:rPr/>
        <w:tab/>
        <w:t>Ändringsförslag nr 46B till arbetsgruppen.</w:t>
      </w:r>
    </w:p>
  </w:endnote>
  <w:endnote w:id="151">
    <w:p>
      <w:pPr>
        <w:pStyle w:val="Notedefin"/>
        <w:suppressLineNumbers/>
        <w:spacing w:before="57" w:after="57"/>
        <w:ind w:left="339" w:right="0" w:hanging="339"/>
        <w:rPr/>
      </w:pPr>
      <w:r>
        <w:rPr>
          <w:rStyle w:val="Caractresdenotedefin"/>
        </w:rPr>
        <w:endnoteRef/>
      </w:r>
      <w:r>
        <w:rPr/>
        <w:tab/>
        <w:t>ECP:s rekommendation nr 15 2.</w:t>
      </w:r>
    </w:p>
  </w:endnote>
  <w:endnote w:id="152">
    <w:p>
      <w:pPr>
        <w:pStyle w:val="Notedefin"/>
        <w:suppressLineNumbers/>
        <w:spacing w:before="57" w:after="57"/>
        <w:ind w:left="339" w:right="0" w:hanging="339"/>
        <w:rPr/>
      </w:pPr>
      <w:r>
        <w:rPr>
          <w:rStyle w:val="Caractresdenotedefin"/>
        </w:rPr>
        <w:endnoteRef/>
      </w:r>
      <w:r>
        <w:rPr/>
        <w:tab/>
        <w:t>Arbetsgruppens debatt på grundval av det behov som uttrycks i rekommendation 15 från ECP 2 för att ”förklara EU-institutionernas funktioner”. PNM (Final Kantar Report: ”Det finns också förslag om att fördjupa tvåkammarrättsmakten i EU.”)</w:t>
      </w:r>
    </w:p>
  </w:endnote>
  <w:endnote w:id="153">
    <w:p>
      <w:pPr>
        <w:pStyle w:val="Notedefin"/>
        <w:suppressLineNumbers/>
        <w:spacing w:before="57" w:after="57"/>
        <w:ind w:left="339" w:right="0" w:hanging="339"/>
        <w:rPr/>
      </w:pPr>
      <w:r>
        <w:rPr>
          <w:rStyle w:val="Caractresdenotedefin"/>
        </w:rPr>
        <w:endnoteRef/>
      </w:r>
      <w:r>
        <w:rPr/>
        <w:tab/>
        <w:t>Ändringsförslag 48B till arbetsgruppen.</w:t>
      </w:r>
    </w:p>
  </w:endnote>
  <w:endnote w:id="154">
    <w:p>
      <w:pPr>
        <w:pStyle w:val="Notedefin"/>
        <w:suppressLineNumbers/>
        <w:spacing w:before="57" w:after="57"/>
        <w:ind w:left="339" w:right="0" w:hanging="339"/>
        <w:rPr/>
      </w:pPr>
      <w:r>
        <w:rPr>
          <w:rStyle w:val="Caractresdenotedefin"/>
        </w:rPr>
        <w:endnoteRef/>
      </w:r>
      <w:r>
        <w:rPr/>
        <w:tab/>
        <w:t>ECP:s rekommendation nr 15 2.</w:t>
      </w:r>
    </w:p>
  </w:endnote>
  <w:endnote w:id="155">
    <w:p>
      <w:pPr>
        <w:pStyle w:val="Notedefin"/>
        <w:suppressLineNumbers/>
        <w:spacing w:before="57" w:after="57"/>
        <w:ind w:left="339" w:right="0" w:hanging="339"/>
        <w:rPr/>
      </w:pPr>
      <w:r>
        <w:rPr>
          <w:rStyle w:val="Caractresdenotedefin"/>
        </w:rPr>
        <w:endnoteRef/>
      </w:r>
      <w:r>
        <w:rPr/>
        <w:tab/>
        <w:t>Diskussioner i arbetsgruppen.</w:t>
      </w:r>
    </w:p>
  </w:endnote>
  <w:endnote w:id="156">
    <w:p>
      <w:pPr>
        <w:pStyle w:val="Notedefin"/>
        <w:suppressLineNumbers/>
        <w:spacing w:before="57" w:after="57"/>
        <w:ind w:left="339" w:right="0" w:hanging="339"/>
        <w:rPr/>
      </w:pPr>
      <w:r>
        <w:rPr>
          <w:rStyle w:val="Caractresdenotedefin"/>
        </w:rPr>
        <w:endnoteRef/>
      </w:r>
      <w:r>
        <w:rPr/>
        <w:tab/>
        <w:t>Arbetsgruppens ändringsförslag nr 52A.</w:t>
      </w:r>
    </w:p>
  </w:endnote>
  <w:endnote w:id="157">
    <w:p>
      <w:pPr>
        <w:pStyle w:val="Notedefin"/>
        <w:suppressLineNumbers/>
        <w:spacing w:before="57" w:after="57"/>
        <w:ind w:left="339" w:right="0" w:hanging="339"/>
        <w:rPr/>
      </w:pPr>
      <w:r>
        <w:rPr>
          <w:rStyle w:val="Caractresdenotedefin"/>
        </w:rPr>
        <w:endnoteRef/>
      </w:r>
      <w:r>
        <w:rPr/>
        <w:tab/>
        <w:t>EESK, kompromissformulering.</w:t>
      </w:r>
    </w:p>
  </w:endnote>
  <w:endnote w:id="158">
    <w:p>
      <w:pPr>
        <w:pStyle w:val="Notedefin"/>
        <w:suppressLineNumbers/>
        <w:spacing w:before="57" w:after="57"/>
        <w:ind w:left="339" w:right="0" w:hanging="339"/>
        <w:rPr/>
      </w:pPr>
      <w:r>
        <w:rPr>
          <w:rStyle w:val="Caractresdenotedefin"/>
        </w:rPr>
        <w:endnoteRef/>
      </w:r>
      <w:r>
        <w:rPr/>
        <w:tab/>
        <w:t>ECP:s rekommendation 35, FR:s nationella panel och kombinerade ändringar av arbetsgruppen 51C och 51D.</w:t>
      </w:r>
    </w:p>
  </w:endnote>
  <w:endnote w:id="159">
    <w:p>
      <w:pPr>
        <w:pStyle w:val="Notedefin"/>
        <w:suppressLineNumbers/>
        <w:spacing w:before="57" w:after="57"/>
        <w:ind w:left="339" w:right="0" w:hanging="339"/>
        <w:rPr/>
      </w:pPr>
      <w:r>
        <w:rPr>
          <w:rStyle w:val="Caractresdenotedefin"/>
        </w:rPr>
        <w:endnoteRef/>
      </w:r>
      <w:r>
        <w:rPr/>
        <w:tab/>
        <w:t>Ändringsförslag nr 53D till arbetsgruppen.</w:t>
      </w:r>
    </w:p>
  </w:endnote>
  <w:endnote w:id="160">
    <w:p>
      <w:pPr>
        <w:pStyle w:val="Notedefin"/>
        <w:suppressLineNumbers/>
        <w:spacing w:before="57" w:after="57"/>
        <w:ind w:left="339" w:right="0" w:hanging="339"/>
        <w:rPr/>
      </w:pPr>
      <w:r>
        <w:rPr>
          <w:rStyle w:val="Caractresdenotedefin"/>
        </w:rPr>
        <w:endnoteRef/>
      </w:r>
      <w:r>
        <w:rPr/>
        <w:tab/>
        <w:t>Diskussion i arbetsgruppen; nationella parlament.</w:t>
      </w:r>
    </w:p>
  </w:endnote>
  <w:endnote w:id="161">
    <w:p>
      <w:pPr>
        <w:pStyle w:val="Notedefin"/>
        <w:spacing w:before="57" w:after="57"/>
        <w:rPr/>
      </w:pPr>
      <w:r>
        <w:rPr>
          <w:rStyle w:val="Caractresdenotedefin"/>
        </w:rPr>
        <w:endnoteRef/>
      </w:r>
      <w:r>
        <w:rPr/>
        <w:tab/>
        <w:t>Diskussion i arbetsgruppen; ReK och EESK, Kantars slutrapport, s. 85.</w:t>
      </w:r>
    </w:p>
  </w:endnote>
  <w:endnote w:id="162">
    <w:p>
      <w:pPr>
        <w:pStyle w:val="Notedefin"/>
        <w:suppressLineNumbers/>
        <w:spacing w:before="57" w:after="57"/>
        <w:ind w:left="339" w:right="0" w:hanging="339"/>
        <w:rPr/>
      </w:pPr>
      <w:r>
        <w:rPr>
          <w:rStyle w:val="Caractresdenotedefin"/>
        </w:rPr>
        <w:endnoteRef/>
      </w:r>
      <w:r>
        <w:rPr/>
        <w:tab/>
        <w:t>Ändringsförslag 58B till arbetsgruppen.</w:t>
      </w:r>
    </w:p>
  </w:endnote>
  <w:endnote w:id="163">
    <w:p>
      <w:pPr>
        <w:pStyle w:val="Notedefin"/>
        <w:suppressLineNumbers/>
        <w:spacing w:before="57" w:after="57"/>
        <w:ind w:left="339" w:right="0" w:hanging="339"/>
        <w:rPr/>
      </w:pPr>
      <w:r>
        <w:rPr>
          <w:rStyle w:val="Caractresdenotedefin"/>
        </w:rPr>
        <w:endnoteRef/>
      </w:r>
      <w:r>
        <w:rPr/>
        <w:tab/>
        <w:t>Ändringsförslag 59B till arbetsgruppen.</w:t>
      </w:r>
    </w:p>
  </w:endnote>
  <w:endnote w:id="164">
    <w:p>
      <w:pPr>
        <w:pStyle w:val="Notedefin"/>
        <w:suppressLineNumbers/>
        <w:spacing w:before="57" w:after="57"/>
        <w:ind w:left="339" w:right="0" w:hanging="339"/>
        <w:rPr/>
      </w:pPr>
      <w:r>
        <w:rPr>
          <w:rStyle w:val="Caractresdenotedefin"/>
        </w:rPr>
        <w:endnoteRef/>
      </w:r>
      <w:r>
        <w:rPr/>
        <w:tab/>
        <w:t>Diskussion i arbetsgruppen; arbetsmarknadens parter och andra medlemmar.</w:t>
      </w:r>
    </w:p>
  </w:endnote>
  <w:endnote w:id="165">
    <w:p>
      <w:pPr>
        <w:pStyle w:val="Notedefin"/>
        <w:suppressLineNumbers/>
        <w:spacing w:before="57" w:after="57"/>
        <w:ind w:left="339" w:right="0" w:hanging="339"/>
        <w:rPr/>
      </w:pPr>
      <w:r>
        <w:rPr>
          <w:rStyle w:val="Caractresdenotedefin"/>
        </w:rPr>
        <w:endnoteRef/>
      </w:r>
      <w:r>
        <w:rPr/>
        <w:tab/>
        <w:t>Arbetsgruppens ändringsförslag 63A, kompromisstext.</w:t>
      </w:r>
    </w:p>
  </w:endnote>
  <w:endnote w:id="166">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nr 4 (ECP 4) nr</w:t>
      </w:r>
      <w:r>
        <w:rPr>
          <w:vertAlign w:val="superscript"/>
        </w:rPr>
        <w:t>6</w:t>
      </w:r>
      <w:r>
        <w:rPr/>
        <w:t>, 7, 9, 28 och 30, Litauen nr 9.</w:t>
      </w:r>
    </w:p>
  </w:endnote>
  <w:endnote w:id="167">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nr 4 (ECP 4)</w:t>
      </w:r>
      <w:r>
        <w:rPr>
          <w:vertAlign w:val="superscript"/>
        </w:rPr>
        <w:t>nr</w:t>
      </w:r>
      <w:r>
        <w:rPr/>
        <w:t xml:space="preserve"> 8 och 27, Litauen nr 10, Nederländerna nr 3.</w:t>
      </w:r>
    </w:p>
  </w:endnote>
  <w:endnote w:id="168">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nr 4 (PCE 4)</w:t>
      </w:r>
      <w:r>
        <w:rPr>
          <w:vertAlign w:val="superscript"/>
        </w:rPr>
        <w:t>nr</w:t>
      </w:r>
      <w:r>
        <w:rPr/>
        <w:t xml:space="preserve"> 10, 35 och 38.</w:t>
      </w:r>
    </w:p>
  </w:endnote>
  <w:endnote w:id="169">
    <w:p>
      <w:pPr>
        <w:pStyle w:val="Notedefin"/>
        <w:suppressLineNumbers/>
        <w:spacing w:before="57" w:after="57"/>
        <w:ind w:left="339" w:right="0" w:hanging="339"/>
        <w:rPr/>
      </w:pPr>
      <w:r>
        <w:rPr>
          <w:rStyle w:val="Caractresdenotedefin"/>
        </w:rPr>
        <w:endnoteRef/>
      </w:r>
      <w:r>
        <w:rPr/>
        <w:tab/>
        <w:t>Medborgarrekommendationer som ligger till grund för förslaget: Europeiska medborgarpanelen nr 4 (ECP 4) nr</w:t>
      </w:r>
      <w:r>
        <w:rPr>
          <w:vertAlign w:val="superscript"/>
        </w:rPr>
        <w:t>29</w:t>
      </w:r>
      <w:r>
        <w:rPr/>
        <w:t>, 31, 33, 36, 37, 38, 39 och 40, Italien</w:t>
      </w:r>
      <w:r>
        <w:rPr>
          <w:vertAlign w:val="superscript"/>
        </w:rPr>
        <w:t>nr</w:t>
      </w:r>
      <w:r>
        <w:rPr/>
        <w:t xml:space="preserve"> 3.8, 4.4 (s. 15) och 5.6 (s. 11), Litauen</w:t>
      </w:r>
      <w:r>
        <w:rPr>
          <w:vertAlign w:val="superscript"/>
        </w:rPr>
        <w:t>nr</w:t>
      </w:r>
      <w:r>
        <w:rPr/>
        <w:t xml:space="preserve"> 2 och 3, Nederländerna nr 1 och 2.</w:t>
      </w:r>
    </w:p>
  </w:endnote>
  <w:endnote w:id="170">
    <w:p>
      <w:pPr>
        <w:pStyle w:val="Notedefin"/>
        <w:spacing w:before="57" w:after="57"/>
        <w:rPr/>
      </w:pPr>
      <w:r>
        <w:rPr>
          <w:rStyle w:val="Caractresdenotedefin"/>
        </w:rPr>
        <w:endnoteRef/>
      </w:r>
      <w:r>
        <w:rPr/>
        <w:tab/>
        <w:t>Medborgarrekommendationer som ligger till grund för förslaget: Europeiska medborgarpanelen nr 4 (PCE 4)</w:t>
      </w:r>
      <w:r>
        <w:rPr>
          <w:vertAlign w:val="superscript"/>
        </w:rPr>
        <w:t>nr</w:t>
      </w:r>
      <w:r>
        <w:rPr/>
        <w:t xml:space="preserve"> 7 och 32, Frankrike nr 13.</w:t>
      </w:r>
    </w:p>
  </w:endnote>
  <w:endnote w:id="171">
    <w:p>
      <w:pPr>
        <w:pStyle w:val="Notedefin"/>
        <w:suppressLineNumbers/>
        <w:spacing w:before="57" w:after="57"/>
        <w:ind w:left="339" w:right="0" w:hanging="339"/>
        <w:rPr/>
      </w:pPr>
      <w:r>
        <w:rPr>
          <w:rStyle w:val="Caractresdenotedefin"/>
        </w:rPr>
        <w:endnoteRef/>
      </w:r>
      <w:r>
        <w:rPr/>
        <w:tab/>
        <w:t>Franska PCN, ändring 6.</w:t>
      </w:r>
    </w:p>
  </w:endnote>
  <w:endnote w:id="172">
    <w:p>
      <w:pPr>
        <w:pStyle w:val="Notedefin"/>
        <w:suppressLineNumbers/>
        <w:spacing w:before="57" w:after="57"/>
        <w:ind w:left="339" w:right="0" w:hanging="339"/>
        <w:rPr/>
      </w:pPr>
      <w:r>
        <w:rPr>
          <w:rStyle w:val="Caractresdenotedefin"/>
        </w:rPr>
        <w:endnoteRef/>
      </w:r>
      <w:r>
        <w:rPr/>
        <w:tab/>
        <w:t>ECP:s rekommendation 37 1.</w:t>
      </w:r>
    </w:p>
  </w:endnote>
  <w:endnote w:id="173">
    <w:p>
      <w:pPr>
        <w:pStyle w:val="Notedefin"/>
        <w:suppressLineNumbers/>
        <w:spacing w:before="57" w:after="57"/>
        <w:ind w:left="339" w:right="0" w:hanging="339"/>
        <w:rPr/>
      </w:pPr>
      <w:r>
        <w:rPr>
          <w:rStyle w:val="Caractresdenotedefin"/>
        </w:rPr>
        <w:endnoteRef/>
      </w:r>
      <w:r>
        <w:rPr/>
        <w:tab/>
        <w:t>Rekommendation 3 från ECP. Franska PCN, ändring 6.</w:t>
      </w:r>
    </w:p>
  </w:endnote>
  <w:endnote w:id="174">
    <w:p>
      <w:pPr>
        <w:pStyle w:val="Notedefin"/>
        <w:suppressLineNumbers/>
        <w:spacing w:before="57" w:after="57"/>
        <w:ind w:left="339" w:right="0" w:hanging="339"/>
        <w:rPr/>
      </w:pPr>
      <w:r>
        <w:rPr>
          <w:rStyle w:val="Caractresdenotedefin"/>
        </w:rPr>
        <w:endnoteRef/>
      </w:r>
      <w:r>
        <w:rPr/>
        <w:tab/>
        <w:t>ECP:s rekommendation 41 1.</w:t>
      </w:r>
    </w:p>
  </w:endnote>
  <w:endnote w:id="175">
    <w:p>
      <w:pPr>
        <w:pStyle w:val="Notedefin"/>
        <w:suppressLineNumbers/>
        <w:spacing w:before="57" w:after="57"/>
        <w:ind w:left="339" w:right="0" w:hanging="339"/>
        <w:rPr/>
      </w:pPr>
      <w:r>
        <w:rPr>
          <w:rStyle w:val="Caractresdenotedefin"/>
        </w:rPr>
        <w:endnoteRef/>
      </w:r>
      <w:r>
        <w:rPr/>
        <w:tab/>
        <w:t>Detta diskuteras mer i detalj i arbetsgruppen för europeisk demokrati. Se rekommendation nr 24 från ECP 2, rekommendationerna 1.1, 1.2 och 2.12 i den belgiska nationella kontaktpunkten och den italienska rekommendationen om integrationspolitik.</w:t>
      </w:r>
    </w:p>
  </w:endnote>
  <w:endnote w:id="176">
    <w:p>
      <w:pPr>
        <w:pStyle w:val="Notedefin"/>
        <w:suppressLineNumbers/>
        <w:spacing w:before="57" w:after="57"/>
        <w:ind w:left="339" w:right="0" w:hanging="339"/>
        <w:rPr/>
      </w:pPr>
      <w:r>
        <w:rPr>
          <w:rStyle w:val="Caractresdenotedefin"/>
        </w:rPr>
        <w:endnoteRef/>
      </w:r>
      <w:r>
        <w:rPr/>
        <w:tab/>
        <w:t>Rekommendation från den italienska nationella kontaktpunkten om ”inklusionspolitik”.</w:t>
      </w:r>
    </w:p>
  </w:endnote>
  <w:endnote w:id="177">
    <w:p>
      <w:pPr>
        <w:pStyle w:val="Notedefin"/>
        <w:suppressLineNumbers/>
        <w:spacing w:before="57" w:after="57"/>
        <w:ind w:left="339" w:right="0" w:hanging="339"/>
        <w:rPr/>
      </w:pPr>
      <w:r>
        <w:rPr>
          <w:rStyle w:val="Caractresdenotedefin"/>
        </w:rPr>
        <w:endnoteRef/>
      </w:r>
      <w:r>
        <w:rPr/>
        <w:tab/>
        <w:t>Detta diskuteras mer i detalj av arbetsgruppen för digital omvandling. Se rekommendationerna 8 och 34 i ECP 1.</w:t>
      </w:r>
    </w:p>
  </w:endnote>
  <w:endnote w:id="178">
    <w:p>
      <w:pPr>
        <w:pStyle w:val="Notedefin"/>
        <w:suppressLineNumbers/>
        <w:spacing w:before="57" w:after="57"/>
        <w:ind w:left="339" w:right="0" w:hanging="339"/>
        <w:rPr/>
      </w:pPr>
      <w:r>
        <w:rPr>
          <w:rStyle w:val="Caractresdenotedefin"/>
        </w:rPr>
        <w:endnoteRef/>
      </w:r>
      <w:r>
        <w:rPr/>
        <w:tab/>
        <w:t>Rekommendation från den italienska nationella kontaktpunkten ”Att uppmuntra ungdomar att studera vetenskapliga ämnen”.</w:t>
      </w:r>
    </w:p>
  </w:endnote>
  <w:endnote w:id="179">
    <w:p>
      <w:pPr>
        <w:pStyle w:val="Notedefin"/>
        <w:suppressLineNumbers/>
        <w:spacing w:before="57" w:after="57"/>
        <w:ind w:left="339" w:right="0" w:hanging="339"/>
        <w:rPr/>
      </w:pPr>
      <w:r>
        <w:rPr>
          <w:rStyle w:val="Caractresdenotedefin"/>
        </w:rPr>
        <w:endnoteRef/>
      </w:r>
      <w:r>
        <w:rPr/>
        <w:tab/>
        <w:t>PCE:s rekommendationer 33 och 48 1. Behandlas också av arbetsgruppen för digital omvandling. Se rekommendation 47 från ECP 1 om hälsosam användning av Internet.</w:t>
      </w:r>
    </w:p>
  </w:endnote>
  <w:endnote w:id="180">
    <w:p>
      <w:pPr>
        <w:pStyle w:val="Notedefin"/>
        <w:suppressLineNumbers/>
        <w:spacing w:before="57" w:after="57"/>
        <w:ind w:left="339" w:right="0" w:hanging="339"/>
        <w:rPr/>
      </w:pPr>
      <w:r>
        <w:rPr>
          <w:rStyle w:val="Caractresdenotedefin"/>
        </w:rPr>
        <w:endnoteRef/>
      </w:r>
      <w:r>
        <w:rPr/>
        <w:tab/>
        <w:t>Rekommendation 5 från ECP 1.</w:t>
      </w:r>
    </w:p>
  </w:endnote>
  <w:endnote w:id="181">
    <w:p>
      <w:pPr>
        <w:pStyle w:val="Notedefin"/>
        <w:suppressLineNumbers/>
        <w:spacing w:before="57" w:after="57"/>
        <w:ind w:left="339" w:right="0" w:hanging="339"/>
        <w:rPr/>
      </w:pPr>
      <w:r>
        <w:rPr>
          <w:rStyle w:val="Caractresdenotedefin"/>
        </w:rPr>
        <w:endnoteRef/>
      </w:r>
      <w:r>
        <w:rPr/>
        <w:tab/>
        <w:t>Rekommendationerna nr 15 och 18 från ECP 1.</w:t>
      </w:r>
    </w:p>
  </w:endnote>
  <w:endnote w:id="182">
    <w:p>
      <w:pPr>
        <w:pStyle w:val="Notedefin"/>
        <w:suppressLineNumbers/>
        <w:spacing w:before="57" w:after="57"/>
        <w:ind w:left="339" w:right="0" w:hanging="339"/>
        <w:rPr/>
      </w:pPr>
      <w:r>
        <w:rPr>
          <w:rStyle w:val="Caractresdenotedefin"/>
        </w:rPr>
        <w:endnoteRef/>
      </w:r>
      <w:r>
        <w:rPr/>
        <w:tab/>
        <w:t>Rekommendation från den italienska nationella kontaktpunkten om ”Europa i världen”</w:t>
      </w:r>
    </w:p>
  </w:endnote>
  <w:endnote w:id="183">
    <w:p>
      <w:pPr>
        <w:pStyle w:val="Notedefin"/>
        <w:suppressLineNumbers/>
        <w:spacing w:before="57" w:after="57"/>
        <w:ind w:left="339" w:right="0" w:hanging="339"/>
        <w:rPr/>
      </w:pPr>
      <w:r>
        <w:rPr>
          <w:rStyle w:val="Caractresdenotedefin"/>
        </w:rPr>
        <w:endnoteRef/>
      </w:r>
      <w:r>
        <w:rPr/>
        <w:tab/>
        <w:t>Rekommendationerna nr</w:t>
      </w:r>
      <w:r>
        <w:rPr>
          <w:vertAlign w:val="superscript"/>
        </w:rPr>
        <w:t>18</w:t>
      </w:r>
      <w:r>
        <w:rPr/>
        <w:t xml:space="preserve"> och 41 från ECP 1 och rekommendation från den italienska nationella kontaktpunkten om investeringar i utbildning av utbildare.</w:t>
      </w:r>
    </w:p>
  </w:endnote>
  <w:endnote w:id="184">
    <w:p>
      <w:pPr>
        <w:pStyle w:val="Notedefin"/>
        <w:suppressLineNumbers/>
        <w:spacing w:before="57" w:after="57"/>
        <w:ind w:left="339" w:right="0" w:hanging="339"/>
        <w:rPr/>
      </w:pPr>
      <w:r>
        <w:rPr>
          <w:rStyle w:val="Caractresdenotedefin"/>
        </w:rPr>
        <w:endnoteRef/>
      </w:r>
      <w:r>
        <w:rPr/>
        <w:tab/>
        <w:t>PCE 1 Rekommendation nr 17 riktad till den digitala arbetsgruppen.</w:t>
      </w:r>
    </w:p>
  </w:endnote>
  <w:endnote w:id="185">
    <w:p>
      <w:pPr>
        <w:pStyle w:val="Notedefin"/>
        <w:suppressLineNumbers/>
        <w:spacing w:before="57" w:after="57"/>
        <w:ind w:left="339" w:right="0" w:hanging="339"/>
        <w:rPr/>
      </w:pPr>
      <w:r>
        <w:rPr>
          <w:rStyle w:val="Caractresdenotedefin"/>
        </w:rPr>
        <w:endnoteRef/>
      </w:r>
      <w:r>
        <w:rPr/>
        <w:tab/>
        <w:t>ECP:s rekommendation nr 15 1. Rekommendation från den tyska nationella kontaktpunkten om en ”informationsplattform för utbyte av kunskaper och erfarenheter på EU-nivå”.</w:t>
      </w:r>
    </w:p>
  </w:endnote>
  <w:endnote w:id="186">
    <w:p>
      <w:pPr>
        <w:pStyle w:val="Notedefin"/>
        <w:suppressLineNumbers/>
        <w:spacing w:before="57" w:after="57"/>
        <w:ind w:left="339" w:right="0" w:hanging="339"/>
        <w:rPr/>
      </w:pPr>
      <w:r>
        <w:rPr>
          <w:rStyle w:val="Caractresdenotedefin"/>
        </w:rPr>
        <w:endnoteRef/>
      </w:r>
      <w:r>
        <w:rPr/>
        <w:tab/>
        <w:t>Rekommendation 6.1 från den belgiska nationella kontaktpunkten. Franska PCN, ändring 7.</w:t>
      </w:r>
    </w:p>
  </w:endnote>
  <w:endnote w:id="187">
    <w:p>
      <w:pPr>
        <w:pStyle w:val="Notedefin"/>
        <w:suppressLineNumbers/>
        <w:spacing w:before="57" w:after="57"/>
        <w:ind w:left="339" w:right="0" w:hanging="339"/>
        <w:rPr/>
      </w:pPr>
      <w:r>
        <w:rPr>
          <w:rStyle w:val="Caractresdenotedefin"/>
        </w:rPr>
        <w:endnoteRef/>
      </w:r>
      <w:r>
        <w:rPr/>
        <w:tab/>
        <w:t>Rekommendation 7.2 från den belgiska nationella kontaktpunkten.</w:t>
      </w:r>
    </w:p>
  </w:endnote>
  <w:endnote w:id="188">
    <w:p>
      <w:pPr>
        <w:pStyle w:val="Notedefin"/>
        <w:suppressLineNumbers/>
        <w:spacing w:before="57" w:after="57"/>
        <w:ind w:left="339" w:right="0" w:hanging="339"/>
        <w:rPr/>
      </w:pPr>
      <w:r>
        <w:rPr>
          <w:rStyle w:val="Caractresdenotedefin"/>
        </w:rPr>
        <w:endnoteRef/>
      </w:r>
      <w:r>
        <w:rPr/>
        <w:tab/>
        <w:t>Rekommendation 4 från ECP 1.</w:t>
      </w:r>
    </w:p>
  </w:endnote>
  <w:endnote w:id="189">
    <w:p>
      <w:pPr>
        <w:pStyle w:val="Notedefin"/>
        <w:suppressLineNumbers/>
        <w:spacing w:before="57" w:after="57"/>
        <w:ind w:left="339" w:right="0" w:hanging="339"/>
        <w:rPr/>
      </w:pPr>
      <w:r>
        <w:rPr>
          <w:rStyle w:val="Caractresdenotedefin"/>
        </w:rPr>
        <w:endnoteRef/>
      </w:r>
      <w:r>
        <w:rPr/>
        <w:tab/>
        <w:t>Förslag till komplettering av</w:t>
      </w:r>
      <w:r>
        <w:rPr>
          <w:vertAlign w:val="superscript"/>
        </w:rPr>
        <w:t>rekommendationerna</w:t>
      </w:r>
      <w:r>
        <w:rPr/>
        <w:t xml:space="preserve"> 1 och 30 från den europeiska grannskapspolitiken som omfattas av arbetsgruppen för en starkare ekonomi, social rättvisa och sysselsättning.</w:t>
      </w:r>
    </w:p>
  </w:endnote>
  <w:endnote w:id="190">
    <w:p>
      <w:pPr>
        <w:pStyle w:val="Notedefin"/>
        <w:suppressLineNumbers/>
        <w:spacing w:before="57" w:after="57"/>
        <w:ind w:left="339" w:right="0" w:hanging="339"/>
        <w:rPr/>
      </w:pPr>
      <w:r>
        <w:rPr>
          <w:rStyle w:val="Caractresdenotedefin"/>
        </w:rPr>
        <w:endnoteRef/>
      </w:r>
      <w:r>
        <w:rPr/>
        <w:tab/>
        <w:t>Förslag till komplettering av rekommendation 25 från ECP 1 som omfattas av arbetsgruppen för en starkare ekonomi, social rättvisa och sysselsättning.</w:t>
      </w:r>
    </w:p>
  </w:endnote>
  <w:endnote w:id="191">
    <w:p>
      <w:pPr>
        <w:pStyle w:val="Notedefin"/>
        <w:suppressLineNumbers/>
        <w:spacing w:before="57" w:after="57"/>
        <w:ind w:left="339" w:right="0" w:hanging="339"/>
        <w:rPr/>
      </w:pPr>
      <w:r>
        <w:rPr>
          <w:rStyle w:val="Caractresdenotedefin"/>
        </w:rPr>
        <w:endnoteRef/>
      </w:r>
      <w:r>
        <w:rPr/>
        <w:tab/>
        <w:t>ECP:s rekommendation nr 28 4. Nederländska nationella kontaktpunkter (”Vår vision för kultur, ungdom och idrott”), rekommendation 1. Franska PCN, ändring 6.</w:t>
      </w:r>
    </w:p>
  </w:endnote>
  <w:endnote w:id="192">
    <w:p>
      <w:pPr>
        <w:pStyle w:val="Notedefin"/>
        <w:suppressLineNumbers/>
        <w:spacing w:before="57" w:after="57"/>
        <w:ind w:left="339" w:right="0" w:hanging="339"/>
        <w:rPr/>
      </w:pPr>
      <w:r>
        <w:rPr>
          <w:rStyle w:val="Caractresdenotedefin"/>
        </w:rPr>
        <w:endnoteRef/>
      </w:r>
      <w:r>
        <w:rPr/>
        <w:tab/>
        <w:t>Rekommendation 6 från ECP 1.</w:t>
      </w:r>
    </w:p>
  </w:endnote>
  <w:endnote w:id="193">
    <w:p>
      <w:pPr>
        <w:pStyle w:val="Notedefin"/>
        <w:suppressLineNumbers/>
        <w:spacing w:before="57" w:after="57"/>
        <w:ind w:left="339" w:right="0" w:hanging="339"/>
        <w:rPr/>
      </w:pPr>
      <w:r>
        <w:rPr>
          <w:rStyle w:val="Caractresdenotedefin"/>
        </w:rPr>
        <w:endnoteRef/>
      </w:r>
      <w:r>
        <w:rPr/>
        <w:tab/>
        <w:t>Nederländska nationella kontaktpunkter (”Vår vision för kultur, ungdom och idrott”), rekommendation nr 2.</w:t>
      </w:r>
    </w:p>
  </w:endnote>
  <w:endnote w:id="194">
    <w:p>
      <w:pPr>
        <w:pStyle w:val="Notedefin"/>
        <w:suppressLineNumbers/>
        <w:spacing w:before="57" w:after="57"/>
        <w:ind w:left="339" w:right="0" w:hanging="339"/>
        <w:rPr/>
      </w:pPr>
      <w:r>
        <w:rPr>
          <w:rStyle w:val="Caractresdenotedefin"/>
        </w:rPr>
        <w:endnoteRef/>
      </w:r>
      <w:r>
        <w:rPr/>
        <w:tab/>
        <w:t>ECP:s rekommendation 36 1. Franska PCN, ändring 6. Rekommendationerna nr 2.10 och 2.11 från den belgiska nationella kontaktpunkten. Tyska NCP, ”Att skapa fler utbytesmöjligheter för studenter i Europa”. Nederländska nationella kontaktpunkter (”Vår vision för kultur, ungdom och idrott”), rekommendationerna</w:t>
      </w:r>
      <w:r>
        <w:rPr>
          <w:vertAlign w:val="superscript"/>
        </w:rPr>
        <w:t>1</w:t>
      </w:r>
      <w:r>
        <w:rPr/>
        <w:t xml:space="preserve"> och 3. Italienska nationella kontaktpunkter, rekommendation om att ”skapa ett kontor för sammanflödet mellan öst och väst, främja kulturella utbyten och gemensamma kulturella initiativ”.</w:t>
      </w:r>
    </w:p>
  </w:endnote>
  <w:endnote w:id="195">
    <w:p>
      <w:pPr>
        <w:pStyle w:val="Notedefin"/>
        <w:suppressLineNumbers/>
        <w:spacing w:before="57" w:after="57"/>
        <w:ind w:left="339" w:right="0" w:hanging="339"/>
        <w:rPr/>
      </w:pPr>
      <w:r>
        <w:rPr>
          <w:rStyle w:val="Caractresdenotedefin"/>
        </w:rPr>
        <w:endnoteRef/>
      </w:r>
      <w:r>
        <w:rPr/>
        <w:tab/>
        <w:t>ECP:s</w:t>
      </w:r>
      <w:r>
        <w:rPr>
          <w:vertAlign w:val="superscript"/>
        </w:rPr>
        <w:t>rekommendationer</w:t>
      </w:r>
      <w:r>
        <w:rPr/>
        <w:t xml:space="preserve"> 32 och 38 1. Nederländska nationella kontaktpunkter (”Vår vision för kultur, ungdom och idrott”), rekommendation 3.</w:t>
      </w:r>
    </w:p>
  </w:endnote>
  <w:endnote w:id="196">
    <w:p>
      <w:pPr>
        <w:pStyle w:val="Notedefin"/>
        <w:suppressLineNumbers/>
        <w:spacing w:before="57" w:after="57"/>
        <w:ind w:left="339" w:right="0" w:hanging="339"/>
        <w:rPr/>
      </w:pPr>
      <w:r>
        <w:rPr>
          <w:rStyle w:val="Caractresdenotedefin"/>
        </w:rPr>
        <w:endnoteRef/>
      </w:r>
      <w:r>
        <w:rPr/>
        <w:tab/>
        <w:t>Rekommendation från den italienska nationella kontaktpunkten om ”Europa i världen”</w:t>
      </w:r>
    </w:p>
  </w:endnote>
  <w:endnote w:id="197">
    <w:p>
      <w:pPr>
        <w:pStyle w:val="Notedefin"/>
        <w:suppressLineNumbers/>
        <w:spacing w:before="57" w:after="57"/>
        <w:ind w:left="339" w:right="0" w:hanging="339"/>
        <w:rPr/>
      </w:pPr>
      <w:r>
        <w:rPr>
          <w:rStyle w:val="Caractresdenotedefin"/>
        </w:rPr>
        <w:endnoteRef/>
      </w:r>
      <w:r>
        <w:rPr/>
        <w:tab/>
        <w:t>Franska PCN, ändring 7. Rekommendationerna</w:t>
      </w:r>
      <w:r>
        <w:rPr>
          <w:vertAlign w:val="superscript"/>
        </w:rPr>
        <w:t>2.5</w:t>
      </w:r>
      <w:r>
        <w:rPr/>
        <w:t>, 6.1 och 8.7 i den belgiska nationella kontaktpunkten. Italienska nationella kontaktpunkter, rekommendation om förstärkning av europeiska kulturella värden och särdrag samt regionala särdrag.</w:t>
      </w:r>
    </w:p>
  </w:endnote>
  <w:endnote w:id="198">
    <w:p>
      <w:pPr>
        <w:pStyle w:val="Notedefin"/>
        <w:suppressLineNumbers/>
        <w:spacing w:before="57" w:after="57"/>
        <w:ind w:left="339" w:right="0" w:hanging="339"/>
        <w:rPr/>
      </w:pPr>
      <w:r>
        <w:rPr>
          <w:rStyle w:val="Caractresdenotedefin"/>
        </w:rPr>
        <w:endnoteRef/>
      </w:r>
      <w:r>
        <w:rPr/>
        <w:tab/>
        <w:t>Nederländska nationella kontaktpunkter (”Vår vision för kultur, ungdom och idrott”), rekommendation nr 2.</w:t>
      </w:r>
    </w:p>
  </w:endnote>
  <w:endnote w:id="199">
    <w:p>
      <w:pPr>
        <w:pStyle w:val="Notedefin"/>
        <w:suppressLineNumbers/>
        <w:spacing w:before="57" w:after="57"/>
        <w:ind w:left="339" w:right="0" w:hanging="339"/>
        <w:rPr/>
      </w:pPr>
      <w:r>
        <w:rPr>
          <w:rStyle w:val="Caractresdenotedefin"/>
        </w:rPr>
        <w:endnoteRef/>
      </w:r>
      <w:r>
        <w:rPr/>
        <w:tab/>
        <w:t>Rekommendation från den italienska nationella kontaktpunkten om att ”överstiga det senaste århundradets produktionsmodell”</w:t>
      </w:r>
    </w:p>
  </w:endnote>
  <w:endnote w:id="200">
    <w:p>
      <w:pPr>
        <w:pStyle w:val="Notedefin"/>
        <w:suppressLineNumbers/>
        <w:spacing w:before="57" w:after="57"/>
        <w:ind w:left="339" w:right="0" w:hanging="339"/>
        <w:rPr/>
      </w:pPr>
      <w:r>
        <w:rPr>
          <w:rStyle w:val="Caractresdenotedefin"/>
        </w:rPr>
        <w:endnoteRef/>
      </w:r>
      <w:r>
        <w:rPr/>
        <w:tab/>
        <w:t>ECP:s rekommendation nr 29 1.</w:t>
      </w:r>
    </w:p>
  </w:endnote>
  <w:endnote w:id="201">
    <w:p>
      <w:pPr>
        <w:pStyle w:val="Notedefin"/>
        <w:suppressLineNumbers/>
        <w:spacing w:before="57" w:after="57"/>
        <w:ind w:left="339" w:right="0" w:hanging="339"/>
        <w:rPr/>
      </w:pPr>
      <w:r>
        <w:rPr>
          <w:rStyle w:val="Caractresdenotedefin"/>
        </w:rPr>
        <w:endnoteRef/>
      </w:r>
      <w:r>
        <w:rPr/>
        <w:tab/>
        <w:t>ECP:s rekommendation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290</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hyperlink r:id="rId1">
        <w:r>
          <w:rPr>
            <w:rStyle w:val="LienInternet"/>
          </w:rPr>
          <w:tab/>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hyperlink r:id="rId2">
        <w:r>
          <w:rPr>
            <w:rStyle w:val="LienInternet"/>
          </w:rPr>
          <w:tab/>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t xml:space="preserve">III OECD, Innovativt medborgardeltagande och nya demokratiska institutioner,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OECD, Innovativt medborgardeltagande och nya demokratiska institutioner,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t>Besök den flerspråkiga digitala plattformen för att få tillgång till all information om dessa evenemang.</w:t>
      </w:r>
    </w:p>
  </w:footnote>
  <w:footnote w:id="7">
    <w:p>
      <w:pPr>
        <w:pStyle w:val="Notedebasdepage"/>
        <w:suppressLineNumbers/>
        <w:spacing w:before="57" w:after="57"/>
        <w:ind w:left="339" w:right="0" w:hanging="339"/>
        <w:rPr/>
      </w:pPr>
      <w:r>
        <w:rPr>
          <w:rStyle w:val="Caractresdenotedebasdepage"/>
        </w:rPr>
        <w:footnoteRef/>
      </w:r>
      <w:r>
        <w:rPr/>
        <w:tab/>
        <w:t>Åtminstone företrädare för Europaparlamentet, rådet, Europeiska kommissionen och företrädare för de nationella parlamenten skulle nå samförstånd på lika villkor. Om medborgarnas företrädare för nationella evenemang och/eller europeiska eller nationella medborgarpaneler uppenbart skiljer sig åt bör denna ståndpunkt ingå i denna rapport.</w:t>
      </w:r>
    </w:p>
  </w:footnote>
  <w:footnote w:id="8">
    <w:p>
      <w:pPr>
        <w:pStyle w:val="Notedebasdepage"/>
        <w:suppressLineNumbers/>
        <w:spacing w:before="57" w:after="57"/>
        <w:ind w:left="339" w:right="0" w:hanging="339"/>
        <w:rPr/>
      </w:pPr>
      <w:r>
        <w:rPr>
          <w:rStyle w:val="Caractresdenotedebasdepage"/>
        </w:rPr>
        <w:footnoteRef/>
      </w:r>
      <w:r>
        <w:rPr/>
        <w:tab/>
        <w:t>Andra ledamöter av Europeiska kommissionen inbjöds till plenarsammanträdet, särskilt när frågor inom deras ansvarsområden diskuterades.</w:t>
      </w:r>
    </w:p>
  </w:footnote>
  <w:footnote w:id="9">
    <w:p>
      <w:pPr>
        <w:pStyle w:val="Notedebasdepage"/>
        <w:suppressLineNumbers/>
        <w:spacing w:before="57" w:after="57"/>
        <w:ind w:left="339" w:right="0" w:hanging="339"/>
        <w:rPr/>
      </w:pPr>
      <w:r>
        <w:rPr>
          <w:rStyle w:val="Caractresdenotedebasdepage"/>
        </w:rPr>
        <w:footnoteRef/>
      </w:r>
      <w:r>
        <w:rPr/>
        <w:tab/>
        <w:t>En per medlemsstat.</w:t>
      </w:r>
    </w:p>
  </w:footnote>
  <w:footnote w:id="10">
    <w:p>
      <w:pPr>
        <w:pStyle w:val="Notedebasdepage"/>
        <w:suppressLineNumbers/>
        <w:spacing w:before="57" w:after="57"/>
        <w:ind w:left="339" w:right="0" w:hanging="339"/>
        <w:rPr/>
      </w:pPr>
      <w:r>
        <w:rPr>
          <w:rStyle w:val="Caractresdenotedebasdepage"/>
        </w:rPr>
        <w:footnoteRef/>
      </w:r>
      <w:r>
        <w:rPr/>
        <w:tab/>
        <w:t>Ett första evenemang för EU-medborgarna ägde rum den 17 juni 2021 i hybridformat i Lissabon inför den konstituerande plenarsessionen den 19 juni, i syfte att inleda medborgarnas deltagande i konferensen.</w:t>
      </w:r>
    </w:p>
  </w:footnote>
  <w:footnote w:id="11">
    <w:p>
      <w:pPr>
        <w:pStyle w:val="Notedebasdepage"/>
        <w:suppressLineNumbers/>
        <w:spacing w:before="57" w:after="57"/>
        <w:ind w:left="339" w:right="0" w:hanging="339"/>
        <w:rPr/>
      </w:pPr>
      <w:r>
        <w:rPr>
          <w:rStyle w:val="Caractresdenotedebasdepage"/>
        </w:rPr>
        <w:footnoteRef/>
      </w:r>
      <w:r>
        <w:rPr/>
        <w:tab/>
        <w:t>Företrädare för Europeiska kommissionen förklarade att det skulle vara nödvändigt att gå igenom en övergångsperiod för att undvika en alltför abrupt utveckling.</w:t>
      </w:r>
    </w:p>
  </w:footnote>
  <w:footnote w:id="12">
    <w:p>
      <w:pPr>
        <w:pStyle w:val="Notedebasdepage"/>
        <w:suppressLineNumbers/>
        <w:spacing w:before="57" w:after="57"/>
        <w:ind w:left="339" w:right="0" w:hanging="339"/>
        <w:rPr/>
      </w:pPr>
      <w:r>
        <w:rPr>
          <w:rStyle w:val="Caractresdenotedebasdepage"/>
        </w:rPr>
        <w:footnoteRef/>
      </w:r>
      <w:r>
        <w:rPr/>
        <w:tab/>
        <w:t xml:space="preserve">Parlamentets ståndpunkt: topplistan över det europeiska politiska parti med flest röster i valet till Europaparlamentet och stöd från en majoritet av ledamöterna bör väljas till ordförande för Europeiska kommissionen. Om ingen koalitionsbaserad majoritet uppstår bör posten återgå till nästa topp på listan. Hotell nära Paulo Rangel: för att stärka processen med ledande kandidater bör Europaparlamentets och Europeiska rådets roller upphävas, vilket innebär en ändring av fördragen: kommissionens ordförande kommer att föreslås av parlamentet och godkännas av Europeiska rådet. PNM (Final Kantar Report: ”en grupp av bidrag ska omfatta val av kommissionens ordförande och utnämning av kommissionsledamöter, inbegripet systemet med topplistade kandidater.”) EYE, s. 23: Kandidater till posten som kommissionens ordförande bör inte väljas i förhandlingar bakom kulisserna mellan vinnande partier. Vi bör tillämpa det ledande kandidatsystemet, där varje parti före valkampanjen tillkännager den kandidat som kommer att bli kommissionens ordförande om partiet vinner majoritet. Genom att aktivt delta i kampanjen och interagera direkt med EU-medborgarna skulle den framtida ordföranden kunna vara närmare dem.” diskussion i GT. </w:t>
      </w:r>
    </w:p>
  </w:footnote>
  <w:footnote w:id="13">
    <w:p>
      <w:pPr>
        <w:pStyle w:val="Notedebasdepage"/>
        <w:suppressLineNumbers/>
        <w:spacing w:before="57" w:after="57"/>
        <w:ind w:left="339" w:right="0" w:hanging="339"/>
        <w:rPr/>
      </w:pPr>
      <w:r>
        <w:rPr>
          <w:rStyle w:val="Caractresdenotedebasdepage"/>
        </w:rPr>
        <w:footnoteRef/>
      </w:r>
      <w:r>
        <w:rPr/>
        <w:tab/>
        <w:t>Rådet anser att detta förslag inte grundar sig på en medborgarrekommendation. Det är därför inte förenligt med den överenskomna metoden. Se även medborgarkomponentens ståndpunkt på sidan 42.</w:t>
      </w:r>
    </w:p>
  </w:footnote>
  <w:footnote w:id="14">
    <w:p>
      <w:pPr>
        <w:pStyle w:val="Notedebasdepage"/>
        <w:suppressLineNumbers/>
        <w:spacing w:before="57" w:after="57"/>
        <w:ind w:left="339" w:right="0" w:hanging="339"/>
        <w:rPr/>
      </w:pPr>
      <w:r>
        <w:rPr>
          <w:rStyle w:val="Caractresdenotedebasdepage"/>
        </w:rPr>
        <w:footnoteRef/>
      </w:r>
      <w:hyperlink r:id="rId5">
        <w:r>
          <w:rPr>
            <w:rStyle w:val="LienInternet"/>
          </w:rPr>
          <w:tab/>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hyperlink r:id="rId6">
        <w:r>
          <w:rPr>
            <w:rStyle w:val="LienInternet"/>
          </w:rPr>
          <w:tab/>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Urval av medborgare som företräder Vilnius, Kaunas, Klaipėda, Šiauliai och Panevėžys samt distrikten (apskritis) Vilnius, Kaunas, Klaipėda, Šiauliai, Panevėžys, Alytus, Marijampolė, Tauragė, Telšiai och Utena, baserat på uppgifter från Litauens statistikdepartement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pPr>
    <w:r>
      <w:rPr/>
      <w:t>Konferens om Europas framtid | Rapport om slutliga resultat</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sv" w:eastAsia="zh-CN" w:bidi="hi-IN"/>
      </w:rPr>
    </w:rPrDefault>
    <w:pPrDefault>
      <w:pPr/>
    </w:pPrDefault>
  </w:docDefaults>
  <w:style w:type="paragraph" w:styleId="Normal">
    <w:name w:val="Normal"/>
    <w:qFormat/>
    <w:pPr>
      <w:widowControl/>
      <w:suppressAutoHyphens w:val="true"/>
      <w:kinsoku w:val="true"/>
      <w:overflowPunct w:val="false"/>
      <w:autoSpaceDE w:val="true"/>
      <w:bidi w:val="0"/>
      <w:spacing w:before="57" w:after="57"/>
      <w:ind w:left="0" w:right="0" w:hanging="0"/>
      <w:jc w:val="left"/>
    </w:pPr>
    <w:rPr>
      <w:rFonts w:ascii="Arial" w:hAnsi="Arial" w:eastAsia="SimSun" w:cs="Mangal"/>
      <w:color w:val="00000A"/>
      <w:kern w:val="2"/>
      <w:sz w:val="22"/>
      <w:szCs w:val="20"/>
      <w:lang w:val="sv"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kinsoku w:val="true"/>
      <w:overflowPunct w:val="true"/>
      <w:autoSpaceDE w:val="true"/>
      <w:bidi w:val="0"/>
      <w:jc w:val="left"/>
    </w:pPr>
    <w:rPr>
      <w:rFonts w:ascii="Arial" w:hAnsi="Arial" w:eastAsia="Microsoft YaHei" w:cs="Mangal"/>
      <w:color w:val="00000A"/>
      <w:kern w:val="2"/>
      <w:sz w:val="52"/>
      <w:szCs w:val="20"/>
      <w:lang w:val="sv" w:eastAsia="zh-CN" w:bidi="hi-IN"/>
    </w:rPr>
  </w:style>
  <w:style w:type="paragraph" w:styleId="P68B1DB1style26">
    <w:name w:val="P68B1DB1-style26"/>
    <w:qFormat/>
    <w:pPr>
      <w:widowControl/>
      <w:kinsoku w:val="true"/>
      <w:overflowPunct w:val="true"/>
      <w:autoSpaceDE w:val="true"/>
      <w:bidi w:val="0"/>
      <w:jc w:val="left"/>
    </w:pPr>
    <w:rPr>
      <w:rFonts w:ascii="Arial" w:hAnsi="Arial" w:eastAsia="Microsoft YaHei" w:cs="Mangal"/>
      <w:color w:val="00000A"/>
      <w:kern w:val="2"/>
      <w:sz w:val="36"/>
      <w:szCs w:val="20"/>
      <w:lang w:val="sv" w:eastAsia="zh-CN" w:bidi="hi-IN"/>
    </w:rPr>
  </w:style>
  <w:style w:type="paragraph" w:styleId="P68B1DB1style27">
    <w:name w:val="P68B1DB1-style27"/>
    <w:qFormat/>
    <w:pPr>
      <w:widowControl/>
      <w:kinsoku w:val="true"/>
      <w:overflowPunct w:val="true"/>
      <w:autoSpaceDE w:val="true"/>
      <w:bidi w:val="0"/>
      <w:jc w:val="left"/>
    </w:pPr>
    <w:rPr>
      <w:rFonts w:ascii="Arial" w:hAnsi="Arial" w:eastAsia="Microsoft YaHei" w:cs="Mangal"/>
      <w:color w:val="00000A"/>
      <w:kern w:val="2"/>
      <w:sz w:val="21"/>
      <w:szCs w:val="20"/>
      <w:lang w:val="sv" w:eastAsia="zh-CN" w:bidi="hi-IN"/>
    </w:rPr>
  </w:style>
  <w:style w:type="paragraph" w:styleId="P68B1DB1style28">
    <w:name w:val="P68B1DB1-style28"/>
    <w:qFormat/>
    <w:pPr>
      <w:widowControl/>
      <w:kinsoku w:val="true"/>
      <w:overflowPunct w:val="true"/>
      <w:autoSpaceDE w:val="true"/>
      <w:bidi w:val="0"/>
      <w:jc w:val="left"/>
    </w:pPr>
    <w:rPr>
      <w:rFonts w:ascii="Arial" w:hAnsi="Arial" w:eastAsia="Microsoft YaHei" w:cs="Mangal"/>
      <w:color w:val="00000A"/>
      <w:kern w:val="2"/>
      <w:sz w:val="48"/>
      <w:szCs w:val="20"/>
      <w:lang w:val="sv" w:eastAsia="zh-CN" w:bidi="hi-IN"/>
    </w:rPr>
  </w:style>
  <w:style w:type="paragraph" w:styleId="P68B1DB1style29">
    <w:name w:val="P68B1DB1-style29"/>
    <w:qFormat/>
    <w:pPr>
      <w:widowControl/>
      <w:kinsoku w:val="true"/>
      <w:overflowPunct w:val="true"/>
      <w:autoSpaceDE w:val="true"/>
      <w:bidi w:val="0"/>
      <w:jc w:val="left"/>
    </w:pPr>
    <w:rPr>
      <w:rFonts w:ascii="Arial" w:hAnsi="Arial" w:eastAsia="Microsoft YaHei" w:cs="Mangal"/>
      <w:color w:val="CE181E"/>
      <w:kern w:val="2"/>
      <w:sz w:val="44"/>
      <w:szCs w:val="20"/>
      <w:lang w:val="sv" w:eastAsia="zh-CN" w:bidi="hi-IN"/>
    </w:rPr>
  </w:style>
  <w:style w:type="paragraph" w:styleId="P68B1DB1style30">
    <w:name w:val="P68B1DB1-style30"/>
    <w:qFormat/>
    <w:pPr>
      <w:widowControl/>
      <w:kinsoku w:val="true"/>
      <w:overflowPunct w:val="true"/>
      <w:autoSpaceDE w:val="true"/>
      <w:bidi w:val="0"/>
      <w:jc w:val="left"/>
    </w:pPr>
    <w:rPr>
      <w:rFonts w:ascii="Arial" w:hAnsi="Arial" w:eastAsia="Microsoft YaHei" w:cs="Mangal"/>
      <w:color w:val="00000A"/>
      <w:kern w:val="2"/>
      <w:sz w:val="28"/>
      <w:szCs w:val="20"/>
      <w:lang w:val="sv" w:eastAsia="zh-CN" w:bidi="hi-IN"/>
    </w:rPr>
  </w:style>
  <w:style w:type="paragraph" w:styleId="P68B1DB1style31">
    <w:name w:val="P68B1DB1-style31"/>
    <w:qFormat/>
    <w:pPr>
      <w:widowControl/>
      <w:kinsoku w:val="true"/>
      <w:overflowPunct w:val="true"/>
      <w:autoSpaceDE w:val="true"/>
      <w:bidi w:val="0"/>
      <w:jc w:val="left"/>
    </w:pPr>
    <w:rPr>
      <w:rFonts w:ascii="Arial" w:hAnsi="Arial" w:eastAsia="Microsoft YaHei" w:cs="Mangal"/>
      <w:b/>
      <w:color w:val="00000A"/>
      <w:kern w:val="2"/>
      <w:sz w:val="36"/>
      <w:szCs w:val="20"/>
      <w:lang w:val="sv"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kinsoku w:val="true"/>
      <w:overflowPunct w:val="true"/>
      <w:autoSpaceDE w:val="true"/>
      <w:bidi w:val="0"/>
      <w:jc w:val="left"/>
    </w:pPr>
    <w:rPr>
      <w:rFonts w:ascii="Arial" w:hAnsi="Arial" w:eastAsia="Microsoft YaHei" w:cs="Mangal"/>
      <w:color w:val="FFFFFF"/>
      <w:kern w:val="2"/>
      <w:sz w:val="24"/>
      <w:szCs w:val="20"/>
      <w:lang w:val="sv" w:eastAsia="zh-CN" w:bidi="hi-IN"/>
    </w:rPr>
  </w:style>
  <w:style w:type="paragraph" w:styleId="P68B1DB1style38">
    <w:name w:val="P68B1DB1-style38"/>
    <w:qFormat/>
    <w:pPr>
      <w:widowControl/>
      <w:kinsoku w:val="true"/>
      <w:overflowPunct w:val="true"/>
      <w:autoSpaceDE w:val="true"/>
      <w:bidi w:val="0"/>
      <w:jc w:val="left"/>
    </w:pPr>
    <w:rPr>
      <w:rFonts w:ascii="Arial" w:hAnsi="Arial" w:eastAsia="Microsoft YaHei" w:cs="Mangal"/>
      <w:color w:val="00000A"/>
      <w:kern w:val="2"/>
      <w:sz w:val="18"/>
      <w:szCs w:val="20"/>
      <w:lang w:val="sv"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highlight w:val="darkCyan"/>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highlight w:val="darkCyan"/>
    </w:rPr>
  </w:style>
  <w:style w:type="paragraph" w:styleId="P68B1DB1Contenudetableau56">
    <w:name w:val="P68B1DB1-Contenudetableau56"/>
    <w:basedOn w:val="Contenudetableau"/>
    <w:qFormat/>
    <w:pPr/>
    <w:rPr>
      <w:color w:val="FFFFFF"/>
      <w:sz w:val="18"/>
      <w:highlight w:val="red"/>
    </w:rPr>
  </w:style>
  <w:style w:type="paragraph" w:styleId="P68B1DB1Contenudetableau57">
    <w:name w:val="P68B1DB1-Contenudetableau57"/>
    <w:basedOn w:val="Contenudetableau"/>
    <w:qFormat/>
    <w:pPr/>
    <w:rPr>
      <w:rFonts w:ascii="Arial" w:hAnsi="Arial"/>
      <w:color w:val="FFFFFF"/>
      <w:sz w:val="18"/>
      <w:highlight w:val="blue"/>
    </w:rPr>
  </w:style>
  <w:style w:type="paragraph" w:styleId="P68B1DB1Contenudetableau58">
    <w:name w:val="P68B1DB1-Contenudetableau58"/>
    <w:basedOn w:val="Contenudetableau"/>
    <w:qFormat/>
    <w:pPr/>
    <w:rPr>
      <w:rFonts w:ascii="Arial" w:hAnsi="Arial"/>
      <w:color w:val="FFFFFF"/>
      <w:sz w:val="18"/>
      <w:highlight w:val="darkMagenta"/>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highlight w:val="blue"/>
    </w:rPr>
  </w:style>
  <w:style w:type="paragraph" w:styleId="P68B1DB1Contenudetableau61">
    <w:name w:val="P68B1DB1-Contenudetableau61"/>
    <w:basedOn w:val="Contenudetableau"/>
    <w:qFormat/>
    <w:pPr/>
    <w:rPr>
      <w:rFonts w:ascii="Arial" w:hAnsi="Arial"/>
      <w:color w:val="FFFFFF"/>
      <w:sz w:val="18"/>
      <w:highlight w:val="darkBlue"/>
    </w:rPr>
  </w:style>
  <w:style w:type="paragraph" w:styleId="P68B1DB1Contenudetableau62">
    <w:name w:val="P68B1DB1-Contenudetableau62"/>
    <w:basedOn w:val="Contenudetableau"/>
    <w:qFormat/>
    <w:pPr/>
    <w:rPr>
      <w:rFonts w:ascii="Arial" w:hAnsi="Arial"/>
      <w:color w:val="FFFFFF"/>
      <w:sz w:val="18"/>
      <w:highlight w:val="cyan"/>
    </w:rPr>
  </w:style>
  <w:style w:type="paragraph" w:styleId="P68B1DB1Contenudetableau63">
    <w:name w:val="P68B1DB1-Contenudetableau63"/>
    <w:basedOn w:val="Contenudetableau"/>
    <w:qFormat/>
    <w:pPr/>
    <w:rPr>
      <w:rFonts w:ascii="Arial" w:hAnsi="Arial"/>
      <w:color w:val="FFFFFF"/>
      <w:sz w:val="18"/>
      <w:highlight w:val="red"/>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kinsoku w:val="true"/>
      <w:overflowPunct w:val="true"/>
      <w:autoSpaceDE w:val="true"/>
      <w:bidi w:val="0"/>
      <w:jc w:val="left"/>
    </w:pPr>
    <w:rPr>
      <w:rFonts w:ascii="Arial" w:hAnsi="Arial" w:eastAsia="Microsoft YaHei" w:cs="Mangal"/>
      <w:color w:val="00000A"/>
      <w:kern w:val="2"/>
      <w:sz w:val="24"/>
      <w:szCs w:val="20"/>
      <w:lang w:val="sv" w:eastAsia="zh-CN" w:bidi="hi-IN"/>
    </w:rPr>
  </w:style>
  <w:style w:type="paragraph" w:styleId="P68B1DB1style79">
    <w:name w:val="P68B1DB1-style79"/>
    <w:qFormat/>
    <w:pPr>
      <w:widowControl/>
      <w:kinsoku w:val="true"/>
      <w:overflowPunct w:val="true"/>
      <w:autoSpaceDE w:val="true"/>
      <w:bidi w:val="0"/>
      <w:jc w:val="left"/>
    </w:pPr>
    <w:rPr>
      <w:rFonts w:ascii="Arial" w:hAnsi="Arial" w:eastAsia="Microsoft YaHei" w:cs="Mangal"/>
      <w:i/>
      <w:color w:val="00000A"/>
      <w:kern w:val="2"/>
      <w:sz w:val="24"/>
      <w:szCs w:val="20"/>
      <w:lang w:val="sv"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highlight w:val="darkCyan"/>
    </w:rPr>
  </w:style>
  <w:style w:type="paragraph" w:styleId="P68B1DB1style93">
    <w:name w:val="P68B1DB1-style93"/>
    <w:qFormat/>
    <w:pPr>
      <w:widowControl/>
      <w:kinsoku w:val="true"/>
      <w:overflowPunct w:val="true"/>
      <w:autoSpaceDE w:val="true"/>
      <w:bidi w:val="0"/>
      <w:jc w:val="left"/>
    </w:pPr>
    <w:rPr>
      <w:rFonts w:ascii="Times New Roman" w:hAnsi="Times New Roman" w:eastAsia="Microsoft YaHei" w:cs="Mangal"/>
      <w:color w:val="00000A"/>
      <w:kern w:val="2"/>
      <w:sz w:val="26"/>
      <w:szCs w:val="20"/>
      <w:lang w:val="sv" w:eastAsia="zh-CN" w:bidi="hi-IN"/>
    </w:rPr>
  </w:style>
  <w:style w:type="paragraph" w:styleId="P68B1DB1style94">
    <w:name w:val="P68B1DB1-style94"/>
    <w:qFormat/>
    <w:pPr>
      <w:widowControl/>
      <w:kinsoku w:val="true"/>
      <w:overflowPunct w:val="true"/>
      <w:autoSpaceDE w:val="true"/>
      <w:bidi w:val="0"/>
      <w:jc w:val="left"/>
    </w:pPr>
    <w:rPr>
      <w:rFonts w:ascii="Arial" w:hAnsi="Arial" w:eastAsia="Microsoft YaHei" w:cs="Mangal"/>
      <w:color w:val="00000A"/>
      <w:kern w:val="2"/>
      <w:sz w:val="20"/>
      <w:szCs w:val="20"/>
      <w:lang w:val="sv"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kinsoku w:val="true"/>
      <w:overflowPunct w:val="true"/>
      <w:autoSpaceDE w:val="true"/>
      <w:bidi w:val="0"/>
      <w:jc w:val="left"/>
    </w:pPr>
    <w:rPr>
      <w:rFonts w:ascii="Times New Roman" w:hAnsi="Times New Roman" w:eastAsia="SimSun" w:cs="Mangal"/>
      <w:color w:val="00000A"/>
      <w:kern w:val="2"/>
      <w:sz w:val="20"/>
      <w:szCs w:val="20"/>
      <w:lang w:val="sv"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image" Target="media/image49.png"/><Relationship Id="rId105" Type="http://schemas.openxmlformats.org/officeDocument/2006/relationships/image" Target="media/image50.png"/><Relationship Id="rId106" Type="http://schemas.openxmlformats.org/officeDocument/2006/relationships/image" Target="media/image51.png"/><Relationship Id="rId107" Type="http://schemas.openxmlformats.org/officeDocument/2006/relationships/image" Target="media/image52.png"/><Relationship Id="rId108" Type="http://schemas.openxmlformats.org/officeDocument/2006/relationships/image" Target="media/image53.png"/><Relationship Id="rId109" Type="http://schemas.openxmlformats.org/officeDocument/2006/relationships/image" Target="media/image54.png"/><Relationship Id="rId110" Type="http://schemas.openxmlformats.org/officeDocument/2006/relationships/image" Target="media/image55.png"/><Relationship Id="rId111" Type="http://schemas.openxmlformats.org/officeDocument/2006/relationships/image" Target="media/image56.png"/><Relationship Id="rId112" Type="http://schemas.openxmlformats.org/officeDocument/2006/relationships/image" Target="media/image57.png"/><Relationship Id="rId113" Type="http://schemas.openxmlformats.org/officeDocument/2006/relationships/image" Target="media/image58.png"/><Relationship Id="rId114" Type="http://schemas.openxmlformats.org/officeDocument/2006/relationships/image" Target="media/image59.png"/><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denmark"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estonia" TargetMode="External"/><Relationship Id="rId127" Type="http://schemas.openxmlformats.org/officeDocument/2006/relationships/hyperlink" Target="https://futureu.europa.eu/pages/ireland" TargetMode="External"/><Relationship Id="rId128" Type="http://schemas.openxmlformats.org/officeDocument/2006/relationships/hyperlink" Target="https://futureu.europa.eu/pages/greece" TargetMode="External"/><Relationship Id="rId129" Type="http://schemas.openxmlformats.org/officeDocument/2006/relationships/hyperlink" Target="https://futureu.europa.eu/pages/spain" TargetMode="External"/><Relationship Id="rId130" Type="http://schemas.openxmlformats.org/officeDocument/2006/relationships/hyperlink" Target="https://futureu.europa.eu/pages/france" TargetMode="External"/><Relationship Id="rId131" Type="http://schemas.openxmlformats.org/officeDocument/2006/relationships/hyperlink" Target="https://futureu.europa.eu/pages/croatia" TargetMode="External"/><Relationship Id="rId132" Type="http://schemas.openxmlformats.org/officeDocument/2006/relationships/hyperlink" Target="https://futureu.europa.eu/pages/italy" TargetMode="External"/><Relationship Id="rId133" Type="http://schemas.openxmlformats.org/officeDocument/2006/relationships/hyperlink" Target="https://futureu.europa.eu/pages/cyprus" TargetMode="External"/><Relationship Id="rId134" Type="http://schemas.openxmlformats.org/officeDocument/2006/relationships/hyperlink" Target="https://futureu.europa.eu/pages/latvia" TargetMode="External"/><Relationship Id="rId135" Type="http://schemas.openxmlformats.org/officeDocument/2006/relationships/hyperlink" Target="https://futureu.europa.eu/pages/lithuania" TargetMode="External"/><Relationship Id="rId136" Type="http://schemas.openxmlformats.org/officeDocument/2006/relationships/hyperlink" Target="https://futureu.europa.eu/pages/luxembourg" TargetMode="External"/><Relationship Id="rId137" Type="http://schemas.openxmlformats.org/officeDocument/2006/relationships/hyperlink" Target="https://futureu.europa.eu/pages/hungary" TargetMode="External"/><Relationship Id="rId138" Type="http://schemas.openxmlformats.org/officeDocument/2006/relationships/hyperlink" Target="https://futureu.europa.eu/pages/malta" TargetMode="External"/><Relationship Id="rId139" Type="http://schemas.openxmlformats.org/officeDocument/2006/relationships/hyperlink" Target="https://futureu.europa.eu/pages/netherlands" TargetMode="External"/><Relationship Id="rId140" Type="http://schemas.openxmlformats.org/officeDocument/2006/relationships/hyperlink" Target="https://futureu.europa.eu/pages/austria" TargetMode="External"/><Relationship Id="rId141" Type="http://schemas.openxmlformats.org/officeDocument/2006/relationships/hyperlink" Target="https://futureu.europa.eu/pages/poland" TargetMode="External"/><Relationship Id="rId142" Type="http://schemas.openxmlformats.org/officeDocument/2006/relationships/hyperlink" Target="https://futureu.europa.eu/pages/portugal" TargetMode="External"/><Relationship Id="rId143" Type="http://schemas.openxmlformats.org/officeDocument/2006/relationships/hyperlink" Target="https://futureu.europa.eu/pages/romania" TargetMode="External"/><Relationship Id="rId144" Type="http://schemas.openxmlformats.org/officeDocument/2006/relationships/hyperlink" Target="https://futureu.europa.eu/pages/slovenia" TargetMode="External"/><Relationship Id="rId145" Type="http://schemas.openxmlformats.org/officeDocument/2006/relationships/hyperlink" Target="https://futureu.europa.eu/pages/slovakia" TargetMode="External"/><Relationship Id="rId146" Type="http://schemas.openxmlformats.org/officeDocument/2006/relationships/hyperlink" Target="https://futureu.europa.eu/pages/finland" TargetMode="External"/><Relationship Id="rId147" Type="http://schemas.openxmlformats.org/officeDocument/2006/relationships/hyperlink" Target="https://futureu.europa.eu/pages/sweden"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image" Target="media/image62.png"/><Relationship Id="rId152" Type="http://schemas.openxmlformats.org/officeDocument/2006/relationships/footnotes" Target="footnotes.xml"/><Relationship Id="rId153" Type="http://schemas.openxmlformats.org/officeDocument/2006/relationships/endnotes" Target="endnotes.xml"/><Relationship Id="rId154" Type="http://schemas.openxmlformats.org/officeDocument/2006/relationships/comments" Target="comments.xml"/><Relationship Id="rId155" Type="http://schemas.openxmlformats.org/officeDocument/2006/relationships/numbering" Target="numbering.xml"/><Relationship Id="rId156" Type="http://schemas.openxmlformats.org/officeDocument/2006/relationships/fontTable" Target="fontTable.xml"/><Relationship Id="rId15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252</Pages>
  <Words>99755</Words>
  <Characters>608393</Characters>
  <CharactersWithSpaces>705175</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2022-09-01T16:17:28Z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