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Konferenca o </w:t>
      </w:r>
      <w:r>
        <w:rPr/>
        <w:br/>
        <w:t>prihodnost Evrope</w:t>
      </w:r>
    </w:p>
    <w:p>
      <w:pPr>
        <w:pStyle w:val="P68B1DB1Normal2"/>
        <w:widowControl w:val="false"/>
        <w:spacing w:lineRule="exact" w:line="557"/>
        <w:ind w:left="56" w:right="1390" w:firstLine="8"/>
        <w:jc w:val="left"/>
        <w:rPr>
          <w:rFonts w:ascii="Arial" w:hAnsi="Arial"/>
          <w:color w:val="0000BE"/>
          <w:sz w:val="44"/>
        </w:rPr>
      </w:pPr>
      <w:r>
        <w:rPr/>
        <w:t xml:space="preserve">KONČNO POROČILO O REZULTATIH </w:t>
      </w:r>
    </w:p>
    <w:p>
      <w:pPr>
        <w:pStyle w:val="P68B1DB1Normal3"/>
        <w:widowControl w:val="false"/>
        <w:spacing w:lineRule="exact" w:line="557"/>
        <w:ind w:left="56" w:right="1390" w:hanging="0"/>
        <w:jc w:val="left"/>
        <w:rPr>
          <w:rFonts w:ascii="Roboto" w:hAnsi="Roboto"/>
          <w:color w:val="0000BE"/>
          <w:sz w:val="28"/>
        </w:rPr>
      </w:pPr>
      <w:r>
        <w:rPr/>
        <w:t>maj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Slika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Okvir 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Slika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Konferenca o</w:t>
                            </w:r>
                            <w:r>
                              <w:rPr>
                                <w:b/>
                              </w:rPr>
                              <w:t>prihodnosti</w:t>
                            </w:r>
                            <w:r>
                              <w:rPr/>
                              <w:t xml:space="preserve"> </w:t>
                            </w:r>
                            <w:r>
                              <w:rPr>
                                <w:b/>
                              </w:rPr>
                              <w:t>Evrope</w:t>
                            </w:r>
                          </w:p>
                        </w:txbxContent>
                      </wps:txbx>
                      <wps:bodyPr lIns="54000" rIns="54000" tIns="54000" bIns="54000">
                        <a:noAutofit/>
                      </wps:bodyPr>
                    </wps:wsp>
                  </a:graphicData>
                </a:graphic>
              </wp:anchor>
            </w:drawing>
          </mc:Choice>
          <mc:Fallback>
            <w:pict>
              <v:rect id="shape_0" ID="Okvir 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Slika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Konferenca o</w:t>
                      </w:r>
                      <w:r>
                        <w:rPr>
                          <w:b/>
                        </w:rPr>
                        <w:t>prihodnosti</w:t>
                      </w:r>
                      <w:r>
                        <w:rPr/>
                        <w:t xml:space="preserve"> </w:t>
                      </w:r>
                      <w:r>
                        <w:rPr>
                          <w:b/>
                        </w:rPr>
                        <w:t>Evrope</w:t>
                      </w:r>
                    </w:p>
                  </w:txbxContent>
                </v:textbox>
              </v:rect>
            </w:pict>
          </mc:Fallback>
        </mc:AlternateContent>
      </w:r>
      <w:r>
        <w:rPr>
          <w:b/>
          <w:color w:val="0000BE"/>
          <w:sz w:val="48"/>
        </w:rPr>
        <w:t>Prihodnost</w:t>
      </w:r>
      <w:r>
        <w:rPr>
          <w:color w:val="0000BE"/>
          <w:sz w:val="48"/>
        </w:rPr>
        <w:t xml:space="preserve"> je</w:t>
      </w:r>
      <w:r>
        <w:rPr/>
        <w:t xml:space="preserve"> </w:t>
      </w:r>
    </w:p>
    <w:p>
      <w:pPr>
        <w:pStyle w:val="P68B1DB1Normal5"/>
        <w:widowControl w:val="false"/>
        <w:spacing w:lineRule="exact" w:line="576"/>
        <w:ind w:left="51" w:right="0" w:hanging="0"/>
        <w:jc w:val="left"/>
        <w:rPr>
          <w:rFonts w:ascii="Arial" w:hAnsi="Arial"/>
        </w:rPr>
      </w:pPr>
      <w:r>
        <w:rPr/>
        <w:t>v vaših rokah</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Okvir 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Dokument, ki ga je pripravil Pierre Dieumegard</w:t>
                            </w:r>
                            <w:r>
                              <w:rPr>
                                <w:color w:val="auto"/>
                              </w:rPr>
                              <w:drawing>
                                <wp:inline distT="0" distB="0" distL="0" distR="0">
                                  <wp:extent cx="2494280" cy="765175"/>
                                  <wp:effectExtent l="0" t="0" r="0" b="0"/>
                                  <wp:docPr id="8" name="Slika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za Evropo-demokracijo-Esperanto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Cilj tega „začasnega“ dokumenta je omogočiti več ljudem v Evropski uniji, da razumejo dokumente, ki so bili pripravljeni za Evropsko unijo (in se financirajo iz njihovih prispevkov). </w:t>
                            </w:r>
                            <w:hyperlink r:id="rId5">
                              <w:r>
                                <w:rPr>
                                  <w:rStyle w:val="LienInternet"/>
                                  <w:rFonts w:ascii="Times New Roman" w:hAnsi="Times New Roman"/>
                                  <w:color w:val="auto"/>
                                  <w:sz w:val="24"/>
                                </w:rPr>
                                <w:t xml:space="preserve">Izvirni dokumentv francoščini v formatu pdf </w:t>
                              </w:r>
                            </w:hyperlink>
                            <w:r>
                              <w:rPr>
                                <w:rFonts w:ascii="Times New Roman" w:hAnsi="Times New Roman"/>
                                <w:color w:val="auto"/>
                                <w:sz w:val="24"/>
                              </w:rPr>
                              <w:t xml:space="preserve">je bil oblikovan s programsko opremo Libre Office. Prevod v vse uradne jezike Evropske unije poteka prek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To delo smo opravili zaradi potrebe po boljši večjezičnosti v Evropski uniji: brez prevodov je velik del prebivalstva izključen iz razprave. </w:t>
                            </w:r>
                            <w:r>
                              <w:rPr>
                                <w:b/>
                                <w:color w:val="auto"/>
                              </w:rPr>
                              <w:t>Zaželeno je, da uprava Evropske unije prevzame prevajanje pomembnih dokumentov, da bodo lahko vsi Evropejci razumeli, kaj je to, in skupaj razpravljali o svoji skupni prihodnosti.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Za dobro neposredno komunikacijo med evropskimi državljani in za zanesljive prevode bi bil mednarodni esperantski jezik zelo uporaben zaradi svoje preprostosti, pravilnosti in natančnosti.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Na internetu: </w:t>
                            </w:r>
                          </w:p>
                          <w:p>
                            <w:pPr>
                              <w:pStyle w:val="Normal"/>
                              <w:rPr/>
                            </w:pPr>
                            <w:r>
                              <w:rPr>
                                <w:rFonts w:ascii="Times New Roman" w:hAnsi="Times New Roman"/>
                                <w:color w:val="auto"/>
                                <w:sz w:val="24"/>
                              </w:rPr>
                              <w:t xml:space="preserve"> </w:t>
                            </w:r>
                            <w:r>
                              <w:rPr>
                                <w:rFonts w:ascii="Times New Roman" w:hAnsi="Times New Roman"/>
                                <w:color w:val="auto"/>
                                <w:sz w:val="24"/>
                              </w:rPr>
                              <w:t>Federacija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(ali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Združenje Europe-Democracy-Esperanto (Francija):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Evropski dokumenti v vseh uradnih jezikih: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V primerjavi z izvirnim dokumentom obstajajo nekatere spremembe (izboljšave?): </w:t>
                            </w:r>
                          </w:p>
                          <w:p>
                            <w:pPr>
                              <w:pStyle w:val="P68B1DB1Normal7"/>
                              <w:rPr>
                                <w:rFonts w:ascii="Times New Roman" w:hAnsi="Times New Roman"/>
                                <w:sz w:val="24"/>
                              </w:rPr>
                            </w:pPr>
                            <w:r>
                              <w:rPr>
                                <w:color w:val="auto"/>
                              </w:rPr>
                              <w:t>nekatere črkovalne napake so bile popravljene. Morda so se zgodile še druge napake?</w:t>
                            </w:r>
                          </w:p>
                          <w:p>
                            <w:pPr>
                              <w:pStyle w:val="P68B1DB1Normal7"/>
                              <w:rPr>
                                <w:rFonts w:ascii="Times New Roman" w:hAnsi="Times New Roman"/>
                                <w:sz w:val="24"/>
                              </w:rPr>
                            </w:pPr>
                            <w:r>
                              <w:rPr>
                                <w:color w:val="auto"/>
                              </w:rPr>
                              <w:t xml:space="preserve">— </w:t>
                            </w:r>
                            <w:r>
                              <w:rPr>
                                <w:color w:val="auto"/>
                              </w:rPr>
                              <w:t>postavitev je bila usklajena in vse strani so ustrezno oštevilčene (začetni dokument je bil sopostavitev ločenih datotek pdf z neodvisnimi števili).</w:t>
                            </w:r>
                          </w:p>
                          <w:p>
                            <w:pPr>
                              <w:pStyle w:val="P68B1DB1Normal7"/>
                              <w:rPr>
                                <w:rFonts w:ascii="Times New Roman" w:hAnsi="Times New Roman"/>
                                <w:sz w:val="24"/>
                              </w:rPr>
                            </w:pPr>
                            <w:r>
                              <w:rPr>
                                <w:color w:val="auto"/>
                              </w:rPr>
                              <w:t xml:space="preserve">— </w:t>
                            </w:r>
                            <w:r>
                              <w:rPr>
                                <w:color w:val="auto"/>
                              </w:rPr>
                              <w:t>končne opombe so bile preoblikovane v opombe ob koncu odseka (na dnu strani).</w:t>
                            </w:r>
                          </w:p>
                          <w:p>
                            <w:pPr>
                              <w:pStyle w:val="P68B1DB1Normal7"/>
                              <w:spacing w:before="57" w:after="57"/>
                              <w:rPr>
                                <w:color w:val="auto"/>
                              </w:rPr>
                            </w:pPr>
                            <w:r>
                              <w:rPr>
                                <w:color w:val="auto"/>
                              </w:rPr>
                              <w:t xml:space="preserve">— </w:t>
                            </w:r>
                            <w:r>
                              <w:rPr>
                                <w:color w:val="auto"/>
                              </w:rPr>
                              <w:t>dokumenti, ki so bili sprva v obliki slik, so bili preoblikovani v tabele, ki jih je mogoče enostavno prevesti.</w:t>
                            </w:r>
                          </w:p>
                        </w:txbxContent>
                      </wps:txbx>
                      <wps:bodyPr lIns="54000" rIns="54000" tIns="54000" bIns="54000">
                        <a:noAutofit/>
                      </wps:bodyPr>
                    </wps:wsp>
                  </a:graphicData>
                </a:graphic>
              </wp:anchor>
            </w:drawing>
          </mc:Choice>
          <mc:Fallback>
            <w:pict>
              <v:rect id="shape_0" ID="Okvir 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Dokument, ki ga je pripravil Pierre Dieumegard</w:t>
                      </w:r>
                      <w:r>
                        <w:rPr>
                          <w:color w:val="auto"/>
                        </w:rPr>
                        <w:drawing>
                          <wp:inline distT="0" distB="0" distL="0" distR="0">
                            <wp:extent cx="2494280" cy="765175"/>
                            <wp:effectExtent l="0" t="0" r="0" b="0"/>
                            <wp:docPr id="9" name="Slika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za Evropo-demokracijo-Esperanto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Cilj tega „začasnega“ dokumenta je omogočiti več ljudem v Evropski uniji, da razumejo dokumente, ki so bili pripravljeni za Evropsko unijo (in se financirajo iz njihovih prispevkov). </w:t>
                      </w:r>
                      <w:hyperlink r:id="rId11">
                        <w:r>
                          <w:rPr>
                            <w:rStyle w:val="LienInternet"/>
                            <w:rFonts w:ascii="Times New Roman" w:hAnsi="Times New Roman"/>
                            <w:color w:val="auto"/>
                            <w:sz w:val="24"/>
                          </w:rPr>
                          <w:t xml:space="preserve">Izvirni dokumentv francoščini v formatu pdf </w:t>
                        </w:r>
                      </w:hyperlink>
                      <w:r>
                        <w:rPr>
                          <w:rFonts w:ascii="Times New Roman" w:hAnsi="Times New Roman"/>
                          <w:color w:val="auto"/>
                          <w:sz w:val="24"/>
                        </w:rPr>
                        <w:t xml:space="preserve">je bil oblikovan s programsko opremo Libre Office. Prevod v vse uradne jezike Evropske unije poteka prek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To delo smo opravili zaradi potrebe po boljši večjezičnosti v Evropski uniji: brez prevodov je velik del prebivalstva izključen iz razprave. </w:t>
                      </w:r>
                      <w:r>
                        <w:rPr>
                          <w:b/>
                          <w:color w:val="auto"/>
                        </w:rPr>
                        <w:t>Zaželeno je, da uprava Evropske unije prevzame prevajanje pomembnih dokumentov, da bodo lahko vsi Evropejci razumeli, kaj je to, in skupaj razpravljali o svoji skupni prihodnosti.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Za dobro neposredno komunikacijo med evropskimi državljani in za zanesljive prevode bi bil mednarodni esperantski jezik zelo uporaben zaradi svoje preprostosti, pravilnosti in natančnosti.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Na internetu: </w:t>
                      </w:r>
                    </w:p>
                    <w:p>
                      <w:pPr>
                        <w:pStyle w:val="Normal"/>
                        <w:rPr/>
                      </w:pPr>
                      <w:r>
                        <w:rPr>
                          <w:rFonts w:ascii="Times New Roman" w:hAnsi="Times New Roman"/>
                          <w:color w:val="auto"/>
                          <w:sz w:val="24"/>
                        </w:rPr>
                        <w:t xml:space="preserve"> </w:t>
                      </w:r>
                      <w:r>
                        <w:rPr>
                          <w:rFonts w:ascii="Times New Roman" w:hAnsi="Times New Roman"/>
                          <w:color w:val="auto"/>
                          <w:sz w:val="24"/>
                        </w:rPr>
                        <w:t>Federacija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(ali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Združenje Europe-Democracy-Esperanto (Francija):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Evropski dokumenti v vseh uradnih jezikih: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V primerjavi z izvirnim dokumentom obstajajo nekatere spremembe (izboljšave?): </w:t>
                      </w:r>
                    </w:p>
                    <w:p>
                      <w:pPr>
                        <w:pStyle w:val="P68B1DB1Normal7"/>
                        <w:rPr>
                          <w:rFonts w:ascii="Times New Roman" w:hAnsi="Times New Roman"/>
                          <w:sz w:val="24"/>
                        </w:rPr>
                      </w:pPr>
                      <w:r>
                        <w:rPr>
                          <w:color w:val="auto"/>
                        </w:rPr>
                        <w:t>nekatere črkovalne napake so bile popravljene. Morda so se zgodile še druge napake?</w:t>
                      </w:r>
                    </w:p>
                    <w:p>
                      <w:pPr>
                        <w:pStyle w:val="P68B1DB1Normal7"/>
                        <w:rPr>
                          <w:rFonts w:ascii="Times New Roman" w:hAnsi="Times New Roman"/>
                          <w:sz w:val="24"/>
                        </w:rPr>
                      </w:pPr>
                      <w:r>
                        <w:rPr>
                          <w:color w:val="auto"/>
                        </w:rPr>
                        <w:t xml:space="preserve">— </w:t>
                      </w:r>
                      <w:r>
                        <w:rPr>
                          <w:color w:val="auto"/>
                        </w:rPr>
                        <w:t>postavitev je bila usklajena in vse strani so ustrezno oštevilčene (začetni dokument je bil sopostavitev ločenih datotek pdf z neodvisnimi števili).</w:t>
                      </w:r>
                    </w:p>
                    <w:p>
                      <w:pPr>
                        <w:pStyle w:val="P68B1DB1Normal7"/>
                        <w:rPr>
                          <w:rFonts w:ascii="Times New Roman" w:hAnsi="Times New Roman"/>
                          <w:sz w:val="24"/>
                        </w:rPr>
                      </w:pPr>
                      <w:r>
                        <w:rPr>
                          <w:color w:val="auto"/>
                        </w:rPr>
                        <w:t xml:space="preserve">— </w:t>
                      </w:r>
                      <w:r>
                        <w:rPr>
                          <w:color w:val="auto"/>
                        </w:rPr>
                        <w:t>končne opombe so bile preoblikovane v opombe ob koncu odseka (na dnu strani).</w:t>
                      </w:r>
                    </w:p>
                    <w:p>
                      <w:pPr>
                        <w:pStyle w:val="P68B1DB1Normal7"/>
                        <w:spacing w:before="57" w:after="57"/>
                        <w:rPr>
                          <w:color w:val="auto"/>
                        </w:rPr>
                      </w:pPr>
                      <w:r>
                        <w:rPr>
                          <w:color w:val="auto"/>
                        </w:rPr>
                        <w:t xml:space="preserve">— </w:t>
                      </w:r>
                      <w:r>
                        <w:rPr>
                          <w:color w:val="auto"/>
                        </w:rPr>
                        <w:t>dokumenti, ki so bili sprva v obliki slik, so bili preoblikovani v tabele, ki jih je mogoče enostavno prevesti.</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Kazalo vsebine</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Arhitektura konference</w:t>
              <w:tab/>
              <w:t>7</w:t>
            </w:r>
          </w:hyperlink>
        </w:p>
        <w:p>
          <w:pPr>
            <w:pStyle w:val="Tabledesmatiresniveau2"/>
            <w:tabs>
              <w:tab w:val="right" w:pos="9638" w:leader="dot"/>
            </w:tabs>
            <w:rPr/>
          </w:pPr>
          <w:hyperlink w:anchor="__RefHeading___Toc298048_1346298689">
            <w:r>
              <w:rPr>
                <w:rStyle w:val="Sautdindex"/>
              </w:rPr>
              <w:t>1. Skupna izjava</w:t>
              <w:tab/>
              <w:t>8</w:t>
            </w:r>
          </w:hyperlink>
        </w:p>
        <w:p>
          <w:pPr>
            <w:pStyle w:val="Tabledesmatiresniveau2"/>
            <w:tabs>
              <w:tab w:val="right" w:pos="9638" w:leader="dot"/>
            </w:tabs>
            <w:rPr/>
          </w:pPr>
          <w:hyperlink w:anchor="__RefHeading___Toc298050_1346298689">
            <w:r>
              <w:rPr>
                <w:rStyle w:val="Sautdindex"/>
              </w:rPr>
              <w:t>2. Poslovnik</w:t>
              <w:tab/>
              <w:t>9</w:t>
            </w:r>
          </w:hyperlink>
        </w:p>
        <w:p>
          <w:pPr>
            <w:pStyle w:val="Tabledesmatiresniveau2"/>
            <w:tabs>
              <w:tab w:val="right" w:pos="9638" w:leader="dot"/>
            </w:tabs>
            <w:rPr/>
          </w:pPr>
          <w:hyperlink w:anchor="__RefHeading___Toc298052_1346298689">
            <w:r>
              <w:rPr>
                <w:rStyle w:val="Sautdindex"/>
              </w:rPr>
              <w:t>3. Dogodki, povezani s konferenco</w:t>
              <w:tab/>
              <w:t>9</w:t>
            </w:r>
          </w:hyperlink>
        </w:p>
        <w:p>
          <w:pPr>
            <w:pStyle w:val="Tabledesmatiresniveau2"/>
            <w:tabs>
              <w:tab w:val="right" w:pos="9638" w:leader="dot"/>
            </w:tabs>
            <w:rPr/>
          </w:pPr>
          <w:hyperlink w:anchor="__RefHeading___Toc298054_1346298689">
            <w:r>
              <w:rPr>
                <w:rStyle w:val="Sautdindex"/>
              </w:rPr>
              <w:t>4. Izvajanje večjezične digitalne platforme</w:t>
              <w:tab/>
              <w:t>9</w:t>
            </w:r>
          </w:hyperlink>
        </w:p>
        <w:p>
          <w:pPr>
            <w:pStyle w:val="Tabledesmatiresniveau2"/>
            <w:tabs>
              <w:tab w:val="right" w:pos="9638" w:leader="dot"/>
            </w:tabs>
            <w:rPr/>
          </w:pPr>
          <w:hyperlink w:anchor="__RefHeading___Toc298056_1346298689">
            <w:r>
              <w:rPr>
                <w:rStyle w:val="Sautdindex"/>
              </w:rPr>
              <w:t>5. Forumi evropskih državljanov</w:t>
              <w:tab/>
              <w:t>10</w:t>
            </w:r>
          </w:hyperlink>
        </w:p>
        <w:p>
          <w:pPr>
            <w:pStyle w:val="Tabledesmatiresniveau2"/>
            <w:tabs>
              <w:tab w:val="right" w:pos="9638" w:leader="dot"/>
            </w:tabs>
            <w:rPr/>
          </w:pPr>
          <w:hyperlink w:anchor="__RefHeading___Toc298058_1346298689">
            <w:r>
              <w:rPr>
                <w:rStyle w:val="Sautdindex"/>
              </w:rPr>
              <w:t>6. Nacionalni forumi za državljane</w:t>
              <w:tab/>
              <w:t>10</w:t>
            </w:r>
          </w:hyperlink>
        </w:p>
        <w:p>
          <w:pPr>
            <w:pStyle w:val="Tabledesmatiresniveau1"/>
            <w:tabs>
              <w:tab w:val="right" w:pos="9638" w:leader="dot"/>
            </w:tabs>
            <w:rPr/>
          </w:pPr>
          <w:hyperlink w:anchor="__RefHeading___Toc298188_1346298689">
            <w:r>
              <w:rPr>
                <w:rStyle w:val="Sautdindex"/>
              </w:rPr>
              <w:t>NE, NE, NE, NE. Prispevki državljanov k konferenci</w:t>
              <w:tab/>
              <w:t>11</w:t>
            </w:r>
          </w:hyperlink>
        </w:p>
        <w:p>
          <w:pPr>
            <w:pStyle w:val="Tabledesmatiresniveau2"/>
            <w:tabs>
              <w:tab w:val="right" w:pos="9638" w:leader="dot"/>
            </w:tabs>
            <w:rPr/>
          </w:pPr>
          <w:hyperlink w:anchor="__RefHeading___Toc298190_1346298689">
            <w:r>
              <w:rPr>
                <w:rStyle w:val="Sautdindex"/>
              </w:rPr>
              <w:t>A. Večjezična digitalna platforma</w:t>
              <w:tab/>
              <w:t>12</w:t>
            </w:r>
          </w:hyperlink>
        </w:p>
        <w:p>
          <w:pPr>
            <w:pStyle w:val="Tabledesmatiresniveau2"/>
            <w:tabs>
              <w:tab w:val="right" w:pos="9638" w:leader="dot"/>
            </w:tabs>
            <w:rPr/>
          </w:pPr>
          <w:hyperlink w:anchor="__RefHeading___Toc298192_1346298689">
            <w:r>
              <w:rPr>
                <w:rStyle w:val="Sautdindex"/>
              </w:rPr>
              <w:t>B. Državljanski forumi</w:t>
              <w:tab/>
              <w:t>17</w:t>
            </w:r>
          </w:hyperlink>
        </w:p>
        <w:p>
          <w:pPr>
            <w:pStyle w:val="Tabledesmatiresniveau2"/>
            <w:tabs>
              <w:tab w:val="right" w:pos="9638" w:leader="dot"/>
            </w:tabs>
            <w:rPr/>
          </w:pPr>
          <w:hyperlink w:anchor="__RefHeading___Toc298228_1346298689">
            <w:r>
              <w:rPr>
                <w:rStyle w:val="Sautdindex"/>
              </w:rPr>
              <w:t>C. Dogodki, organizirani v okviru konference</w:t>
              <w:tab/>
              <w:t>28</w:t>
            </w:r>
          </w:hyperlink>
        </w:p>
        <w:p>
          <w:pPr>
            <w:pStyle w:val="Tabledesmatiresniveau1"/>
            <w:tabs>
              <w:tab w:val="right" w:pos="9638" w:leader="dot"/>
            </w:tabs>
            <w:rPr/>
          </w:pPr>
          <w:hyperlink w:anchor="__RefHeading___Toc298238_1346298689">
            <w:r>
              <w:rPr>
                <w:rStyle w:val="Sautdindex"/>
              </w:rPr>
              <w:t>III. Plenarna skupščina konference</w:t>
              <w:tab/>
              <w:t>37</w:t>
            </w:r>
          </w:hyperlink>
        </w:p>
        <w:p>
          <w:pPr>
            <w:pStyle w:val="Tabledesmatiresniveau2"/>
            <w:tabs>
              <w:tab w:val="right" w:pos="9638" w:leader="dot"/>
            </w:tabs>
            <w:rPr/>
          </w:pPr>
          <w:hyperlink w:anchor="__RefHeading___Toc298240_1346298689">
            <w:r>
              <w:rPr>
                <w:rStyle w:val="Sautdindex"/>
              </w:rPr>
              <w:t>A. Vloga in delovanje plenarne skupščine</w:t>
              <w:tab/>
              <w:t>38</w:t>
            </w:r>
          </w:hyperlink>
        </w:p>
        <w:p>
          <w:pPr>
            <w:pStyle w:val="Tabledesmatiresniveau2"/>
            <w:tabs>
              <w:tab w:val="right" w:pos="9638" w:leader="dot"/>
            </w:tabs>
            <w:rPr/>
          </w:pPr>
          <w:hyperlink w:anchor="__RefHeading___Toc298242_1346298689">
            <w:r>
              <w:rPr>
                <w:rStyle w:val="Sautdindex"/>
              </w:rPr>
              <w:t>B. Delovne skupine</w:t>
              <w:tab/>
              <w:t>39</w:t>
            </w:r>
          </w:hyperlink>
        </w:p>
        <w:p>
          <w:pPr>
            <w:pStyle w:val="Tabledesmatiresniveau2"/>
            <w:tabs>
              <w:tab w:val="right" w:pos="9638" w:leader="dot"/>
            </w:tabs>
            <w:rPr/>
          </w:pPr>
          <w:hyperlink w:anchor="__RefHeading___Toc298244_1346298689">
            <w:r>
              <w:rPr>
                <w:rStyle w:val="Sautdindex"/>
              </w:rPr>
              <w:t>C. Kronološki povzetek</w:t>
              <w:tab/>
              <w:t>40</w:t>
            </w:r>
          </w:hyperlink>
        </w:p>
        <w:p>
          <w:pPr>
            <w:pStyle w:val="Tabledesmatiresniveau1"/>
            <w:tabs>
              <w:tab w:val="right" w:pos="9638" w:leader="dot"/>
            </w:tabs>
            <w:rPr/>
          </w:pPr>
          <w:hyperlink w:anchor="__RefHeading___Toc298246_1346298689">
            <w:r>
              <w:rPr>
                <w:rStyle w:val="Sautdindex"/>
              </w:rPr>
              <w:t>IV. Predlogi plenarne skupščine</w:t>
              <w:tab/>
              <w:t>46</w:t>
            </w:r>
          </w:hyperlink>
        </w:p>
        <w:p>
          <w:pPr>
            <w:pStyle w:val="Tabledesmatiresniveau2"/>
            <w:tabs>
              <w:tab w:val="right" w:pos="9638" w:leader="dot"/>
            </w:tabs>
            <w:rPr/>
          </w:pPr>
          <w:hyperlink w:anchor="__RefHeading___Toc298248_1346298689">
            <w:r>
              <w:rPr>
                <w:rStyle w:val="Sautdindex"/>
              </w:rPr>
              <w:t>Podnebne spremembe in okolje</w:t>
              <w:tab/>
              <w:t>47</w:t>
            </w:r>
          </w:hyperlink>
        </w:p>
        <w:p>
          <w:pPr>
            <w:pStyle w:val="Tabledesmatiresniveau2"/>
            <w:tabs>
              <w:tab w:val="right" w:pos="9638" w:leader="dot"/>
            </w:tabs>
            <w:rPr/>
          </w:pPr>
          <w:hyperlink w:anchor="__RefHeading___Toc298272_1346298689">
            <w:r>
              <w:rPr>
                <w:rStyle w:val="Sautdindex"/>
              </w:rPr>
              <w:t>„</w:t>
            </w:r>
            <w:r>
              <w:rPr>
                <w:rStyle w:val="Sautdindex"/>
              </w:rPr>
              <w:t>Zdravje“</w:t>
              <w:tab/>
              <w:t>53</w:t>
            </w:r>
          </w:hyperlink>
        </w:p>
        <w:p>
          <w:pPr>
            <w:pStyle w:val="Tabledesmatiresniveau2"/>
            <w:tabs>
              <w:tab w:val="right" w:pos="9638" w:leader="dot"/>
            </w:tabs>
            <w:rPr/>
          </w:pPr>
          <w:hyperlink w:anchor="__RefHeading___Toc298288_1346298689">
            <w:r>
              <w:rPr>
                <w:rStyle w:val="Sautdindex"/>
              </w:rPr>
              <w:t>Močnejša ekonomija, socialna pravičnost in zaposlovanje</w:t>
              <w:tab/>
              <w:t>57</w:t>
            </w:r>
          </w:hyperlink>
        </w:p>
        <w:p>
          <w:pPr>
            <w:pStyle w:val="Tabledesmatiresniveau2"/>
            <w:tabs>
              <w:tab w:val="right" w:pos="9638" w:leader="dot"/>
            </w:tabs>
            <w:rPr/>
          </w:pPr>
          <w:hyperlink w:anchor="__RefHeading___Toc298302_1346298689">
            <w:r>
              <w:rPr>
                <w:rStyle w:val="Sautdindex"/>
              </w:rPr>
              <w:t>„</w:t>
            </w:r>
            <w:r>
              <w:rPr>
                <w:rStyle w:val="Sautdindex"/>
              </w:rPr>
              <w:t>EU v svetu“</w:t>
              <w:tab/>
              <w:t>66</w:t>
            </w:r>
          </w:hyperlink>
        </w:p>
        <w:p>
          <w:pPr>
            <w:pStyle w:val="Tabledesmatiresniveau2"/>
            <w:tabs>
              <w:tab w:val="right" w:pos="9638" w:leader="dot"/>
            </w:tabs>
            <w:rPr/>
          </w:pPr>
          <w:hyperlink w:anchor="__RefHeading___Toc298320_1346298689">
            <w:r>
              <w:rPr>
                <w:rStyle w:val="Sautdindex"/>
              </w:rPr>
              <w:t>Vrednote in pravice, pravna država, varnost</w:t>
              <w:tab/>
              <w:t>73</w:t>
            </w:r>
          </w:hyperlink>
        </w:p>
        <w:p>
          <w:pPr>
            <w:pStyle w:val="Tabledesmatiresniveau2"/>
            <w:tabs>
              <w:tab w:val="right" w:pos="9638" w:leader="dot"/>
            </w:tabs>
            <w:rPr/>
          </w:pPr>
          <w:hyperlink w:anchor="__RefHeading___Toc298334_1346298689">
            <w:r>
              <w:rPr>
                <w:rStyle w:val="Sautdindex"/>
              </w:rPr>
              <w:t>„</w:t>
            </w:r>
            <w:r>
              <w:rPr>
                <w:rStyle w:val="Sautdindex"/>
              </w:rPr>
              <w:t>Digitalna transformacija“</w:t>
              <w:tab/>
              <w:t>77</w:t>
            </w:r>
          </w:hyperlink>
        </w:p>
        <w:p>
          <w:pPr>
            <w:pStyle w:val="Tabledesmatiresniveau2"/>
            <w:tabs>
              <w:tab w:val="right" w:pos="9638" w:leader="dot"/>
            </w:tabs>
            <w:rPr/>
          </w:pPr>
          <w:hyperlink w:anchor="__RefHeading___Toc298346_1346298689">
            <w:r>
              <w:rPr>
                <w:rStyle w:val="Sautdindex"/>
              </w:rPr>
              <w:t>„</w:t>
            </w:r>
            <w:r>
              <w:rPr>
                <w:rStyle w:val="Sautdindex"/>
              </w:rPr>
              <w:t>Evropska demokracija“</w:t>
              <w:tab/>
              <w:t>82</w:t>
            </w:r>
          </w:hyperlink>
        </w:p>
        <w:p>
          <w:pPr>
            <w:pStyle w:val="Tabledesmatiresniveau2"/>
            <w:tabs>
              <w:tab w:val="right" w:pos="9638" w:leader="dot"/>
            </w:tabs>
            <w:rPr/>
          </w:pPr>
          <w:hyperlink w:anchor="__RefHeading___Toc298358_1346298689">
            <w:r>
              <w:rPr>
                <w:rStyle w:val="Sautdindex"/>
              </w:rPr>
              <w:t>„</w:t>
            </w:r>
            <w:r>
              <w:rPr>
                <w:rStyle w:val="Sautdindex"/>
              </w:rPr>
              <w:t>Migracije“</w:t>
              <w:tab/>
              <w:t>87</w:t>
            </w:r>
          </w:hyperlink>
        </w:p>
        <w:p>
          <w:pPr>
            <w:pStyle w:val="Tabledesmatiresniveau2"/>
            <w:tabs>
              <w:tab w:val="right" w:pos="9638" w:leader="dot"/>
            </w:tabs>
            <w:rPr/>
          </w:pPr>
          <w:hyperlink w:anchor="__RefHeading___Toc298370_1346298689">
            <w:r>
              <w:rPr>
                <w:rStyle w:val="Sautdindex"/>
              </w:rPr>
              <w:t>Izobraževanje, kultura, mladi in šport</w:t>
              <w:tab/>
              <w:t>91</w:t>
            </w:r>
          </w:hyperlink>
        </w:p>
        <w:p>
          <w:pPr>
            <w:pStyle w:val="Tabledesmatiresniveau1"/>
            <w:tabs>
              <w:tab w:val="right" w:pos="9638" w:leader="dot"/>
            </w:tabs>
            <w:rPr/>
          </w:pPr>
          <w:hyperlink w:anchor="__RefHeading___Toc298380_1346298689">
            <w:r>
              <w:rPr>
                <w:rStyle w:val="Sautdindex"/>
              </w:rPr>
              <w:t>Sklepne ugotovitve Izvršilnega odbora</w:t>
              <w:tab/>
              <w:t>95</w:t>
            </w:r>
          </w:hyperlink>
        </w:p>
        <w:p>
          <w:pPr>
            <w:pStyle w:val="Tabledesmatiresniveau1"/>
            <w:tabs>
              <w:tab w:val="right" w:pos="9638" w:leader="dot"/>
            </w:tabs>
            <w:rPr/>
          </w:pPr>
          <w:hyperlink w:anchor="__RefHeading___Toc297141_1346298689">
            <w:r>
              <w:rPr>
                <w:rStyle w:val="Sautdindex"/>
              </w:rPr>
              <w:t>Priloga I – Priporočila štirih evropskih državljanskih forumov</w:t>
              <w:tab/>
              <w:t>98</w:t>
            </w:r>
          </w:hyperlink>
        </w:p>
        <w:p>
          <w:pPr>
            <w:pStyle w:val="Tabledesmatiresniveau2"/>
            <w:tabs>
              <w:tab w:val="right" w:pos="9638" w:leader="dot"/>
            </w:tabs>
            <w:rPr/>
          </w:pPr>
          <w:hyperlink w:anchor="__RefHeading___Toc297143_1346298689">
            <w:r>
              <w:rPr>
                <w:rStyle w:val="Sautdindex"/>
              </w:rPr>
              <w:t>Okrogla miza za evropske državljane 1: Močnejše gospodarstvo, socialna pravičnost in zaposlovanje/izobraževanje, kultura, mladina in šport/digitalna preobrazba</w:t>
              <w:tab/>
              <w:t>99</w:t>
            </w:r>
          </w:hyperlink>
        </w:p>
        <w:p>
          <w:pPr>
            <w:pStyle w:val="Tabledesmatiresniveau2"/>
            <w:tabs>
              <w:tab w:val="right" w:pos="9638" w:leader="dot"/>
            </w:tabs>
            <w:rPr/>
          </w:pPr>
          <w:hyperlink w:anchor="__RefHeading___Toc297195_1346298689">
            <w:r>
              <w:rPr>
                <w:rStyle w:val="Sautdindex"/>
              </w:rPr>
              <w:t>Okrogla miza za evropske državljane 2: „Evropska demokracija; vrednote in pravice, pravna država, varnost</w:t>
              <w:tab/>
              <w:t>115</w:t>
            </w:r>
          </w:hyperlink>
        </w:p>
        <w:p>
          <w:pPr>
            <w:pStyle w:val="Tabledesmatiresniveau2"/>
            <w:tabs>
              <w:tab w:val="right" w:pos="9638" w:leader="dot"/>
            </w:tabs>
            <w:rPr/>
          </w:pPr>
          <w:hyperlink w:anchor="__RefHeading___Toc297245_1346298689">
            <w:r>
              <w:rPr>
                <w:rStyle w:val="Sautdindex"/>
              </w:rPr>
              <w:t>Okrogla miza za evropske državljane 3: Podnebne spremembe in okolje/zdravje</w:t>
              <w:tab/>
              <w:t>128</w:t>
            </w:r>
          </w:hyperlink>
        </w:p>
        <w:p>
          <w:pPr>
            <w:pStyle w:val="Tabledesmatiresniveau2"/>
            <w:tabs>
              <w:tab w:val="right" w:pos="9638" w:leader="dot"/>
            </w:tabs>
            <w:rPr/>
          </w:pPr>
          <w:hyperlink w:anchor="__RefHeading___Toc297297_1346298689">
            <w:r>
              <w:rPr>
                <w:rStyle w:val="Sautdindex"/>
              </w:rPr>
              <w:t>Okrogla miza za evropske državljane 4: „EU v svetu/migracije“</w:t>
              <w:tab/>
              <w:t>145</w:t>
            </w:r>
          </w:hyperlink>
        </w:p>
        <w:p>
          <w:pPr>
            <w:pStyle w:val="Tabledesmatiresniveau1"/>
            <w:tabs>
              <w:tab w:val="right" w:pos="9638" w:leader="dot"/>
            </w:tabs>
            <w:rPr/>
          </w:pPr>
          <w:hyperlink w:anchor="__RefHeading___Toc297345_1346298689">
            <w:r>
              <w:rPr>
                <w:rStyle w:val="Sautdindex"/>
              </w:rPr>
              <w:t>II A – Nacionalni odbori: Belgija</w:t>
              <w:tab/>
              <w:t>157</w:t>
            </w:r>
          </w:hyperlink>
        </w:p>
        <w:p>
          <w:pPr>
            <w:pStyle w:val="Tabledesmatiresniveau1"/>
            <w:tabs>
              <w:tab w:val="right" w:pos="9638" w:leader="dot"/>
            </w:tabs>
            <w:rPr/>
          </w:pPr>
          <w:hyperlink w:anchor="__RefHeading___Toc297349_1346298689">
            <w:r>
              <w:rPr>
                <w:rStyle w:val="Sautdindex"/>
              </w:rPr>
              <w:t>II B Nacionalni odbori: Francija</w:t>
              <w:tab/>
              <w:t>171</w:t>
            </w:r>
          </w:hyperlink>
        </w:p>
        <w:p>
          <w:pPr>
            <w:pStyle w:val="Tabledesmatiresniveau2"/>
            <w:tabs>
              <w:tab w:val="right" w:pos="9638" w:leader="dot"/>
            </w:tabs>
            <w:rPr/>
          </w:pPr>
          <w:hyperlink w:anchor="__RefHeading___Toc300448_1346298689">
            <w:r>
              <w:rPr>
                <w:rStyle w:val="Sautdindex"/>
              </w:rPr>
              <w:t>Uvod</w:t>
              <w:tab/>
              <w:t>174</w:t>
            </w:r>
          </w:hyperlink>
        </w:p>
        <w:p>
          <w:pPr>
            <w:pStyle w:val="Tabledesmatiresniveau2"/>
            <w:tabs>
              <w:tab w:val="right" w:pos="9638" w:leader="dot"/>
            </w:tabs>
            <w:rPr/>
          </w:pPr>
          <w:hyperlink w:anchor="__RefHeading___Toc300450_1346298689">
            <w:r>
              <w:rPr>
                <w:rStyle w:val="Sautdindex"/>
              </w:rPr>
              <w:t>Predstavitev glavnih rezultatov</w:t>
              <w:tab/>
              <w:t>177</w:t>
            </w:r>
          </w:hyperlink>
        </w:p>
        <w:p>
          <w:pPr>
            <w:pStyle w:val="Tabledesmatiresniveau2"/>
            <w:tabs>
              <w:tab w:val="right" w:pos="9638" w:leader="dot"/>
            </w:tabs>
            <w:rPr/>
          </w:pPr>
          <w:hyperlink w:anchor="__RefHeading___Toc300452_1346298689">
            <w:r>
              <w:rPr>
                <w:rStyle w:val="Sautdindex"/>
              </w:rPr>
              <w:t>Predstavitev okroglih miz regionalnih konferenc</w:t>
              <w:tab/>
              <w:t>179</w:t>
            </w:r>
          </w:hyperlink>
        </w:p>
        <w:p>
          <w:pPr>
            <w:pStyle w:val="Tabledesmatiresniveau2"/>
            <w:tabs>
              <w:tab w:val="right" w:pos="9638" w:leader="dot"/>
            </w:tabs>
            <w:rPr/>
          </w:pPr>
          <w:hyperlink w:anchor="__RefHeading___Toc300454_1346298689">
            <w:r>
              <w:rPr>
                <w:rStyle w:val="Sautdindex"/>
              </w:rPr>
              <w:t>Metodološke zaveze in pristranskosti</w:t>
              <w:tab/>
              <w:t>181</w:t>
            </w:r>
          </w:hyperlink>
        </w:p>
        <w:p>
          <w:pPr>
            <w:pStyle w:val="Tabledesmatiresniveau2"/>
            <w:tabs>
              <w:tab w:val="right" w:pos="9638" w:leader="dot"/>
            </w:tabs>
            <w:rPr/>
          </w:pPr>
          <w:hyperlink w:anchor="__RefHeading___Toc297351_1346298689">
            <w:r>
              <w:rPr>
                <w:rStyle w:val="Sautdindex"/>
              </w:rPr>
              <w:t>Drugi del: predstavitev rezultatov posvetovanja z naslovom „Besede mladim“</w:t>
              <w:tab/>
              <w:t>197</w:t>
            </w:r>
          </w:hyperlink>
        </w:p>
        <w:p>
          <w:pPr>
            <w:pStyle w:val="Tabledesmatiresniveau2"/>
            <w:tabs>
              <w:tab w:val="right" w:pos="9638" w:leader="dot"/>
            </w:tabs>
            <w:rPr/>
          </w:pPr>
          <w:hyperlink w:anchor="__RefHeading___Toc300458_1346298689">
            <w:r>
              <w:rPr>
                <w:rStyle w:val="Sautdindex"/>
              </w:rPr>
              <w:t>Zaključek</w:t>
              <w:tab/>
              <w:t>200</w:t>
            </w:r>
          </w:hyperlink>
        </w:p>
        <w:p>
          <w:pPr>
            <w:pStyle w:val="Tabledesmatiresniveau1"/>
            <w:tabs>
              <w:tab w:val="right" w:pos="9638" w:leader="dot"/>
            </w:tabs>
            <w:rPr/>
          </w:pPr>
          <w:hyperlink w:anchor="__RefHeading___Toc297353_1346298689">
            <w:r>
              <w:rPr>
                <w:rStyle w:val="Sautdindex"/>
              </w:rPr>
              <w:t>II C Nacionalni odbori: Nemčija</w:t>
              <w:tab/>
              <w:t>201</w:t>
            </w:r>
          </w:hyperlink>
        </w:p>
        <w:p>
          <w:pPr>
            <w:pStyle w:val="Tabledesmatiresniveau1"/>
            <w:tabs>
              <w:tab w:val="right" w:pos="9638" w:leader="dot"/>
            </w:tabs>
            <w:rPr/>
          </w:pPr>
          <w:hyperlink w:anchor="__RefHeading___Toc297355_1346298689">
            <w:r>
              <w:rPr>
                <w:rStyle w:val="Sautdindex"/>
              </w:rPr>
              <w:t>II D Nacionalni odbori: Italija</w:t>
              <w:tab/>
              <w:t>207</w:t>
            </w:r>
          </w:hyperlink>
        </w:p>
        <w:p>
          <w:pPr>
            <w:pStyle w:val="Tabledesmatiresniveau2"/>
            <w:tabs>
              <w:tab w:val="right" w:pos="9638" w:leader="dot"/>
            </w:tabs>
            <w:rPr/>
          </w:pPr>
          <w:hyperlink w:anchor="__RefHeading___Toc300314_1346298689">
            <w:r>
              <w:rPr>
                <w:rStyle w:val="Sautdindex"/>
              </w:rPr>
              <w:t>4. Program dela</w:t>
              <w:tab/>
              <w:t>213</w:t>
            </w:r>
          </w:hyperlink>
        </w:p>
        <w:p>
          <w:pPr>
            <w:pStyle w:val="Tabledesmatiresniveau2"/>
            <w:tabs>
              <w:tab w:val="right" w:pos="9638" w:leader="dot"/>
            </w:tabs>
            <w:rPr/>
          </w:pPr>
          <w:hyperlink w:anchor="__RefHeading___Toc300322_1346298689">
            <w:r>
              <w:rPr>
                <w:rStyle w:val="Sautdindex"/>
              </w:rPr>
              <w:t>6. Končna ocena udeležencev</w:t>
              <w:tab/>
              <w:t>222</w:t>
            </w:r>
          </w:hyperlink>
        </w:p>
        <w:p>
          <w:pPr>
            <w:pStyle w:val="Tabledesmatiresniveau1"/>
            <w:tabs>
              <w:tab w:val="right" w:pos="9638" w:leader="dot"/>
            </w:tabs>
            <w:rPr/>
          </w:pPr>
          <w:hyperlink w:anchor="__RefHeading___Toc298382_1346298689">
            <w:r>
              <w:rPr>
                <w:rStyle w:val="Sautdindex"/>
              </w:rPr>
              <w:t>II E Nacionalni odbori: Litva</w:t>
              <w:tab/>
              <w:t>225</w:t>
            </w:r>
          </w:hyperlink>
        </w:p>
        <w:p>
          <w:pPr>
            <w:pStyle w:val="Tabledesmatiresniveau1"/>
            <w:tabs>
              <w:tab w:val="right" w:pos="9638" w:leader="dot"/>
            </w:tabs>
            <w:rPr/>
          </w:pPr>
          <w:hyperlink w:anchor="__RefHeading___Toc297357_1346298689">
            <w:r>
              <w:rPr>
                <w:rStyle w:val="Sautdindex"/>
              </w:rPr>
              <w:t>II F Nacionalni odbori: Nizozemska</w:t>
              <w:tab/>
              <w:t>233</w:t>
            </w:r>
          </w:hyperlink>
        </w:p>
        <w:p>
          <w:pPr>
            <w:pStyle w:val="Tabledesmatiresniveau1"/>
            <w:tabs>
              <w:tab w:val="right" w:pos="9638" w:leader="dot"/>
            </w:tabs>
            <w:rPr/>
          </w:pPr>
          <w:hyperlink w:anchor="__RefHeading___Toc297359_1346298689">
            <w:r>
              <w:rPr>
                <w:rStyle w:val="Sautdindex"/>
              </w:rPr>
              <w:t>III – Sklicevanje na rezultate nacionalnih dogodkov</w:t>
              <w:tab/>
              <w:t>285</w:t>
            </w:r>
          </w:hyperlink>
        </w:p>
        <w:p>
          <w:pPr>
            <w:pStyle w:val="Tabledesmatiresniveau1"/>
            <w:tabs>
              <w:tab w:val="right" w:pos="9638" w:leader="dot"/>
            </w:tabs>
            <w:rPr/>
          </w:pPr>
          <w:hyperlink w:anchor="__RefHeading___Toc344888_2081073262">
            <w:r>
              <w:rPr>
                <w:rStyle w:val="Sautdindex"/>
              </w:rPr>
              <w:t>IV – Sklicevanje na poročilo večjezične digitalne platforme</w:t>
              <w:tab/>
              <w:t>286</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Slika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Uvod</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Predsednik Evropskega parlamenta David Sassoli, portugalski predsednik vlade António Costa v imenu Sveta EU in predsednica Evropske komisije Ursula von der Leyen so 10. marca 2021 podpisali skupno izjavo o konferenci o prihodnosti Evrope. Zaveza, ki so jo sprejeli, je bila preprosta: to je bila vaja, osredotočena na državljane, ki temelji na pristopu od spodaj navzgor, da bi zagotovili, da imajo vsi Evropejci besedo pri tem, kar pričakujejo od Evropske unije, in imajo večjo vlogo pri oblikovanju prihodnosti Unije. Po drugi strani pa je bila njihova naloga zelo težka: cilj je bil prvič organizirati nadnacionalno, večjezično in medinstitucionalno izvajanje posvetovalne demokracije, ki vključuje tisoče evropskih državljanov, pa tudi politične akterje, socialne partnerje, predstavnike civilne družbe in ključne deležnike v smislu člena 16 poslovnika konference.</w:t>
      </w:r>
    </w:p>
    <w:p>
      <w:pPr>
        <w:pStyle w:val="Normal"/>
        <w:rPr/>
      </w:pPr>
      <w:r>
        <w:rPr/>
        <w:t>Konferenca je 9. maja 2022 po mesecih intenzivnih razprav zaključila svoje delo in vsem trem institucijam EU predstavila poročilo o svojih končnih rezultatih z 49 predlogi. Ti predlogi ustrezajo pričakovanjem evropskih državljanov glede devetih tem: Močnejše gospodarstvo, socialna pravičnost in zaposlovanje; Izobraževanje, kultura, mladina in šport; Digitalna preobrazba; Evropska demokracija; Vrednote in pravice, pravna država, varnost; Podnebne spremembe in okolje; Zdravje; EU v svetu; migracije. Vse te teme so navedene v tem končnem poročilu, katerega namen je zagotoviti tudi pregled različnih dejavnosti, ki se izvajajo v okviru tega edinstvenega procesa, konference o prihodnosti Evrope.</w:t>
      </w:r>
    </w:p>
    <w:p>
      <w:pPr>
        <w:pStyle w:val="Corpsdetexte"/>
        <w:rPr/>
      </w:pPr>
      <w:r>
        <w:rPr/>
        <w:t>Pod vodstvom treh sopredsednikov (Guy Verhofstadt za Evropski parlament; Ana Paula Zacarias, Gašper Dovžan in Clément Beaune, zaporedoma za Svet EU; in Dubravka Šuica za Evropsko komisijo) in pod vodstvom Izvršilnega odbora (enako sestavljenega iz predstavnikov treh institucij in opazovalcev glavnih zainteresiranih strani) je bila konferenca brez primere izkušnja transnacionalne posvetovalne demokracije. Pokazala je tudi svoj zgodovinski pomen in pomen v okviru pandemije COVID-19 in ruske agresije na Ukrajino. Konferenca o prihodnosti Evrope je privedla do vzpostavitve večjezične digitalne platforme za prispevke evropskih državljanov v vseh 24 jezikih EU in organizacije štirih okroglih miz evropskih državljanov, šestih nacionalnih okroglih miz za državljane, več tisoč nacionalnih in lokalnih dogodkov ter sedmih plenarnih skupščin konference. Je rezultat največje pripravljenosti institucij EU, držav članic, pa tudi in predvsem evropskih državljanov, da razpravljajo o prednostnih nalogah Evropske unije in izzivih, s katerimi se sooča, ter sprejmejo nov pristop k evropskemu projektu.</w:t>
      </w:r>
    </w:p>
    <w:p>
      <w:pPr>
        <w:pStyle w:val="Corpsdetexte"/>
        <w:rPr/>
      </w:pPr>
      <w:r>
        <w:rPr/>
        <w:t>Vendar pa je to šele začetek. V skladu z ustanovnim besedilom konference bodo tri institucije zdaj hitro preučile, kako učinkovito izvajati to poročilo, vsaka v okviru svojih pristojnosti in v skladu s Pogodbama. Določitev treh institucij v zvezi s tem je bistvenega pomena.</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Arhitektura konference</w:t>
      </w:r>
    </w:p>
    <w:p>
      <w:pPr>
        <w:pStyle w:val="Corpsdetexte"/>
        <w:rPr>
          <w:sz w:val="40"/>
        </w:rPr>
      </w:pPr>
      <w:r>
        <w:rPr>
          <w:sz w:val="40"/>
        </w:rPr>
        <w:t>Konferenca o prihodnosti Evrope</w:t>
      </w:r>
      <w:r>
        <w:rPr>
          <w:rStyle w:val="Ancredenotedebasdepage"/>
          <w:rStyle w:val="Ancredenotedebasdepage"/>
          <w:sz w:val="40"/>
        </w:rPr>
        <w:footnoteReference w:id="2"/>
      </w:r>
      <w:r>
        <w:rPr>
          <w:sz w:val="40"/>
        </w:rPr>
        <w:t xml:space="preserve"> je bil nov in inovativen proces, ki je odprl nov prostor za razpravo z državljani, da bi preučili prednostne naloge in izzive Evrope, da bi vzpostavili demokratično legitimnost evropskega projekta in spodbudili spoštovanje naših skupnih vrednot in ciljev. Konferenca je bila vaja, osredotočena na državljane, ki temelji na pristopu od spodaj navzgor, katerega cilj je zagotoviti, da imajo Evropejci besedo pri tem, kar pričakujejo od Evropske unije. Gre za skupno pobudo Evropskega parlamenta, Sveta in Evropske komisije, ki je delovala enakopravno z državami članicami Evropske unije.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Skupna izjava</w:t>
      </w:r>
    </w:p>
    <w:p>
      <w:pPr>
        <w:pStyle w:val="Normal"/>
        <w:rPr/>
      </w:pPr>
      <w:r>
        <w:rPr/>
      </w:r>
    </w:p>
    <w:p>
      <w:pPr>
        <w:pStyle w:val="Normal"/>
        <w:rPr/>
      </w:pPr>
      <w:r>
        <w:rPr/>
        <w:t>Pokojni predsednik Evropskega parlamenta David Sassoli, portugalski predsednik vlade António Costa, v imenu Sveta EU in predsednica Evropske komisije Ursula von der Leyen sta 10. marca 2021 podpisala skupno izjavo o konferenci o prihodnosti Evrope (v nadaljnjem besedilu: skupna izjava), s čimer sta utrla pot tej neprimerljivi, odprti in vključujoči evropski demokratični vaji, ki daje osrednje mesto državljanom.</w:t>
      </w:r>
    </w:p>
    <w:p>
      <w:pPr>
        <w:pStyle w:val="Normal"/>
        <w:rPr/>
      </w:pPr>
      <w:r>
        <w:rPr/>
        <w:t>Konferenca je bila podrejena predsednikom treh institucij, ki so skupaj predsedovali. Skupnemu predsedstvu je pomagal izvršni odbor, ki mu je sopredsedoval po en član iz vsake od treh institucij EU.</w:t>
      </w:r>
    </w:p>
    <w:p>
      <w:pPr>
        <w:pStyle w:val="Normal"/>
        <w:rPr/>
      </w:pPr>
      <w:r>
        <w:rPr/>
        <w:t xml:space="preserve">V skladu s skupno izjavo so bile vzpostavljene naslednje strukture: </w:t>
      </w:r>
    </w:p>
    <w:p>
      <w:pPr>
        <w:pStyle w:val="Alineanegatifpuce"/>
        <w:numPr>
          <w:ilvl w:val="0"/>
          <w:numId w:val="3"/>
        </w:numPr>
        <w:rPr/>
      </w:pPr>
      <w:r>
        <w:rPr/>
        <w:t>izvršni odbor, ki je nadziral organizacijo konference. Sestavljali so ga predstavniki treh institucij EU (trije člani in štirje opazovalci) ter opazovalci iz predsedniške trojke Konference organov za zadeve Skupnosti (COSAC) nacionalnih parlamentov Evropske unije. Odbor regij, Evropski ekonomsko-socialni odbor in predstavniki socialnih partnerjev so bili povabljeni kot opazovalci;</w:t>
      </w:r>
    </w:p>
    <w:p>
      <w:pPr>
        <w:pStyle w:val="Alineanegatifpuce"/>
        <w:numPr>
          <w:ilvl w:val="0"/>
          <w:numId w:val="3"/>
        </w:numPr>
        <w:rPr/>
      </w:pPr>
      <w:r>
        <w:rPr/>
        <w:t>skupni sekretariat, ki zagotavlja enako zastopanost vseh treh institucij, kar je podprlo delo izvršnega odbora. Skupina, ki so jo vodili trije sopredsedniki treh institucij, je zlasti nadzorovala organizacijo in priprave na seje izvršnega odbora, plenarnih skupščin konference in evropskih državljanskih forumov. V sodelovanju s ponudniki storitev je bila odgovorna za upravljanje večjezične digitalne platforme in poročanje o ključnih mejnikih v celotnem procesu.</w:t>
        <w:br/>
        <w:t xml:space="preserve">Edinstvena sestava te skupine je omogočila stalno kolegialnost dela ter zagotovila sinergije in povečanje učinkovitosti na vseh področjih; </w:t>
      </w:r>
    </w:p>
    <w:p>
      <w:pPr>
        <w:pStyle w:val="Alineanegatifpuce"/>
        <w:numPr>
          <w:ilvl w:val="0"/>
          <w:numId w:val="3"/>
        </w:numPr>
        <w:rPr/>
      </w:pPr>
      <w:r>
        <w:rPr/>
        <w:t>plenarna skupščina konference (za več informacij glej poglavje III), na kateri je bilo mogoče razpravljati o priporočilih nacionalnih in evropskih državljanskih okroglih miz, razvrščenih po temah, ob polnem spoštovanju vrednot EU in listine konference,</w:t>
      </w:r>
      <w:r>
        <w:rPr>
          <w:rStyle w:val="Ancredenotedebasdepage"/>
          <w:rStyle w:val="Ancredenotedebasdepage"/>
        </w:rPr>
        <w:footnoteReference w:id="3"/>
      </w:r>
      <w:r>
        <w:rPr/>
        <w:t>ne da bi bili vnaprej določeni izidi razprav ali njihovo področje uporabe omejeno na vnaprej določena politična področja. Po potrebi so razpravljali tudi o prispevkih, zbranih na večjezični digitalni platformi. Ustanovljenih je bilo devet tematskih delovnih skupin, ki so prispevale k pripravi razprav in predlogov na plenarnem zasedanju.</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Slika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Poslovnik</w:t>
      </w:r>
    </w:p>
    <w:p>
      <w:pPr>
        <w:pStyle w:val="Normal"/>
        <w:rPr/>
      </w:pPr>
      <w:r>
        <w:rPr/>
        <w:t>Izvršni odbor je 9. maja 2021 odobril poslovnik konference, pripravljen v skladu s skupno izjavo o konferenci o prihodnosti Evrope, ki določa temelje in načela konference.</w:t>
      </w:r>
    </w:p>
    <w:p>
      <w:pPr>
        <w:pStyle w:val="Normal"/>
        <w:rPr/>
      </w:pPr>
      <w:r>
        <w:rPr/>
        <w:t>Poslovnik določa okvir za delo različnih konferenčnih struktur in njihovo medsebojno delovanje.</w:t>
      </w:r>
    </w:p>
    <w:p>
      <w:pPr>
        <w:pStyle w:val="Titre2"/>
        <w:numPr>
          <w:ilvl w:val="1"/>
          <w:numId w:val="2"/>
        </w:numPr>
        <w:rPr/>
      </w:pPr>
      <w:bookmarkStart w:id="3" w:name="__RefHeading___Toc298052_1346298689"/>
      <w:bookmarkEnd w:id="3"/>
      <w:r>
        <w:rPr/>
        <w:t>3. Dogodki, povezani s konferenco</w:t>
      </w:r>
    </w:p>
    <w:p>
      <w:pPr>
        <w:pStyle w:val="Corpsdetexte"/>
        <w:rPr/>
      </w:pPr>
      <w:r>
        <w:rPr/>
        <w:t>V skladu s skupno izjavo bi lahko vsaka država članica ali institucija EU organizirala dogodke pod okriljem konference, odvisno od svojih nacionalnih ali institucionalnih posebnosti, in nadalje prispevala h konferenci (za več informacij glej poglavje II.C).</w:t>
      </w:r>
    </w:p>
    <w:p>
      <w:pPr>
        <w:pStyle w:val="Corpsdetexte"/>
        <w:rPr/>
      </w:pPr>
      <w:r>
        <w:rPr/>
        <w:t>Institucije in organi EU, države članice, regionalni in lokalni organi, organizirana civilna družba, socialni partnerji in državljani so bili zato povabljeni k organizaciji dogodkov v partnerstvu s civilno družbo in deležniki na evropski, nacionalni, regionalni in lokalni ravni v različnih oblikah po vsej Evropi ter k objavi rezultatov teh dogodkov na digitalni platformi. Organiziranih je bilo več tisoč takšnih dogodkov, v katerih se je udeležilo približno 650.000 udeležencev.</w:t>
      </w:r>
    </w:p>
    <w:p>
      <w:pPr>
        <w:pStyle w:val="Titre2"/>
        <w:numPr>
          <w:ilvl w:val="1"/>
          <w:numId w:val="2"/>
        </w:numPr>
        <w:rPr/>
      </w:pPr>
      <w:bookmarkStart w:id="4" w:name="__RefHeading___Toc298054_1346298689"/>
      <w:bookmarkEnd w:id="4"/>
      <w:r>
        <w:rPr/>
        <w:t>4.</w:t>
        <w:tab/>
        <w:t>Izvajanje večjezične digitalne platforme</w:t>
      </w:r>
    </w:p>
    <w:p>
      <w:pPr>
        <w:pStyle w:val="Normal"/>
        <w:rPr/>
      </w:pPr>
      <w:r>
        <w:rPr/>
        <w:t>V skladu s skupno izjavo je bila vzpostavljena večjezična digitalna platforma (za več informacij glej poglavje II.A), ki državljanom omogoča izmenjavo zamisli in pošiljanje prispevkov na spletu. To je bilo glavno središče za prispevke in obveščanje državljanov o različnih delih konference ter interaktivno orodje za izmenjavo in razpravo o zamislih in prispevkih številnih dogodkov, organiziranih v okviru konference. Platforma je bila uradno vzpostavljena 19. aprila 2021. Na platformi je bilo objavljenih več kot 17.000 idej.</w:t>
      </w:r>
    </w:p>
    <w:p>
      <w:pPr>
        <w:pStyle w:val="Corpsdetexte"/>
        <w:rPr/>
      </w:pPr>
      <w:r>
        <w:rPr/>
        <w:t>Med konferenco so bila pripravljena poročila o prispevkih, predstavljenih na platformi.</w:t>
      </w:r>
    </w:p>
    <w:p>
      <w:pPr>
        <w:pStyle w:val="Normal"/>
        <w:rPr/>
      </w:pPr>
      <w:r>
        <w:rPr/>
        <w:t>Prispevki, zbrani prek platforme, so bili upoštevani na evropskih državljanskih forumih, o njih pa so razpravljali na plenarnem zasedanju konference.</w:t>
      </w:r>
    </w:p>
    <w:p>
      <w:pPr>
        <w:pStyle w:val="Titre2"/>
        <w:numPr>
          <w:ilvl w:val="1"/>
          <w:numId w:val="2"/>
        </w:numPr>
        <w:rPr/>
      </w:pPr>
      <w:bookmarkStart w:id="5" w:name="__RefHeading___Toc298056_1346298689"/>
      <w:bookmarkEnd w:id="5"/>
      <w:r>
        <w:rPr/>
        <w:t>5.</w:t>
        <w:tab/>
        <w:t>Forumi evropskih državljanov</w:t>
      </w:r>
    </w:p>
    <w:p>
      <w:pPr>
        <w:pStyle w:val="Normal"/>
        <w:rPr/>
      </w:pPr>
      <w:r>
        <w:rPr/>
        <w:t>V skladu s skupno izjavo so bile evropske državljanske okrogle mize, organizirane v okviru glavnih tem konference, osrednji in zlasti inovativni element konference (za več informacij glej poglavje II.B).</w:t>
      </w:r>
    </w:p>
    <w:p>
      <w:pPr>
        <w:pStyle w:val="Normal"/>
        <w:rPr/>
      </w:pPr>
      <w:r>
        <w:rPr/>
        <w:t>Skupno se je 800 naključno izbranih državljanov, ki predstavljajo sociološko in geografsko raznolikost EU in so bili razvrščeni v štiri okrogle mize z 200 državljani, sestalo na tri posvetovalne seje na okroglo mizo. Forumi evropskih državljanov so dali priporočila, ki so bila podlaga za splošne razprave konference, zlasti na plenarnih zasedanjih konference.</w:t>
      </w:r>
    </w:p>
    <w:p>
      <w:pPr>
        <w:pStyle w:val="Normal"/>
        <w:rPr/>
      </w:pPr>
      <w:r>
        <w:rPr/>
        <w:t>Sopredsednika izvršnega odbora sta skupaj določila praktične ureditve za organizacijo evropskih državljanskih forumov v skladu s skupno izjavo in poslovnikom ter o tem vnaprej obvestila izvršni odbor.</w:t>
      </w:r>
    </w:p>
    <w:p>
      <w:pPr>
        <w:pStyle w:val="Normal"/>
        <w:rPr/>
      </w:pPr>
      <w:r>
        <w:rPr/>
        <w:t>Izvršni odbor je bil redno obveščen o napredku pri vzpostavljanju in organizaciji evropskih državljanskih forumov.</w:t>
      </w:r>
    </w:p>
    <w:p>
      <w:pPr>
        <w:pStyle w:val="Normal"/>
        <w:rPr/>
      </w:pPr>
      <w:r>
        <w:rPr/>
      </w:r>
    </w:p>
    <w:p>
      <w:pPr>
        <w:pStyle w:val="Titre2"/>
        <w:numPr>
          <w:ilvl w:val="1"/>
          <w:numId w:val="2"/>
        </w:numPr>
        <w:rPr/>
      </w:pPr>
      <w:bookmarkStart w:id="6" w:name="__RefHeading___Toc298058_1346298689"/>
      <w:bookmarkEnd w:id="6"/>
      <w:r>
        <w:rPr/>
        <w:t>6.</w:t>
        <w:tab/>
        <w:t>Nacionalni forumi za državljane</w:t>
      </w:r>
    </w:p>
    <w:p>
      <w:pPr>
        <w:pStyle w:val="Normal"/>
        <w:rPr/>
      </w:pPr>
      <w:r>
        <w:rPr/>
        <w:t>V skladu s skupno izjavo bi lahko države članice organizirale nacionalne odbore. V pomoč državam članicam, ki načrtujejo organizacijo nacionalnih okroglih miz z državljani, sta sopredsednika potrdila smernice in jih 26. maja 2021 posredovala izvršnemu odboru, da se zagotovi, da so nacionalne okrogle mize organizirane v skladu z enakimi načeli kot evropske državljanske okrogle mize. Te smernice so vključevale načela dobrega posvetovanja, ki temeljijo na smernicah OECD</w:t>
      </w:r>
      <w:r>
        <w:rPr>
          <w:rStyle w:val="Ancredenotedebasdepage"/>
          <w:rStyle w:val="Ancredenotedebasdepage"/>
        </w:rPr>
        <w:footnoteReference w:id="4"/>
      </w:r>
      <w:r>
        <w:rPr/>
        <w:t>. Vsaka država članica se lahko odloči, ali bo organizirala odbor nacionalnih državljanov ali ne. Eno je organiziralo šest držav članic (Belgija, Francija, Nemčija, Italija, Litva in Nizozemska).</w:t>
      </w:r>
    </w:p>
    <w:p>
      <w:pPr>
        <w:pStyle w:val="Normal"/>
        <w:rPr/>
      </w:pPr>
      <w:r>
        <w:rPr/>
        <w:t>V skladu s skupno izjavo so bila priporočila nacionalnih državljanskih forumov predstavljena in obravnavana na plenarnih skupščinah konference, vzporedno s priporočili evropskih državljanskih forumov.</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 NE, NE, NE. Prispevki državljanov k konferenci</w:t>
      </w:r>
    </w:p>
    <w:p>
      <w:pPr>
        <w:pStyle w:val="Normal"/>
        <w:rPr/>
      </w:pPr>
      <w:r>
        <w:rPr/>
      </w:r>
      <w:r>
        <w:br w:type="page"/>
      </w:r>
    </w:p>
    <w:p>
      <w:pPr>
        <w:pStyle w:val="Titre2"/>
        <w:numPr>
          <w:ilvl w:val="1"/>
          <w:numId w:val="2"/>
        </w:numPr>
        <w:rPr/>
      </w:pPr>
      <w:bookmarkStart w:id="8" w:name="__RefHeading___Toc298190_1346298689"/>
      <w:bookmarkEnd w:id="8"/>
      <w:r>
        <w:rPr/>
        <w:t>A. Večjezična digitalna platforma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Večjezična digitalna platforma je bila vzpostavljena 19. aprila 2021 in je bila osrednja kontaktna točka konference. Na konferenci so se lahko udeležili vsi: vsi državljani EU in drugod, civilna družba, socialni partnerji in različni drugi deležniki.</w:t>
      </w:r>
    </w:p>
    <w:p>
      <w:pPr>
        <w:pStyle w:val="Normal"/>
        <w:rPr/>
      </w:pPr>
      <w:r>
        <w:rPr/>
        <w:t>Platforma je bila razvita posebej za konferenco z uporabo Decidima, evropske brezplačne programske opreme, namenjene udeležbi državljanov. V takšnem obsegu in ravni interaktivnosti in večjezičnosti je bil ta dosežek prvi, ne le evropski, ampak tudi svetovni. Vsi prispevki so bili prek strojnega prevajanja na voljo v vseh 24 uradnih jezikih EU. Razprava je bila razdeljena na deset tem: Podnebne spremembe in okolje, zdravje, močnejše gospodarstvo, socialna pravičnost in zaposlovanje, EU v svetu, vrednote in pravice, pravna država, varnost, digitalna preobrazba, evropska demokracija, migracije, izobraževanje, kultura, mladi in šport ter druge zamisli.</w:t>
      </w:r>
    </w:p>
    <w:p>
      <w:pPr>
        <w:pStyle w:val="Normal"/>
        <w:rPr/>
      </w:pPr>
      <w:r>
        <w:rPr/>
        <w:t>Na platformi je bilo mogoče sodelovati na več načinov.</w:t>
      </w:r>
    </w:p>
    <w:p>
      <w:pPr>
        <w:pStyle w:val="Normal"/>
        <w:rPr/>
      </w:pPr>
      <w:r>
        <w:rPr/>
        <w:t>Vsakdo, ki si ga želi, bi lahko delil svoje ideje o eni od desetih tem. Prav tako je bilo mogoče komentirati ideje drugih. Platforma je tako omogočila resnično vseevropsko razpravo med državljani.</w:t>
      </w:r>
    </w:p>
    <w:p>
      <w:pPr>
        <w:pStyle w:val="Normal"/>
        <w:rPr/>
      </w:pPr>
      <w:r>
        <w:rPr/>
        <w:t>Udeleženci so lahko podprli tudi zamisli, kar pomeni, da so podprli prispevek drugega uporabnika.</w:t>
      </w:r>
    </w:p>
    <w:p>
      <w:pPr>
        <w:pStyle w:val="Normal"/>
        <w:rPr/>
      </w:pPr>
      <w:r>
        <w:rPr/>
        <w:t xml:space="preserve">Drug pomemben način za prispevanje k konferenci je bila organizacija dogodkov (virtualnih, osebnih ali hibridnih), njihova objava na platformi, poročanje o njihovih rezultatih in njihova povezava z idejami. Organizatorji </w:t>
      </w:r>
      <w:hyperlink r:id="rId23">
        <w:r>
          <w:rPr>
            <w:rStyle w:val="LienInternet"/>
          </w:rPr>
          <w:t>so imeli na platformi na voljovodnike in informativno gradivo</w:t>
        </w:r>
      </w:hyperlink>
      <w:r>
        <w:rPr/>
        <w:t xml:space="preserve"> za spodbujanje participativne in vključujoče narave dogodkov.</w:t>
      </w:r>
    </w:p>
    <w:p>
      <w:pPr>
        <w:pStyle w:val="Normal"/>
        <w:rPr/>
      </w:pPr>
      <w:r>
        <w:rPr/>
        <w:t xml:space="preserve">Platforma je imela ključno vlogo pri preglednosti celotnega procesa in dostopu vseh do informacij, povezanih s konferenco. Tam so lahko vsi našli informacije o delovnih metodah in organizaciji konference, na primer o samem procesu konference (skupna seja konference in njene delovne skupine, </w:t>
      </w:r>
      <w:hyperlink r:id="rId24">
        <w:r>
          <w:rPr>
            <w:rStyle w:val="LienInternet"/>
          </w:rPr>
          <w:t>okrogle mize za evropske državljane</w:t>
        </w:r>
      </w:hyperlink>
      <w:r>
        <w:rPr/>
        <w:t xml:space="preserve">, </w:t>
      </w:r>
      <w:hyperlink r:id="rId25">
        <w:r>
          <w:rPr>
            <w:rStyle w:val="LienInternet"/>
          </w:rPr>
          <w:t>nacionalne okrogle mize in dogodki ter</w:t>
        </w:r>
      </w:hyperlink>
      <w:r>
        <w:rPr/>
        <w:t xml:space="preserve"> </w:t>
      </w:r>
      <w:hyperlink r:id="rId26">
        <w:r>
          <w:rPr>
            <w:rStyle w:val="LienInternet"/>
          </w:rPr>
          <w:t>izvršni odbor</w:t>
        </w:r>
      </w:hyperlink>
      <w:r>
        <w:rPr/>
        <w:t>). Razprave na plenarnem zasedanju in njegovih delovnih skupinah so se prenašale v živo na internetu, prav tako pa tudi seje evropskih državljanskih forumov. Vse te informacije bodo še naprej na voljo na platformi.</w:t>
      </w:r>
    </w:p>
    <w:p>
      <w:pPr>
        <w:pStyle w:val="Normal"/>
        <w:rPr/>
      </w:pPr>
      <w:r>
        <w:rPr/>
        <w:t>Med delom so bile narejene izboljšave platforme, kadar je bilo to mogoče, z dodajanjem funkcij ali vizualnih medijev, na primer. Sčasoma je platforma postala bolj dostopna tudi invalidom.</w:t>
      </w:r>
    </w:p>
    <w:p>
      <w:pPr>
        <w:pStyle w:val="Normal"/>
        <w:rPr/>
      </w:pPr>
      <w:r>
        <w:rPr/>
        <w:t>Vsi prispevki na platformi so bili javni: vsi so lahko dostopali do njih, pa tudi do odprtih podatkovnih datotek, povezanih z digitalno platformo, kar je zagotovilo popolno preglednost. Za lažje zbiranje in analizo prispevkov je Skupno raziskovalno središče Komisije razvilo avtomatizirano orodje za analizo besedila in platformo za analizo, ki omogoča večjezično tolmačenje in poglobljeno analizo vsebine platforme. Analitična platforma je orodje, ki se je izkazalo za bistveno za zagotavljanje rednih poročil o enotni ravni kakovosti v vseh jezikih. Poleg tega je „podatki“, ki jih je marca 2022 organizirala Evropska komisija, spodbudili nove pristope k analizi niza odprtih podatkov in prispevali k preglednosti postopka analize podatkov.</w:t>
      </w:r>
    </w:p>
    <w:p>
      <w:pPr>
        <w:pStyle w:val="Normal"/>
        <w:rPr/>
      </w:pPr>
      <w:r>
        <w:rPr/>
        <w:t>Da bi zagotovil pregled prispevkov na platformi, je zunanji ponudnik storitev pripravil poročila, ki so bila objavljena na sami platformi.</w:t>
      </w:r>
    </w:p>
    <w:p>
      <w:pPr>
        <w:pStyle w:val="Normal"/>
        <w:rPr/>
      </w:pPr>
      <w:hyperlink r:id="rId27">
        <w:r>
          <w:rPr>
            <w:rStyle w:val="LienInternet"/>
          </w:rPr>
          <w:t>Prvo vmesno poročilo</w:t>
        </w:r>
      </w:hyperlink>
      <w:r>
        <w:rPr/>
        <w:t xml:space="preserve"> je bilo objavljeno septembra: osredotočal se je na prispevke</w:t>
      </w:r>
    </w:p>
    <w:p>
      <w:pPr>
        <w:pStyle w:val="Normal"/>
        <w:rPr/>
      </w:pPr>
      <w:r>
        <w:rPr/>
        <w:t xml:space="preserve">dobavljeno do 2. avgusta 2021. </w:t>
      </w:r>
      <w:hyperlink r:id="rId28">
        <w:r>
          <w:rPr>
            <w:rStyle w:val="LienInternet"/>
          </w:rPr>
          <w:t>Drugo vmesno poročilo</w:t>
        </w:r>
      </w:hyperlink>
      <w:r>
        <w:rPr/>
        <w:t xml:space="preserve">je bilo objavljeno sredi oktobra 2021 in zajema prispevke, predložene do 7. septembra 2021. </w:t>
      </w:r>
      <w:hyperlink r:id="rId29">
        <w:r>
          <w:rPr>
            <w:rStyle w:val="LienInternet"/>
          </w:rPr>
          <w:t>Tretje vmesno poročilo</w:t>
        </w:r>
      </w:hyperlink>
      <w:r>
        <w:rPr/>
        <w:t xml:space="preserve"> je bilo objavljeno decembra 2021 in je zajemalo prispevke do 3. novembra 2021. Ker je delo na konferenci v zaključni fazi, je bilo sredi marca 2022 objavljeno zadnje poročilo, ki naj bi navdihnilo delo plenarnih skupščin konference, ob upoštevanju prispevkov, predstavljenih na digitalni platformi do 20. februarja 2022. Ta koledar je bil jasno objavljen na platformi in drugje, zaradi česar so se prispevki januarja in februarja 2022 povečali. Prispevki, prejeti do 9. maja, bodo obravnavani v dodatnem poročilu. Hkrati s poročili iz septembra in decembra 2021 ter marca 2022 so bila dana na voljo tudi dodatna poročila o prispevkih, ki so jih države članice predložile na platformi.</w:t>
      </w:r>
    </w:p>
    <w:p>
      <w:pPr>
        <w:pStyle w:val="Normal"/>
        <w:rPr/>
      </w:pPr>
      <w:r>
        <w:rPr/>
        <w:t>Glavna tema teh poročil je bila kvalitativna analiza prispevkov, objavljenih na platformi, da se zagotovi splošen pregled obsega in raznolikosti zamisli</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Slika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w:t>
      </w:r>
      <w:r>
        <w:rPr/>
        <w:t xml:space="preserve"> predlaganih na platformi in obravnavanih na dogodkih. V ta namen je raziskovalna skupina izvedla ročno analizo besedila in združevanje prispevkov, pri čemer je uporabila analitična orodja, ki jih je zagotovilo Skupno raziskovalno središče Komisije. To je omogočilo opredelitev skupnih tem in podkategorij predmetov, ki so bili podrobno opisani pod vsako temo in sintetizirani v konceptualnih shemah, ki jim omogočajo hitro vizualizacijo. Da bi ta kvalitativni pristop dopolnili s kvantitativnimi elementi, so bile v vsakem poročilu omenjene teme, podteme ali zamisli, ki so se pogosto vračale ali so bile zelo komentirane ali podprte. Cilj je bil odražati stanje razprav na različnih stopnjah konference, vključno z visoko stopnjo zanimanja ali razpravo, ki jo ustvarjajo nekatere zamisli. Poročila so vsebovala tudi pregled socialno-demografskih podatkov udeležencev. Sodelujoči so bili pozvani, naj predložijo informacije o državi prebivališča, stopnji izobrazbe, starosti, spolu in poklicnem statusu; vendar pa neobvezna narava teh informacij omejuje jasnost, ki jo je mogoče izluščiti glede profila udeležencev. Na primer, 26,9 % vseh prispevkov so prispevali udeleženci, ki niso navedli države prebivališča.</w:t>
      </w:r>
    </w:p>
    <w:p>
      <w:pPr>
        <w:pStyle w:val="Normal"/>
        <w:rPr/>
      </w:pPr>
      <w:r>
        <w:rPr/>
      </w:r>
      <w:r>
        <w:br w:type="page"/>
      </w:r>
    </w:p>
    <w:p>
      <w:pPr>
        <w:pStyle w:val="Normal"/>
        <w:rPr/>
      </w:pPr>
      <w:r>
        <w:rPr/>
        <w:t>Od vzpostavitve platforme je bila tema „Evropska demokracija“ tista, za katero je bilo zabeleženo največje število prispevkov (ideje, komentarji in dogodki). Druga tema je bila tema „Podnebne spremembe in okolje“. Prispevki, predstavljeni pod naslovom „Druge zamisli“, so bili na tretjem mestu, pred „Vrednote in pravice, pravna država, varnost“ in „Močnejše gospodarstvo, socialna pravičnost in zaposlovanje“.</w:t>
      </w:r>
    </w:p>
    <w:p>
      <w:pPr>
        <w:pStyle w:val="Normal"/>
        <w:rPr/>
      </w:pPr>
      <w:r>
        <w:rPr/>
        <w:t>Poročila o prispevkih, zbranih na platformi, vključno s konceptualnimi shemami, so dragocen prispevek k delu evropskih državljanskih forumov. Na začetku vsake od treh okroglih miz so bile komisijam predstavljene glavne ugotovitve poročila in konceptualne sheme, ki so prejele povezave do celotnih poročil. Toliko zamisli, ki so se pojavile na platformi, se odraža v priporočilih evropskih državljanskih forumov.</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Okvir 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Kaj se dogaja na konferenci o prihodnosti Evrope?</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udeleženci konference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udeleženci dogodka</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ideje</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komentarji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dogodki</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odobritve</w:t>
                                  </w:r>
                                </w:p>
                              </w:tc>
                            </w:tr>
                          </w:tbl>
                          <w:p>
                            <w:pPr>
                              <w:pStyle w:val="Contenudecadre"/>
                              <w:spacing w:before="57" w:after="57"/>
                              <w:rPr/>
                            </w:pPr>
                            <w:r>
                              <w:rPr>
                                <w:color w:val="auto"/>
                              </w:rPr>
                              <w:t xml:space="preserve">Stanje udeležbe na dan 20. aprila 2022 (vir: </w:t>
                            </w:r>
                            <w:hyperlink r:id="rId31">
                              <w:r>
                                <w:rPr>
                                  <w:rStyle w:val="LienInternet"/>
                                  <w:color w:val="auto"/>
                                </w:rPr>
                                <w:t>Konferenca o prihodnosti Evrope (europa.eu</w:t>
                              </w:r>
                            </w:hyperlink>
                            <w:r>
                              <w:rPr>
                                <w:color w:val="auto"/>
                              </w:rPr>
                              <w:t>)</w:t>
                            </w:r>
                          </w:p>
                        </w:txbxContent>
                      </wps:txbx>
                      <wps:bodyPr lIns="54000" rIns="54000" tIns="54000" bIns="54000">
                        <a:noAutofit/>
                      </wps:bodyPr>
                    </wps:wsp>
                  </a:graphicData>
                </a:graphic>
              </wp:anchor>
            </w:drawing>
          </mc:Choice>
          <mc:Fallback>
            <w:pict>
              <v:rect id="shape_0" ID="Okvir 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Kaj se dogaja na konferenci o prihodnosti Evrope?</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udeleženci konference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udeleženci dogodka</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ideje</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komentarji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dogodki</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odobritve</w:t>
                            </w:r>
                          </w:p>
                        </w:tc>
                      </w:tr>
                    </w:tbl>
                    <w:p>
                      <w:pPr>
                        <w:pStyle w:val="Contenudecadre"/>
                        <w:spacing w:before="57" w:after="57"/>
                        <w:rPr/>
                      </w:pPr>
                      <w:r>
                        <w:rPr>
                          <w:color w:val="auto"/>
                        </w:rPr>
                        <w:t xml:space="preserve">Stanje udeležbe na dan 20. aprila 2022 (vir: </w:t>
                      </w:r>
                      <w:hyperlink r:id="rId32">
                        <w:r>
                          <w:rPr>
                            <w:rStyle w:val="LienInternet"/>
                            <w:color w:val="auto"/>
                          </w:rPr>
                          <w:t>Konferenca o prihodnosti Evrope (europa.eu</w:t>
                        </w:r>
                      </w:hyperlink>
                      <w:r>
                        <w:rPr>
                          <w:color w:val="auto"/>
                        </w:rPr>
                        <w:t>)</w:t>
                      </w:r>
                    </w:p>
                  </w:txbxContent>
                </v:textbox>
              </v:rect>
            </w:pict>
          </mc:Fallback>
        </mc:AlternateContent>
      </w:r>
      <w:r>
        <w:rPr/>
        <w:t>Poročila so bila obravnavana tudi na plenarnih zasedanjih konference, začenši s plenarnim zasedanjem 23. oktobra 2021, in na prejšnjih sejah delovnih skupin. Prispevki platforme so zato še naprej obogatili predloge, oblikovane na plenarnem zasedanju konference.</w:t>
      </w:r>
    </w:p>
    <w:p>
      <w:pPr>
        <w:pStyle w:val="Normal"/>
        <w:rPr/>
      </w:pPr>
      <w:r>
        <w:rPr/>
        <w:t>Do 20. aprila 2022 je skoraj pet milijonov edinstvenih obiskovalcev obiskalo večjezično digitalno platformo, na kateri je bilo aktivnih več kot 50 000 udeležencev, 17.000 razpravljanih idej in več kot 6 000 registriranih dogodkov. V ozadju teh številk je na tisoče predanih državljanov, ki delijo in razpravljajo o številnih zamislih ter organizirajo številne izvirne in inovativne dogodke v različnih državah članicah.</w:t>
      </w:r>
    </w:p>
    <w:p>
      <w:pPr>
        <w:pStyle w:val="Normal"/>
        <w:rPr/>
      </w:pPr>
      <w:r>
        <w:rPr/>
        <w:t xml:space="preserve">Da bi zagotovili, da bo platforma kraj, kjer se državljani z vseh družbenih slojev in iz vseh koncev Evrope počutijo udobno in spodbujeni, da prispevajo k razpravi, so se morali vsi, ki so platformo uporabljali, podpisati </w:t>
      </w:r>
      <w:hyperlink r:id="rId33">
        <w:r>
          <w:rPr>
            <w:rStyle w:val="LienInternet"/>
          </w:rPr>
          <w:t>na listino konference</w:t>
        </w:r>
      </w:hyperlink>
      <w:r>
        <w:rPr/>
        <w:t xml:space="preserve"> in </w:t>
      </w:r>
      <w:hyperlink r:id="rId34">
        <w:r>
          <w:rPr>
            <w:rStyle w:val="LienInternet"/>
          </w:rPr>
          <w:t>pravila za udeležbo</w:t>
        </w:r>
      </w:hyperlink>
      <w:r>
        <w:rPr/>
        <w:t>. Vzpostavljena je bila skupina za moderiranje, ki med konferenco deluje pod nadzorom skupnega sekretariata v imenu izvršnega odbora, da bi zagotovila skladnost z Listino in pravili o udeležbi. Do predhodnega moderiranja vsebine ni prišlo. Ko je bil prispevek skrit, je uporabnik prejel sporočilo skupine za moderiranje, ki pojasnjuje razlog. Podrobnosti o načelih in procesu moderiranja so bile na voljo v razdelku Pogosta vprašanja</w:t>
      </w:r>
      <w:hyperlink r:id="rId35">
        <w:r>
          <w:rPr>
            <w:rStyle w:val="LienInternet"/>
          </w:rPr>
          <w:t>(</w:t>
        </w:r>
      </w:hyperlink>
      <w:r>
        <w:rPr/>
        <w:t xml:space="preserve"> FAQ) platforme.</w:t>
      </w:r>
    </w:p>
    <w:p>
      <w:pPr>
        <w:pStyle w:val="Normal"/>
        <w:rPr/>
      </w:pPr>
      <w:r>
        <w:rPr/>
        <w:t>Med 19. aprilom 2021 in 20. aprilom 2022 je bilo prikritih 430 zamisli (2,4 %), 312 komentarjev (1,4 %) in 396 dogodkov (6,0 %). Približno 71 % idej je bilo maskiranih, ker niso vsebovale predlogov, ne glede na to, ali gre za neželeno pošto, zahteve uporabnikov ali ker so vsebovale osebne podatke ali neprimerno povezano sliko; približno 17 % skritih idej je bilo podvojenih. Samo 11 % skritih idej je bilo zaradi njihove žaljive vsebine. Velika večina dogodkov, 76 %, je bila prikrita, ker so bili dvojniki ali ker so bile informacije o dogodku nepopolne, na zahtevo organizatorjev ali ker niso bile povezane s konferenco.</w:t>
      </w:r>
    </w:p>
    <w:p>
      <w:pPr>
        <w:pStyle w:val="Normal"/>
        <w:rPr/>
      </w:pPr>
      <w:r>
        <w:rPr/>
        <w:t>Možnost prispevkov na platformi je ostala odprta do 9. maja 2022. Po tem datumu se načrtuje dodatno poročilo, s katerim se dopolni povzetek vseh prispevkov, prejetih med konferenco.</w:t>
      </w:r>
    </w:p>
    <w:p>
      <w:pPr>
        <w:pStyle w:val="Normal"/>
        <w:rPr/>
      </w:pPr>
      <w:r>
        <w:rPr/>
        <w:t>Udeležba na platformi se je med celotno konferenco še naprej povečevala, vendar je ostala neenakomerna med državami članicami in socialno-demografskimi profili udeležencev. Platforma je na splošno zagotovila inovativen prostor za razpravo, ki je več tisoč državljanom in različnim zainteresiranim stranem iz vse Evrope in zunaj nje omogočil sodelovanje v spletni večjezični razpravi o evropskih vprašanjih v vseh državah članicah. Izkazalo se je, da je dragoceno orodje za posvetovalno demokracijo na ravni EU.</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Slika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Državljanski forumi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Forumi evropskih državljanov</w:t>
      </w:r>
    </w:p>
    <w:p>
      <w:pPr>
        <w:pStyle w:val="Corpsdetexte"/>
        <w:rPr/>
      </w:pPr>
      <w:r>
        <w:rPr/>
        <w:t>Forumi evropskih državljanov so bili eden glavnih stebrov konference z nacionalnimi forumi, večjezično digitalno platformo in plenarnim zasedanjem konference. So v središču konference o prihodnosti Evrope in združujejo približno 800 državljanov iz vseh okolij in regij Evropske unije. Medtem ko se koncept državljanskih panelov ali skupščin uporablja že desetletja na občinski ravni in je vse bolj viden na nacionalni ali regionalni ravni, je vseevropska razsežnost na tem področju še vedno večinoma neraziskana. Forumi evropskih državljanov so bili prva nadnacionalna in večjezična izkušnja tega obsega in ravni ambicij. Izjemen sistem tolmačenja, ki je spremljal proces, je privedel do vključujočega, spoštljivega in učinkovitega dialoga med zainteresiranimi stranmi, ki zagotavlja spoštovanje večjezičnosti.</w:t>
      </w:r>
    </w:p>
    <w:p>
      <w:pPr>
        <w:pStyle w:val="Corpsdetexte"/>
        <w:rPr/>
      </w:pPr>
      <w:r>
        <w:rPr/>
        <w:t>Okrogle mize evropskih državljanov so organizirale vse tri institucije na podlagi skupne izjave, poslovnika in ureditev, ki sta jih določila sopredsednika pod nadzorom izvršnega odbora. Podprli so jih konzorcij zunanjih ponudnikov storitev, ki so ga sestavljali različni strokovnjaki s področja posvetovalne demokracije in logistična podporna skupina. Izvršni odbor je bil obveščen o delu okroglih miz, na voljo so bile posodobljene praktične ureditve in po potrebi prilagojen začasni časovni razpored sej evropskih državljanskih forumov.</w:t>
      </w:r>
    </w:p>
    <w:p>
      <w:pPr>
        <w:pStyle w:val="Corpsdetexte"/>
        <w:rPr/>
      </w:pPr>
      <w:r>
        <w:rPr/>
        <w:t>Udeleženci evropskih državljanskih forumov so bili izbrani poleti 2021. Državljani EU so bili naključno izbrani (v glavnem jih je kontaktiralo 27 nacionalnih raziskovalnih inštitutov, ki jih usklajuje zunanji ponudnik storitev), da bi oblikovali „plošča“, ki predstavljajo raznolikost EU, in sicer na podlagi petih meril: spol, starost, geografsko poreklo (državljanstvo ter urbano/podeželsko okolje), socialno-ekonomsko ozadje in raven izobrazbe. Število državljanov na državo članico je bilo izračunano v skladu z načelom padajoče sorazmernosti, ki se uporablja za sestavo Evropskega parlamenta, ob upoštevanju, da bi moral vsak izbirni svet vključevati vsaj enega državljana in enega državljana iz vsake države članice. Glede na to, da je bila na konferenci posebna pozornost namenjena mladim, je bila tretjina državljanov v vsaki okrogli mizi stara od 16 do 24 let. Za vsako skupino po 200 oseb je bilo za vzpostavitev rezerve izbranih 50 dodatnih državljanov.</w:t>
      </w:r>
    </w:p>
    <w:p>
      <w:pPr>
        <w:pStyle w:val="Corpsdetexte"/>
        <w:rPr/>
      </w:pPr>
      <w:r>
        <w:rPr/>
        <w:t>Organizirani so bili štirje evropski državljanski forumi. Teme za razpravo so za vsako od njih ustrezale temam, opredeljenim na večjezični digitalni platformi, in so bile združene na naslednji način:</w:t>
      </w:r>
    </w:p>
    <w:p>
      <w:pPr>
        <w:pStyle w:val="Puce3"/>
        <w:rPr/>
      </w:pPr>
      <w:r>
        <w:rPr/>
        <w:t>1. Močnejše gospodarstvo, socialna pravičnost in zaposlovanje; izobraževanje, kultura, mladina in šport; digitalna preobrazba;</w:t>
      </w:r>
    </w:p>
    <w:p>
      <w:pPr>
        <w:pStyle w:val="Puce3"/>
        <w:rPr/>
      </w:pPr>
      <w:r>
        <w:rPr/>
        <w:t>2. Evropska demokracija; vrednote in pravice, pravna država, varnost;</w:t>
      </w:r>
    </w:p>
    <w:p>
      <w:pPr>
        <w:pStyle w:val="Puce3"/>
        <w:rPr/>
      </w:pPr>
      <w:r>
        <w:rPr/>
        <w:t>3.Podnebne spremembe in okolje; zdravje;</w:t>
      </w:r>
    </w:p>
    <w:p>
      <w:pPr>
        <w:pStyle w:val="Puce3"/>
        <w:tabs>
          <w:tab w:val="clear" w:pos="720"/>
        </w:tabs>
        <w:rPr/>
      </w:pPr>
      <w:r>
        <w:rPr/>
        <w:t>4.EU v svetu; migracija.</w:t>
      </w:r>
    </w:p>
    <w:p>
      <w:pPr>
        <w:pStyle w:val="Corpsdetexte"/>
        <w:rPr/>
      </w:pPr>
      <w:r>
        <w:rPr/>
        <w:t>Vsaka skupina se je sestala tri vikende. Prva serija sej je potekala v Strasbourgu, drugo prek spleta in tretje v štirih mestih (Dublin, Firence, Varšava/Natolin in Maastricht), v javnih visokošolskih ustanovah in ob podpori lokalnih oblasti.</w:t>
      </w:r>
    </w:p>
    <w:p>
      <w:pPr>
        <w:pStyle w:val="Titre4"/>
        <w:numPr>
          <w:ilvl w:val="3"/>
          <w:numId w:val="2"/>
        </w:numPr>
        <w:rPr/>
      </w:pPr>
      <w:bookmarkStart w:id="11" w:name="__RefHeading___Toc298196_1346298689"/>
      <w:bookmarkEnd w:id="11"/>
      <w:r>
        <w:rPr/>
        <w:t>PRVI KROG OKROGLIH MIZ</w:t>
      </w:r>
    </w:p>
    <w:p>
      <w:pPr>
        <w:pStyle w:val="Corpsdetexte"/>
        <w:rPr/>
      </w:pPr>
      <w:r>
        <w:rPr/>
        <w:t>Udeleženci so se na prvem zasedanju vsake okrogle mize fizično sestali v Strasbourgu. Cilj zasedanja je bil opredeliti dnevni red razprav. Državljani, ki so sodelovali v okroglih mizah, so najprej razmišljali in razvijali svojo vizijo Evrope, začenši s prazno stranjo in opredelitvijo vprašanj, o katerih se bo razpravljalo, v okviru glavnih tem izbirnega sveta. Nato so dali prednost temam, na katere so se želeli bolj poglobljeno osredotočiti, da bi institucijam EU pripravili posebna priporočila za nadaljnje ukrepanje. Razprave in skupinsko delo so potekale v naslednjih dveh oblikah:</w:t>
      </w:r>
    </w:p>
    <w:p>
      <w:pPr>
        <w:pStyle w:val="Alineanegatifpuce"/>
        <w:numPr>
          <w:ilvl w:val="0"/>
          <w:numId w:val="3"/>
        </w:numPr>
        <w:rPr/>
      </w:pPr>
      <w:r>
        <w:rPr/>
        <w:t xml:space="preserve"> </w:t>
      </w:r>
      <w:r>
        <w:rPr/>
        <w:t>v podskupinah, ki jih sestavlja 12 do 14 državljanov. V vsaki podskupini se je govorilo od štiri do pet jezikov, v katerih so se državljani lahko izražali v svojem jeziku. Delo podskupin so vodili strokovni posredniki, ki jih je izbral konzorcij zunanjih ponudnikov storitev.</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Okvir 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SEJA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DAN </w:t>
                                  </w:r>
                                </w:p>
                                <w:p>
                                  <w:pPr>
                                    <w:pStyle w:val="P68B1DB1Contenudetableau9"/>
                                    <w:spacing w:before="57" w:after="57"/>
                                    <w:jc w:val="center"/>
                                    <w:rPr>
                                      <w:sz w:val="16"/>
                                    </w:rPr>
                                  </w:pPr>
                                  <w:r>
                                    <w:rPr/>
                                    <w:t>Nov sestanek za panel in priprave na vikend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DAN </w:t>
                                  </w:r>
                                </w:p>
                                <w:p>
                                  <w:pPr>
                                    <w:pStyle w:val="P68B1DB1Contenudetableau9"/>
                                    <w:spacing w:before="57" w:after="57"/>
                                    <w:jc w:val="center"/>
                                    <w:rPr>
                                      <w:sz w:val="16"/>
                                    </w:rPr>
                                  </w:pPr>
                                  <w:r>
                                    <w:rPr/>
                                    <w:t>Strokovni prispevek, identifikacija problemov, priprava smernic</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DAN </w:t>
                                  </w:r>
                                </w:p>
                                <w:p>
                                  <w:pPr>
                                    <w:pStyle w:val="P68B1DB1Contenudetableau9"/>
                                    <w:spacing w:before="57" w:after="57"/>
                                    <w:jc w:val="center"/>
                                    <w:rPr>
                                      <w:sz w:val="16"/>
                                    </w:rPr>
                                  </w:pPr>
                                  <w:r>
                                    <w:rPr/>
                                    <w:t>Dokončno oblikovanje smernic, končne ugotovitve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Prispevki strokovnjakov za podteme</w:t>
                                  </w:r>
                                </w:p>
                              </w:tc>
                              <w:tc>
                                <w:tcPr>
                                  <w:tcW w:w="3120" w:type="dxa"/>
                                  <w:gridSpan w:val="2"/>
                                  <w:tcBorders/>
                                  <w:shd w:fill="0000FF" w:val="clear"/>
                                </w:tcPr>
                                <w:p>
                                  <w:pPr>
                                    <w:pStyle w:val="P68B1DB1Contenudetableau9"/>
                                    <w:spacing w:before="57" w:after="57"/>
                                    <w:jc w:val="center"/>
                                    <w:rPr>
                                      <w:sz w:val="16"/>
                                    </w:rPr>
                                  </w:pPr>
                                  <w:r>
                                    <w:rPr/>
                                    <w:t>Dodatni prispevki strokovnjakov</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Dobrodošla, </w:t>
                                  </w:r>
                                </w:p>
                                <w:p>
                                  <w:pPr>
                                    <w:pStyle w:val="P68B1DB1Contenudetableau9"/>
                                    <w:spacing w:before="57" w:after="57"/>
                                    <w:jc w:val="center"/>
                                    <w:rPr>
                                      <w:sz w:val="16"/>
                                    </w:rPr>
                                  </w:pPr>
                                  <w:r>
                                    <w:rPr/>
                                    <w:t xml:space="preserve">Besede ambasadorjem državljanov za njihove povratne informacije, </w:t>
                                    <w:br/>
                                    <w:t>Posodobitev platforme, agenda</w:t>
                                  </w:r>
                                </w:p>
                              </w:tc>
                              <w:tc>
                                <w:tcPr>
                                  <w:tcW w:w="3120" w:type="dxa"/>
                                  <w:gridSpan w:val="2"/>
                                  <w:tcBorders/>
                                  <w:shd w:fill="00FF00" w:val="clear"/>
                                </w:tcPr>
                                <w:p>
                                  <w:pPr>
                                    <w:pStyle w:val="P68B1DB1Contenudetableau9"/>
                                    <w:spacing w:before="57" w:after="57"/>
                                    <w:jc w:val="center"/>
                                    <w:rPr>
                                      <w:sz w:val="16"/>
                                    </w:rPr>
                                  </w:pPr>
                                  <w:r>
                                    <w:rPr/>
                                    <w:t>Izdelava smernic</w:t>
                                  </w:r>
                                </w:p>
                              </w:tc>
                              <w:tc>
                                <w:tcPr>
                                  <w:tcW w:w="3120" w:type="dxa"/>
                                  <w:gridSpan w:val="2"/>
                                  <w:tcBorders/>
                                  <w:shd w:fill="00FF00" w:val="clear"/>
                                </w:tcPr>
                                <w:p>
                                  <w:pPr>
                                    <w:pStyle w:val="P68B1DB1Contenudetableau9"/>
                                    <w:spacing w:before="57" w:after="57"/>
                                    <w:jc w:val="center"/>
                                    <w:rPr>
                                      <w:sz w:val="16"/>
                                    </w:rPr>
                                  </w:pPr>
                                  <w:r>
                                    <w:rPr/>
                                    <w:t xml:space="preserve"> </w:t>
                                  </w:r>
                                  <w:r>
                                    <w:rPr/>
                                    <w:t>Dokončno oblikovanje smernic</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Delitev določenih usmeritev, </w:t>
                                    <w:br/>
                                    <w:t>Končne pripombe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Plenarno zasedanje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Plenarno zasedanje teme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Seja podskupine</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Okvir 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SEJA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DAN </w:t>
                            </w:r>
                          </w:p>
                          <w:p>
                            <w:pPr>
                              <w:pStyle w:val="P68B1DB1Contenudetableau9"/>
                              <w:spacing w:before="57" w:after="57"/>
                              <w:jc w:val="center"/>
                              <w:rPr>
                                <w:sz w:val="16"/>
                              </w:rPr>
                            </w:pPr>
                            <w:r>
                              <w:rPr/>
                              <w:t>Nov sestanek za panel in priprave na vikend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DAN </w:t>
                            </w:r>
                          </w:p>
                          <w:p>
                            <w:pPr>
                              <w:pStyle w:val="P68B1DB1Contenudetableau9"/>
                              <w:spacing w:before="57" w:after="57"/>
                              <w:jc w:val="center"/>
                              <w:rPr>
                                <w:sz w:val="16"/>
                              </w:rPr>
                            </w:pPr>
                            <w:r>
                              <w:rPr/>
                              <w:t>Strokovni prispevek, identifikacija problemov, priprava smernic</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DAN </w:t>
                            </w:r>
                          </w:p>
                          <w:p>
                            <w:pPr>
                              <w:pStyle w:val="P68B1DB1Contenudetableau9"/>
                              <w:spacing w:before="57" w:after="57"/>
                              <w:jc w:val="center"/>
                              <w:rPr>
                                <w:sz w:val="16"/>
                              </w:rPr>
                            </w:pPr>
                            <w:r>
                              <w:rPr/>
                              <w:t>Dokončno oblikovanje smernic, končne ugotovitve</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Prispevki strokovnjakov za podteme</w:t>
                            </w:r>
                          </w:p>
                        </w:tc>
                        <w:tc>
                          <w:tcPr>
                            <w:tcW w:w="3120" w:type="dxa"/>
                            <w:gridSpan w:val="2"/>
                            <w:tcBorders/>
                            <w:shd w:fill="0000FF" w:val="clear"/>
                          </w:tcPr>
                          <w:p>
                            <w:pPr>
                              <w:pStyle w:val="P68B1DB1Contenudetableau9"/>
                              <w:spacing w:before="57" w:after="57"/>
                              <w:jc w:val="center"/>
                              <w:rPr>
                                <w:sz w:val="16"/>
                              </w:rPr>
                            </w:pPr>
                            <w:r>
                              <w:rPr/>
                              <w:t>Dodatni prispevki strokovnjakov</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Dobrodošla, </w:t>
                            </w:r>
                          </w:p>
                          <w:p>
                            <w:pPr>
                              <w:pStyle w:val="P68B1DB1Contenudetableau9"/>
                              <w:spacing w:before="57" w:after="57"/>
                              <w:jc w:val="center"/>
                              <w:rPr>
                                <w:sz w:val="16"/>
                              </w:rPr>
                            </w:pPr>
                            <w:r>
                              <w:rPr/>
                              <w:t xml:space="preserve">Besede ambasadorjem državljanov za njihove povratne informacije, </w:t>
                              <w:br/>
                              <w:t>Posodobitev platforme, agenda</w:t>
                            </w:r>
                          </w:p>
                        </w:tc>
                        <w:tc>
                          <w:tcPr>
                            <w:tcW w:w="3120" w:type="dxa"/>
                            <w:gridSpan w:val="2"/>
                            <w:tcBorders/>
                            <w:shd w:fill="00FF00" w:val="clear"/>
                          </w:tcPr>
                          <w:p>
                            <w:pPr>
                              <w:pStyle w:val="P68B1DB1Contenudetableau9"/>
                              <w:spacing w:before="57" w:after="57"/>
                              <w:jc w:val="center"/>
                              <w:rPr>
                                <w:sz w:val="16"/>
                              </w:rPr>
                            </w:pPr>
                            <w:r>
                              <w:rPr/>
                              <w:t>Izdelava smernic</w:t>
                            </w:r>
                          </w:p>
                        </w:tc>
                        <w:tc>
                          <w:tcPr>
                            <w:tcW w:w="3120" w:type="dxa"/>
                            <w:gridSpan w:val="2"/>
                            <w:tcBorders/>
                            <w:shd w:fill="00FF00" w:val="clear"/>
                          </w:tcPr>
                          <w:p>
                            <w:pPr>
                              <w:pStyle w:val="P68B1DB1Contenudetableau9"/>
                              <w:spacing w:before="57" w:after="57"/>
                              <w:jc w:val="center"/>
                              <w:rPr>
                                <w:sz w:val="16"/>
                              </w:rPr>
                            </w:pPr>
                            <w:r>
                              <w:rPr/>
                              <w:t xml:space="preserve"> </w:t>
                            </w:r>
                            <w:r>
                              <w:rPr/>
                              <w:t>Dokončno oblikovanje smernic</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Delitev določenih usmeritev, </w:t>
                              <w:br/>
                              <w:t>Končne pripombe</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Plenarno zasedanje</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Plenarno zasedanje teme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Seja podskupine</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na plenarnem zasedanju z vsemi udeleženci. Plenarna zasedanja sta vodila dva glavna moderatorja. Prednostne teme, ki so izhajale iz razprav, so bile razdeljene na „os“ (ki ustrezajo tematskim sklopom) in podosi ter so služile kot podlaga za drugi niz sej. V ta namen so udeleženci prejeli osnovne informacije o temah ter ustrezne prispevke, vključno z analizami in konceptualnimi shemami, iz prvega vmesnega poročila večjezične digitalne platforme in predstavitev zunanjih strokovnjakov na visoki ravni.</w:t>
      </w:r>
    </w:p>
    <w:p>
      <w:pPr>
        <w:pStyle w:val="Corpsdetexte"/>
        <w:rPr/>
      </w:pPr>
      <w:r>
        <w:rPr/>
        <w:t>Med prvimi zasedanji je bilo med prostovoljnimi državljani izbranih 20 oseb, ki so bile pozvane, naj zastopajo vsako okroglo mizo na plenarnem zasedanju; pri tem so ga opazovali zaradi različnosti starosti in spola.</w:t>
      </w:r>
    </w:p>
    <w:p>
      <w:pPr>
        <w:pStyle w:val="Titre4"/>
        <w:numPr>
          <w:ilvl w:val="3"/>
          <w:numId w:val="2"/>
        </w:numPr>
        <w:rPr/>
      </w:pPr>
      <w:bookmarkStart w:id="12" w:name="__RefHeading___Toc298198_1346298689"/>
      <w:bookmarkEnd w:id="12"/>
      <w:r>
        <w:rPr/>
        <w:t>DRUGI KROG OKROGLIH MIZ</w:t>
      </w:r>
    </w:p>
    <w:p>
      <w:pPr>
        <w:pStyle w:val="Corpsdetexte"/>
        <w:rPr/>
      </w:pPr>
      <w:r>
        <w:rPr/>
        <w:t>Okrogle mize evropskih državljanov so novembra nadaljevale svoje delo s spletnimi srečanji. V ta namen je bila vzpostavljena posebna ureditev: v studiu v Bruslju so potekala glavna moderacijska in plenarna zasedanja, sodelujoči državljani iz vse EU pa so lahko posredovali prek sistema povezovanja in tolmačenja.</w:t>
      </w:r>
    </w:p>
    <w:p>
      <w:pPr>
        <w:pStyle w:val="Corpsdetexte"/>
        <w:rPr/>
      </w:pPr>
      <w:r>
        <w:rPr/>
        <w:t>V drugem krogu srečanj so državljani ob podpori strokovnjakov in preverjevalcev dejstev opredelili in razpravljali o vrsti posebnih vprašanj ter oblikovali smernice za vsako od tematskih osi, ki so jih opredelili na prvem zasedanju. Posebna pozornost je bila namenjena uravnoteženi zastopanosti spolov in zemljepisni uravnoteženosti znotraj strokovne skupine in da vsak od teh strokovnjakov s svojimi prispevki obvešča državljane, tako da obvešča o dejstvih in/ali napredku v razpravi ter ne daje osebnih mnenj. Državljani so prejeli tudi vmesna poročila večjezične digitalne platforme.</w:t>
      </w:r>
    </w:p>
    <w:p>
      <w:pPr>
        <w:pStyle w:val="Corpsdetexte"/>
        <w:rPr/>
      </w:pPr>
      <w:r>
        <w:rPr/>
        <w:t>Tako so lahko opredelili in razpravljali o vprašanjih, povezanih s temami, ki so jim bile dodeljene, na podlagi prispevkov strokovnjakov o obravnavanih temah ter lastnega znanja in izkušenj med razpravami, ki so potekale v drugem krogu sej. Težave so opredeljene kot težave, ki zahtevajo rešitve ali razmere, ki zahtevajo spremembe.</w:t>
      </w:r>
    </w:p>
    <w:p>
      <w:pPr>
        <w:pStyle w:val="Corpsdetexte"/>
        <w:rPr/>
      </w:pPr>
      <w:r>
        <w:rPr/>
        <w:t>Državljani so se nato lotili teh vprašanj z oblikovanjem smernic, kar je bil prvi korak k oblikovanju priporočil, kar je bil cilj tretjega sklopa zasedanj. Državljani so bili pozvani, naj utemeljijo te smernice.</w:t>
      </w:r>
    </w:p>
    <w:p>
      <w:pPr>
        <w:pStyle w:val="Corpsdetexte"/>
        <w:rPr/>
      </w:pPr>
      <w:r>
        <w:rPr/>
        <w:t>Razprave in skupinsko delo so potekale v treh oblikah:</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Okvir 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SEJA 3</w:t>
                                  </w:r>
                                </w:p>
                              </w:tc>
                            </w:tr>
                            <w:tr>
                              <w:trPr/>
                              <w:tc>
                                <w:tcPr>
                                  <w:tcW w:w="3138" w:type="dxa"/>
                                  <w:tcBorders/>
                                  <w:shd w:fill="0000FF" w:val="clear"/>
                                </w:tcPr>
                                <w:p>
                                  <w:pPr>
                                    <w:pStyle w:val="P68B1DB1Contenudetableau10"/>
                                    <w:spacing w:before="57" w:after="57"/>
                                    <w:jc w:val="center"/>
                                    <w:rPr>
                                      <w:b/>
                                      <w:b/>
                                    </w:rPr>
                                  </w:pPr>
                                  <w:r>
                                    <w:rPr/>
                                    <w:t xml:space="preserve">1. DAN </w:t>
                                  </w:r>
                                </w:p>
                                <w:p>
                                  <w:pPr>
                                    <w:pStyle w:val="Contenudetableau"/>
                                    <w:spacing w:before="57" w:after="57"/>
                                    <w:jc w:val="center"/>
                                    <w:rPr/>
                                  </w:pPr>
                                  <w:r>
                                    <w:rPr/>
                                    <w:t>Ponovno povezovanje, določanje prednostnih nalog in začetek dela</w:t>
                                  </w:r>
                                </w:p>
                              </w:tc>
                              <w:tc>
                                <w:tcPr>
                                  <w:tcW w:w="3138" w:type="dxa"/>
                                  <w:tcBorders/>
                                  <w:shd w:fill="0000FF" w:val="clear"/>
                                </w:tcPr>
                                <w:p>
                                  <w:pPr>
                                    <w:pStyle w:val="P68B1DB1Contenudetableau10"/>
                                    <w:spacing w:before="57" w:after="57"/>
                                    <w:jc w:val="center"/>
                                    <w:rPr>
                                      <w:b/>
                                      <w:b/>
                                    </w:rPr>
                                  </w:pPr>
                                  <w:r>
                                    <w:rPr/>
                                    <w:t xml:space="preserve">2. DAN </w:t>
                                  </w:r>
                                </w:p>
                                <w:p>
                                  <w:pPr>
                                    <w:pStyle w:val="Contenudetableau"/>
                                    <w:jc w:val="center"/>
                                    <w:rPr/>
                                  </w:pPr>
                                  <w:r>
                                    <w:rPr/>
                                    <w:t xml:space="preserve">Preoblikovanje smernic </w:t>
                                  </w:r>
                                </w:p>
                                <w:p>
                                  <w:pPr>
                                    <w:pStyle w:val="Contenudetableau"/>
                                    <w:spacing w:before="57" w:after="57"/>
                                    <w:jc w:val="center"/>
                                    <w:rPr/>
                                  </w:pPr>
                                  <w:r>
                                    <w:rPr/>
                                    <w:t>končna priporočila</w:t>
                                  </w:r>
                                </w:p>
                              </w:tc>
                              <w:tc>
                                <w:tcPr>
                                  <w:tcW w:w="3138" w:type="dxa"/>
                                  <w:tcBorders/>
                                  <w:shd w:fill="0000FF" w:val="clear"/>
                                </w:tcPr>
                                <w:p>
                                  <w:pPr>
                                    <w:pStyle w:val="P68B1DB1Contenudetableau10"/>
                                    <w:spacing w:before="57" w:after="57"/>
                                    <w:jc w:val="center"/>
                                    <w:rPr>
                                      <w:b/>
                                      <w:b/>
                                    </w:rPr>
                                  </w:pPr>
                                  <w:r>
                                    <w:rPr/>
                                    <w:t xml:space="preserve">3. DAN </w:t>
                                  </w:r>
                                </w:p>
                                <w:p>
                                  <w:pPr>
                                    <w:pStyle w:val="Contenudetableau"/>
                                    <w:spacing w:before="57" w:after="57"/>
                                    <w:jc w:val="center"/>
                                    <w:rPr/>
                                  </w:pPr>
                                  <w:r>
                                    <w:rPr/>
                                    <w:t>Glasovanje o končnih priporočilih</w:t>
                                  </w:r>
                                </w:p>
                              </w:tc>
                            </w:tr>
                            <w:tr>
                              <w:trPr/>
                              <w:tc>
                                <w:tcPr>
                                  <w:tcW w:w="3138" w:type="dxa"/>
                                  <w:tcBorders/>
                                  <w:shd w:fill="800000" w:val="clear"/>
                                </w:tcPr>
                                <w:p>
                                  <w:pPr>
                                    <w:pStyle w:val="Contenudetableau"/>
                                    <w:spacing w:before="57" w:after="57"/>
                                    <w:jc w:val="center"/>
                                    <w:rPr/>
                                  </w:pPr>
                                  <w:r>
                                    <w:rPr/>
                                    <w:t>Dobrodošli in cilji vikenda</w:t>
                                  </w:r>
                                </w:p>
                              </w:tc>
                              <w:tc>
                                <w:tcPr>
                                  <w:tcW w:w="3138" w:type="dxa"/>
                                  <w:tcBorders/>
                                  <w:shd w:fill="00FF00" w:val="clear"/>
                                </w:tcPr>
                                <w:p>
                                  <w:pPr>
                                    <w:pStyle w:val="Contenudetableau"/>
                                    <w:spacing w:before="57" w:after="57"/>
                                    <w:jc w:val="center"/>
                                    <w:rPr/>
                                  </w:pPr>
                                  <w:r>
                                    <w:rPr/>
                                    <w:t>Preoblikovanje smernic v priporočila</w:t>
                                  </w:r>
                                </w:p>
                              </w:tc>
                              <w:tc>
                                <w:tcPr>
                                  <w:tcW w:w="3138" w:type="dxa"/>
                                  <w:tcBorders/>
                                  <w:shd w:fill="800000" w:val="clear"/>
                                </w:tcPr>
                                <w:p>
                                  <w:pPr>
                                    <w:pStyle w:val="Contenudetableau"/>
                                    <w:spacing w:before="57" w:after="57"/>
                                    <w:jc w:val="center"/>
                                    <w:rPr/>
                                  </w:pPr>
                                  <w:r>
                                    <w:rPr/>
                                    <w:t>Glasovanje o končnih priporočilih</w:t>
                                  </w:r>
                                </w:p>
                              </w:tc>
                            </w:tr>
                            <w:tr>
                              <w:trPr/>
                              <w:tc>
                                <w:tcPr>
                                  <w:tcW w:w="3138" w:type="dxa"/>
                                  <w:tcBorders/>
                                  <w:shd w:fill="0000FF" w:val="clear"/>
                                </w:tcPr>
                                <w:p>
                                  <w:pPr>
                                    <w:pStyle w:val="Contenudetableau"/>
                                    <w:spacing w:before="57" w:after="57"/>
                                    <w:jc w:val="center"/>
                                    <w:rPr/>
                                  </w:pPr>
                                  <w:r>
                                    <w:rPr/>
                                    <w:t xml:space="preserve">Odprt forum, </w:t>
                                  </w:r>
                                </w:p>
                                <w:p>
                                  <w:pPr>
                                    <w:pStyle w:val="Contenudetableau"/>
                                    <w:spacing w:before="57" w:after="57"/>
                                    <w:jc w:val="center"/>
                                    <w:rPr/>
                                  </w:pPr>
                                  <w:r>
                                    <w:rPr/>
                                    <w:t>Branje in prednostno razvrščanje smernic</w:t>
                                  </w:r>
                                </w:p>
                              </w:tc>
                              <w:tc>
                                <w:tcPr>
                                  <w:tcW w:w="3138" w:type="dxa"/>
                                  <w:tcBorders/>
                                  <w:shd w:fill="00FF00" w:val="clear"/>
                                </w:tcPr>
                                <w:p>
                                  <w:pPr>
                                    <w:pStyle w:val="Contenudetableau"/>
                                    <w:spacing w:before="57" w:after="57"/>
                                    <w:jc w:val="center"/>
                                    <w:rPr/>
                                  </w:pPr>
                                  <w:r>
                                    <w:rPr/>
                                    <w:t>Povratne informacije drugim skupinam, dokončno oblikovanje priporočil</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Preoblikovanje smernic v priporočila</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Plenarno zasedanje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Odpri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Delo podskupine</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Okvir 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SEJA 3</w:t>
                            </w:r>
                          </w:p>
                        </w:tc>
                      </w:tr>
                      <w:tr>
                        <w:trPr/>
                        <w:tc>
                          <w:tcPr>
                            <w:tcW w:w="3138" w:type="dxa"/>
                            <w:tcBorders/>
                            <w:shd w:fill="0000FF" w:val="clear"/>
                          </w:tcPr>
                          <w:p>
                            <w:pPr>
                              <w:pStyle w:val="P68B1DB1Contenudetableau10"/>
                              <w:spacing w:before="57" w:after="57"/>
                              <w:jc w:val="center"/>
                              <w:rPr>
                                <w:b/>
                                <w:b/>
                              </w:rPr>
                            </w:pPr>
                            <w:r>
                              <w:rPr/>
                              <w:t xml:space="preserve">1. DAN </w:t>
                            </w:r>
                          </w:p>
                          <w:p>
                            <w:pPr>
                              <w:pStyle w:val="Contenudetableau"/>
                              <w:spacing w:before="57" w:after="57"/>
                              <w:jc w:val="center"/>
                              <w:rPr/>
                            </w:pPr>
                            <w:r>
                              <w:rPr/>
                              <w:t>Ponovno povezovanje, določanje prednostnih nalog in začetek dela</w:t>
                            </w:r>
                          </w:p>
                        </w:tc>
                        <w:tc>
                          <w:tcPr>
                            <w:tcW w:w="3138" w:type="dxa"/>
                            <w:tcBorders/>
                            <w:shd w:fill="0000FF" w:val="clear"/>
                          </w:tcPr>
                          <w:p>
                            <w:pPr>
                              <w:pStyle w:val="P68B1DB1Contenudetableau10"/>
                              <w:spacing w:before="57" w:after="57"/>
                              <w:jc w:val="center"/>
                              <w:rPr>
                                <w:b/>
                                <w:b/>
                              </w:rPr>
                            </w:pPr>
                            <w:r>
                              <w:rPr/>
                              <w:t xml:space="preserve">2. DAN </w:t>
                            </w:r>
                          </w:p>
                          <w:p>
                            <w:pPr>
                              <w:pStyle w:val="Contenudetableau"/>
                              <w:jc w:val="center"/>
                              <w:rPr/>
                            </w:pPr>
                            <w:r>
                              <w:rPr/>
                              <w:t xml:space="preserve">Preoblikovanje smernic </w:t>
                            </w:r>
                          </w:p>
                          <w:p>
                            <w:pPr>
                              <w:pStyle w:val="Contenudetableau"/>
                              <w:spacing w:before="57" w:after="57"/>
                              <w:jc w:val="center"/>
                              <w:rPr/>
                            </w:pPr>
                            <w:r>
                              <w:rPr/>
                              <w:t>končna priporočila</w:t>
                            </w:r>
                          </w:p>
                        </w:tc>
                        <w:tc>
                          <w:tcPr>
                            <w:tcW w:w="3138" w:type="dxa"/>
                            <w:tcBorders/>
                            <w:shd w:fill="0000FF" w:val="clear"/>
                          </w:tcPr>
                          <w:p>
                            <w:pPr>
                              <w:pStyle w:val="P68B1DB1Contenudetableau10"/>
                              <w:spacing w:before="57" w:after="57"/>
                              <w:jc w:val="center"/>
                              <w:rPr>
                                <w:b/>
                                <w:b/>
                              </w:rPr>
                            </w:pPr>
                            <w:r>
                              <w:rPr/>
                              <w:t xml:space="preserve">3. DAN </w:t>
                            </w:r>
                          </w:p>
                          <w:p>
                            <w:pPr>
                              <w:pStyle w:val="Contenudetableau"/>
                              <w:spacing w:before="57" w:after="57"/>
                              <w:jc w:val="center"/>
                              <w:rPr/>
                            </w:pPr>
                            <w:r>
                              <w:rPr/>
                              <w:t>Glasovanje o končnih priporočilih</w:t>
                            </w:r>
                          </w:p>
                        </w:tc>
                      </w:tr>
                      <w:tr>
                        <w:trPr/>
                        <w:tc>
                          <w:tcPr>
                            <w:tcW w:w="3138" w:type="dxa"/>
                            <w:tcBorders/>
                            <w:shd w:fill="800000" w:val="clear"/>
                          </w:tcPr>
                          <w:p>
                            <w:pPr>
                              <w:pStyle w:val="Contenudetableau"/>
                              <w:spacing w:before="57" w:after="57"/>
                              <w:jc w:val="center"/>
                              <w:rPr/>
                            </w:pPr>
                            <w:r>
                              <w:rPr/>
                              <w:t>Dobrodošli in cilji vikenda</w:t>
                            </w:r>
                          </w:p>
                        </w:tc>
                        <w:tc>
                          <w:tcPr>
                            <w:tcW w:w="3138" w:type="dxa"/>
                            <w:tcBorders/>
                            <w:shd w:fill="00FF00" w:val="clear"/>
                          </w:tcPr>
                          <w:p>
                            <w:pPr>
                              <w:pStyle w:val="Contenudetableau"/>
                              <w:spacing w:before="57" w:after="57"/>
                              <w:jc w:val="center"/>
                              <w:rPr/>
                            </w:pPr>
                            <w:r>
                              <w:rPr/>
                              <w:t>Preoblikovanje smernic v priporočila</w:t>
                            </w:r>
                          </w:p>
                        </w:tc>
                        <w:tc>
                          <w:tcPr>
                            <w:tcW w:w="3138" w:type="dxa"/>
                            <w:tcBorders/>
                            <w:shd w:fill="800000" w:val="clear"/>
                          </w:tcPr>
                          <w:p>
                            <w:pPr>
                              <w:pStyle w:val="Contenudetableau"/>
                              <w:spacing w:before="57" w:after="57"/>
                              <w:jc w:val="center"/>
                              <w:rPr/>
                            </w:pPr>
                            <w:r>
                              <w:rPr/>
                              <w:t>Glasovanje o končnih priporočilih</w:t>
                            </w:r>
                          </w:p>
                        </w:tc>
                      </w:tr>
                      <w:tr>
                        <w:trPr/>
                        <w:tc>
                          <w:tcPr>
                            <w:tcW w:w="3138" w:type="dxa"/>
                            <w:tcBorders/>
                            <w:shd w:fill="0000FF" w:val="clear"/>
                          </w:tcPr>
                          <w:p>
                            <w:pPr>
                              <w:pStyle w:val="Contenudetableau"/>
                              <w:spacing w:before="57" w:after="57"/>
                              <w:jc w:val="center"/>
                              <w:rPr/>
                            </w:pPr>
                            <w:r>
                              <w:rPr/>
                              <w:t xml:space="preserve">Odprt forum, </w:t>
                            </w:r>
                          </w:p>
                          <w:p>
                            <w:pPr>
                              <w:pStyle w:val="Contenudetableau"/>
                              <w:spacing w:before="57" w:after="57"/>
                              <w:jc w:val="center"/>
                              <w:rPr/>
                            </w:pPr>
                            <w:r>
                              <w:rPr/>
                              <w:t>Branje in prednostno razvrščanje smernic</w:t>
                            </w:r>
                          </w:p>
                        </w:tc>
                        <w:tc>
                          <w:tcPr>
                            <w:tcW w:w="3138" w:type="dxa"/>
                            <w:tcBorders/>
                            <w:shd w:fill="00FF00" w:val="clear"/>
                          </w:tcPr>
                          <w:p>
                            <w:pPr>
                              <w:pStyle w:val="Contenudetableau"/>
                              <w:spacing w:before="57" w:after="57"/>
                              <w:jc w:val="center"/>
                              <w:rPr/>
                            </w:pPr>
                            <w:r>
                              <w:rPr/>
                              <w:t>Povratne informacije drugim skupinam, dokončno oblikovanje priporočil</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Preoblikovanje smernic v priporočila</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Plenarno zasedanje</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Odpri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Delo podskupine</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v podskupinah. Vsako od petnajstih podskupin je sestavljalo od dvanajst do štirinajst državljanov. V vsaki podskupini so bili uporabljeni štirje do pet jezikov, da bi se državljani lahko izražali v svojem jeziku ali v jeziku, v katerem so se počutili udobno. Vsaka podskupina je imela poklicnega posrednika iz konzorcija zunanjih ponudnikov storitev.</w:t>
      </w:r>
    </w:p>
    <w:p>
      <w:pPr>
        <w:pStyle w:val="Alineanegatifpuce"/>
        <w:numPr>
          <w:ilvl w:val="0"/>
          <w:numId w:val="3"/>
        </w:numPr>
        <w:rPr/>
      </w:pPr>
      <w:r>
        <w:rPr/>
        <w:t xml:space="preserve"> </w:t>
      </w:r>
      <w:r>
        <w:rPr/>
        <w:t>na plenarnem zasedanju, posvečenem delovnemu toku. Vsako plenarno zasedanje, posvečeno delovni osi, je združilo podskupine, ki delujejo na isti tematski osi. Plenarna zasedanja, posvečena delovnemu toku, so omogočili poklicni spodbujevalci, pri čemer je tolmačenje zajemalo vse jezike, ki jih zahtevajo udeleženci.</w:t>
      </w:r>
    </w:p>
    <w:p>
      <w:pPr>
        <w:pStyle w:val="Alineanegatifpuce"/>
        <w:numPr>
          <w:ilvl w:val="0"/>
          <w:numId w:val="3"/>
        </w:numPr>
        <w:rPr/>
      </w:pPr>
      <w:r>
        <w:rPr/>
        <w:t xml:space="preserve"> </w:t>
      </w:r>
      <w:r>
        <w:rPr/>
        <w:t>na plenarnem zasedanju z vsemi sodelujočimi državljani predstaviti in zaključiti zasedanje. Plenarna zasedanja sta vodila dva glavna moderatorja konzorcija s tolmačenjem v 24 uradnih jezikih EU.</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TRETJI KROG OKROGLIH MIZ</w:t>
      </w:r>
    </w:p>
    <w:p>
      <w:pPr>
        <w:pStyle w:val="Corpsdetexte"/>
        <w:rPr/>
      </w:pPr>
      <w:r>
        <w:rPr/>
        <w:t>Tretji in zadnji krog okroglih miz je potekal osebno v izobraževalnih ustanovah v štirih državah članicah. Zaradi pandemije COVID-19 in s tem povezanih ukrepov na Irskem in Nizozemskem tretje zasedanje prvega panela (močnejše gospodarstvo, socialna pravičnost in zaposlovanje); izobraževanje, kultura, mladina in šport; digitalna preobrazba) in 4 (EU v svetu; migracije) je bilo treba preložiti na februar 2022 v posvetovanju z nacionalnimi organi in pridruženimi partnerji.</w:t>
      </w:r>
    </w:p>
    <w:p>
      <w:pPr>
        <w:pStyle w:val="Corpsdetexte"/>
        <w:rPr/>
      </w:pPr>
      <w:r>
        <w:rPr/>
        <w:t xml:space="preserve">Razprave in skupinsko delo so potekale v naslednjih oblikah: </w:t>
      </w:r>
    </w:p>
    <w:p>
      <w:pPr>
        <w:pStyle w:val="Alineanegatifpuce"/>
        <w:numPr>
          <w:ilvl w:val="0"/>
          <w:numId w:val="3"/>
        </w:numPr>
        <w:rPr/>
      </w:pPr>
      <w:r>
        <w:rPr/>
        <w:t xml:space="preserve"> </w:t>
      </w:r>
      <w:r>
        <w:rPr/>
        <w:t>na plenarnem zasedanju z vsemi udeleženci na začetku zasedanja, da predstavi program, in ob koncu zasedanja, kot je pojasnjeno v nadaljevanju. Plenarna zasedanja sta vodila dva glavna moderatorja posvetovalne skupine s tolmačenjem v 24 uradnih jezikih EU.</w:t>
      </w:r>
    </w:p>
    <w:p>
      <w:pPr>
        <w:pStyle w:val="Alineanegatifpuce"/>
        <w:numPr>
          <w:ilvl w:val="0"/>
          <w:numId w:val="3"/>
        </w:numPr>
        <w:rPr/>
      </w:pPr>
      <w:r>
        <w:rPr/>
        <w:t xml:space="preserve"> </w:t>
      </w:r>
      <w:r>
        <w:rPr/>
        <w:t>Državljani so najprej preučili vse smernice, ki jih je odbor pripravil na drugi seji v okviru „odprtega foruma“. Vsak državljan je nato dal prednost največ desetim usmeritvam na os dela. Ko je bil ta postopek prednostnega razvrščanja končan na ravni okrogle mize, so se državljani pridružili podskupini, v kateri so že delali med 2. sejo, in se skupaj seznanili s smernicami skupine, ki jih je preostali odbor določil prednostno – priložnost, da to izbiro primerjajo s svojo oceno. Za pripravo priporočil je bila vsaki podskupini dana okvirni razpon števila priporočil, ki jih je treba pripraviti: od enega do treh, največ pet.</w:t>
      </w:r>
    </w:p>
    <w:p>
      <w:pPr>
        <w:pStyle w:val="Alineanegatifpuce"/>
        <w:numPr>
          <w:ilvl w:val="0"/>
          <w:numId w:val="3"/>
        </w:numPr>
        <w:rPr/>
      </w:pPr>
      <w:r>
        <w:rPr/>
        <w:t xml:space="preserve"> </w:t>
      </w:r>
      <w:r>
        <w:rPr/>
        <w:t xml:space="preserve">Vsaka od 15 podskupin je pripravila smernice za priporočila. Državljani so razpravljali o smernicah, ki so prejele največ podpore (po prednostnem vrstnem redu), in začeli postopek priprave priporočil. </w:t>
      </w:r>
    </w:p>
    <w:p>
      <w:pPr>
        <w:pStyle w:val="Normal"/>
        <w:rPr/>
      </w:pPr>
      <w:r>
        <w:rPr/>
        <w:t>V tretjem nizu sej strokovno znanje in informacije niso bili v neposredni interakciji z državljani, temveč prek posebej zasnovanega sistema, „virov in informacijske točke“. Ta sistem je bil uporabljen za centralizacijo vseh zahtevkov za informacije in preverjanje dejstev na kraju samem ter za zagotavljanje kratkih in dejanskih odgovorov strokovnjakov in preverjevalcev dejstev za podskupine. Ta sistem je zasnovan tako, da zagotavlja, da so prispevki strokovnjakov in preverjevalcev dejstev pripravljeni v skladu z najvišjimi standardi kakovosti, in da se prepreči neprimeren vpliv na tej stopnji postopka. Državljani so prejeli tudi vmesna poročila večjezične digitalne platforme.</w:t>
      </w:r>
    </w:p>
    <w:p>
      <w:pPr>
        <w:pStyle w:val="Corpsdetexte"/>
        <w:rPr/>
      </w:pPr>
      <w:r>
        <w:rPr/>
        <w:t>Med delom podskupine so bili organizirani povratni sestanki, ki so udeležencem pomagali razumeti delo drugih podskupin in okrepiti njihova priporočila.</w:t>
      </w:r>
    </w:p>
    <w:p>
      <w:pPr>
        <w:pStyle w:val="Corpsdetexte"/>
        <w:rPr/>
      </w:pPr>
      <w:r>
        <w:rPr/>
        <w:t>Odbor je nato na zadnji dan zasedanja glasoval o priporočilih vsake podskupine. Pred glasovanjem so vsi udeleženci prejeli dokument z vsemi osnutki priporočil, ki so bili pripravljeni dan pred glasovanjem, da bi jih lahko prebrali v svojem jeziku (avtomatski prevod iz angleščine). Vsako priporočilo je bilo prebrano v angleščini na plenarnem zasedanju, da bi državljanom omogočili sočasno poslušanje tolmačenja. O priporočilih so udeleženci glasovali z uporabo spletnega obrazca.</w:t>
      </w:r>
    </w:p>
    <w:p>
      <w:pPr>
        <w:pStyle w:val="Corpsdetexte"/>
        <w:rPr/>
      </w:pPr>
      <w:r>
        <w:rPr/>
        <w:t>Na podlagi rezultatov končnega glasovanja so bila priporočila razvrščena na naslednji način:</w:t>
      </w:r>
    </w:p>
    <w:p>
      <w:pPr>
        <w:pStyle w:val="Corpsdetexte"/>
        <w:rPr/>
      </w:pPr>
      <w:r>
        <w:rPr/>
        <w:t>Odbor je sprejel priporočila, ki so prejela 70 % ali več oddanih glasov; odbor je menil, da priporočila, ki niso dosegla tega praga, niso bila potrjena. Na okroglih mizah evropskih državljanov je bilo sprejetih 178 priporočil.</w:t>
      </w:r>
    </w:p>
    <w:p>
      <w:pPr>
        <w:pStyle w:val="Corpsdetexte"/>
        <w:rPr/>
      </w:pPr>
      <w:r>
        <w:rPr/>
        <w:t>Postopek glasovanja je nadzoroval odbor za glasovanje, sestavljen iz dveh državljanov, ki sta predlagala izpolnitev te vloge.</w:t>
      </w:r>
    </w:p>
    <w:p>
      <w:pPr>
        <w:pStyle w:val="Titre4"/>
        <w:numPr>
          <w:ilvl w:val="3"/>
          <w:numId w:val="2"/>
        </w:numPr>
        <w:rPr/>
      </w:pPr>
      <w:bookmarkStart w:id="14" w:name="__RefHeading___Toc298202_1346298689"/>
      <w:bookmarkEnd w:id="14"/>
      <w:r>
        <w:rPr/>
        <w:t>PREDSTAVNIKI EVROPSKIH DRŽAVLJANSKIH OKROGLIH MIZ NA PLENARNEM ZASEDANJU</w:t>
      </w:r>
    </w:p>
    <w:p>
      <w:pPr>
        <w:pStyle w:val="Corpsdetexte"/>
        <w:rPr/>
      </w:pPr>
      <w:r>
        <w:rPr/>
        <w:t>Priporočila, ki so jih sprejeli štirje evropski državljanski forumi, je nato predstavilo in o njih razpravljalo 80 predstavnikov evropskih državljanskih forumov na plenarnem zasedanju konference ter v delovnih skupinah 21. in 22. januarja 2022 (drugi in tretji sklop) ter 11. in 12. marca 2022 (prvi in četrti sklop). 80 predstavnikov evropskih državljanskih forumov (v povprečju 70 na kraju samem in 10 na spletu) je nato na treh zaporednih sejah plenarne skupščine in delovnih skupin (25. in 26. marca, 8. in 9. aprila ter 29. in 30. aprila) še naprej promoviralo in razlagalo priporočila evropskih državljanskih forumov.</w:t>
      </w:r>
    </w:p>
    <w:p>
      <w:pPr>
        <w:pStyle w:val="Corpsdetexte"/>
        <w:rPr/>
      </w:pPr>
      <w:r>
        <w:rPr/>
        <w:t>Prav tako so redno izmenjevali mnenja na srečanjih v okviru „komponente za državljane“ (na spletnih pripravljalnih sestankih in plenarnih zasedanjih na kraju samem), med seboj in s 27 predstavniki nacionalnih dogodkov in/ali nacionalnih okroglih miz. Predstavniki evropskih državljanskih forumov so se 23. aprila sestali na spletu z vsemi kolegi, da bi pojasnili, kako so bila priporočila obravnavana in vključena v predloge plenarnega zasedanja, ter prejeli povratne informacije drugih udeležencev okrogle mize. Skupina članov skupnega sekretariata in konzorcija sta med plenarnim zasedanjem podprla državljansko komponento.</w:t>
      </w:r>
    </w:p>
    <w:p>
      <w:pPr>
        <w:pStyle w:val="Titre4"/>
        <w:numPr>
          <w:ilvl w:val="3"/>
          <w:numId w:val="2"/>
        </w:numPr>
        <w:rPr/>
      </w:pPr>
      <w:bookmarkStart w:id="15" w:name="__RefHeading___Toc298204_1346298689"/>
      <w:bookmarkEnd w:id="15"/>
      <w:r>
        <w:rPr/>
        <w:t>PREGLEDNOST POSTOPKA</w:t>
      </w:r>
    </w:p>
    <w:p>
      <w:pPr>
        <w:pStyle w:val="Corpsdetexte"/>
        <w:rPr/>
      </w:pPr>
      <w:r>
        <w:rPr/>
        <w:t xml:space="preserve"> </w:t>
      </w:r>
      <w:r>
        <w:rPr/>
        <w:t>Celoten postopek je bil izveden na pregleden način. Plenarna zasedanja evropskih državljanskih forumov so se prenašala v živo, dokumenti, ki izhajajo iz njihovih razprav in razprav, pa so bili javnosti na voljo na večjezični digitalni platformi. Končno poročilo o vsaki seji odbora je skupaj s priporočili na voljo na platformi. Poročila vsebujejo tudi informacije o vseh strokovnjakih, ki so podprli delo odborov.</w:t>
      </w:r>
    </w:p>
    <w:p>
      <w:pPr>
        <w:pStyle w:val="Corpsdetexte"/>
        <w:rPr/>
      </w:pPr>
      <w:r>
        <w:rPr/>
        <w:t>Znanstvena skupnost je kot resnično demokratično inovacijo veliko pozornosti namenila okroglim krogom evropskih državljanov. Raziskovalci so se lahko udeležili sestankov evropskih državljanskih forumov in v skladu z določenimi pravili opazovali opravljeno delo in zasebnost udeležencev.</w:t>
      </w:r>
    </w:p>
    <w:p>
      <w:pPr>
        <w:pStyle w:val="Corpsdetexte"/>
        <w:rPr/>
      </w:pPr>
      <w:r>
        <w:rPr/>
      </w:r>
      <w:r>
        <w:br w:type="page"/>
      </w:r>
    </w:p>
    <w:p>
      <w:pPr>
        <w:pStyle w:val="Titre4"/>
        <w:numPr>
          <w:ilvl w:val="3"/>
          <w:numId w:val="2"/>
        </w:numPr>
        <w:rPr/>
      </w:pPr>
      <w:bookmarkStart w:id="16" w:name="__RefHeading___Toc298206_1346298689"/>
      <w:bookmarkEnd w:id="16"/>
      <w:r>
        <w:rPr/>
        <w:t xml:space="preserve">Plošča 1 </w:t>
        <w:br/>
        <w:t>Močnejše gospodarstvo, socialna pravičnost in zaposlovanje; izobraževanje, kultura, mladina in šport; digitalna transformacija</w:t>
      </w:r>
    </w:p>
    <w:p>
      <w:pPr>
        <w:pStyle w:val="Corpsdetexte"/>
        <w:rPr/>
      </w:pPr>
      <w:r>
        <w:rPr/>
        <w:t>Prvo zasedanje panela o močnejšem gospodarstvu, socialni pravičnosti in zaposlovanju; izobraževanje, kultura, mladina in šport; digitalna preobrazba" je potekala od 17. do 19. septembra 2021 v Strasbourgu. Ta okrogla miza je obravnavala prihodnost naših gospodarstev in delovnih mest, zlasti po pandemiji, pri čemer je namenila ustrezno pozornost povezanim vprašanjem socialne pravičnosti. Spregovoril je tudi o priložnostih in izzivih digitalne preobrazbe, ki je ena najpomembnejših tem za razpravo med tistimi, ki se nanašajo na prihodnost.</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Okvir 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Slika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Fotografiranje: okrogla miza 1 evropskih državljanov </w:t>
                              <w:tab/>
                              <w:t>Fotografiranje: okrogla miza 2 evropskih državljanov</w:t>
                            </w:r>
                          </w:p>
                        </w:txbxContent>
                      </wps:txbx>
                      <wps:bodyPr lIns="0" rIns="0" tIns="0" bIns="0">
                        <a:noAutofit/>
                      </wps:bodyPr>
                    </wps:wsp>
                  </a:graphicData>
                </a:graphic>
              </wp:anchor>
            </w:drawing>
          </mc:Choice>
          <mc:Fallback>
            <w:pict>
              <v:rect id="shape_0" ID="Okvir 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Slika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Fotografiranje: okrogla miza 1 evropskih državljanov </w:t>
                        <w:tab/>
                        <w:t>Fotografiranje: okrogla miza 2 evropskih državljanov</w:t>
                      </w:r>
                    </w:p>
                  </w:txbxContent>
                </v:textbox>
              </v:rect>
            </w:pict>
          </mc:Fallback>
        </mc:AlternateContent>
      </w:r>
      <w:r>
        <w:rPr/>
        <w:t>Okrogla miza je razpravljala tudi o prihodnosti Evrope na področjih mladine, športa, kulture in izobraževanja. Državljane, ki so sodelovali v okrogli mizi, je pozdravil sopredsednik Guy Verhofstadt. Prvo zasedanje se je zaključilo z odobritvijo petih sklopov dela: „Delo v Evropi“, „gospodarstvo za prihodnost“, „pravična družba“, „učenje v Evropi“ ter „Etična in varna digitalna preobrazba“.</w:t>
      </w:r>
    </w:p>
    <w:p>
      <w:pPr>
        <w:pStyle w:val="Corpsdetexte"/>
        <w:rPr/>
      </w:pPr>
      <w:r>
        <w:rPr/>
        <w:t>Od 5. do 7. novembra 2021 se je skupina 1 sestala drugič, tokrat v virtualni obliki, in nadaljevala razprave s prve seje. Na drugem zasedanju so člani odbora določili „smernice“ za pripravo konkretnih priporočil (na tretjem zasedanju) za vsako od petih osi, opredeljenih na prvem zasedanju. Skupaj so državljani, ki so sodelovali v panelu 1, oblikovali 142 usmerjevalnih skupin.</w:t>
      </w:r>
    </w:p>
    <w:p>
      <w:pPr>
        <w:pStyle w:val="Corpsdetexte"/>
        <w:rPr/>
      </w:pPr>
      <w:r>
        <w:rPr/>
        <w:t>Od 25. do 27. februarja 2022 so se državljani, ki so sodelovali v okrogli mizi 1, sestali tretjič in nadaljevali razprave, ki so potekale med prvim in drugim zasedanjem. Zaključno sejo je na dublinskem gradu gostil Inštitut za mednarodne in evropske zadeve (IIEA), ki je imel priložnost sodelovati na spletu.</w:t>
      </w:r>
    </w:p>
    <w:p>
      <w:pPr>
        <w:pStyle w:val="Corpsdetexte"/>
        <w:rPr/>
      </w:pPr>
      <w:r>
        <w:rPr/>
        <w:t>državljani so na podlagi smernic, ki so jih na drugi seji pripravili kot podlago za svoje delo, pripravili in odobrili 48 končnih priporočil.</w:t>
      </w:r>
    </w:p>
    <w:p>
      <w:pPr>
        <w:pStyle w:val="Titre4"/>
        <w:numPr>
          <w:ilvl w:val="3"/>
          <w:numId w:val="2"/>
        </w:numPr>
        <w:rPr/>
      </w:pPr>
      <w:bookmarkStart w:id="17" w:name="__RefHeading___Toc298208_1346298689"/>
      <w:bookmarkEnd w:id="17"/>
      <w:r>
        <w:rPr/>
        <w:t xml:space="preserve">Plošča 2 </w:t>
        <w:br/>
        <w:t>Evropska demokracija; vrednote in pravice, pravna država, varnost</w:t>
      </w:r>
    </w:p>
    <w:p>
      <w:pPr>
        <w:pStyle w:val="Corpsdetexte"/>
        <w:rPr/>
      </w:pPr>
      <w:r>
        <w:rPr/>
        <w:t>Prvi del okrogle mize o evropski demokraciji; vrednote in pravice, pravna država, varnost", ki je potekala od 24. do 26. septembra v Strasbourgu. Odbor se je osredotočil na vprašanja, povezana z demokracijo, kot so volitve, udeležba zunaj volilnega obdobja, zaznana razdalja med državljani in njihovimi izvoljenimi predstavniki, svoboda medijev in dezinformacije. Obravnavala je tudi vprašanja v zvezi s temeljnimi pravicami in vrednotami, pravno državo in bojem proti vsem oblikam diskriminacije. Hkrati se je osredotočil na notranjo varnost EU, kot je zaščita Evropejcev pred terorističnimi dejanji in drugimi kaznivimi dejanji. Govornike je pozdravil sopredsednik Gašper Dovžan.</w:t>
      </w:r>
    </w:p>
    <w:p>
      <w:pPr>
        <w:pStyle w:val="Corpsdetexte"/>
        <w:rPr/>
      </w:pPr>
      <w:r>
        <w:rPr/>
        <w:t>Delo na tem prvem zasedanju se je zaključilo v zvezi z odobritvijo petih sklopov dela: „Zagotavljanje spoštovanja pravic in nediskriminacije“, „Zaščita demokracije in pravne države“, „Reforma EU“, „Izgradnja evropske identitete“ in „Krepitev udeležbe državljanov“.</w:t>
      </w:r>
    </w:p>
    <w:p>
      <w:pPr>
        <w:pStyle w:val="Corpsdetexte"/>
        <w:rPr/>
      </w:pPr>
      <w:r>
        <w:rPr/>
        <w:t>Druga skupina se je od 12. do 14. novembra 2021 sestala drugič v virtualni obliki in nadaljevala razprave na prvi seji. Na drugem zasedanju so člani odbora določili „smernice“ za pripravo konkretnih priporočil (na tretjem zasedanju) za vsako od petih osi, opredeljenih na prvem zasedanju. Skupaj so državljani, ki so sodelovali v panelu 2, oblikovali 124 usmerjevalnih skupin.</w:t>
      </w:r>
    </w:p>
    <w:p>
      <w:pPr>
        <w:pStyle w:val="Corpsdetexte"/>
        <w:rPr/>
      </w:pPr>
      <w:r>
        <w:rPr/>
        <w:t>Od 10. do 12. decembra 2021 so se državljani, ki so sodelovali v panelu 2, sestali na zaključni seji, ki je bila organizirana na Evropskem univerzitetnem inštitutu v Firencah, z možnostjo sodelovanja prek spleta. Državljani so na podlagi smernic, ki so jih na drugi seji pripravili kot podlago za svoje delo, pripravili in odobrili 39 končnih priporočil.</w:t>
      </w:r>
    </w:p>
    <w:p>
      <w:pPr>
        <w:pStyle w:val="Titre4"/>
        <w:numPr>
          <w:ilvl w:val="3"/>
          <w:numId w:val="2"/>
        </w:numPr>
        <w:rPr/>
      </w:pPr>
      <w:bookmarkStart w:id="18" w:name="__RefHeading___Toc298210_1346298689"/>
      <w:bookmarkEnd w:id="18"/>
      <w:r>
        <w:rPr/>
        <w:t>Panel 3 Podnebne spremembe in okolje; zdravje</w:t>
      </w:r>
    </w:p>
    <w:p>
      <w:pPr>
        <w:pStyle w:val="Corpsdetexte"/>
        <w:rPr/>
      </w:pPr>
      <w:r>
        <w:rPr/>
        <w:t>Odbor za podnebne spremembe in okolje; zdravje" je prvo zasedanje potekalo od 1.</w:t>
      </w:r>
      <w:r>
        <w:rPr>
          <w:vertAlign w:val="superscript"/>
        </w:rPr>
        <w:t>do</w:t>
      </w:r>
      <w:r>
        <w:rPr/>
        <w:t xml:space="preserve"> 3. oktobra v Strasbourgu. Okrogla miza se je osredotočila na učinke podnebnih sprememb, okoljska vprašanja in nove zdravstvene izzive za Evropsko unijo. Zajemal je tudi cilje in strategije EU, kot so kmetijstvo, promet in mobilnost, energija in prehod na postogljične družbe, raziskave, zdravstveni sistemi, odzivi na zdravstvene krize, preprečevanje in zdrav način življenja. Delo na tem prvem zasedanju se je končalo z odobritvijo petih področij dela: „Boljši življenjski slog“, „Zaščita našega okolja in zdravja“, „Spreminjanje našega gospodarstva in potrošnje“, „Na poti k trajnostni družbi“ in „Poskrba za vse“. Končno poročilo o seji je na voljo na večjezični digitalni platformi.</w:t>
      </w:r>
    </w:p>
    <w:p>
      <w:pPr>
        <w:pStyle w:val="Corpsdetexte"/>
        <w:rPr/>
      </w:pPr>
      <w:r>
        <w:rPr/>
        <w:t>Od 19. do 21. novembra 2021 se je skupina 3 sestala drugič, tokrat v virtualni obliki, da bi nadaljevala razprave na prvi seji. Na drugem zasedanju so člani odbora določili „smernice“ za pripravo konkretnih priporočil (na tretjem zasedanju) za vsako od petih osi, opredeljenih na prvem zasedanju. Državljani, ki so sodelovali v okrogli mizi 3, so sestavljali 130 usmerjevalnih skupin.</w:t>
      </w:r>
    </w:p>
    <w:p>
      <w:pPr>
        <w:pStyle w:val="Corpsdetexte"/>
        <w:rPr/>
      </w:pPr>
      <w:r>
        <w:rPr/>
        <w:t>Od 7. do 9. januarja 2022 so se državljani 3. okrogle mize zbrali na zaključni seji, ki so jo organizirali na Akademiji Evrope v Natolinu in Palači za kulturo in znanost ob podpori mesta Varšava. Na spletu je bilo mogoče sodelovati. Državljani so na podlagi smernic, ki so jih na drugi seji pripravili kot podlago za svoje delo, pripravili in odobrili 51 končnih priporočil.</w:t>
      </w:r>
    </w:p>
    <w:p>
      <w:pPr>
        <w:pStyle w:val="Titre4"/>
        <w:numPr>
          <w:ilvl w:val="3"/>
          <w:numId w:val="2"/>
        </w:numPr>
        <w:rPr/>
      </w:pPr>
      <w:bookmarkStart w:id="19" w:name="__RefHeading___Toc298212_1346298689"/>
      <w:bookmarkEnd w:id="19"/>
      <w:r>
        <w:rPr/>
        <w:t>Okrogla miza 4 EU v svetu; migracije</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Okvir 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Slik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Fotografiranje: okrogla miza 3 evropskih državljanov</w:t>
                            </w:r>
                          </w:p>
                        </w:txbxContent>
                      </wps:txbx>
                      <wps:bodyPr lIns="0" rIns="0" tIns="0" bIns="0">
                        <a:noAutofit/>
                      </wps:bodyPr>
                    </wps:wsp>
                  </a:graphicData>
                </a:graphic>
              </wp:anchor>
            </w:drawing>
          </mc:Choice>
          <mc:Fallback>
            <w:pict>
              <v:rect id="shape_0" ID="Okvir 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Slik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Fotografiranje: okrogla miza 3 evropskih državljanov</w:t>
                      </w:r>
                    </w:p>
                  </w:txbxContent>
                </v:textbox>
              </v:rect>
            </w:pict>
          </mc:Fallback>
        </mc:AlternateContent>
      </w:r>
    </w:p>
    <w:p>
      <w:pPr>
        <w:pStyle w:val="Corpsdetexte"/>
        <w:rPr/>
      </w:pPr>
      <w:r>
        <w:rPr/>
        <w:t>Četrti odbor z naslovom „EU v svetu“; migracije" se je prvič sestal od 15. do 17. oktobra v Strasbourgu, na katerem so udeleženci razpravljali zlasti o vlogi EU na mednarodnem prizorišču.</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Okvir 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Slika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Fotografiranje: okrogla miza 4 evropskih državljanov</w:t>
                              <w:br/>
                            </w:r>
                          </w:p>
                        </w:txbxContent>
                      </wps:txbx>
                      <wps:bodyPr lIns="0" rIns="0" tIns="0" bIns="0">
                        <a:noAutofit/>
                      </wps:bodyPr>
                    </wps:wsp>
                  </a:graphicData>
                </a:graphic>
              </wp:anchor>
            </w:drawing>
          </mc:Choice>
          <mc:Fallback>
            <w:pict>
              <v:rect id="shape_0" ID="Okvir 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Slika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Fotografiranje: okrogla miza 4 evropskih državljanov</w:t>
                        <w:br/>
                      </w:r>
                    </w:p>
                  </w:txbxContent>
                </v:textbox>
              </v:rect>
            </w:pict>
          </mc:Fallback>
        </mc:AlternateContent>
      </w:r>
      <w:r>
        <w:rPr/>
        <w:t>Razpravljali so zlasti o ciljih in strategijah EU na področju varnosti, obrambe, trgovinske politike, humanitarne pomoči in razvojnega sodelovanja, zunanje politike, sosedske politike EU in širitve ter o tem, kako bi morala EU obravnavati migracije. Državljane je pozdravila sopredsednica Dubravka Šuica. Delo na tem prvem zasedanju se je zaključilo v zvezi z odobritvijo petih področij dela: „samozadostnost in stabilnost“, „EU kot mednarodna partnerica“, „močna EU v mirnem svetu“, „Migracija s človeškega vidika“ in „Odgovornost in solidarnost po vsej EU“. Končno poročilo o seji je na voljo na večjezični digitalni platformi.</w:t>
      </w:r>
    </w:p>
    <w:p>
      <w:pPr>
        <w:pStyle w:val="Corpsdetexte"/>
        <w:rPr/>
      </w:pPr>
      <w:r>
        <w:rPr/>
        <w:t>Druga spletna seja panela 4 je potekala od 16. do 28. novembra 2021 na podlagi dela, opravljenega na prvi seji. Na drugem zasedanju so člani odbora določili „smernice“ za pripravo konkretnih priporočil (na tretjem zasedanju) za vsako od petih osi, opredeljenih na prvem zasedanju. Skupaj so državljani, ki so sodelovali v okrogli mizi 4, oblikovali 95 usmerjevalnih skupin.</w:t>
      </w:r>
    </w:p>
    <w:p>
      <w:pPr>
        <w:pStyle w:val="Corpsdetexte"/>
        <w:rPr/>
      </w:pPr>
      <w:r>
        <w:rPr/>
        <w:t>Od 11. do 13. februarja 2022 so se državljani 4. okrogle mize zbrali na zaključni seji, ki jo je v sodelovanju z Univerzo v Maastrichtu in Evropskim inštitutom za javno upravo (IEAP) v Maastrichtskem razstavnem in konferenčnem centru (MECC) organiziral Studio Europa Maastricht. Na spletu je bilo mogoče sodelovati.</w:t>
      </w:r>
    </w:p>
    <w:p>
      <w:pPr>
        <w:pStyle w:val="Corpsdetexte"/>
        <w:rPr/>
      </w:pPr>
      <w:r>
        <w:rPr/>
        <w:t>državljani so na podlagi smernic, ki so jih na drugi seji pripravili kot podlago za svoje delo, pripravili in odobrili 40 končnih priporočil.</w:t>
      </w:r>
    </w:p>
    <w:p>
      <w:pPr>
        <w:pStyle w:val="Normal"/>
        <w:rPr/>
      </w:pPr>
      <w:r>
        <w:rPr/>
      </w:r>
    </w:p>
    <w:p>
      <w:pPr>
        <w:pStyle w:val="Titre3"/>
        <w:numPr>
          <w:ilvl w:val="2"/>
          <w:numId w:val="2"/>
        </w:numPr>
        <w:rPr/>
      </w:pPr>
      <w:bookmarkStart w:id="20" w:name="__RefHeading___Toc298214_1346298689"/>
      <w:bookmarkEnd w:id="20"/>
      <w:r>
        <w:rPr/>
        <w:t>2.</w:t>
        <w:tab/>
        <w:t>Nacionalni forumi za državljane</w:t>
      </w:r>
    </w:p>
    <w:p>
      <w:pPr>
        <w:pStyle w:val="Corpsdetexte"/>
        <w:rPr/>
      </w:pPr>
      <w:r>
        <w:rPr/>
        <w:t>V skladu s skupno izjavo je plenarna skupščina konference razpravljala o priporočilih nacionalnih in evropskih državljanskih okroglih miz, razvrščenih po temah. V pomoč državam članicam, ki načrtujejo organizacijo nacionalnih okroglih miz državljanov, sta sopredsednika potrdila smernice in jih 26. maja 2021 posredovala izvršnemu odboru. Upoštevali so enaka načela kot evropske državljanske forume in vključevali načela dobrega posvetovanja na podlagi poročila OECD</w:t>
      </w:r>
      <w:r>
        <w:rPr>
          <w:rStyle w:val="Ancredenotedebasdepage"/>
          <w:rStyle w:val="Ancredenotedebasdepage"/>
        </w:rPr>
        <w:footnoteReference w:id="5"/>
      </w:r>
      <w:r>
        <w:rPr/>
        <w:t>.</w:t>
      </w:r>
    </w:p>
    <w:p>
      <w:pPr>
        <w:pStyle w:val="Corpsdetexte"/>
        <w:rPr/>
      </w:pPr>
      <w:r>
        <w:rPr/>
        <w:t>Šest držav članic – Belgija, Francija, Nemčija, Italija, Litva in Nizozemska – je organiziralo okrogle mize nacionalnih državljanov, ki so spoštovale načela iz teh smernic. Priporočila teh nacionalnih državljanskih okroglih miz so bila predstavljena in obravnavana na januarskih in marčevskih plenarnih zasedanjih ter na plenarnih delovnih skupinah, vzporedno s priporočili evropskih državljanskih forumov o istih temah.</w:t>
      </w:r>
    </w:p>
    <w:p>
      <w:pPr>
        <w:pStyle w:val="Titre4"/>
        <w:numPr>
          <w:ilvl w:val="3"/>
          <w:numId w:val="2"/>
        </w:numPr>
        <w:rPr/>
      </w:pPr>
      <w:bookmarkStart w:id="21" w:name="__RefHeading___Toc298216_1346298689"/>
      <w:bookmarkEnd w:id="21"/>
      <w:r>
        <w:rPr/>
        <w:t>1)</w:t>
        <w:tab/>
        <w:t>BELGIJA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Okvir 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Slik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Slika: Belgijska državljanska okrogla miza</w:t>
                            </w:r>
                          </w:p>
                        </w:txbxContent>
                      </wps:txbx>
                      <wps:bodyPr lIns="0" rIns="0" tIns="0" bIns="0">
                        <a:noAutofit/>
                      </wps:bodyPr>
                    </wps:wsp>
                  </a:graphicData>
                </a:graphic>
              </wp:anchor>
            </w:drawing>
          </mc:Choice>
          <mc:Fallback>
            <w:pict>
              <v:rect id="shape_0" ID="Okvir 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Slik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Slika: Belgijska državljanska okrogla miza</w:t>
                      </w:r>
                    </w:p>
                  </w:txbxContent>
                </v:textbox>
              </v:rect>
            </w:pict>
          </mc:Fallback>
        </mc:AlternateContent>
      </w:r>
    </w:p>
    <w:p>
      <w:pPr>
        <w:pStyle w:val="Corpsdetexte"/>
        <w:rPr/>
      </w:pPr>
      <w:r>
        <w:rPr/>
        <w:t>Oktobra 2021 je okrogla miza državljanov v treh vikendih zbrala 50 naključno izbranih državljanov, predstavnikov prebivalstva, da bi razpravljali o evropski demokraciji in o tem, kako bi lahko bili državljani bolj vključeni v evropske zadeve.</w:t>
      </w:r>
    </w:p>
    <w:p>
      <w:pPr>
        <w:pStyle w:val="Corpsdetexte"/>
        <w:rPr/>
      </w:pPr>
      <w:r>
        <w:rPr/>
        <w:t>Ta okrogla miza je bila organizirana pod pokroviteljstvom belgijske podpredsednice vlade in ministrice za zunanje in evropske zadeve Sophie Wilmès.</w:t>
      </w:r>
    </w:p>
    <w:p>
      <w:pPr>
        <w:pStyle w:val="Corpsdetexte"/>
        <w:rPr/>
      </w:pPr>
      <w:r>
        <w:rPr/>
        <w:t>Državljani so pripravili priporočila o petih temah, ki so jih izbrali, in sicer o:</w:t>
      </w:r>
    </w:p>
    <w:p>
      <w:pPr>
        <w:pStyle w:val="Alineanegatifpuce"/>
        <w:numPr>
          <w:ilvl w:val="0"/>
          <w:numId w:val="3"/>
        </w:numPr>
        <w:rPr/>
      </w:pPr>
      <w:r>
        <w:rPr/>
        <w:t xml:space="preserve"> </w:t>
      </w:r>
      <w:r>
        <w:rPr/>
        <w:t>izboljšanje komunikacije o Evropski uniji,</w:t>
      </w:r>
    </w:p>
    <w:p>
      <w:pPr>
        <w:pStyle w:val="Alineanegatifpuce"/>
        <w:numPr>
          <w:ilvl w:val="0"/>
          <w:numId w:val="3"/>
        </w:numPr>
        <w:rPr/>
      </w:pPr>
      <w:r>
        <w:rPr/>
        <w:t xml:space="preserve"> </w:t>
      </w:r>
      <w:r>
        <w:rPr/>
        <w:t>prepoznavanje dezinformacij o EU in boj proti njim,</w:t>
      </w:r>
    </w:p>
    <w:p>
      <w:pPr>
        <w:pStyle w:val="Alineanegatifpuce"/>
        <w:numPr>
          <w:ilvl w:val="0"/>
          <w:numId w:val="3"/>
        </w:numPr>
        <w:rPr/>
      </w:pPr>
      <w:r>
        <w:rPr/>
        <w:t xml:space="preserve"> </w:t>
      </w:r>
      <w:r>
        <w:rPr/>
        <w:t>okrogle mize državljanov kot orodje za udeležbo,</w:t>
      </w:r>
    </w:p>
    <w:p>
      <w:pPr>
        <w:pStyle w:val="Alineanegatifpuce"/>
        <w:numPr>
          <w:ilvl w:val="0"/>
          <w:numId w:val="3"/>
        </w:numPr>
        <w:rPr/>
      </w:pPr>
      <w:r>
        <w:rPr/>
        <w:t xml:space="preserve"> </w:t>
      </w:r>
      <w:r>
        <w:rPr/>
        <w:t>referendum o evropskih zadevah,</w:t>
      </w:r>
    </w:p>
    <w:p>
      <w:pPr>
        <w:pStyle w:val="Alineanegatifpuce"/>
        <w:numPr>
          <w:ilvl w:val="0"/>
          <w:numId w:val="3"/>
        </w:numPr>
        <w:rPr/>
      </w:pPr>
      <w:r>
        <w:rPr/>
        <w:t xml:space="preserve"> </w:t>
      </w:r>
      <w:r>
        <w:rPr/>
        <w:t>izboljšati obstoječe participativne instrumente v Evropski uniji.</w:t>
      </w:r>
    </w:p>
    <w:p>
      <w:pPr>
        <w:pStyle w:val="Corpsdetexte"/>
        <w:rPr/>
      </w:pPr>
      <w:r>
        <w:rPr/>
        <w:t>Na podlagi dela belgijske državljanske komisije je bilo pripravljenih 115 priporočil, o katerih je 50 naključno izbranih belgijskih državljanov razpravljalo in glasovalo.</w:t>
      </w:r>
    </w:p>
    <w:p>
      <w:pPr>
        <w:pStyle w:val="Corpsdetexte"/>
        <w:rPr/>
      </w:pPr>
      <w:r>
        <w:rPr/>
      </w:r>
    </w:p>
    <w:p>
      <w:pPr>
        <w:pStyle w:val="Titre4"/>
        <w:numPr>
          <w:ilvl w:val="3"/>
          <w:numId w:val="2"/>
        </w:numPr>
        <w:rPr/>
      </w:pPr>
      <w:bookmarkStart w:id="22" w:name="__RefHeading___Toc298218_1346298689"/>
      <w:bookmarkEnd w:id="22"/>
      <w:r>
        <w:rPr/>
        <w:t>2)</w:t>
        <w:tab/>
        <w:t>NEMČIJA</w:t>
      </w:r>
    </w:p>
    <w:p>
      <w:pPr>
        <w:pStyle w:val="Corpsdetexte"/>
        <w:rPr/>
      </w:pPr>
      <w:r>
        <w:rPr/>
        <w:t>Nemško zunanje ministrstvo je januarja 2022 organiziralo okroglo mizo državljanov. Na tej spletni okrogli mizi je sodelovalo 100 naključno izbranih državljanov, ki predstavljajo prebivalstvo.</w:t>
      </w:r>
    </w:p>
    <w:p>
      <w:pPr>
        <w:pStyle w:val="Corpsdetexte"/>
        <w:rPr/>
      </w:pPr>
      <w:r>
        <w:rPr/>
        <w:t>5. in 8. januarja 2022 je bilo na spletu organiziranih pet začetnih delavnic, od katerih se je vsako udeležilo 20 udeležencev na naslednjih temah:</w:t>
      </w:r>
    </w:p>
    <w:p>
      <w:pPr>
        <w:pStyle w:val="Corpsdetexte"/>
        <w:rPr/>
      </w:pPr>
      <w:r>
        <w:rPr/>
        <w:t>vloga Evrope v svetu, podnebje in okolje,</w:t>
      </w:r>
    </w:p>
    <w:p>
      <w:pPr>
        <w:pStyle w:val="Corpsdetexte"/>
        <w:rPr/>
      </w:pPr>
      <w:r>
        <w:rPr/>
        <w:t>pravna država in vrednote,</w:t>
      </w:r>
    </w:p>
    <w:p>
      <w:pPr>
        <w:pStyle w:val="Corpsdetexte"/>
        <w:rPr/>
      </w:pPr>
      <w:r>
        <w:rPr/>
        <w:t>močnejše gospodarstvo in socialna pravičnost.</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Okvir 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Slik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Fotografiranje: Okrogla miza nemških državljanov</w:t>
                            </w:r>
                          </w:p>
                        </w:txbxContent>
                      </wps:txbx>
                      <wps:bodyPr lIns="0" rIns="0" tIns="0" bIns="0">
                        <a:noAutofit/>
                      </wps:bodyPr>
                    </wps:wsp>
                  </a:graphicData>
                </a:graphic>
              </wp:anchor>
            </w:drawing>
          </mc:Choice>
          <mc:Fallback>
            <w:pict>
              <v:rect id="shape_0" ID="Okvir 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Slik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Fotografiranje: Okrogla miza nemških državljanov</w:t>
                      </w:r>
                    </w:p>
                  </w:txbxContent>
                </v:textbox>
              </v:rect>
            </w:pict>
          </mc:Fallback>
        </mc:AlternateContent>
      </w:r>
    </w:p>
    <w:p>
      <w:pPr>
        <w:pStyle w:val="Corpsdetexte"/>
        <w:rPr/>
      </w:pPr>
      <w:r>
        <w:rPr/>
        <w:t>100 naključno izbranih državljanov se je sestalo 15. in 16. januarja 2022, da bi razpravljali o izzivih, povezanih s temi vprašanji in možnimi rešitvami, ter sprejeli svoja priporočila. Udeleženci so pripravili dva posebna predloga za vsako od zgornjih tem.</w:t>
      </w:r>
    </w:p>
    <w:p>
      <w:pPr>
        <w:pStyle w:val="Corpsdetexte"/>
        <w:rPr/>
      </w:pPr>
      <w:r>
        <w:rPr/>
        <w:t>Rezultati so bili predstavljeni 16. januarja na zaključni spletni konferenci, ki sta se je udeležila nemška zunanja ministrica Annalena Baerbock in namestnica ministrice za Evropo in podnebje Anna Lührmann.</w:t>
      </w:r>
    </w:p>
    <w:p>
      <w:pPr>
        <w:pStyle w:val="Corpsdetexte"/>
        <w:rPr/>
      </w:pPr>
      <w:r>
        <w:rPr/>
      </w:r>
    </w:p>
    <w:p>
      <w:pPr>
        <w:pStyle w:val="Titre4"/>
        <w:numPr>
          <w:ilvl w:val="3"/>
          <w:numId w:val="2"/>
        </w:numPr>
        <w:rPr/>
      </w:pPr>
      <w:bookmarkStart w:id="23" w:name="__RefHeading___Toc298220_1346298689"/>
      <w:bookmarkEnd w:id="23"/>
      <w:r>
        <w:rPr/>
        <w:t>3)</w:t>
        <w:tab/>
        <w:t>FRANCIJA</w:t>
      </w:r>
    </w:p>
    <w:p>
      <w:pPr>
        <w:pStyle w:val="Corpsdetexte"/>
        <w:rPr/>
      </w:pPr>
      <w:r>
        <w:rPr/>
        <w:t>Državljanske okrogle mize je v Franciji organiziralo francosko ministrstvo za Evropo in zunanje zadeve ob podpori ministrstva za odnose s parlamentom in državljansko udeležbo.</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Okvir 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Slika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Fotografiranje: okrogla miza francoskih državljanov</w:t>
                            </w:r>
                          </w:p>
                        </w:txbxContent>
                      </wps:txbx>
                      <wps:bodyPr lIns="0" rIns="0" tIns="0" bIns="0">
                        <a:noAutofit/>
                      </wps:bodyPr>
                    </wps:wsp>
                  </a:graphicData>
                </a:graphic>
              </wp:anchor>
            </w:drawing>
          </mc:Choice>
          <mc:Fallback>
            <w:pict>
              <v:rect id="shape_0" ID="Okvir 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Slika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Fotografiranje: okrogla miza francoskih državljanov</w:t>
                      </w:r>
                    </w:p>
                  </w:txbxContent>
                </v:textbox>
              </v:rect>
            </w:pict>
          </mc:Fallback>
        </mc:AlternateContent>
      </w:r>
    </w:p>
    <w:p>
      <w:pPr>
        <w:pStyle w:val="Corpsdetexte"/>
        <w:rPr/>
      </w:pPr>
      <w:r>
        <w:rPr/>
        <w:t>Septembra in v začetku oktobra 2021 je bilo organiziranih osemnajst državljanskih okroglih miz v vseh francoskih, metropolitanskih in čezmorskih regijah. V vsaki okrogli mizi je sodelovalo od 30 do 50 naključno izbranih državljanov, ki predstavljajo raznolikost prebivalstva regij. Na okroglih mizah je sodelovalo več kot 700 državljanov. Na podlagi dela regionalnih okroglih miz je bilo oblikovanih 101 želja s 515 predlogi sprememb in 1 301 posebnimi predlogi.</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Okvir 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Slika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Fotografiranje: Italijanski državljanski forum</w:t>
                            </w:r>
                          </w:p>
                        </w:txbxContent>
                      </wps:txbx>
                      <wps:bodyPr lIns="0" rIns="0" tIns="0" bIns="0">
                        <a:noAutofit/>
                      </wps:bodyPr>
                    </wps:wsp>
                  </a:graphicData>
                </a:graphic>
              </wp:anchor>
            </w:drawing>
          </mc:Choice>
          <mc:Fallback>
            <w:pict>
              <v:rect id="shape_0" ID="Okvir 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Slika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Fotografiranje: Italijanski državljanski forum</w:t>
                      </w:r>
                    </w:p>
                  </w:txbxContent>
                </v:textbox>
              </v:rect>
            </w:pict>
          </mc:Fallback>
        </mc:AlternateContent>
      </w:r>
      <w:r>
        <w:rPr/>
        <w:t>Skupno 100 državljanov, ki predstavljajo okrogle mize, se je 16. in 17. oktobra 2021 sestalo v Parizu, da bi na nacionalni zbirni konferenci pripravili in sprejeli priporočila. V okviru tega procesa je bilo opredeljenih skupno 14 prednostnih priporočil. Priporočila, ki so zajemala devet tem konference, so bila predložena francoski vladi, vključno z državnim sekretarjem Clémentom Beaunejem, in so predstavljala prispevek francoske vlade h konferenci.</w:t>
      </w:r>
    </w:p>
    <w:p>
      <w:pPr>
        <w:pStyle w:val="Titre4"/>
        <w:numPr>
          <w:ilvl w:val="3"/>
          <w:numId w:val="2"/>
        </w:numPr>
        <w:rPr/>
      </w:pPr>
      <w:bookmarkStart w:id="24" w:name="__RefHeading___Toc298222_1346298689"/>
      <w:bookmarkEnd w:id="24"/>
      <w:r>
        <w:rPr/>
        <w:t>4)</w:t>
        <w:tab/>
        <w:t>ITALIJA</w:t>
      </w:r>
    </w:p>
    <w:p>
      <w:pPr>
        <w:pStyle w:val="Corpsdetexte"/>
        <w:rPr/>
      </w:pPr>
      <w:r>
        <w:rPr/>
        <w:t>Državljansko okroglo mizo je marca 2022 organizirala neodvisna tretja stran pod nadzorom italijanskega oddelka za evropsko politiko predsedstva Sveta ministrov.</w:t>
      </w:r>
    </w:p>
    <w:p>
      <w:pPr>
        <w:pStyle w:val="Corpsdetexte"/>
        <w:rPr/>
      </w:pPr>
      <w:r>
        <w:rPr/>
      </w:r>
    </w:p>
    <w:p>
      <w:pPr>
        <w:pStyle w:val="Corpsdetexte"/>
        <w:rPr/>
      </w:pPr>
      <w:r>
        <w:rPr/>
        <w:t>Sodelovalo je 55 naključno izbranih državljanov, ki so zastopali italijansko družbo in njene regije. Udeleženci so bili naključno izbrani, da bi zagotovili prisotnost različnih spolov, starosti, socialnega porekla, prebivališča in poklicnega statusa.</w:t>
      </w:r>
    </w:p>
    <w:p>
      <w:pPr>
        <w:pStyle w:val="Corpsdetexte"/>
        <w:rPr/>
      </w:pPr>
      <w:r>
        <w:rPr/>
        <w:t>Državljani so se 11. in 12. marca 2022 sestali na spletu, da bi razpravljali o dveh temah konference:</w:t>
      </w:r>
    </w:p>
    <w:p>
      <w:pPr>
        <w:pStyle w:val="Alineanegatifpuce"/>
        <w:numPr>
          <w:ilvl w:val="0"/>
          <w:numId w:val="3"/>
        </w:numPr>
        <w:rPr/>
      </w:pPr>
      <w:r>
        <w:rPr/>
        <w:t xml:space="preserve"> „</w:t>
      </w:r>
      <w:r>
        <w:rPr/>
        <w:t>Močnejše gospodarstvo, socialna pravičnost in zaposlovanje“ ter</w:t>
      </w:r>
    </w:p>
    <w:p>
      <w:pPr>
        <w:pStyle w:val="Alineanegatifpuce"/>
        <w:numPr>
          <w:ilvl w:val="0"/>
          <w:numId w:val="3"/>
        </w:numPr>
        <w:rPr/>
      </w:pPr>
      <w:r>
        <w:rPr/>
        <w:t xml:space="preserve"> „</w:t>
      </w:r>
      <w:r>
        <w:rPr/>
        <w:t>Evropa v svetu“.</w:t>
      </w:r>
    </w:p>
    <w:p>
      <w:pPr>
        <w:pStyle w:val="Corpsdetexte"/>
        <w:rPr/>
      </w:pPr>
      <w:r>
        <w:rPr/>
        <w:t>Odbor je 12. marca 2022 sprejel skupaj 58 priporočil, od tega 33 o močnejšem gospodarstvu, socialni pravičnosti in zaposlovanju ter 25 priporočil o Evropi v svetu. Zadnji dan so udeleženci opravili preverjanje in potrjevanje prvega osnutka priporočil, pripravljenih v prvi fazi dela.</w:t>
      </w:r>
    </w:p>
    <w:p>
      <w:pPr>
        <w:pStyle w:val="Corpsdetexte"/>
        <w:rPr/>
      </w:pPr>
      <w:r>
        <w:rPr/>
      </w:r>
    </w:p>
    <w:p>
      <w:pPr>
        <w:pStyle w:val="Titre4"/>
        <w:numPr>
          <w:ilvl w:val="3"/>
          <w:numId w:val="2"/>
        </w:numPr>
        <w:rPr/>
      </w:pPr>
      <w:bookmarkStart w:id="25" w:name="__RefHeading___Toc298224_1346298689"/>
      <w:bookmarkEnd w:id="25"/>
      <w:r>
        <w:rPr/>
        <w:t>5)</w:t>
        <w:tab/>
        <w:t>LITVA</w:t>
      </w:r>
    </w:p>
    <w:p>
      <w:pPr>
        <w:pStyle w:val="Corpsdetexte"/>
        <w:rPr/>
      </w:pPr>
      <w:r>
        <w:rPr/>
        <w:t>Neodvisna tretja stran je januarja 2022 v imenu ministrstva za zunanje zadeve organizirala nacionalno državljansko okroglo mizo.</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Okvir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Slika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Fotografiranje: Litovska državljanska okrogla miza</w:t>
                            </w:r>
                          </w:p>
                        </w:txbxContent>
                      </wps:txbx>
                      <wps:bodyPr lIns="0" rIns="0" tIns="0" bIns="0">
                        <a:noAutofit/>
                      </wps:bodyPr>
                    </wps:wsp>
                  </a:graphicData>
                </a:graphic>
              </wp:anchor>
            </w:drawing>
          </mc:Choice>
          <mc:Fallback>
            <w:pict>
              <v:rect id="shape_0" ID="Okvir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Slika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Fotografiranje: Litovska državljanska okrogla miza</w:t>
                      </w:r>
                    </w:p>
                  </w:txbxContent>
                </v:textbox>
              </v:rect>
            </w:pict>
          </mc:Fallback>
        </mc:AlternateContent>
      </w:r>
    </w:p>
    <w:p>
      <w:pPr>
        <w:pStyle w:val="Corpsdetexte"/>
        <w:rPr/>
      </w:pPr>
      <w:r>
        <w:rPr/>
        <w:t>V njem je sodelovalo 25 naključno izbranih državljanov, starih od 18 do 65 let, ki predstavljajo različne socialno-ekonomske skupine in regije Litve.</w:t>
      </w:r>
    </w:p>
    <w:p>
      <w:pPr>
        <w:pStyle w:val="Corpsdetexte"/>
        <w:rPr/>
      </w:pPr>
      <w:r>
        <w:rPr/>
        <w:t>Na spletu je bila organizirana otvoritvena seja 4. januarja 2022, državljani pa so razpravljali o dveh temah:</w:t>
      </w:r>
    </w:p>
    <w:p>
      <w:pPr>
        <w:pStyle w:val="Alineanegatifpuce"/>
        <w:numPr>
          <w:ilvl w:val="0"/>
          <w:numId w:val="3"/>
        </w:numPr>
        <w:rPr/>
      </w:pPr>
      <w:r>
        <w:rPr/>
        <w:t xml:space="preserve"> </w:t>
      </w:r>
      <w:r>
        <w:rPr/>
        <w:t>vloga in pristojnosti EU v zunanji politiki;</w:t>
      </w:r>
    </w:p>
    <w:p>
      <w:pPr>
        <w:pStyle w:val="Alineanegatifpuce"/>
        <w:numPr>
          <w:ilvl w:val="0"/>
          <w:numId w:val="3"/>
        </w:numPr>
        <w:rPr/>
      </w:pPr>
      <w:r>
        <w:rPr/>
        <w:t xml:space="preserve"> </w:t>
      </w:r>
      <w:r>
        <w:rPr/>
        <w:t>gospodarsko vlogo EU.</w:t>
      </w:r>
    </w:p>
    <w:p>
      <w:pPr>
        <w:pStyle w:val="Normal"/>
        <w:rPr/>
      </w:pPr>
      <w:r>
        <w:rPr/>
      </w:r>
    </w:p>
    <w:p>
      <w:pPr>
        <w:pStyle w:val="Corpsdetexte"/>
        <w:rPr/>
      </w:pPr>
      <w:r>
        <w:rPr/>
        <w:t>Udeleženci so se 15. januarja 2022 sestali osebno, da bi oblikovali glavne zaključke svojih razprav. 25. januarja 2022 so na virtualni seji sprejeli 21 priporočil, od katerih jih je bilo 10 osredotočenih na vlogo in pristojnosti EU v zunanji politiki, 11 pa na gospodarsko vlogo EU.</w:t>
      </w:r>
    </w:p>
    <w:p>
      <w:pPr>
        <w:pStyle w:val="Corpsdetexte"/>
        <w:rPr/>
      </w:pPr>
      <w:r>
        <w:rPr/>
      </w:r>
    </w:p>
    <w:p>
      <w:pPr>
        <w:pStyle w:val="Titre4"/>
        <w:numPr>
          <w:ilvl w:val="3"/>
          <w:numId w:val="2"/>
        </w:numPr>
        <w:rPr/>
      </w:pPr>
      <w:bookmarkStart w:id="26" w:name="__RefHeading___Toc298226_1346298689"/>
      <w:bookmarkEnd w:id="26"/>
      <w:r>
        <w:rPr/>
        <w:t>6)</w:t>
        <w:tab/>
        <w:t>NIZOZEMSKA</w:t>
      </w:r>
    </w:p>
    <w:p>
      <w:pPr>
        <w:pStyle w:val="Corpsdetexte"/>
        <w:rPr/>
      </w:pPr>
      <w:r>
        <w:rPr/>
        <w:t>Državljansko okroglo mizo je organizirala neodvisna tretja stran, dialogi z naslovom Vizije Evrope pa so se začeli</w:t>
      </w:r>
      <w:r>
        <w:rPr>
          <w:vertAlign w:val="superscript"/>
        </w:rPr>
        <w:t>1.</w:t>
      </w:r>
      <w:r>
        <w:rPr/>
        <w:t xml:space="preserve"> septembra. Razdeljeni so bili na več delov.</w:t>
      </w:r>
    </w:p>
    <w:p>
      <w:pPr>
        <w:pStyle w:val="Corpsdetexte"/>
        <w:rPr/>
      </w:pPr>
      <w:r>
        <w:rPr/>
        <w:t>Spletna stran, ki se je</w:t>
      </w:r>
      <w:r>
        <w:rPr>
          <w:vertAlign w:val="superscript"/>
        </w:rPr>
        <w:t>začela</w:t>
      </w:r>
      <w:r>
        <w:rPr/>
        <w:t xml:space="preserve"> 1. septembra 2021, je vključevala</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Slik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q</w:t>
      </w:r>
      <w:r>
        <w:rPr/>
        <w:t>uestio nary in poenostavljeno orodje za izbor, ki državljanom omogoča, da izrazijo svoje želje, želje in priporočila v zvezi z devetimi temami konference. Vprašalnik je bil razdeljen izbrani reprezentativni in vključujoči skupini 4 000 državljanov.</w:t>
      </w:r>
    </w:p>
    <w:p>
      <w:pPr>
        <w:pStyle w:val="Corpsdetexte"/>
        <w:rPr/>
      </w:pPr>
      <w:r>
        <w:rPr/>
      </w:r>
    </w:p>
    <w:p>
      <w:pPr>
        <w:pStyle w:val="Corpsdetexte"/>
        <w:rPr/>
      </w:pPr>
      <w:r>
        <w:rPr/>
        <w:t>Oktobra in novembra 2021 so potekale poglobljene razprave z državljani na spletu in drugje, zlasti zato, da bi dosegli mlade in težko dosegljive ciljne skupine.</w:t>
      </w:r>
    </w:p>
    <w:p>
      <w:pPr>
        <w:pStyle w:val="Corpsdetexte"/>
        <w:rPr/>
      </w:pPr>
      <w:r>
        <w:rPr/>
        <w:t>Objavljeni sta bili dve poročili z naslovom „Naša vizija za Evropo“; mnenja, zamisli in priporočila (Elze kijk op Europa; Meningen, ideeën en Aanbevelingen) in združuje 30 priporočil državljanov o devetih temah konference.</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Okvir 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Nizozemski državljanski</w:t>
                            </w:r>
                            <w:r>
                              <w:rPr>
                                <w:color w:val="auto"/>
                              </w:rPr>
                              <w:drawing>
                                <wp:inline distT="0" distB="0" distL="0" distR="0">
                                  <wp:extent cx="2970530" cy="2017395"/>
                                  <wp:effectExtent l="0" t="0" r="0" b="0"/>
                                  <wp:docPr id="55" name="Slika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forum</w:t>
                            </w:r>
                          </w:p>
                        </w:txbxContent>
                      </wps:txbx>
                      <wps:bodyPr lIns="0" rIns="0" tIns="0" bIns="0">
                        <a:noAutofit/>
                      </wps:bodyPr>
                    </wps:wsp>
                  </a:graphicData>
                </a:graphic>
              </wp:anchor>
            </w:drawing>
          </mc:Choice>
          <mc:Fallback>
            <w:pict>
              <v:rect id="shape_0" ID="Okvir 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Nizozemski državljanski</w:t>
                      </w:r>
                      <w:r>
                        <w:rPr>
                          <w:color w:val="auto"/>
                        </w:rPr>
                        <w:drawing>
                          <wp:inline distT="0" distB="0" distL="0" distR="0">
                            <wp:extent cx="2970530" cy="2017395"/>
                            <wp:effectExtent l="0" t="0" r="0" b="0"/>
                            <wp:docPr id="56" name="Slika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forum</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Dogodki, organizirani v okviru konference</w:t>
      </w:r>
    </w:p>
    <w:p>
      <w:pPr>
        <w:pStyle w:val="Titre3"/>
        <w:numPr>
          <w:ilvl w:val="2"/>
          <w:numId w:val="2"/>
        </w:numPr>
        <w:rPr/>
      </w:pPr>
      <w:bookmarkStart w:id="28" w:name="__RefHeading___Toc298230_1346298689"/>
      <w:bookmarkEnd w:id="28"/>
      <w:r>
        <w:rPr/>
        <w:t>1.</w:t>
        <w:tab/>
        <w:t>Nacionalni dogodki</w:t>
      </w:r>
    </w:p>
    <w:p>
      <w:pPr>
        <w:pStyle w:val="Corpsdetexte"/>
        <w:rPr/>
      </w:pPr>
      <w:r>
        <w:rPr/>
        <w:t xml:space="preserve">Države članice so k konferenci prispevale s številnimi dogodki in pobudami. Na teh dogodkih se je udeležilo več tisoč državljanov iz vse EU. </w:t>
      </w:r>
      <w:hyperlink r:id="rId47">
        <w:r>
          <w:rPr>
            <w:rStyle w:val="LienInternet"/>
          </w:rPr>
          <w:t>Poseben razdelek</w:t>
        </w:r>
      </w:hyperlink>
      <w:r>
        <w:rPr/>
        <w:t xml:space="preserve"> večjezične digitalne platforme vsebuje pregled glavnih dejavnosti, ki so jih organi držav članic organizirali ali podprli. Dogodke so na plenarnih zasedanjih konference 23. oktobra 2021 in 25. marca 2022 predstavili predstavniki nacionalnih dogodkov in/ali nacionalne okrogle mize z državljani, vendar so k konferenci prispevali tudi prek </w:t>
      </w:r>
      <w:hyperlink r:id="rId48">
        <w:r>
          <w:rPr>
            <w:rStyle w:val="LienInternet"/>
          </w:rPr>
          <w:t>poročil platforme</w:t>
        </w:r>
      </w:hyperlink>
      <w:r>
        <w:rPr/>
        <w:t>, s čimer so obogatili razpravo na evropski ravni.</w:t>
      </w:r>
    </w:p>
    <w:p>
      <w:pPr>
        <w:pStyle w:val="Corpsdetexte"/>
        <w:rPr/>
      </w:pPr>
      <w:r>
        <w:rPr/>
        <w:t xml:space="preserve"> </w:t>
      </w:r>
      <w:r>
        <w:rPr/>
        <w:t>Glavni cilj teh dogodkov in pobud je bil prisluhniti državljanom in jih vključiti v razprave o Evropski uniji. Prednostna naloga je bila tudi vključevanje državljanov in dialog z njimi s prizadevanji za vključitev ljudi, ki običajno niso vključeni v razprave, povezane z EU.</w:t>
      </w:r>
    </w:p>
    <w:p>
      <w:pPr>
        <w:pStyle w:val="Corpsdetexte"/>
        <w:rPr/>
      </w:pPr>
      <w:r>
        <w:rPr/>
        <w:t>Organizirane so bile različne vrste dogodkov, ki so združevale centralizirane in decentralizirane pristope, vključno z različnimi oblikami podpore za pobude od spodaj navzgor. Dejavnosti in dogodke v državah članicah so organizirale različne institucije in akterji, vključno z nacionalnimi, regionalnimi in lokalnimi organi, organizacijami civilne družbe, socialnimi partnerji, združenji in državljani. V nekaterih primerih so pri organizaciji dogodkov na konferenci dejavno sodelovale tudi nevladne organizacije, kulturne ustanove, možganski trusti, univerze in raziskovalni inštituti. V mnogih od teh dejavnosti in dogodkov je bil poseben poudarek na sodelovanju mlajše generacije.</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Slika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Pregled glavnih dogodkov in pobud v državah članicah:</w:t>
      </w:r>
    </w:p>
    <w:p>
      <w:pPr>
        <w:pStyle w:val="P68B1DB1Corpsdetexte12"/>
        <w:rPr>
          <w:b/>
          <w:b/>
          <w:i/>
          <w:i/>
          <w:u w:val="single"/>
        </w:rPr>
      </w:pPr>
      <w:r>
        <w:rPr/>
        <w:t>1 Belgija</w:t>
      </w:r>
    </w:p>
    <w:p>
      <w:pPr>
        <w:pStyle w:val="Corpsdetexte"/>
        <w:rPr/>
      </w:pPr>
      <w:r>
        <w:rPr/>
        <w:t>Zvezne in regionalne oblasti so organizirale več dogodkov. Z državljani je potekalo več razprav, na primer o EU v svetu ter o podnebnih spremembah in okolju. Potekal je tudi strukturiran dialog z državljani o življenju v obmejni regiji in hekaton o vplivu zdravega načina življenja in podnebnih sprememb na kakovost življenja ter ovirah pri zaposlovanju mladih.</w:t>
      </w:r>
    </w:p>
    <w:p>
      <w:pPr>
        <w:pStyle w:val="Corpsdetexte"/>
        <w:rPr/>
      </w:pPr>
      <w:r>
        <w:rPr/>
        <w:t>Poleg tega je bil organiziran dogodek o digitalizaciji in trajnostnem gospodarstvu, potekala pa je tudi vrsta razprav med mladimi in politiki na temo „Evropa, ki vam prisluhne“.</w:t>
      </w:r>
    </w:p>
    <w:p>
      <w:pPr>
        <w:pStyle w:val="P68B1DB1Corpsdetexte12"/>
        <w:rPr>
          <w:b/>
          <w:b/>
          <w:i/>
          <w:i/>
          <w:u w:val="single"/>
        </w:rPr>
      </w:pPr>
      <w:r>
        <w:rPr/>
        <w:t>2 Bolgarija</w:t>
      </w:r>
    </w:p>
    <w:p>
      <w:pPr>
        <w:pStyle w:val="Corpsdetexte"/>
        <w:rPr/>
      </w:pPr>
      <w:r>
        <w:rPr/>
        <w:t>Bolgarska vaja se je začela na slovesnosti z naslovom „Kako slišati glas državljanov na konferenci o prihodnosti Evrope?“, v kateri so sodelovali javni organi in predstavniki državljanov. V okviru organiziranih dogodkov je bil vzpostavljen dialog o demografiji in demokraciji.</w:t>
      </w:r>
    </w:p>
    <w:p>
      <w:pPr>
        <w:pStyle w:val="Corpsdetexte"/>
        <w:rPr/>
      </w:pPr>
      <w:r>
        <w:rPr/>
        <w:t>V večjih univerzitetnih mestih je s pomočjo centrov Europe Direct potekalo več lokalnih dogodkov.</w:t>
      </w:r>
    </w:p>
    <w:p>
      <w:pPr>
        <w:pStyle w:val="P68B1DB1Corpsdetexte12"/>
        <w:rPr>
          <w:b/>
          <w:b/>
          <w:i/>
          <w:i/>
          <w:u w:val="single"/>
        </w:rPr>
      </w:pPr>
      <w:r>
        <w:rPr/>
        <w:t>3 Češka republika</w:t>
      </w:r>
    </w:p>
    <w:p>
      <w:pPr>
        <w:pStyle w:val="Corpsdetexte"/>
        <w:rPr/>
      </w:pPr>
      <w:r>
        <w:rPr/>
        <w:t>Češka je organizirala osrednje razprave s širšo javnostjo in informativne dogodke za zadevne deležnike. Ti dogodki so bili dopolnjeni z mladinskimi dogodki in dogodki z mednarodno udeležbo. Organiziran je bil zlasti nadnacionalni dogodek z nemškimi in češkimi državljani. Po vsej državi je potekalo več regionalnih razprav, pa tudi regionalni seminarji za srednješolce na temo „Decide o Evropi“.</w:t>
      </w:r>
    </w:p>
    <w:p>
      <w:pPr>
        <w:pStyle w:val="Normal"/>
        <w:rPr/>
      </w:pPr>
      <w:r>
        <w:rPr/>
      </w:r>
    </w:p>
    <w:p>
      <w:pPr>
        <w:pStyle w:val="P68B1DB1Corpsdetexte12"/>
        <w:tabs>
          <w:tab w:val="left" w:pos="1391" w:leader="none"/>
        </w:tabs>
        <w:rPr>
          <w:b/>
          <w:b/>
          <w:i/>
          <w:i/>
          <w:u w:val="single"/>
        </w:rPr>
      </w:pPr>
      <w:r>
        <w:rPr/>
        <w:t>4 Danska</w:t>
      </w:r>
    </w:p>
    <w:p>
      <w:pPr>
        <w:pStyle w:val="Corpsdetexte"/>
        <w:rPr/>
      </w:pPr>
      <w:r>
        <w:rPr/>
        <w:t>Organizirana je bila široka in vključujoča nacionalna razprava, v kateri so imeli osrednjo vlogo civilna družba in drugi nevladni akterji. Skupina različnih organizacij, vključno z nevladnimi organizacijami, mediji, mladinskimi organizacijami, kulturnimi ustanovami, možganskimi trusti in raziskovalnimi inštituti, je bila dodeljena določena skupina javnih sredstev za podporo razpravam in pobudam nevladnih organizacij. Organiziranih je bilo več kot 180 razprav, od katerih je bila približno polovica posebej namenjena mladim. Poleg tega sta vlada in parlament organizirala vrsto uradnih dogodkov, kot so posvetovanja z državljani in razprave.</w:t>
      </w:r>
    </w:p>
    <w:p>
      <w:pPr>
        <w:pStyle w:val="P68B1DB1Corpsdetexte12"/>
        <w:rPr>
          <w:b/>
          <w:b/>
          <w:i/>
          <w:i/>
          <w:u w:val="single"/>
        </w:rPr>
      </w:pPr>
      <w:r>
        <w:rPr/>
        <w:t>5 Nemčija</w:t>
      </w:r>
    </w:p>
    <w:p>
      <w:pPr>
        <w:pStyle w:val="Corpsdetexte"/>
        <w:rPr/>
      </w:pPr>
      <w:r>
        <w:rPr/>
        <w:t>Dogodki v Nemčiji so vključevali zvezno vlado, zvezni parlament, zvezne države in civilno družbo. Poleg dogodkov, ki jih je organizirala zvezna vlada, je več kot 50 regionalnih dogodkov organiziralo šestnajst nemških zveznih dežel, približno 300 pa civilna družba.</w:t>
      </w:r>
    </w:p>
    <w:p>
      <w:pPr>
        <w:pStyle w:val="Corpsdetexte"/>
        <w:rPr/>
      </w:pPr>
      <w:r>
        <w:rPr/>
        <w:t>Čezmejni dogodki in dialogi s študenti in mladimi so bili osrednji element številnih pobud, ki mlade postavljajo v ospredje razprav, namenjenih oblikovanju prihodnosti Evrope.</w:t>
      </w:r>
    </w:p>
    <w:p>
      <w:pPr>
        <w:pStyle w:val="P68B1DB1Corpsdetexte12"/>
        <w:rPr>
          <w:b/>
          <w:b/>
          <w:i/>
          <w:i/>
          <w:u w:val="single"/>
        </w:rPr>
      </w:pPr>
      <w:r>
        <w:rPr/>
        <w:t>6 Estonija</w:t>
      </w:r>
    </w:p>
    <w:p>
      <w:pPr>
        <w:pStyle w:val="Corpsdetexte"/>
        <w:rPr/>
      </w:pPr>
      <w:r>
        <w:rPr/>
        <w:t>Državno kanclerstvo je organiziralo različne dogodke, seminarje in razprave v sodelovanju s predstavništvom Evropske komisije v Estoniji, ministrstvom za zunanje zadeve in drugimi ministrstvi ter civilno družbo in mladinskimi organizacijami. Zlasti je potekala razprava za srednješolce o ključnih vprašanjih, povezanih s podnebnimi spremembami, energetskimi politikami in konferenco na splošno. Začela se je tudi razprava o estonski diplomaciji za doseganje podnebnih ciljev.</w:t>
      </w:r>
    </w:p>
    <w:p>
      <w:pPr>
        <w:pStyle w:val="P68B1DB1Corpsdetexte12"/>
        <w:rPr>
          <w:b/>
          <w:b/>
          <w:i/>
          <w:i/>
          <w:u w:val="single"/>
        </w:rPr>
      </w:pPr>
      <w:r>
        <w:rPr/>
        <w:t>7 Irska</w:t>
      </w:r>
    </w:p>
    <w:p>
      <w:pPr>
        <w:pStyle w:val="Corpsdetexte"/>
        <w:rPr/>
      </w:pPr>
      <w:r>
        <w:rPr/>
        <w:t>Osrednja tema dejavnosti, organiziranih na Irskem, sta bila vključevanje in dialog s celotnim prebivalstvom, zlasti mladimi.</w:t>
      </w:r>
    </w:p>
    <w:p>
      <w:pPr>
        <w:pStyle w:val="Corpsdetexte"/>
        <w:rPr/>
      </w:pPr>
      <w:r>
        <w:rPr/>
        <w:t>V sodelovanju z Evropskim gibanjem za Irsko (EMI) se je v letih 2021 in 2022 začel izvajati program regionalnih in sektorskih zavez. Prva faza regionalnih srečanj je potekala junija in julija v obliki virtualnih posvetovanj. Druga faza regionalnih dogodkov je potekala v obliki osebnih javnih srečanj v začetku leta 2022. Od julija poteka program dogodkov, ki jih vodi vlada.</w:t>
      </w:r>
    </w:p>
    <w:p>
      <w:pPr>
        <w:pStyle w:val="P68B1DB1Corpsdetexte12"/>
        <w:rPr>
          <w:b/>
          <w:b/>
          <w:i/>
          <w:i/>
          <w:u w:val="single"/>
        </w:rPr>
      </w:pPr>
      <w:r>
        <w:rPr/>
        <w:t>8 Grčija</w:t>
      </w:r>
    </w:p>
    <w:p>
      <w:pPr>
        <w:pStyle w:val="Corpsdetexte"/>
        <w:rPr/>
      </w:pPr>
      <w:r>
        <w:rPr/>
        <w:t>Ministrstvo za zunanje zadeve je bilo pristojno za usklajevanje nacionalnega dialoga. Centralne in lokalne vladne agencije ter civilna družba so bile močno pozvane k organizaciji razprav in drugih dogodkov. Na primer, potekali so dogodki v zvezi z evro-sredozemskim sodelovanjem, Zahodnim Balkanom, demografskim izzivom, migracijami in demokracijo, v katerih so sodelovali državljani in različni deležniki.</w:t>
      </w:r>
    </w:p>
    <w:p>
      <w:pPr>
        <w:pStyle w:val="P68B1DB1Corpsdetexte12"/>
        <w:rPr>
          <w:b/>
          <w:b/>
          <w:i/>
          <w:i/>
          <w:u w:val="single"/>
        </w:rPr>
      </w:pPr>
      <w:r>
        <w:rPr/>
        <w:t>9 Španija</w:t>
      </w:r>
    </w:p>
    <w:p>
      <w:pPr>
        <w:pStyle w:val="Corpsdetexte"/>
        <w:rPr/>
      </w:pPr>
      <w:r>
        <w:rPr/>
        <w:t>Španski okvir je vključeval šest dogodkov na nacionalni ravni (npr. posvetovanje s španskimi državljani o prihodnosti Evrope) in približno 20 dogodkov na regionalni ravni. Organiziran je bil tudi dogodek s portugalskimi in španskimi državljani, na katerem so razpravljali o ključnih temah, ki so zanimive za prihodnost njihovih regij in EU. Na regionalni in lokalni ravni so oblasti organizirale dogodke o več temah, kot so čezmejno sodelovanje, vpliv demografskih sprememb, trajnostni promet in mobilnost, podnebne spremembe, migracije in prihodnost najbolj oddaljenih regij.</w:t>
      </w:r>
    </w:p>
    <w:p>
      <w:pPr>
        <w:pStyle w:val="Normal"/>
        <w:rPr/>
      </w:pPr>
      <w:r>
        <w:rPr/>
      </w:r>
    </w:p>
    <w:p>
      <w:pPr>
        <w:pStyle w:val="P68B1DB1Corpsdetexte12"/>
        <w:rPr>
          <w:b/>
          <w:b/>
          <w:i/>
          <w:i/>
          <w:u w:val="single"/>
        </w:rPr>
      </w:pPr>
      <w:r>
        <w:rPr/>
        <w:t>10 Francija</w:t>
      </w:r>
    </w:p>
    <w:p>
      <w:pPr>
        <w:pStyle w:val="Corpsdetexte"/>
        <w:rPr/>
      </w:pPr>
      <w:r>
        <w:rPr/>
        <w:t>Francoska vlada je od maja do julija 2021 izvedla obsežno spletno posvetovanje za mlade. Petdeset tisoč mladih Francozov je izrazilo svoja stališča in podprlo šestnajst glavnih idej za prihodnost Evrope. Rezultati tega postopka so bili skupaj z rezultati francoske državljanske komisije zbrani v končnem poročilu, ki predstavlja prispevek Francije k konferenci. Francoska vlada je tudi spodbudila vse francoske akterje, ki so to želeli (združenja, lokalne oblasti, izvoljeni uradniki, predstavniki civilne družbe), da organizirajo dogodke.</w:t>
      </w:r>
    </w:p>
    <w:p>
      <w:pPr>
        <w:pStyle w:val="P68B1DB1Corpsdetexte12"/>
        <w:rPr>
          <w:b/>
          <w:b/>
          <w:i/>
          <w:i/>
          <w:u w:val="single"/>
        </w:rPr>
      </w:pPr>
      <w:r>
        <w:rPr/>
        <w:t>11 Hrvaška</w:t>
      </w:r>
    </w:p>
    <w:p>
      <w:pPr>
        <w:pStyle w:val="Corpsdetexte"/>
        <w:rPr/>
      </w:pPr>
      <w:r>
        <w:rPr/>
        <w:t>Ustanovljena je bila delovna skupina za usklajevanje dejavnosti, ki je zbrala zamisli in načrte za izvajanje dejavnosti na nacionalni ravni. Ministrstva, osrednji državni uradi, regionalne razvojne agencije, univerze, nevladne organizacije in inštituti so organizirali dogodke v obliki konferenc, dialogov z državljani in razprav z državljani, javnih razprav in izobraževalnih delavnic s posebnim poudarkom na mladih.</w:t>
      </w:r>
    </w:p>
    <w:p>
      <w:pPr>
        <w:pStyle w:val="Corpsdetexte"/>
        <w:rPr/>
      </w:pPr>
      <w:r>
        <w:rPr/>
        <w:t>Obravnavane teme vključujejo migracije, demografijo, podnebno nevtralnost in krožno gospodarstvo. Nekateri dogodki so bili organizirani z drugimi državami članicami in sosednjimi državami, ki niso članice EU.</w:t>
      </w:r>
    </w:p>
    <w:p>
      <w:pPr>
        <w:pStyle w:val="P68B1DB1Corpsdetexte12"/>
        <w:rPr>
          <w:b/>
          <w:b/>
          <w:i/>
          <w:i/>
          <w:u w:val="single"/>
        </w:rPr>
      </w:pPr>
      <w:r>
        <w:rPr/>
        <w:t>12 Italija</w:t>
      </w:r>
    </w:p>
    <w:p>
      <w:pPr>
        <w:pStyle w:val="Corpsdetexte"/>
        <w:rPr/>
      </w:pPr>
      <w:r>
        <w:rPr/>
        <w:t>Organiziranih je bilo več dogodkov, ki se osredotočajo zlasti na mlade, da bi dosegli čim več državljanov, tudi ob dejavni podpori lokalnih oblasti. Začela se je medijska kampanja za čim večjo ozaveščenost o teh dogodkih. Te dejavnosti vključujejo mladinski forum EU-Balkan, organiziran z mladimi z Zahodnega Balkana, mladinski forum „Meddialogi“, ki vključuje mlade iz južnega sosedstva, ter tekmovanja za srednješolske in univerzitetne študente z naslovom „Evropa je v vaših rokah“.</w:t>
      </w:r>
    </w:p>
    <w:p>
      <w:pPr>
        <w:pStyle w:val="P68B1DB1Corpsdetexte12"/>
        <w:rPr>
          <w:b/>
          <w:b/>
          <w:i/>
          <w:i/>
          <w:u w:val="single"/>
        </w:rPr>
      </w:pPr>
      <w:r>
        <w:rPr/>
        <w:t>13 Ciper</w:t>
      </w:r>
    </w:p>
    <w:p>
      <w:pPr>
        <w:pStyle w:val="Corpsdetexte"/>
        <w:rPr/>
      </w:pPr>
      <w:r>
        <w:rPr/>
        <w:t>Organiziranih je bilo več dejavnosti, osredotočenih na mlade, ki so vključevale številne akterje. Potekal je uvodni dogodek, ki je vključeval razpravo z mlajšo generacijo o njunih pričakovanjih, pomislekih in viziji za Evropo in Ciper v EU. Potekal je tudi odprt dialog o vlogi mladih v razpravi o Evropi in težavah, s katerimi se soočajo na nacionalni in evropski ravni. Potekal je tudi dogodek za razpravo o prihodnosti evropske varnosti in obrambe.</w:t>
      </w:r>
    </w:p>
    <w:p>
      <w:pPr>
        <w:pStyle w:val="P68B1DB1Corpsdetexte12"/>
        <w:rPr>
          <w:b/>
          <w:b/>
          <w:i/>
          <w:i/>
          <w:u w:val="single"/>
        </w:rPr>
      </w:pPr>
      <w:r>
        <w:rPr/>
        <w:t>14 Latvija</w:t>
      </w:r>
    </w:p>
    <w:p>
      <w:pPr>
        <w:pStyle w:val="Corpsdetexte"/>
        <w:rPr/>
      </w:pPr>
      <w:r>
        <w:rPr/>
        <w:t>Organiziranih je bilo več dogodkov, vključno z nacionalno spletno razpravo s študenti z naslovom „Prihodnost je v vaših rokah“ o gospodarskih, socialnih in varnostnih vprašanjih. Vzpostavljena je bila nacionalna raziskava in razprave v možganskih trustih, da bi zbrali javno mnenje o stališčih državljanov o prihodnjih prednostnih nalogah Evropske unije v zvezi z vsemi temami konference. Potekale so regionalne razprave v živo, namenjene ozaveščanju o konferenci med ljudmi, starimi 55 let in več, s srednješolci pa so potekale neposredne razprave.</w:t>
      </w:r>
    </w:p>
    <w:p>
      <w:pPr>
        <w:pStyle w:val="P68B1DB1Corpsdetexte12"/>
        <w:rPr>
          <w:b/>
          <w:b/>
          <w:i/>
          <w:i/>
          <w:u w:val="single"/>
        </w:rPr>
      </w:pPr>
      <w:r>
        <w:rPr/>
        <w:t>15 Litva</w:t>
      </w:r>
    </w:p>
    <w:p>
      <w:pPr>
        <w:pStyle w:val="Corpsdetexte"/>
        <w:rPr/>
      </w:pPr>
      <w:r>
        <w:rPr/>
        <w:t>Dogodki so bili večinoma organizirani decentralizirano, poudarek pa je bil na različnih regijah Litve in mladih (npr. v okviru razprave o mladih v baltskih državah). Potekala je vrsta dialogov z državljani (o demokraciji, digitalizaciji, podnebnih spremembah itd.), nadnacionalnih dialogih (npr. s Francijo, Irsko in Italijo) in dogodkih civilne družbe. Poleg tega so bile šole pozvane, naj obravnavajo vprašanje prihodnosti Evrope.</w:t>
      </w:r>
    </w:p>
    <w:p>
      <w:pPr>
        <w:pStyle w:val="Normal"/>
        <w:rPr/>
      </w:pPr>
      <w:r>
        <w:rPr/>
      </w:r>
    </w:p>
    <w:p>
      <w:pPr>
        <w:pStyle w:val="P68B1DB1Corpsdetexte12"/>
        <w:rPr>
          <w:b/>
          <w:b/>
          <w:i/>
          <w:i/>
          <w:u w:val="single"/>
        </w:rPr>
      </w:pPr>
      <w:r>
        <w:rPr/>
        <w:t>16 Luksemburg</w:t>
      </w:r>
    </w:p>
    <w:p>
      <w:pPr>
        <w:pStyle w:val="Corpsdetexte"/>
        <w:rPr/>
      </w:pPr>
      <w:r>
        <w:rPr/>
        <w:t>Na nacionalni ravni so bili organizirani številni dogodki z odprtim, vključujočim in preglednim pristopom. Parlament je na primer organiziral številne dogodke v novih oblikah, kot so „bistrotni pogovori“. Organiziran je bil tudi hekaton za študente in mlade podjetnike, da bi razpravljali o digitalnem kompasu in industrijski strategiji EU.</w:t>
      </w:r>
    </w:p>
    <w:p>
      <w:pPr>
        <w:pStyle w:val="Corpsdetexte"/>
        <w:rPr/>
      </w:pPr>
      <w:r>
        <w:rPr/>
        <w:t>Poleg tega je potekala trinacionalna izmenjava med nemškimi, francoskimi in luksemburškimi srednješolci.</w:t>
      </w:r>
    </w:p>
    <w:p>
      <w:pPr>
        <w:pStyle w:val="P68B1DB1Corpsdetexte12"/>
        <w:rPr>
          <w:b/>
          <w:b/>
          <w:i/>
          <w:i/>
          <w:u w:val="single"/>
        </w:rPr>
      </w:pPr>
      <w:r>
        <w:rPr/>
        <w:t>17 Madžarska</w:t>
      </w:r>
    </w:p>
    <w:p>
      <w:pPr>
        <w:pStyle w:val="Corpsdetexte"/>
        <w:rPr/>
      </w:pPr>
      <w:r>
        <w:rPr/>
        <w:t>Organizirana je bila široka paleta dogodkov po vsej družbi (več kot 800). Institucionalni dogodki vključujejo mednarodne konference na visoki ravni, ki jih organizira več ministrstev (npr. o širitvi EU in digitalni agendi), ter okrogle mize s študenti in mladinskimi organizacijami (npr. o evropskem povezovanju). Več organizacij je organiziralo okrogle mize, na katerih so razpravljali o naslednjih temah: institucije EU; močnejše gospodarstvo, socialna pravičnost in zaposlovanje, digitalna preobrazba, izobraževanje, kultura, mladi in šport; vrednote in pravice, pravna država in varnost; Nevladne organizacije; migracije; pa tudi demografija, družina, zdravje, podnebne spremembe in okolje.</w:t>
      </w:r>
    </w:p>
    <w:p>
      <w:pPr>
        <w:pStyle w:val="P68B1DB1Corpsdetexte12"/>
        <w:rPr>
          <w:b/>
          <w:b/>
          <w:i/>
          <w:i/>
          <w:u w:val="single"/>
        </w:rPr>
      </w:pPr>
      <w:r>
        <w:rPr/>
        <w:t>18 Malta</w:t>
      </w:r>
    </w:p>
    <w:p>
      <w:pPr>
        <w:pStyle w:val="Corpsdetexte"/>
        <w:rPr/>
      </w:pPr>
      <w:r>
        <w:rPr/>
        <w:t>Po uvodnem dogodku je bil ustanovljen nacionalni koordinacijski odbor za promocijo pobude prek različnih komunikacijskih kanalov in pomoč pri vodenju razprave prek nacionalnih in lokalnih dogodkov.</w:t>
      </w:r>
    </w:p>
    <w:p>
      <w:pPr>
        <w:pStyle w:val="Corpsdetexte"/>
        <w:rPr/>
      </w:pPr>
      <w:r>
        <w:rPr/>
        <w:t>Tematski javni dialogi (npr. o zdravju, evropskih vrednotah in prihodnosti dela za pravično družbo), tiskovne konference, posvetovanja z deležniki iz ustreznih sektorjev in interaktivna srečanja z otroki in študenti so bili organizirani v fizični ali hibridni obliki.</w:t>
      </w:r>
    </w:p>
    <w:p>
      <w:pPr>
        <w:pStyle w:val="Corpsdetexte"/>
        <w:rPr/>
      </w:pPr>
      <w:r>
        <w:rPr/>
      </w:r>
    </w:p>
    <w:p>
      <w:pPr>
        <w:pStyle w:val="P68B1DB1Corpsdetexte12"/>
        <w:rPr>
          <w:b/>
          <w:b/>
          <w:i/>
          <w:i/>
          <w:u w:val="single"/>
        </w:rPr>
      </w:pPr>
      <w:r>
        <w:rPr/>
        <w:t>19 Nizozemska</w:t>
      </w:r>
    </w:p>
    <w:p>
      <w:pPr>
        <w:pStyle w:val="Corpsdetexte"/>
        <w:rPr/>
      </w:pPr>
      <w:r>
        <w:rPr/>
        <w:t>Na Nizozemskem je bil poudarek na organizaciji nacionalne državljanske okrogle mize „Visions of Europe – Kijk op Europa“, ki je potekala na spletu in v živo. Temeljil je na dvofaznem pristopu: prva je bila zbrati razmišljanja in mnenja državljanov o „kaj“, in sicer o tem, kaj so pričakovali in želeli; druga faza je nato poskušala razumeti njihova temeljna stališča („zakaj“ in „kako“) v okviru skupinskih dialogov.</w:t>
      </w:r>
    </w:p>
    <w:p>
      <w:pPr>
        <w:pStyle w:val="Corpsdetexte"/>
        <w:rPr/>
      </w:pPr>
      <w:r>
        <w:rPr/>
      </w:r>
    </w:p>
    <w:p>
      <w:pPr>
        <w:pStyle w:val="P68B1DB1Corpsdetexte12"/>
        <w:rPr>
          <w:b/>
          <w:b/>
          <w:i/>
          <w:i/>
          <w:u w:val="single"/>
        </w:rPr>
      </w:pPr>
      <w:r>
        <w:rPr/>
        <w:t>20 Avstrija</w:t>
      </w:r>
    </w:p>
    <w:p>
      <w:pPr>
        <w:pStyle w:val="Corpsdetexte"/>
        <w:rPr/>
      </w:pPr>
      <w:r>
        <w:rPr/>
        <w:t>Razprave so potekale v različnih oblikah na zvezni, regionalni in lokalni ravni. „Prihodnji laboratoriji“ in „prihodnji dialogi“ so omogočili poglobljene izmenjave s strokovnjaki na visoki ravni o različnih temah in iskanje celovitejših rešitev za prihodnost. Poleg tega so avstrijski občinski svetniki, pristojni za evropske zadeve, organizirali številne dogodke. Več dogodkov, namenjenih neposredno mladim in študentom.</w:t>
      </w:r>
    </w:p>
    <w:p>
      <w:pPr>
        <w:pStyle w:val="P68B1DB1Corpsdetexte12"/>
        <w:rPr>
          <w:b/>
          <w:b/>
          <w:i/>
          <w:i/>
          <w:u w:val="single"/>
        </w:rPr>
      </w:pPr>
      <w:r>
        <w:rPr/>
        <w:t>21 Poljska</w:t>
      </w:r>
    </w:p>
    <w:p>
      <w:pPr>
        <w:pStyle w:val="Corpsdetexte"/>
        <w:rPr/>
      </w:pPr>
      <w:r>
        <w:rPr/>
        <w:t>Dogodki so bili večinoma organizirani v okviru decentraliziranega pristopa. Na regionalni ravni so regionalni centri za mednarodno razpravo organizirali javne dogodke v 16 poljskih regijah v fizični in virtualni obliki. Teme za razpravo so zajemale tematska področja konference, kot so solidarnost v času krize, kmetijstvo in nove tehnologije.</w:t>
      </w:r>
    </w:p>
    <w:p>
      <w:pPr>
        <w:pStyle w:val="Corpsdetexte"/>
        <w:rPr/>
      </w:pPr>
      <w:r>
        <w:rPr/>
        <w:t>Potekala je tudi nacionalna razprava o podnebju, digitalizaciji, notranjem trgu, zdravju, EU v svetu in migracijah.</w:t>
      </w:r>
    </w:p>
    <w:p>
      <w:pPr>
        <w:pStyle w:val="P68B1DB1Corpsdetexte12"/>
        <w:rPr>
          <w:b/>
          <w:b/>
          <w:i/>
          <w:i/>
          <w:u w:val="single"/>
        </w:rPr>
      </w:pPr>
      <w:r>
        <w:rPr/>
        <w:t>22 Portugalska</w:t>
      </w:r>
    </w:p>
    <w:p>
      <w:pPr>
        <w:pStyle w:val="Corpsdetexte"/>
        <w:rPr/>
      </w:pPr>
      <w:r>
        <w:rPr/>
        <w:t>Po prvem dogodku za državljane v Lizboni, ki je sprožil udeležbo državljanov na konferenci, so bili številni dogodki organizirani v partnerstvu z lokalnimi organi, univerzami, šolami, socialnimi partnerji, mladinskimi organizacijami in lokalnimi organizacijami civilne družbe. S Španijo je bil na primer organiziran nadnacionalni dogodek, na katerem so razpravljali o ključnih temah, ki so zanimive za prihodnost regij obeh držav in EU. Poleg tega so potekali decentralizirani nacionalni dogodki o različnih temah, kot so migracije in mednarodna partnerstva, prihodnost evropske demokracije in digitalna preobrazba.</w:t>
      </w:r>
    </w:p>
    <w:p>
      <w:pPr>
        <w:pStyle w:val="P68B1DB1Corpsdetexte12"/>
        <w:rPr>
          <w:b/>
          <w:b/>
          <w:i/>
          <w:i/>
          <w:u w:val="single"/>
        </w:rPr>
      </w:pPr>
      <w:r>
        <w:rPr/>
        <w:t>23 Romunija</w:t>
      </w:r>
    </w:p>
    <w:p>
      <w:pPr>
        <w:pStyle w:val="Corpsdetexte"/>
        <w:rPr/>
      </w:pPr>
      <w:r>
        <w:rPr/>
        <w:t>Dogodke so v glavnem organizirali ali soorganizirali zlasti uprava in inštituti, pri čemer so dejavno sodelovali civilna družba in mladinske organizacije.</w:t>
      </w:r>
    </w:p>
    <w:p>
      <w:pPr>
        <w:pStyle w:val="Corpsdetexte"/>
        <w:rPr/>
      </w:pPr>
      <w:r>
        <w:rPr/>
        <w:t>Razprave so bile osredotočene na številne teme, kot so digitalni prehod, izobraževanje, zdravje, okolje, trajnostni razvoj, gospodarstvo, kmetijstvo in strateška partnerstva EU. Dogodki so potekali v prestolnici in na lokalni ravni, sodelovale pa so vse starostne skupine.</w:t>
      </w:r>
    </w:p>
    <w:p>
      <w:pPr>
        <w:pStyle w:val="P68B1DB1Corpsdetexte12"/>
        <w:rPr>
          <w:b/>
          <w:b/>
          <w:i/>
          <w:i/>
          <w:u w:val="single"/>
        </w:rPr>
      </w:pPr>
      <w:r>
        <w:rPr/>
        <w:t>24 Slovenija</w:t>
      </w:r>
    </w:p>
    <w:p>
      <w:pPr>
        <w:pStyle w:val="Corpsdetexte"/>
        <w:rPr/>
      </w:pPr>
      <w:r>
        <w:rPr/>
        <w:t>Namen je bil spodbuditi široko razpravo, v kateri je imela civilna družba osrednjo vlogo, zlasti pa sodelovanje mladih.</w:t>
      </w:r>
    </w:p>
    <w:p>
      <w:pPr>
        <w:pStyle w:val="Corpsdetexte"/>
        <w:rPr/>
      </w:pPr>
      <w:r>
        <w:rPr/>
        <w:t>Vlada je organizirala uvodni dogodek, ki mu je sledilo več pobud, kot je Strateški forum Bled, katerega glavna tema je bila prihodnost Evrope, s posebnim poudarkom na širitvi EU in Zahodnem Balkanu. Drugi dogodki so bili osredotočeni na teme, kot so monetarna politika, podnebna nevtralnost, mladi in vloga EU v večpolarnem mednarodnem okolju.</w:t>
      </w:r>
    </w:p>
    <w:p>
      <w:pPr>
        <w:pStyle w:val="P68B1DB1Corpsdetexte12"/>
        <w:rPr>
          <w:b/>
          <w:b/>
          <w:i/>
          <w:i/>
          <w:u w:val="single"/>
        </w:rPr>
      </w:pPr>
      <w:r>
        <w:rPr/>
        <w:t>25 Slovaška</w:t>
      </w:r>
    </w:p>
    <w:p>
      <w:pPr>
        <w:pStyle w:val="Corpsdetexte"/>
        <w:rPr/>
      </w:pPr>
      <w:r>
        <w:rPr/>
        <w:t>Organizirani dogodki so bili organizirani v okviru dveh glavnih stebrov. Prvi steber je bil projekt „WeAreEU“, osredotočen na širšo javnost, vključno z razpravami s študenti in javnimi posvetovanji, vključno z vrsto regionalnih dogodkov, organiziranih v okviru sejma WeAreEU Road Show. Drugi steber je bila nacionalna konvencija o EU, ki se osredotoča na prispevke strokovnjakov in analize o temah, kot so enotni trg, dezinformacije in populizem ter digitalni in ekološki prehod.</w:t>
      </w:r>
    </w:p>
    <w:p>
      <w:pPr>
        <w:pStyle w:val="P68B1DB1Corpsdetexte12"/>
        <w:rPr>
          <w:b/>
          <w:b/>
          <w:i/>
          <w:i/>
          <w:u w:val="single"/>
        </w:rPr>
      </w:pPr>
      <w:r>
        <w:rPr/>
        <w:t>26 Finska</w:t>
      </w:r>
    </w:p>
    <w:p>
      <w:pPr>
        <w:pStyle w:val="Corpsdetexte"/>
        <w:rPr/>
      </w:pPr>
      <w:r>
        <w:rPr/>
        <w:t>Vlada je organizirala vrsto regionalnih posvetovanj, vključno z „prireditvijo najbolj severne konference v EU“, o različnih temah, kot so trajnostna rast, izobraževanje in pravna država. Izvedena je bila tudi anketa, ki je bila podlaga za razpravo.</w:t>
      </w:r>
    </w:p>
    <w:p>
      <w:pPr>
        <w:pStyle w:val="Corpsdetexte"/>
        <w:spacing w:before="6264" w:after="57"/>
        <w:rPr/>
      </w:pPr>
      <w:r>
        <w:rPr/>
        <w:t xml:space="preserve">Dogodke je organizirala vlada v sodelovanju z mesti, lokalnimi organi, univerzami, nevladnimi organizacijami in mladinskimi organizacijami ter finskim parlamentom, Evropskim parlamentom in informacijskimi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Slik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p</w:t>
      </w:r>
      <w:r>
        <w:rPr/>
        <w:t>isarnami Evropske komisije na Finskem.</w:t>
      </w:r>
    </w:p>
    <w:p>
      <w:pPr>
        <w:pStyle w:val="Normal"/>
        <w:rPr/>
      </w:pPr>
      <w:r>
        <w:rPr/>
      </w:r>
    </w:p>
    <w:p>
      <w:pPr>
        <w:pStyle w:val="P68B1DB1Corpsdetexte12"/>
        <w:rPr>
          <w:b/>
          <w:b/>
          <w:i/>
          <w:i/>
          <w:u w:val="single"/>
        </w:rPr>
      </w:pPr>
      <w:r>
        <w:rPr/>
        <w:t>27 Švedska</w:t>
      </w:r>
    </w:p>
    <w:p>
      <w:pPr>
        <w:pStyle w:val="Corpsdetexte"/>
        <w:rPr/>
      </w:pPr>
      <w:r>
        <w:rPr/>
        <w:t>Dogodki so bili večinoma organizirani decentralizirano kot skupna vaja vlade, nacionalnega parlamenta, političnih strank, socialnih partnerjev, lokalnih in regionalnih predstavnikov, organizacij civilne družbe in drugih ustreznih akterjev v družbi.</w:t>
      </w:r>
    </w:p>
    <w:p>
      <w:pPr>
        <w:pStyle w:val="Corpsdetexte"/>
        <w:rPr/>
      </w:pPr>
      <w:r>
        <w:rPr/>
        <w:t>Švedski minister za evropske zadeve je na primer s študenti iz različnih šol razpravljal o prihodnosti Evrope in sodeloval na srečanjih na občinski ravni, da bi z državljani razpravljali o prihodnosti Evrope in demokraciji. Digitalni mediji so bili uporabljeni tudi za sodelovanje v dialogih z državljani, na primer prek srečanj z vprašanji in odgovori.</w:t>
      </w:r>
    </w:p>
    <w:p>
      <w:pPr>
        <w:pStyle w:val="Corpsdetexte"/>
        <w:rPr/>
      </w:pPr>
      <w:r>
        <w:rPr/>
        <w:t>Zgornji opisi niso izčrpni. Več informacij o nacionalnih dogodkih je na voljo v posebnem razdelku večjezične digitalne platforme.</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Srečanje mladih Evropejcev </w:t>
      </w:r>
    </w:p>
    <w:p>
      <w:pPr>
        <w:pStyle w:val="Normal"/>
        <w:rPr/>
      </w:pPr>
      <w:hyperlink r:id="rId51">
        <w:r>
          <w:rPr>
            <w:rStyle w:val="LienInternet"/>
          </w:rPr>
          <w:t>Evropska prireditev za mlade (EYE 2021)</w:t>
        </w:r>
      </w:hyperlink>
      <w:r>
        <w:rPr/>
        <w:t xml:space="preserve"> je potekala 8. in 9. oktobra 2021 ter se je udeležilo 10 000 mladih na spletu in Evropskega parlamenta v Strasbourgu, da bi oblikovali in izmenjali ideje o prihodnosti Evrope. EYE </w:t>
      </w:r>
      <w:r>
        <w:rPr>
          <w:i/>
        </w:rPr>
        <w:t>je bila edinstvena priložnost za mlade, stare od 16 do 30 let, za osebno in spletno interakcijo, za navdih in izmenjavo mnenj s strokovnjaki, aktivisti, vplivneži in nosilci odločanja v samem središču evropske demokracije</w:t>
      </w:r>
      <w:r>
        <w:rPr/>
        <w:t>.</w:t>
      </w:r>
    </w:p>
    <w:p>
      <w:pPr>
        <w:pStyle w:val="Normal"/>
        <w:spacing w:before="6132" w:after="57"/>
        <w:rPr/>
      </w:pPr>
      <w:r>
        <w:rPr/>
        <w:t xml:space="preserve">Od maja 2021 je bilo v sodelovanju z vseevropskimi mladinskimi organizacijami na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Slika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s</w:t>
      </w:r>
      <w:r>
        <w:rPr/>
        <w:t xml:space="preserve">pletu zbranih več kot 2 000 predlogov mladih državljanov iz vse Evropske unije. Poleg tega je bilo več srečanj, tako spletnih pred dogodkom kot med evropsko prireditvijo v Strasbourgu, osredotočenih na konferenco o prihodnosti Evrope. Po dogodku je bilo v </w:t>
      </w:r>
      <w:hyperlink r:id="rId53">
        <w:r>
          <w:rPr>
            <w:rStyle w:val="LienInternet"/>
          </w:rPr>
          <w:t>poročilu o zamislih mladih za konferenco o prihodnosti Evrope, objavljenem v 23 jezikih, zbranih 20 glavnih idej, ki so jih izpostavili udeleženci, dve ideji za</w:t>
        </w:r>
      </w:hyperlink>
      <w:r>
        <w:rPr/>
        <w:t xml:space="preserve"> vsako temo konference.</w:t>
      </w:r>
    </w:p>
    <w:p>
      <w:pPr>
        <w:pStyle w:val="Normal"/>
        <w:rPr/>
      </w:pPr>
      <w:r>
        <w:rPr/>
        <w:t xml:space="preserve">Poročilo o zamislih za mlade so na plenarnem zasedanju konference 23. oktobra predstavili mladi udeleženci evropskih državljanskih forumov, ki so sodelovali tudi na dogodku EYE 2021. Vse zbrane ideje so na voljo na: </w:t>
      </w:r>
      <w:hyperlink r:id="rId54">
        <w:r>
          <w:rPr>
            <w:rStyle w:val="LienInternet"/>
          </w:rPr>
          <w:t>Search.youthideas.eu.</w:t>
        </w:r>
      </w:hyperlink>
    </w:p>
    <w:p>
      <w:pPr>
        <w:pStyle w:val="Titre3"/>
        <w:numPr>
          <w:ilvl w:val="2"/>
          <w:numId w:val="2"/>
        </w:numPr>
        <w:rPr/>
      </w:pPr>
      <w:bookmarkStart w:id="31" w:name="__RefHeading___Toc298236_1346298689"/>
      <w:bookmarkEnd w:id="31"/>
      <w:r>
        <w:rPr/>
        <w:t>3.</w:t>
        <w:tab/>
        <w:t>Drugi dogodki</w:t>
      </w:r>
    </w:p>
    <w:p>
      <w:pPr>
        <w:pStyle w:val="Normal"/>
        <w:rPr/>
      </w:pPr>
      <w:r>
        <w:rPr/>
        <w:t>Poleg zgoraj navedenih dogodkov so številne druge institucije in zainteresirane strani združile državljane, da bi razpravljali o prihodnosti Evrope</w:t>
      </w:r>
      <w:r>
        <w:rPr>
          <w:rStyle w:val="Ancredenotedebasdepage"/>
          <w:rStyle w:val="Ancredenotedebasdepage"/>
        </w:rPr>
        <w:footnoteReference w:id="6"/>
      </w:r>
      <w:r>
        <w:rPr/>
        <w:t>.</w:t>
      </w:r>
    </w:p>
    <w:p>
      <w:pPr>
        <w:pStyle w:val="Normal"/>
        <w:rPr/>
      </w:pPr>
      <w:r>
        <w:rPr/>
        <w:t>Med konferenco o prihodnosti Evrope si je Evropski ekonomsko-socialni odbor (EESO) prizadeval, da bi ga predstavil in pomagal svoji obsežni mreži organizacij civilne družbe v državah članicah pri organizaciji nacionalnih posvetovanj. Skupaj je podprla napotitev 75 dogodkov, od tega 33 na nacionalni ravni in 42 na centralni ravni. 60 % teh dogodkov je objavilo poročila o konferenčni platformi, teh 45 dogodkov pa se je udeležilo več kot 7 300 udeležencev. EESO je svoje dejavnosti začel izvajati junija 2021 z obsežno konferenco –</w:t>
      </w:r>
      <w:hyperlink r:id="rId55">
        <w:r>
          <w:rPr>
            <w:rStyle w:val="LienInternet"/>
          </w:rPr>
          <w:t>Vrnitev evropskega projekta državljanom – ter novembra 2021 v Lizboni organiziral seminar „Povezovanje EU“</w:t>
        </w:r>
      </w:hyperlink>
      <w:r>
        <w:rPr/>
        <w:t>in dogodek na visoki ravni februarja 2022 v Bruslju z naslovom</w:t>
      </w:r>
      <w:hyperlink r:id="rId56">
        <w:r>
          <w:rPr>
            <w:rStyle w:val="LienInternet"/>
          </w:rPr>
          <w:t>Oblikovanje Evrope skupaj</w:t>
        </w:r>
      </w:hyperlink>
      <w:r>
        <w:rPr/>
        <w:t>. Odbor je prav tako spodbujal uporabo spletne platforme, na kateri je naložila 60 novih zamisli, in začel obsežno komunikacijsko kampanjo v družbenih medijih, v kateri bi lahko samo na Twitterju sodelovalo 32 milijonov ljudi, da bi promovirali nacionalne dogodke v angleščini in lokalnem jeziku ter zagotovili informacije pred vsakim plenarnim zasedanjem in po njem ter pred vsakim plenarnim zasedanjem in sestankom, povezanim s konferenco.</w:t>
      </w:r>
    </w:p>
    <w:p>
      <w:pPr>
        <w:pStyle w:val="Normal"/>
        <w:rPr/>
      </w:pPr>
      <w:r>
        <w:rPr/>
        <w:t xml:space="preserve">Evropski odbor regij (OR) je v svojih komisijah in plenarnih zasedanjih organiziral tematske razprave ter 140 dogodkov na lokalni, čezmejni in medregionalni ravni, v katerih je sodelovalo 10 000 državljanov in 200 lokalnih politikov. Poleg tega je bila oktobra 2021 objavljena prva </w:t>
      </w:r>
      <w:hyperlink r:id="rId57">
        <w:r>
          <w:rPr>
            <w:rStyle w:val="LienInternet"/>
          </w:rPr>
          <w:t>raziskava 1,2 milijona lokalnih politikov</w:t>
        </w:r>
      </w:hyperlink>
      <w:r>
        <w:rPr/>
        <w:t xml:space="preserve"> v EU-27 o njihovih stališčih o prihodnosti Evrope. Poleg tega je odbor Cdr predlagal </w:t>
      </w:r>
      <w:hyperlink r:id="rId58">
        <w:r>
          <w:rPr>
            <w:rStyle w:val="LienInternet"/>
          </w:rPr>
          <w:t>44 zamisli</w:t>
        </w:r>
      </w:hyperlink>
      <w:r>
        <w:rPr/>
        <w:t xml:space="preserve"> o večjezični digitalni platformi. V začetku leta 2022</w:t>
      </w:r>
      <w:hyperlink r:id="rId59">
        <w:r>
          <w:rPr>
            <w:rStyle w:val="LienInternet"/>
          </w:rPr>
          <w:t xml:space="preserve"> je neodvisna skupina na visoki ravni za evropsko demokracijo</w:t>
        </w:r>
      </w:hyperlink>
      <w:r>
        <w:rPr/>
        <w:t xml:space="preserve"> predstavila zamisli o tem, kako izboljšati demokracijo v EU. OR je sprejel resolucijo s predlogi za končno poročilo o konferenci, na </w:t>
      </w:r>
      <w:hyperlink r:id="rId60">
        <w:r>
          <w:rPr>
            <w:rStyle w:val="LienInternet"/>
          </w:rPr>
          <w:t>evropskem vrhu regij in mest marca 2022 pa je bil potrjen manifest v dvanajstih točkah, ki je bil pripravljen v imenu milijonov lokalnih in</w:t>
        </w:r>
      </w:hyperlink>
      <w:r>
        <w:rPr/>
        <w:t xml:space="preserve"> regionalnih politikov v EU. Poročilo</w:t>
      </w:r>
      <w:hyperlink r:id="rId61">
        <w:r>
          <w:rPr>
            <w:rStyle w:val="LienInternet"/>
          </w:rPr>
          <w:t>z naslovom Državljani, lokalni politiki in prihodnost Evrope</w:t>
        </w:r>
      </w:hyperlink>
      <w:r>
        <w:rPr/>
        <w:t>(marec 2022) povzema vse dejavnosti OR v okviru konference.</w:t>
      </w:r>
    </w:p>
    <w:p>
      <w:pPr>
        <w:pStyle w:val="Normal"/>
        <w:rPr/>
      </w:pPr>
      <w:r>
        <w:rPr/>
      </w:r>
    </w:p>
    <w:p>
      <w:pPr>
        <w:pStyle w:val="Normal"/>
        <w:rPr/>
      </w:pPr>
      <w:r>
        <w:rPr/>
        <w:t xml:space="preserve">Tri organizacije delodajalcev, povezane s socialnim partnerstvom EU, </w:t>
      </w:r>
      <w:hyperlink r:id="rId62">
        <w:r>
          <w:rPr>
            <w:rStyle w:val="LienInternet"/>
          </w:rPr>
          <w:t>BusinessEurope</w:t>
        </w:r>
      </w:hyperlink>
      <w:r>
        <w:rPr/>
        <w:t xml:space="preserve">, </w:t>
      </w:r>
      <w:hyperlink r:id="rId63">
        <w:r>
          <w:rPr>
            <w:rStyle w:val="LienInternet"/>
          </w:rPr>
          <w:t>SGI Europe</w:t>
        </w:r>
      </w:hyperlink>
      <w:r>
        <w:rPr/>
        <w:t xml:space="preserve"> in </w:t>
      </w:r>
      <w:hyperlink r:id="rId64">
        <w:r>
          <w:rPr>
            <w:rStyle w:val="LienInternet"/>
          </w:rPr>
          <w:t>UEAPME</w:t>
        </w:r>
      </w:hyperlink>
      <w:r>
        <w:rPr/>
        <w:t>, so objavile svoje prednostne naloge in prispevke na digitalni platformi ter jih predstavile ustreznim delovnim skupinam in plenarnim zasedanjem. Poleg tega so vsi spodbujali konferenco, tako znotraj kot zunaj nje, organizirali dogodke in sodelovali v dialogu z zainteresiranimi stranmi v različnih forumih. Evropska konfederacija sindikatov (ETUC) se je mobilizirala za sodelovanje na konferenci ter sodelovala na sejah plenarne skupščine in delovnih skupin. ETUC je opredelila sindikalne predloge za pravičnejšo prihodnost Evrope in jih objavila na spletni platformi (ti predlogi so bili med najbolj podprtimi). ETUC in njene podružnice so organizirale dogodke in dejavnosti komuniciranja, da bi predstavile in razpravljale o sindikalnih predlogih.</w:t>
      </w:r>
    </w:p>
    <w:p>
      <w:pPr>
        <w:pStyle w:val="Normal"/>
        <w:rPr/>
      </w:pPr>
      <w:r>
        <w:rPr/>
        <w:t xml:space="preserve">Predstavniki civilne družbe – </w:t>
      </w:r>
      <w:hyperlink r:id="rId65">
        <w:r>
          <w:rPr>
            <w:rStyle w:val="LienInternet"/>
          </w:rPr>
          <w:t>Konvencija civilne družbe za konferenco o prihodnosti Evrope</w:t>
        </w:r>
      </w:hyperlink>
      <w:r>
        <w:rPr/>
        <w:t xml:space="preserve"> in </w:t>
      </w:r>
      <w:hyperlink r:id="rId66">
        <w:r>
          <w:rPr>
            <w:rStyle w:val="LienInternet"/>
          </w:rPr>
          <w:t>evropsko mednarodno gibanje</w:t>
        </w:r>
      </w:hyperlink>
      <w:r>
        <w:rPr/>
        <w:t xml:space="preserve"> – so organizirali </w:t>
      </w:r>
      <w:hyperlink r:id="rId67">
        <w:r>
          <w:rPr>
            <w:rStyle w:val="LienInternet"/>
          </w:rPr>
          <w:t>številne dogodke</w:t>
        </w:r>
      </w:hyperlink>
      <w:r>
        <w:rPr/>
        <w:t xml:space="preserve"> po vsej Evropi in </w:t>
      </w:r>
      <w:hyperlink r:id="rId68">
        <w:r>
          <w:rPr>
            <w:rStyle w:val="LienInternet"/>
          </w:rPr>
          <w:t>delovali na plenarni ravni</w:t>
        </w:r>
      </w:hyperlink>
      <w:r>
        <w:rPr/>
        <w:t xml:space="preserve">. Civilna družba je prek </w:t>
      </w:r>
      <w:hyperlink r:id="rId69">
        <w:r>
          <w:rPr>
            <w:rStyle w:val="LienInternet"/>
          </w:rPr>
          <w:t>tematskih skupin</w:t>
        </w:r>
      </w:hyperlink>
      <w:r>
        <w:rPr/>
        <w:t xml:space="preserve"> v pristop od spodaj navzgor vključila več sto organizacij civilne družbe, da bi razvila skupne in celovite predloge na </w:t>
      </w:r>
      <w:hyperlink r:id="rId70">
        <w:r>
          <w:rPr>
            <w:rStyle w:val="LienInternet"/>
          </w:rPr>
          <w:t>različnih političnih področjih, ki jih zajema konferenca</w:t>
        </w:r>
      </w:hyperlink>
      <w:r>
        <w:rPr/>
        <w:t>. Zamisli so bile podlaga za konferenco prek platforme, delovnih skupin, plenarnih zasedanj ter v neposrednem stiku z izvršnim odborom, sopredsedniki in skupnim sekretariatom.</w:t>
      </w:r>
    </w:p>
    <w:p>
      <w:pPr>
        <w:pStyle w:val="Normal"/>
        <w:rPr/>
      </w:pPr>
      <w:r>
        <w:rPr/>
        <w:t>Predstavništva Evropske komisije v državah članicah, centri Europe Direct, evropski dokumentacijski centri in pisarne Evropskega parlamenta za stike so državljane dejavno obveščali o konferenci o prihodnosti Evrope. Predstavništva Evropske komisije so poročala o 1400 dejavnostih, ki so pomagale komunicirati in izvajati konferenco po vsej Evropi. Organizirale so ali dejavno sodelovale na več kot 850 dogodkih, od katerih jih je bilo približno 65 % namenjenih mladim in ženskam, da bi spodbudili njihovo udeležbo na konferenci na splošno. Uradi Evropskega parlamenta za zvezo so organizirali več kot 1300 promocijskih dejavnosti v državah članicah.</w:t>
      </w:r>
    </w:p>
    <w:p>
      <w:pPr>
        <w:pStyle w:val="Normal"/>
        <w:rPr/>
      </w:pPr>
      <w:r>
        <w:rPr/>
        <w:t>Tematske delavnice o glavnih temah konference so bile organizirane tudi v navzočnosti poslancev Evropskega parlamenta, državljanov, zainteresiranih strani, nacionalnih in regionalnih organov ter lokalnih medijev, da bi povečali prepoznavnost konference. Evropski dokumentacijski centri so poročali o več kot 120 ukrepih, povezanih s sporočanjem konference.</w:t>
      </w:r>
    </w:p>
    <w:p>
      <w:pPr>
        <w:pStyle w:val="Normal"/>
        <w:rPr/>
      </w:pPr>
      <w:r>
        <w:rPr/>
        <w:t>Centri Europe Direct so poročali o več kot 1000 tematskih dogodkih na konferenci in več kot 600 promocijskih dejavnostih, vključno s številnimi mladinskimi skupinami in organizacijami. Evropski dokumentacijski centri so poročali o več kot 120 ukrepih, povezanih s sporočanjem konference.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Plenarna skupščina konference</w:t>
      </w:r>
    </w:p>
    <w:p>
      <w:pPr>
        <w:pStyle w:val="Normal"/>
        <w:rPr/>
      </w:pPr>
      <w:r>
        <w:rPr/>
      </w:r>
      <w:r>
        <w:br w:type="page"/>
      </w:r>
    </w:p>
    <w:p>
      <w:pPr>
        <w:pStyle w:val="Titre2"/>
        <w:numPr>
          <w:ilvl w:val="1"/>
          <w:numId w:val="2"/>
        </w:numPr>
        <w:rPr/>
      </w:pPr>
      <w:bookmarkStart w:id="33" w:name="__RefHeading___Toc298240_1346298689"/>
      <w:bookmarkEnd w:id="33"/>
      <w:r>
        <w:rPr/>
        <w:t>A. Vloga in delovanje plenarne skupščine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Ustanovljena je bila plenarna skupščina konference, da bi razpravljali o priporočilih nacionalnih in evropskih državljanskih okroglih miz, razvrščenih po temah, ne da bi bili izidi razprav vnaprej določeni ali njihov obseg omejen na vnaprej določena področja politike.</w:t>
      </w:r>
    </w:p>
    <w:p>
      <w:pPr>
        <w:pStyle w:val="Corpsdetexte"/>
        <w:rPr/>
      </w:pPr>
      <w:r>
        <w:rPr/>
        <w:t>Po potrebi so razpravljali tudi o prispevkih, zbranih na večjezični platformi. Plenarna skupščina je imela edinstveno sestavo: prvič je vključeval državljane, ki so predstavljali dogodke in okrogle mize evropskih in nacionalnih državljanov, predstavnike institucij EU in njenih svetovalnih organov, izvoljene predstavnike na nacionalni, regionalni in lokalni ravni ter predstavnike civilne družbe in socialnih partnerjev.</w:t>
      </w:r>
    </w:p>
    <w:p>
      <w:pPr>
        <w:pStyle w:val="Corpsdetexte"/>
        <w:rPr/>
      </w:pPr>
      <w:r>
        <w:rPr/>
        <w:t>Državljani so priporočila predstavili in z njimi razpravljali; plenarna skupščina je morala svoje predloge nato soglasno</w:t>
      </w:r>
      <w:r>
        <w:rPr>
          <w:rStyle w:val="Ancredenotedebasdepage"/>
          <w:rStyle w:val="Ancredenotedebasdepage"/>
        </w:rPr>
        <w:footnoteReference w:id="7"/>
      </w:r>
      <w:r>
        <w:rPr/>
        <w:t xml:space="preserve"> predstaviti izvršnemu odboru. Plenarno zasedanje konference se je med junijem 2021 in aprilom 2022 sestalo sedemkrat.</w:t>
      </w:r>
    </w:p>
    <w:p>
      <w:pPr>
        <w:pStyle w:val="Corpsdetexte"/>
        <w:rPr/>
      </w:pPr>
      <w:r>
        <w:rPr/>
        <w:t>Plenarna skupščina konference je bila sestavljena iz 108 predstavnikov Evropskega parlamenta, 54 predstavnikov Sveta in treh predstavnikov</w:t>
      </w:r>
      <w:r>
        <w:rPr>
          <w:rStyle w:val="Ancredenotedebasdepage"/>
          <w:rStyle w:val="Ancredenotedebasdepage"/>
        </w:rPr>
        <w:footnoteReference w:id="8"/>
      </w:r>
      <w:r>
        <w:rPr/>
        <w:t>Evropske komisije ter 108 predstavnikov vseh nacionalnih parlamentov pod enakimi pogoji in državljanov.</w:t>
      </w:r>
    </w:p>
    <w:p>
      <w:pPr>
        <w:pStyle w:val="Corpsdetexte"/>
        <w:rPr/>
      </w:pPr>
      <w:r>
        <w:rPr/>
        <w:t>Udeležilo se je je tudi osemdeset predstavnikov evropskih državljanskih forumov, od katerih je bila vsaj ena tretjina mlajših od 25 let, predsednika Evropskega mladinskega foruma in 27</w:t>
      </w:r>
      <w:r>
        <w:rPr>
          <w:rStyle w:val="Ancredenotedebasdepage"/>
          <w:rStyle w:val="Ancredenotedebasdepage"/>
        </w:rPr>
        <w:footnoteReference w:id="9"/>
      </w:r>
      <w:r>
        <w:rPr/>
        <w:t xml:space="preserve"> predstavnikov nacionalnih dogodkov in/ali nacionalnih okroglih miz državljanov.</w:t>
      </w:r>
    </w:p>
    <w:p>
      <w:pPr>
        <w:pStyle w:val="Corpsdetexte"/>
        <w:rPr/>
      </w:pPr>
      <w:r>
        <w:rPr/>
        <w:t>Udeležilo se je je tudi osemnajst predstavnikov Odbora regij in 18 predstavnikov Ekonomsko-socialnega odbora, šest izvoljenih predstavnikov regionalnih oblasti in šest izvoljenih predstavnikov lokalnih oblasti, 12 predstavnikov socialnih partnerjev in osem predstavnikov civilne družbe. Visoka predstavnica Unije za zunanje zadeve in varnostno politiko je bila povabljena, da razpravlja o mednarodni vlogi EU.</w:t>
      </w:r>
    </w:p>
    <w:p>
      <w:pPr>
        <w:pStyle w:val="Corpsdetexte"/>
        <w:rPr/>
      </w:pPr>
      <w:r>
        <w:rPr/>
        <w:t>Povabljeni so bili tudi predstavniki ključnih deležnikov, kot so predstavniki partnerjev z Zahodnega Balkana, Ukrajine, verskih, filozofskih in nekonfesionalnih skupin.</w:t>
      </w:r>
    </w:p>
    <w:p>
      <w:pPr>
        <w:pStyle w:val="Corpsdetexte"/>
        <w:rPr/>
      </w:pPr>
      <w:r>
        <w:rPr/>
        <w:t>Plenarni skupščini sta skupaj predsedovala sopredsednika konference. Plenarna zasedanja konference so potekala v stavbah Evropskega parlamenta v Strasbourgu. Zaradi veljavnih zdravstvenih in varnostnih predpisov je bilo prvih pet sej plenarnega zasedanja konference v hibridni obliki, zadnji dve pa osebno. Plenarna zasedanja konference so se prenašala v živo, vsi dokumenti za sejo pa so bili javnosti na voljo na večjezični digitalni platformi.</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Delovne skupine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Sopredsednika sta v skladu s poslovnikom konference na plenarnem zasedanju konference predlagala ustanovitev devetih tematskih delovnih skupin na podlagi tem večjezične digitalne platforme, da bi prispevali k pripravi razprav in predlogov plenarnega zasedanja konference v skladu s parametri iz skupne izjave. Sopredsednika sta se oktobra 2021 dogovorila o mandatu delovnih skupin. Različne delovne skupine so obravnavale naslednje teme: Podnebne spremembe in okolje; Zdravje; Močnejše gospodarstvo, socialna pravičnost in zaposlovanje; EU v svetu; Vrednote in pravice, pravna država, varnost; Digitalna preobrazba; Evropska demokracija; Migracije; izobraževanje, kultura, mladina in šport.</w:t>
      </w:r>
    </w:p>
    <w:p>
      <w:pPr>
        <w:pStyle w:val="Normal"/>
        <w:rPr/>
      </w:pPr>
      <w:r>
        <w:rPr/>
        <w:t>Delovne skupine so svoj prispevek na plenarnem zasedanju konference predstavile s preučitvijo priporočil nacionalnih in evropskih državljanskih forumov ter prispevkov, objavljenih v okviru večjezične digitalne platforme, o devetih temah, zbranih v okviru konference. Člani plenarne skupščine konference so bili razdeljeni med devet delovnih skupin, in sicer: dvanajst članov na delovno skupino za Evropski parlament in nacionalne parlamente, šest za Svet, tri za predstavnike nacionalnih okroglih miz državljanov ali nacionalnih prireditev, dva za Odbor regij in dva za Ekonomsko-socialni odbor, enega ali dva za socialne partnerje, enega za civilno družbo in enega za izvoljene člane lokalnih in regionalnih oblasti ter predstavnike evropskih državljanskih okroglih miz. Predstavniki evropskih državljanskih forumov so sodelovali pri delu delovne skupine, pristojne za njihovo okroglo mizo. Poleg tega so bile sprejete posebne ureditve, ki članom kolegija komisarjev omogočajo sodelovanje v delovnih skupinah v skladu z njihovimi resorji.</w:t>
      </w:r>
    </w:p>
    <w:p>
      <w:pPr>
        <w:pStyle w:val="Normal"/>
        <w:rPr/>
      </w:pPr>
      <w:r>
        <w:rPr/>
        <w:t>Delovne skupine so organizirale živahne razprave in pripravile osnutke predlogov, pripravljene pod vodstvom predsednika in uradne govorke, izbrane med predstavniki evropskih državljanskih forumov v delovni skupini, ob pomoči skupnega sekretariata. Delovne skupine naj bi delovale na podlagi soglasja iz člena 17 poslovnika konference. Predsednik in uradni govorec sta nato plenarni skupščini predstavila rezultate delovne skupine. Predsedniku delovne skupine je pomagal skupni sekretariat. Sekretariat skupne konference je pripravil zbirna poročila za vsako sejo delovne skupine pod vodstvom predsednika in po posvetovanju s člani delovne skupine.</w:t>
      </w:r>
    </w:p>
    <w:p>
      <w:pPr>
        <w:pStyle w:val="Normal"/>
        <w:rPr/>
      </w:pPr>
      <w:r>
        <w:rPr/>
        <w:t>Delovne skupine so se sestale ob robu plenarnih zasedanj konference med oktobrom 2021 in 8. aprilom 2022 ter na spletu decembra 2021. Nekatere delovne skupine so imele dodatne sestanke. Seje delovne skupine so se od 20. januarja 2022 prenašale v živo. Njihova zbirna poročila so bila ustrezno objavljena v rubriki „Konferenčna plenarna skupščina“ o večjezični digitalni platformi.</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Kronološki povzetek</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USTANOVNA PLENARNA SKUPŠČINA KONFERENCE, 19. JUNIJ 2021</w:t>
      </w:r>
    </w:p>
    <w:p>
      <w:pPr>
        <w:pStyle w:val="Normal"/>
        <w:rPr/>
      </w:pPr>
      <w:r>
        <w:rPr/>
        <w:t>Ustanovno plenarno zasedanje konference je potekalo 19. junija 2021 v hibridni obliki</w:t>
      </w:r>
      <w:r>
        <w:rPr>
          <w:rStyle w:val="Ancredenotedebasdepage"/>
          <w:rStyle w:val="Ancredenotedebasdepage"/>
        </w:rPr>
        <w:footnoteReference w:id="10"/>
      </w:r>
      <w:r>
        <w:rPr/>
        <w:t>. Članom plenarnega zasedanja je omogočil, da so prisluhnili predstavitvi in opravili splošno razpravo o namenu in pričakovanjih konference. Sopredsednika sta poudarila, da je izvajanje posvetovalne demokracije na ravni EU brez primere, kar je okrepilo predstavniško demokracijo in državljane postavilo v središče oblikovanja politik v Evropski uniji. Sopredsednika sta predstavila tudi delovanje treh stebrov konference: večjezična digitalna platforma, okrogle mize evropskih in nacionalnih državljanov ter plenarna skupščina.</w:t>
      </w:r>
    </w:p>
    <w:p>
      <w:pPr>
        <w:pStyle w:val="Normal"/>
        <w:rPr/>
      </w:pPr>
      <w:r>
        <w:rPr/>
        <w:t>Poleg tega so bili člani plenarnega zasedanja obveščeni o nameri, da se ustanovi devet tematskih delovnih skupin, in o časovnem razporedu konference. V razpravi, ki je sledila in v kateri je sodelovalo več kot 150 udeležencev, so razpravljali o najrazličnejših temah. Ker izbor udeležencev v evropskih državljanskih okroglih mizah še ni zaključen, so sodelovali predsednik Evropskega mladinskega foruma in 27 predstavnikov nacionalnih dogodkov in/ali nacionalnih okroglih miz za državljane, da bi zastopali komponento državljanov.</w:t>
      </w:r>
    </w:p>
    <w:p>
      <w:pPr>
        <w:pStyle w:val="Normal"/>
        <w:rPr/>
      </w:pPr>
      <w:r>
        <w:rPr>
          <w:b/>
          <w:i/>
          <w:u w:val="single"/>
        </w:rPr>
        <w:t>DRUGO PLENARNO ZASEDANJE KONFERENCE, 22. IN 23. OKTOBER 2021</w:t>
      </w:r>
      <w:r>
        <w:rPr/>
        <w:t xml:space="preserve"> </w:t>
      </w:r>
    </w:p>
    <w:p>
      <w:pPr>
        <w:pStyle w:val="Normal"/>
        <w:rPr/>
      </w:pPr>
      <w:r>
        <w:rPr/>
        <w:t>Druga plenarna skupščina konference je potekala 22. in 23. oktobra 2021 v hibridni obliki, na kateri so prvič sodelovali predstavniki evropskih državljanskih forumov. Člani plenarnega zasedanja so imeli priložnost prisluhniti predstavitvi stanja štirih evropskih državljanskih forumov in organizirati razpravo. Poleg tega so lahko predstavniki nacionalnih dogodkov in okroglih miz predstavili dogodke, organizirane na nacionalni ravni. Na plenarnem zasedanju konference je bilo predstavljeno poročilo o evropski prireditvi za mlade; v njem je bilo pregledanih 20 konkretnih zamisli, ki so jih izbrali mladi državljani, ki so se udeležili srečanja.</w:t>
      </w:r>
    </w:p>
    <w:p>
      <w:pPr>
        <w:pStyle w:val="Normal"/>
        <w:rPr/>
      </w:pPr>
      <w:r>
        <w:rPr/>
        <w:t>V razpravi, ki je sledila, je bil poudarek na inovativnosti večjezične digitalne platforme, ki je državljanom dala glas v poglavju in prostor za razpravo v vseh uradnih jezikih EU. Ta razprava je temeljila na drugem vmesnem poročilu o platformi. Partnerice z Zahodnega Balkana so bile povabljene, da se udeležijo tega plenarnega zasedanja kot ključne zainteresirane strani.</w:t>
      </w:r>
    </w:p>
    <w:p>
      <w:pPr>
        <w:pStyle w:val="Normal"/>
        <w:rPr/>
      </w:pPr>
      <w:r>
        <w:rPr>
          <w:b/>
          <w:i/>
          <w:u w:val="single"/>
        </w:rPr>
        <w:t>TRETJA PLENARNA SKUPŠČINA KONFERENCE, 21. IN 22. JANUAR 2022</w:t>
      </w:r>
      <w:r>
        <w:rPr/>
        <w:t xml:space="preserve"> </w:t>
      </w:r>
    </w:p>
    <w:p>
      <w:pPr>
        <w:pStyle w:val="Normal"/>
        <w:rPr/>
      </w:pPr>
      <w:r>
        <w:rPr/>
        <w:t>Tretja plenarna skupščina konference, ki je potekala 21. in 22. januarja 2022, je bila prva uradna predstavitev priporočil evropskih državljanskih okroglih miz in povezanih nacionalnih okroglih miz za državljane. To plenarno zasedanje je bilo prvo, ki je potekalo po dokončnem oblikovanju priporočil nekaterih evropskih državljanskih okroglih miz, in sicer: paneli 2 (Evropska demokracija; vrednote in pravice, pravna država, varnost) in 3 (podnebne spremembe in okolje; zdravje). Plenarno zasedanje je potekalo v hibridni obliki, udeležilo pa se ga je več kot 400 članov plenarnega zasedanja konference na kraju samem ali na daljavo.</w:t>
      </w:r>
    </w:p>
    <w:p>
      <w:pPr>
        <w:pStyle w:val="Normal"/>
        <w:rPr/>
      </w:pPr>
      <w:r>
        <w:rPr/>
        <w:t>To plenarno zasedanje je zaznamovala tudi smrt predsednika Evropskega parlamenta Davida Marie Sassolija. Sopredsednika sta se poklonila njegovemu spominu na otvoritev seje. Razprave na tem plenarnem zasedanju so bile organizirane v okviru teme o temah, ki so jih obravnavali evropski državljanski forumi 2 in 3.</w:t>
      </w:r>
    </w:p>
    <w:p>
      <w:pPr>
        <w:pStyle w:val="Normal"/>
        <w:rPr/>
      </w:pPr>
      <w:r>
        <w:rPr/>
        <w:t>Razprave so potekale v inovativni interaktivni obliki, vključno z trenutki, namenjenimi povratnim informacijam državljanov, in posebnim sistemom vprašanj „modre kartice“, ki so omogočila spontane in živahne izmenjave o priporočilih državljanov.</w:t>
      </w:r>
    </w:p>
    <w:p>
      <w:pPr>
        <w:pStyle w:val="Normal"/>
        <w:rPr/>
      </w:pPr>
      <w:r>
        <w:rPr>
          <w:b/>
          <w:i/>
          <w:u w:val="single"/>
        </w:rPr>
        <w:t>ČETRTA PLENARNA SKUPŠČINA KONFERENCE, 11. IN 12. MAREC 2022</w:t>
      </w:r>
      <w:r>
        <w:rPr/>
        <w:t xml:space="preserve"> </w:t>
      </w:r>
    </w:p>
    <w:p>
      <w:pPr>
        <w:pStyle w:val="Normal"/>
        <w:rPr/>
      </w:pPr>
      <w:r>
        <w:rPr/>
        <w:t>Četrto plenarno zasedanje konference je bilo namenjeno tudi predstavitvi priporočil evropskih državljanskih forumov in povezanih nacionalnih okroglih miz za državljane. Plenarno zasedanje je potekalo po dokončnem oblikovanju priporočil preostalih dveh evropskih državljanskih forumov, in sicer: panel 1 (Močnejše gospodarstvo, socialna pravičnost in zaposlovanje; izobraževanje, kultura, mladina in šport; digitalna preobrazba) in 4 (EU v svetu; migracije).</w:t>
      </w:r>
    </w:p>
    <w:p>
      <w:pPr>
        <w:pStyle w:val="Normal"/>
        <w:rPr/>
      </w:pPr>
      <w:r>
        <w:rPr/>
        <w:t>Na januarskem plenarnem zasedanju so bile razprave na tem plenarnem zasedanju organizirane po temi. Teme, o katerih se je tokrat razpravljalo, so bile obravnavane na forumih evropskih državljanov 1 in 4. Razprave o priporočilih državljanov so ponovno privedle do živahnih in poglobljenih izmenjav, podprtih z inovativno interaktivno obliko.</w:t>
      </w:r>
    </w:p>
    <w:p>
      <w:pPr>
        <w:pStyle w:val="Normal"/>
        <w:rPr/>
      </w:pPr>
      <w:r>
        <w:rPr>
          <w:b/>
          <w:i/>
          <w:u w:val="single"/>
        </w:rPr>
        <w:t>PETA PLENARNA SKUPŠČINA KONFERENCE, 25. IN 26. MAREC 2022</w:t>
      </w:r>
      <w:r>
        <w:rPr/>
        <w:t xml:space="preserve"> </w:t>
      </w:r>
    </w:p>
    <w:p>
      <w:pPr>
        <w:pStyle w:val="Normal"/>
        <w:rPr/>
      </w:pPr>
      <w:r>
        <w:rPr/>
        <w:t>Peta plenarna skupščina je zaznamovala vstop konference v naslednjo fazo z začetkom procesa opredelitve predlogov plenarnega zasedanja na podlagi priporočil državljanov. Zato so člani plenarnega zasedanja, ki so se pripravili v manjšem tematskem okviru delovnih skupin, prvič razpravljali o devetih temah konference: močnejše gospodarstvo, socialna pravičnost in zaposlovanje; izobraževanje, kultura, mladina in šport; digitalna preobrazba; Evropska demokracija; vrednote in pravice, pravna država, varnost; podnebne spremembe in okolje; zdravje; EU v svetu; migracija. To plenarno zasedanje je bilo tudi priložnost za predstavnike nacionalnih dogodkov, organiziranih v 27 državah članicah EU, da predstavijo rezultate svojih pobud.</w:t>
      </w:r>
    </w:p>
    <w:p>
      <w:pPr>
        <w:pStyle w:val="Normal"/>
        <w:rPr/>
      </w:pPr>
      <w:r>
        <w:rPr>
          <w:b/>
          <w:i/>
          <w:u w:val="single"/>
        </w:rPr>
        <w:t>ŠESTA PLENARNA SKUPŠČINA KONFERENCE, 8. IN 9. APRIL 2022</w:t>
      </w:r>
      <w:r>
        <w:rPr/>
        <w:t xml:space="preserve"> </w:t>
      </w:r>
    </w:p>
    <w:p>
      <w:pPr>
        <w:pStyle w:val="Normal"/>
        <w:rPr/>
      </w:pPr>
      <w:r>
        <w:rPr/>
        <w:t>Na šestem plenarnem zasedanju konference je bil dokončan osnutek predlogov plenarnega zasedanja.</w:t>
      </w:r>
    </w:p>
    <w:p>
      <w:pPr>
        <w:pStyle w:val="Normal"/>
        <w:rPr/>
      </w:pPr>
      <w:r>
        <w:rPr/>
        <w:t>Po zaključku zadnjih sej tematskih delovnih skupin so vsi člani plenarnega zasedanja v devetih vsebinskih razpravah izrazili svoja stališča in pripombe o osnutkih predlogov, ki so jih pripravili v zadnjih mesecih. Ta izmenjava je bila tudi priložnost za razmislek o edinstvenem postopku priprave predlogov plenarnega zasedanja na podlagi priporočil državljanov in delu, opravljenem od njihovega oblikovanja. Državljani so zlasti poudarili edinstveno človeško izkušnjo in dodano vrednost tega procesa posvetovanja, ki jih je združil v okviru tega skupnega projekta. Ta razprava je bila podlaga za končni osnutek predlogov, ki bodo predloženi zadnji plenarni skupščini konference.</w:t>
      </w:r>
    </w:p>
    <w:p>
      <w:pPr>
        <w:pStyle w:val="Normal"/>
        <w:rPr/>
      </w:pPr>
      <w:r>
        <w:rPr>
          <w:b/>
          <w:i/>
          <w:u w:val="single"/>
        </w:rPr>
        <w:t>SEDMA PLENARNA SKUPŠČINA KONFERENCE, 29.–30. APRIL 2022</w:t>
      </w:r>
      <w:r>
        <w:rPr/>
        <w:t xml:space="preserve"> </w:t>
      </w:r>
    </w:p>
    <w:p>
      <w:pPr>
        <w:pStyle w:val="Normal"/>
        <w:rPr/>
      </w:pPr>
      <w:r>
        <w:rPr/>
        <w:t>Sedma in končna plenarna skupščina konference o prihodnosti Evrope je bila pomemben mejnik, saj je zaključila proces intenzivnih razprav, ki je trajal več mesecev z oblikovanjem 49 predlogov. Na plenarnem zasedanju je bilo 49 predlogov predstavljenih in oblikovanih na podlagi soglasja izvršilnemu odboru. To soglasje so dosegli predstavniki Evropskega parlamenta, Sveta, Evropske komisije in nacionalnih parlamentov.</w:t>
      </w:r>
    </w:p>
    <w:p>
      <w:pPr>
        <w:pStyle w:val="Normal"/>
        <w:rPr/>
      </w:pPr>
      <w:r>
        <w:rPr/>
        <w:t xml:space="preserve">Podprli so tudi predstavnike Odbora regij in Evropskega ekonomsko-socialnega odbora, izvoljene regionalne in lokalne predstavnike ter predstavnike socialnih partnerjev in civilne družbe ter predloge podprli. </w:t>
      </w:r>
    </w:p>
    <w:p>
      <w:pPr>
        <w:pStyle w:val="Normal"/>
        <w:rPr/>
      </w:pPr>
      <w:r>
        <w:rPr/>
        <w:t>Državljanska komponenta je predstavila svoje končno stališče o predlogih (glej ključna sporočila spodaj).</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Na zaključnem plenarnem zasedanju (29. in 30. aprila 2022) je 108 državljanov in državljank predstavilo svoje končno stališče o predlogih plenarnega zasedanja. Njihova predstavitev je bila zasnovana skupaj in jo je med zaključno razpravo predstavilo 17 od njih v obliki pripovednega govora. Spodnje besedilo je povzetek ključnih sporočil njihovih intervencij.</w:t>
      </w:r>
    </w:p>
    <w:p>
      <w:pPr>
        <w:pStyle w:val="P68B1DB1Normal14"/>
        <w:shd w:val="clear" w:fill="EEEEEE"/>
        <w:jc w:val="center"/>
        <w:rPr>
          <w:sz w:val="20"/>
        </w:rPr>
      </w:pPr>
      <w:r>
        <w:rPr/>
        <w:t>**</w:t>
      </w:r>
    </w:p>
    <w:p>
      <w:pPr>
        <w:pStyle w:val="P68B1DB1Normal14"/>
        <w:shd w:val="clear" w:fill="EEEEEE"/>
        <w:rPr>
          <w:sz w:val="20"/>
        </w:rPr>
      </w:pPr>
      <w:r>
        <w:rPr/>
        <w:t>Najprej se zahvaljujemo Evropskemu parlamentu, Svetu in Komisiji, ker so nam dali priložnost, da pomagamo oblikovati prihodnost Evrope. Srečali smo se z evropskimi kolegi iz vse Unije, z različnih forumov in dogodkov, s političnimi predstavniki in socialnimi akterji ter razširili naša obzorja. Odraščali smo kot Evropejci. Za to smo se vsi žrtvovali: za člane evropskih državljanskih forumov so nas vzeli iz vsakdanjega življenja, si vzeli in preživeli devet vikendov stran od naših družin. Imeli smo neverjetno in edinstveno izkušnjo. Za nas to ni bila izguba časa.</w:t>
      </w:r>
    </w:p>
    <w:p>
      <w:pPr>
        <w:pStyle w:val="P68B1DB1Normal14"/>
        <w:shd w:val="clear" w:fill="EEEEEE"/>
        <w:rPr>
          <w:sz w:val="20"/>
        </w:rPr>
      </w:pPr>
      <w:r>
        <w:rPr/>
        <w:t>Na poti so bili vzponi in padci. Nismo vedno dobili odgovora na naša vprašanja. Vemo, da bo za izvedbo predlogov potreben čas. Vendar smo prepričani, da boste storili vse, kar je potrebno, da to dosežete, iz spoštovanja našega skupnega dela. Če smo mi, državljani, uspeli premagati naše razlike, jezikovne ovire, sodelovati in se dvigniti na vašo raven, lahko tudi vi.</w:t>
      </w:r>
    </w:p>
    <w:p>
      <w:pPr>
        <w:pStyle w:val="P68B1DB1Normal14"/>
        <w:shd w:val="clear" w:fill="EEEEEE"/>
        <w:jc w:val="center"/>
        <w:rPr>
          <w:sz w:val="20"/>
        </w:rPr>
      </w:pPr>
      <w:r>
        <w:rPr/>
        <w:t>**</w:t>
      </w:r>
    </w:p>
    <w:p>
      <w:pPr>
        <w:pStyle w:val="P68B1DB1Normal14"/>
        <w:shd w:val="clear" w:fill="EEEEEE"/>
        <w:rPr>
          <w:sz w:val="20"/>
        </w:rPr>
      </w:pPr>
      <w:r>
        <w:rPr/>
        <w:t>Vsi smo prišli daleč in zdaj, ko je naše delo na plenarnem zasedanju končano, smo lahko ponosni na to. Vidimo osem medsektorskih tem, ki dajejo jasen in močan mandat za prihodnost Evrope.</w:t>
      </w:r>
    </w:p>
    <w:p>
      <w:pPr>
        <w:pStyle w:val="P68B1DB1Normal14"/>
        <w:shd w:val="clear" w:fill="EEEEEE"/>
        <w:rPr>
          <w:sz w:val="20"/>
        </w:rPr>
      </w:pPr>
      <w:r>
        <w:rPr>
          <w:b/>
        </w:rPr>
        <w:t>Prvič</w:t>
      </w:r>
      <w:r>
        <w:rPr/>
        <w:t>, Evropska unija, ki temelji na solidarnosti, socialni pravičnosti in enakosti. Državljani so zelo zaskrbljeni, da bi našli enake pogoje in pravice na različnih področjih: zdravstveno varstvo, socialne storitve, vseživljenjsko učenje, enake možnosti za ljudi, ki živijo na podeželskih in mestnih območjih, ob upoštevanju demografskih vidikov. V prihodnosti Evropejci v vseh državah članicah in regijah ne bi smeli biti več diskriminirani zaradi starosti, kraja prebivališča, državljanstva, spola, vere ali političnih preferenc. Zagotoviti jim je treba dostojen življenjski standard, plače in delovne pogoje. EU mora biti več kot le ekonomska unija. Države članice morajo pokazati več solidarnosti med seboj. Smo družina in kot taka se moramo obnašati v kriznih razmerah.</w:t>
      </w:r>
    </w:p>
    <w:p>
      <w:pPr>
        <w:pStyle w:val="P68B1DB1Normal14"/>
        <w:shd w:val="clear" w:fill="EEEEEE"/>
        <w:rPr>
          <w:sz w:val="20"/>
        </w:rPr>
      </w:pPr>
      <w:r>
        <w:rPr>
          <w:b/>
        </w:rPr>
        <w:t>Drugič</w:t>
      </w:r>
      <w:r>
        <w:rPr/>
        <w:t>, EU si mora upati in hitro ukrepati, da bi postala vodilna na področju okolja in podnebja, pospešila prehod na zeleno energijo, izboljšala svoje železniško omrežje, spodbujala trajnostni promet in resnično krožno gospodarstvo. Ni časa za zapravljanje. EU mora spodbujati spremembe na številnih področjih politike: kmetijstvo, biotska raznovrstnost, gospodarstvo, energija, promet, izobraževanje, zdravje, digitalna preobrazba in podnebna diplomacija. Za to imamo raziskovalne zmogljivosti, gospodarsko moč in geopolitični vzvod. Če podnebje postane prednostna naloga, lahko upamo na uspešno prihodnost.</w:t>
      </w:r>
    </w:p>
    <w:p>
      <w:pPr>
        <w:pStyle w:val="P68B1DB1Normal14"/>
        <w:shd w:val="clear" w:fill="EEEEEE"/>
        <w:rPr>
          <w:sz w:val="20"/>
        </w:rPr>
      </w:pPr>
      <w:r>
        <w:rPr>
          <w:b/>
        </w:rPr>
        <w:t>Tretjič</w:t>
      </w:r>
      <w:r>
        <w:rPr/>
        <w:t>, Evropa potrebuje bolj demokratično Unijo. Evropski državljani imajo radi EU, vendar bodimo odkriti: ni vedno lahko. Poklicali ste nas, da vam pomagamo in nas prosili: kakšna bi morala biti evropska demokracija v prihodnosti? Odgovorili smo vam: Mi, državljani, želimo Evropo, v kateri se odločitve sprejemajo pregledno in hitro, kjer se ponovno preuči načelo soglasja in v katero smo državljani redno in resno vključeni.</w:t>
      </w:r>
    </w:p>
    <w:p>
      <w:pPr>
        <w:pStyle w:val="P68B1DB1Normal14"/>
        <w:shd w:val="clear" w:fill="EEEEEE"/>
        <w:rPr>
          <w:sz w:val="20"/>
        </w:rPr>
      </w:pPr>
      <w:r>
        <w:rPr>
          <w:b/>
        </w:rPr>
        <w:t>Četrtič</w:t>
      </w:r>
      <w:r>
        <w:rPr/>
        <w:t>, EU potrebuje večjo harmonizacijo na nekaterih področjih in da bi se zbližala kot Unija. Vojna udari na naša vrata na vzhodu, zaradi česar moramo biti bolj enotni kot kdaj koli prej in EU dati več spretnosti na področju zunanjih zadev. Ta konferenca lahko služi kot podlaga za oblikovanje enotnejše in politično skladne Evrope. Vse je odvisno od te besede: Vse je v redu. Sami sebe ne moremo opisati, če ne dosežemo sodelovanja, ki ga je ta konferenca ponazorila.</w:t>
      </w:r>
    </w:p>
    <w:p>
      <w:pPr>
        <w:pStyle w:val="P68B1DB1Normal14"/>
        <w:shd w:val="clear" w:fill="EEEEEE"/>
        <w:rPr>
          <w:sz w:val="20"/>
        </w:rPr>
      </w:pPr>
      <w:r>
        <w:rPr>
          <w:b/>
        </w:rPr>
        <w:t>Petič</w:t>
      </w:r>
      <w:r>
        <w:rPr/>
        <w:t>, EU mora pridobiti avtonomijo in zagotoviti svojo globalno konkurenčnost. V tem procesu smo govorili o doseganju tega cilja na ključnih strateških področjih: kmetijstvo, energetika, industrija, zdravje. Pri številnih občutljivih izdelkih se moramo izogibati odvisnosti od tretjih držav. Graditi moramo na nadarjenosti naše delovne sile, preprečiti beg možganov in zagotoviti ustrezno usposabljanje državljanov v vseh življenjskih obdobjih, ne glede na to, kje v EU živijo. Ne moremo imeti velikih razlik znotraj EU in mladih brez perspektive v eni državi, ki so prisiljeni iti v drugo.</w:t>
      </w:r>
    </w:p>
    <w:p>
      <w:pPr>
        <w:pStyle w:val="P68B1DB1Normal14"/>
        <w:shd w:val="clear" w:fill="EEEEEE"/>
        <w:rPr>
          <w:sz w:val="20"/>
        </w:rPr>
      </w:pPr>
      <w:r>
        <w:rPr>
          <w:b/>
        </w:rPr>
        <w:t>Šestič</w:t>
      </w:r>
      <w:r>
        <w:rPr/>
        <w:t>, prihodnost EU temelji na njenih vrednotah. Te so vodile naše delo. Ko smo začeli, si nihče ni mogel predstavljati, da bo na naši celini izbruhnila vojna. Ta boj za svobodo nas osvešča o možnosti, da živimo v mirni uniji. V ozadju vseh naših predlogov so te vrednote izražene: human in dostojanstven sprejem migrantov, enak dostop do zdravja, boj proti korupciji, poziv k varstvu narave in biotske raznovrstnosti ter bolj demokratična Unija.</w:t>
      </w:r>
    </w:p>
    <w:p>
      <w:pPr>
        <w:pStyle w:val="P68B1DB1Normal14"/>
        <w:shd w:val="clear" w:fill="EEEEEE"/>
        <w:rPr>
          <w:sz w:val="20"/>
        </w:rPr>
      </w:pPr>
      <w:r>
        <w:rPr>
          <w:b/>
        </w:rPr>
        <w:t>Sedmič</w:t>
      </w:r>
      <w:r>
        <w:rPr/>
        <w:t>, v prihodnosti bi se morali državljani počutiti bolj evropsko in bolje spoznati EU. To je medsektorsko vprašanje, ki je podprlo delo vseh panelov. Digitalna preobrazba, izobraževanje, mobilnost in izmenjave lahko dajo vsebino tej evropski identiteti, ki dopolnjuje našo nacionalno identiteto, ne da bi jo postavila pod vprašaj. Mnogi od nas se pred to konferenco niso počutili Evropejke: to se je pojavilo tukaj, počasi, z izmenjavo med seboj. Imeli smo srečo, da smo imeli to priložnost, vendar jih mnogi ne. Zato so informacije, komunikacija in ozaveščenost tako pomembni.</w:t>
      </w:r>
    </w:p>
    <w:p>
      <w:pPr>
        <w:pStyle w:val="P68B1DB1Normal14"/>
        <w:shd w:val="clear" w:fill="EEEEEE"/>
        <w:rPr>
          <w:sz w:val="20"/>
        </w:rPr>
      </w:pPr>
      <w:r>
        <w:rPr/>
        <w:t xml:space="preserve">Nazadnje, </w:t>
      </w:r>
      <w:r>
        <w:rPr>
          <w:b/>
        </w:rPr>
        <w:t>osma</w:t>
      </w:r>
      <w:r>
        <w:rPr/>
        <w:t xml:space="preserve"> medsektorska tema, ki je za nas izjemno pomembna, je izobraževanje in krepitev vloge državljanov na splošno. Na to konferenco ste se odločili povabiti državljane, starejše od 16 let. Za to smo hvaležni, ker je bolj kot kdaj koli prej potrebno opolnomočiti mlade. Visoka stopnja vzdržanja mladih kaže, da je treba povezavo med mladimi in politiko ponovno povezati. Biti morajo tudi ekonomsko in družbeno odgovorni: še vedno je pretežko vstopiti na trg dela, da bi uveljavili svoje socialne pravice. Med pandemijo COVID-19 so se počutili zapuščene in mnogi še vedno trpijo posledice za svoje duševno zdravje. Vendar je treba opolnomočiti vse Evropejce, ne le mlade: s programi mobilnosti in vseživljenjskim učenjem moramo razširiti obzorja vseh Evropejcev. Državljane moramo usposobiti tudi za demokracijo, državljansko udeležbo in medijsko pismenost. Potrebujemo resnično celosten pristop.</w:t>
      </w:r>
    </w:p>
    <w:p>
      <w:pPr>
        <w:pStyle w:val="P68B1DB1Normal14"/>
        <w:shd w:val="clear" w:fill="EEEEEE"/>
        <w:jc w:val="center"/>
        <w:rPr>
          <w:sz w:val="20"/>
        </w:rPr>
      </w:pPr>
      <w:r>
        <w:rPr/>
        <w:t>**</w:t>
      </w:r>
    </w:p>
    <w:p>
      <w:pPr>
        <w:pStyle w:val="P68B1DB1Normal14"/>
        <w:shd w:val="clear" w:fill="EEEEEE"/>
        <w:rPr>
          <w:sz w:val="20"/>
        </w:rPr>
      </w:pPr>
      <w:r>
        <w:rPr/>
        <w:t>Nihče ni vedel, kakšen bo rezultat. 27 držav, 24 jezikov, različnih starosti. In vendar, ko smo delali skupaj, smo se počutili povezani: naši možgani, naše misli, naše izkušnje. Nismo strokovnjaki iz EU ali ena od tem konference, smo pa strokovnjaki iz resničnega življenja in imamo svoje zgodbe. Gremo na delo, živimo na podeželju in v predmestjih, delamo ponoči, študiramo, imamo otroke, jemljemo javni prevoz. Lahko se zanesemo na našo raznolikost. Doseženo je bilo soglasje o predlogih med štirimi različnimi komponentami in v okviru komponente državljanov. Strinjamo se in podpiramo vse predloge, ki so zdaj v vaših rokah. V zvezi z ukrepom 38.4, tretja točka, izražamo drugačno stališče, saj ne izhaja iz evropskih okroglih miz ali nacionalnih okroglih miz in ni bilo dovolj obravnavano v delovni skupini celotne skupine. Zato ne komentiramo vsebine ali pomembnosti tega ukrepa. Ob upoštevanju tega vas vabimo, da te predloge obravnavate kot celoto, da jih uresničite, in ne samo tiste, ki vam najbolj ustrezajo in so lahko izvedljivi. Naredite to pregledno. Na teh predlogih smo delali z predanostjo in strastjo, ponosni smo na svoje delo: spoštujte ga.</w:t>
      </w:r>
    </w:p>
    <w:p>
      <w:pPr>
        <w:pStyle w:val="P68B1DB1Normal14"/>
        <w:shd w:val="clear" w:fill="EEEEEE"/>
        <w:rPr>
          <w:sz w:val="20"/>
        </w:rPr>
      </w:pPr>
      <w:r>
        <w:rPr/>
        <w:t>Konferenca o prihodnosti Evrope je šla skozi pandemijo in bila priča vojni v Evropi, ki je pokazala, da je popolnoma solidarna z ukrajinskim ljudstvom. Leto je bilo naporno za udeležence in za vse Evropejce. Toda konferenca je nadaljevala svoje delo, proti vetru in plimovanju. Dovolite nam, da v imenu državljanov konference zaključimo tako, da vam pošljemo preprosto sporočilo: počutimo se Evropejke, se počutimo zavezane in prisluhnemo procesu demokratizacije, verjamemo v EU in vanj želimo še naprej verjeti. Torej, od dna naših src, dobro preberite predloge in jih izvajajte zaradi prihodnosti Evrope.</w:t>
      </w:r>
    </w:p>
    <w:p>
      <w:pPr>
        <w:pStyle w:val="Normal"/>
        <w:shd w:val="clear" w:fill="EEEEEE"/>
        <w:rPr/>
      </w:pPr>
      <w:r>
        <w:rPr/>
      </w:r>
      <w:r>
        <w:br w:type="page"/>
      </w:r>
    </w:p>
    <w:p>
      <w:pPr>
        <w:pStyle w:val="Corpsdetexte"/>
        <w:rPr/>
      </w:pPr>
      <w:r>
        <w:rPr/>
        <w:t>Predstavniki plenarne skupščine Sveta so se vzdržali pripomb o vsebini predlogov, vendar so namesto tega podprli in spodbujali dejavnosti državljanov ter se seznanili z njihovimi priporočili. Svet bo po 9. maju 2022 v okviru svojih pristojnosti in v skladu s Pogodbama določil, kako ukrepati na podlagi izida konference.</w:t>
      </w:r>
    </w:p>
    <w:p>
      <w:pPr>
        <w:pStyle w:val="Normal"/>
        <w:rPr/>
      </w:pPr>
      <w:r>
        <w:rPr/>
      </w:r>
    </w:p>
    <w:p>
      <w:pPr>
        <w:pStyle w:val="Corpsdetexte"/>
        <w:rPr/>
      </w:pPr>
      <w:r>
        <w:rPr/>
        <w:t>Izvršni odbor konference o prihodnosti Evrope se je seznanil s predlogi plenarne skupščine in jih predstavil kot končni izid konference. Ti predlogi so bili kot smernice za prihodnost Evrope pridobljeni po skoraj enem letu razprav v okviru, določenem v skupni izjavi in poslovniku konference.</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Slika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20" descr=""/>
                    <pic:cNvPicPr>
                      <a:picLocks noChangeAspect="1" noChangeArrowheads="1"/>
                    </pic:cNvPicPr>
                  </pic:nvPicPr>
                  <pic:blipFill>
                    <a:blip r:embed="rId71"/>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Predlogi plenarne skupščine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Slika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21" descr=""/>
                    <pic:cNvPicPr>
                      <a:picLocks noChangeAspect="1" noChangeArrowheads="1"/>
                    </pic:cNvPicPr>
                  </pic:nvPicPr>
                  <pic:blipFill>
                    <a:blip r:embed="rId7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Podnebne spremembe in okolje</w:t>
      </w:r>
    </w:p>
    <w:p>
      <w:pPr>
        <w:pStyle w:val="Titre3"/>
        <w:numPr>
          <w:ilvl w:val="2"/>
          <w:numId w:val="2"/>
        </w:numPr>
        <w:rPr/>
      </w:pPr>
      <w:bookmarkStart w:id="38" w:name="__RefHeading___Toc298250_1346298689"/>
      <w:bookmarkEnd w:id="38"/>
      <w:r>
        <w:rPr/>
        <w:t>1. Predlog: Kmetijstvo, proizvodnja hrane, biotska raznovrstnost in ekosistemi, onesnaževanje</w:t>
      </w:r>
    </w:p>
    <w:p>
      <w:pPr>
        <w:pStyle w:val="P68B1DB1Normal15"/>
        <w:rPr>
          <w:b/>
          <w:b/>
        </w:rPr>
      </w:pPr>
      <w:r>
        <w:rPr/>
        <w:t>Cilj: Varna, trajnostna, pravična, na podnebne spremembe odzivna in cenovno dostopna proizvodnja hrane, ki spoštuje načela trajnosti in okolja ter varuje biotsko raznovrstnost in ekosisteme, hkrati pa zagotavlja prehransko varnost.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rPr/>
      </w:pPr>
      <w:r>
        <w:rPr/>
        <w:t>1.</w:t>
        <w:tab/>
        <w:t>Postaviti v ospredje koncepte zelenega in modrega gospodarstva s spodbujanjem učinkovitega, okolju in podnebju prijaznega kmetijstva in ribištva v EU in po svetu, vključno z ekološkim kmetovanjem ter drugimi inovativnimi in trajnostnimi oblikami kmetijstva, kot je vertikalno kmetijstvo, ki omogočajo večjo proizvodnjo z manj vložki, hkrati pa zmanjšujejo emisije in vplive na okolje, vendar še naprej zagotavljajo produktivnost in prehransko varnost (sklop 3, priporočila 1, 2 in 10; panel 2 – Priporočilo 4).</w:t>
      </w:r>
    </w:p>
    <w:p>
      <w:pPr>
        <w:pStyle w:val="Puce3"/>
        <w:rPr/>
      </w:pPr>
      <w:r>
        <w:rPr/>
        <w:t>2.</w:t>
        <w:tab/>
        <w:t>Preusmeriti subvencije in okrepiti spodbude za ekološko in trajnostno kmetijstvo, ki izpolnjujejo posebne okoljske standarde in prispevajo k doseganju globalnih podnebnih ciljev (sklop 3 – priporočili 1 in 12).</w:t>
      </w:r>
    </w:p>
    <w:p>
      <w:pPr>
        <w:pStyle w:val="Puce3"/>
        <w:rPr/>
      </w:pPr>
      <w:r>
        <w:rPr/>
        <w:t>3.</w:t>
        <w:tab/>
        <w:t>Uporabljati načela krožnega gospodarstva v kmetijstvu in spodbujati ukrepe za boj proti živilskim odpadkom (razprava v delovni skupini, Večjezična digitalna platforma – NPC).</w:t>
      </w:r>
    </w:p>
    <w:p>
      <w:pPr>
        <w:pStyle w:val="Puce3"/>
        <w:rPr/>
      </w:pPr>
      <w:r>
        <w:rPr/>
        <w:t>4.</w:t>
        <w:tab/>
        <w:t>Znatno zmanjšati uporabo pesticidov in kemičnih gnojil v skladu z obstoječimi cilji, hkrati pa še naprej zagotavljati varnost hrane in podpirati raziskave za razvoj bolj trajnostnih in na naravi temelječih alternativ (področje 3 – Priporočilo 10, razprava v delovni skupini).</w:t>
      </w:r>
    </w:p>
    <w:p>
      <w:pPr>
        <w:pStyle w:val="Puce3"/>
        <w:rPr/>
      </w:pPr>
      <w:r>
        <w:rPr/>
        <w:t>5.</w:t>
        <w:tab/>
        <w:t>Uvesti certificiranje odvzemov ogljika na podlagi zanesljivega, zanesljivega in preglednega obračunavanja ogljika (plenarna razprava).</w:t>
      </w:r>
    </w:p>
    <w:p>
      <w:pPr>
        <w:pStyle w:val="Puce3"/>
        <w:rPr/>
      </w:pPr>
      <w:r>
        <w:rPr/>
        <w:t>6.</w:t>
        <w:tab/>
        <w:t>Povečati raziskave in inovacije, zlasti na področju tehnoloških rešitev, povezanih s trajnostno proizvodnjo, odpornostjo na škodljivce in preciznim kmetijstvom, pa tudi na področju komuniciranja, svetovalnih sistemov in usposabljanja za kmete in kmete (področje 3 – priporočilo 10, razprava v delovni skupini, plenarna razprava).</w:t>
      </w:r>
    </w:p>
    <w:p>
      <w:pPr>
        <w:pStyle w:val="Puce3"/>
        <w:rPr/>
      </w:pPr>
      <w:r>
        <w:rPr/>
        <w:t>7.</w:t>
        <w:tab/>
        <w:t>Odpraviti socialni damping in spodbujati pravičen zeleni prehod na boljša delovna mesta v kmetijskem sektorju z visokokakovostnimi varnostnimi, zdravstvenimi in delovnimi pogoji (razprava v delovni skupini).</w:t>
      </w:r>
    </w:p>
    <w:p>
      <w:pPr>
        <w:pStyle w:val="Puce3"/>
        <w:rPr/>
      </w:pPr>
      <w:r>
        <w:rPr/>
        <w:t>8.</w:t>
        <w:tab/>
        <w:t>Razpravljati o vidikih, kot so uporaba plastike v kmetijskih filmih in načini za zmanjšanje porabe vode v kmetijstvu (PNM).</w:t>
      </w:r>
    </w:p>
    <w:p>
      <w:pPr>
        <w:pStyle w:val="Puce3"/>
        <w:rPr/>
      </w:pPr>
      <w:r>
        <w:rPr/>
        <w:t>9.</w:t>
        <w:tab/>
        <w:t>Utemeljena vzreja in proizvodnja mesa, osredotočena na dobro počutje in trajnost živali, z ukrepi, kot so jasno označevanje, visoki kakovostni in skupni standardi za živinorejo in prevoz, ki krepijo povezavo med živino in krmo (plošča 3 – priporočili 16 in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Predlog: Kmetijstvo, proizvodnja hrane, biotska raznovrstnost in ekosistemi, onesnaževanje</w:t>
      </w:r>
    </w:p>
    <w:p>
      <w:pPr>
        <w:pStyle w:val="P68B1DB1Normal15"/>
        <w:rPr>
          <w:b/>
          <w:b/>
        </w:rPr>
      </w:pPr>
      <w:r>
        <w:rPr/>
        <w:t>Cilj: Zaščito in obnovo biotske raznovrstnosti, krajine in oceanov ter odpravo onesnaževanja.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Ukrepi:</w:t>
      </w:r>
    </w:p>
    <w:p>
      <w:pPr>
        <w:pStyle w:val="Puce3"/>
        <w:tabs>
          <w:tab w:val="clear" w:pos="720"/>
        </w:tabs>
        <w:rPr/>
      </w:pPr>
      <w:r>
        <w:rPr/>
        <w:t>1.</w:t>
        <w:tab/>
        <w:t>Oblikovanje, obnavljanje, upravljanje in širjenje zavarovanih območij za ohranjanje biotske raznovrstnosti (Priporočilo FR, panel 3 – Priporočilo 11).</w:t>
      </w:r>
    </w:p>
    <w:p>
      <w:pPr>
        <w:pStyle w:val="Puce3"/>
        <w:tabs>
          <w:tab w:val="clear" w:pos="720"/>
        </w:tabs>
        <w:rPr/>
      </w:pPr>
      <w:r>
        <w:rPr/>
        <w:t>2.</w:t>
        <w:tab/>
        <w:t>Vzpostaviti sistem prisile in nagrajevanja za boj proti onesnaževanju z uporabo načela „onesnaževalec plača“, ki bi ga bilo treba vključiti tudi v davčne ukrepe ter z boljšo ozaveščenostjo in spodbudami (člen 3 – priporočilo 32, priporočilo FR, plenarna razprava).</w:t>
      </w:r>
    </w:p>
    <w:p>
      <w:pPr>
        <w:pStyle w:val="Puce3"/>
        <w:tabs>
          <w:tab w:val="clear" w:pos="720"/>
        </w:tabs>
        <w:rPr/>
      </w:pPr>
      <w:r>
        <w:rPr/>
        <w:t>3.</w:t>
        <w:tab/>
        <w:t>Razširiti vlogo občin pri urbanističnem načrtovanju in gradnji novih stavb, ki podpirajo modro in zeleno infrastrukturo, preprečiti nadaljnje pozidavo zemljišč in jih odpraviti, obvezne zelene površine za nove gradnje za spodbujanje biotske raznovrstnosti in mestnih gozdov (področje 3 – priporočilo 5, panel 1 – priporočilo 18, priporočilo FR).</w:t>
      </w:r>
    </w:p>
    <w:p>
      <w:pPr>
        <w:pStyle w:val="Puce3"/>
        <w:tabs>
          <w:tab w:val="clear" w:pos="720"/>
        </w:tabs>
        <w:rPr/>
      </w:pPr>
      <w:r>
        <w:rPr/>
        <w:t>4.</w:t>
        <w:tab/>
        <w:t>Zaščitijo žuželke, zlasti avtohtone in opraševalne vrste, vključno z zaščito pred invazivnimi vrstami in boljšim izvrševanjem obstoječih pravil (sploh 1 – Priporočilo 18).</w:t>
      </w:r>
    </w:p>
    <w:p>
      <w:pPr>
        <w:pStyle w:val="Puce3"/>
        <w:tabs>
          <w:tab w:val="clear" w:pos="720"/>
        </w:tabs>
        <w:rPr/>
      </w:pPr>
      <w:r>
        <w:rPr/>
        <w:t>5.</w:t>
        <w:tab/>
        <w:t>Podpirati pogozdovanje in ponovno pogozdovanje, vključno z gozdovi, ki so jih uničili požari, uporabljati odgovorno gospodarjenje z gozdovi in spodbujati boljšo uporabo lesa za nadomestitev drugih materialov. Določitev zavezujočih nacionalnih ciljev v vseh državah članicah EU za ponovno pogozdovanje avtohtonih dreves in lokalnih rastlinskih vrst ob upoštevanju različnih nacionalnih razmer in posebnosti (področje 3 – priporočilo 14, panel 1 – priporočilo 18).</w:t>
      </w:r>
    </w:p>
    <w:p>
      <w:pPr>
        <w:pStyle w:val="Puce3"/>
        <w:tabs>
          <w:tab w:val="clear" w:pos="720"/>
        </w:tabs>
        <w:rPr/>
      </w:pPr>
      <w:r>
        <w:rPr/>
        <w:t>6.</w:t>
        <w:tab/>
        <w:t>Uveljaviti in razširiti prepoved plastike za enkratno uporabo.</w:t>
      </w:r>
    </w:p>
    <w:p>
      <w:pPr>
        <w:pStyle w:val="Puce3"/>
        <w:tabs>
          <w:tab w:val="clear" w:pos="720"/>
        </w:tabs>
        <w:rPr/>
      </w:pPr>
      <w:r>
        <w:rPr/>
        <w:t>7.</w:t>
        <w:tab/>
        <w:t>Varstvo vodnih virov in boj proti onesnaževanju rek in oceanov, vključno z raziskavami in bojem proti onesnaževanju z mikroplastiko, ter spodbujanje okolju prijaznega prevoza z uporabo najboljših razpoložljivih tehnologij ter vzpostavitev raziskav in financiranja Unije za alternativna pomorska goriva in tehnologije (NMP, razprava v delovni skupini).</w:t>
      </w:r>
    </w:p>
    <w:p>
      <w:pPr>
        <w:pStyle w:val="Puce3"/>
        <w:tabs>
          <w:tab w:val="clear" w:pos="720"/>
        </w:tabs>
        <w:rPr/>
      </w:pPr>
      <w:r>
        <w:rPr/>
        <w:t>8.</w:t>
        <w:tab/>
        <w:t>Omejitev svetlobnega onesnaževanja (razprava v delovni skupini).</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Predlog: Podnebne spremembe, energija, promet</w:t>
      </w:r>
    </w:p>
    <w:p>
      <w:pPr>
        <w:pStyle w:val="P68B1DB1Normal15"/>
        <w:rPr>
          <w:b/>
          <w:b/>
        </w:rPr>
      </w:pPr>
      <w:r>
        <w:rPr/>
        <w:t>Cilj: Povečanje evropske energetske varnosti in doseganje energetske neodvisnosti Unije ob hkratnem zagotavljanju pravičnega prehoda ter zagotavljanju zadostne trajnostne in cenovno dostopne energije za Evropejce. Spopadanje s podnebnimi spremembami z dajanjem vodilne vloge EU na svetovni ravni v politiki trajnostne energije in spoštovanjem svetovnih ciljev na področju varstva podnebja.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Ukrepi:</w:t>
      </w:r>
    </w:p>
    <w:p>
      <w:pPr>
        <w:pStyle w:val="Puce3"/>
        <w:tabs>
          <w:tab w:val="clear" w:pos="720"/>
        </w:tabs>
        <w:rPr/>
      </w:pPr>
      <w:r>
        <w:rPr/>
        <w:t>1.</w:t>
        <w:tab/>
        <w:t>Doseči in po možnosti pospešiti zeleni prehod, tudi z večjim vlaganjem v energijo iz obnovljivih virov, da bi zmanjšali odvisnost od zunanje energije, pri čemer je treba priznati tudi vlogo lokalnih in regionalnih oblasti pri zelenem prehodu (razprava v delovni skupini).</w:t>
      </w:r>
    </w:p>
    <w:p>
      <w:pPr>
        <w:pStyle w:val="Puce3"/>
        <w:tabs>
          <w:tab w:val="clear" w:pos="720"/>
        </w:tabs>
        <w:rPr/>
      </w:pPr>
      <w:r>
        <w:rPr/>
        <w:t>2.</w:t>
        <w:tab/>
        <w:t>V okviru energetskih politik preučiti geopolitične in varnostne posledice vseh dobaviteljev energije iz tretjih držav, zlasti v smislu človekovih pravic, ekologije, dobrega upravljanja in pravne države (razprava v delovni skupini).</w:t>
      </w:r>
    </w:p>
    <w:p>
      <w:pPr>
        <w:pStyle w:val="Puce3"/>
        <w:tabs>
          <w:tab w:val="clear" w:pos="720"/>
        </w:tabs>
        <w:rPr/>
      </w:pPr>
      <w:r>
        <w:rPr/>
        <w:t>3.</w:t>
        <w:tab/>
        <w:t>Zmanjšati odvisnost od uvoza nafte in plina s projekti za energetsko učinkovitost, podporo cenovno dostopnemu javnemu prevozu, hitrim tovornim železniškim omrežjem ter širitvijo oskrbe s čisto in obnovljivo energijo (področje 4 – priporočilo 2, panel 1 – priporočilo 10, FR in DE priporočila).</w:t>
      </w:r>
    </w:p>
    <w:p>
      <w:pPr>
        <w:pStyle w:val="Puce3"/>
        <w:tabs>
          <w:tab w:val="clear" w:pos="720"/>
        </w:tabs>
        <w:rPr/>
      </w:pPr>
      <w:r>
        <w:rPr/>
        <w:t>4.</w:t>
        <w:tab/>
        <w:t>Izboljšanje kakovosti in medsebojne povezljivosti, zagotavljanje vzdrževanja in preoblikovanje elektroenergetske infrastrukture in omrežij, da se poveča varnost in omogoči prehod na obnovljive vire energije (oddelek 1 – priporočilo 10, razprava v delovni skupini).</w:t>
      </w:r>
    </w:p>
    <w:p>
      <w:pPr>
        <w:pStyle w:val="Puce3"/>
        <w:tabs>
          <w:tab w:val="clear" w:pos="720"/>
        </w:tabs>
        <w:rPr/>
      </w:pPr>
      <w:r>
        <w:rPr/>
        <w:t>5.</w:t>
        <w:tab/>
        <w:t>Vlagajo v tehnologije, ki lahko proizvajajo energijo iz obnovljivih virov, kot je učinkovita proizvodnja zelenega vodika, zlasti v sektorjih, ki jih je težko elektrificirati (sploh 3 – priporočilo 31, razprava v delovni skupini).</w:t>
      </w:r>
    </w:p>
    <w:p>
      <w:pPr>
        <w:pStyle w:val="Puce3"/>
        <w:tabs>
          <w:tab w:val="clear" w:pos="720"/>
        </w:tabs>
        <w:rPr/>
      </w:pPr>
      <w:r>
        <w:rPr/>
        <w:t>6.</w:t>
        <w:tab/>
        <w:t>Vlagati v raziskovanje novih virov energije in okolju prijaznih načinov shranjevanja ter v pričakovanju oprijemljive rešitve dodatno vlagati v obstoječe optimalne rešitve za proizvodnjo in shranjevanje energije (sklop 3 – priporočili 9 in 31).</w:t>
      </w:r>
    </w:p>
    <w:p>
      <w:pPr>
        <w:pStyle w:val="Puce3"/>
        <w:tabs>
          <w:tab w:val="clear" w:pos="720"/>
        </w:tabs>
        <w:rPr/>
      </w:pPr>
      <w:r>
        <w:rPr/>
        <w:t>7.</w:t>
        <w:tab/>
        <w:t>Uvesti</w:t>
      </w:r>
      <w:r>
        <w:rPr>
          <w:vertAlign w:val="subscript"/>
        </w:rPr>
        <w:t>obvezno</w:t>
      </w:r>
      <w:r>
        <w:rPr/>
        <w:t xml:space="preserve"> uporabo filtrov CO2 v elektrarnah na fosilna goriva in zagotoviti finančno podporo državam članicam, ki nimajo finančnih sredstev za izvajanje filtrov CO2 (</w:t>
      </w:r>
      <w:r>
        <w:rPr>
          <w:vertAlign w:val="subscript"/>
        </w:rPr>
        <w:t>razdelek</w:t>
      </w:r>
      <w:r>
        <w:rPr/>
        <w:t xml:space="preserve"> 3 – Priporočilo 29).</w:t>
      </w:r>
    </w:p>
    <w:p>
      <w:pPr>
        <w:pStyle w:val="Puce3"/>
        <w:tabs>
          <w:tab w:val="clear" w:pos="720"/>
        </w:tabs>
        <w:rPr/>
      </w:pPr>
      <w:r>
        <w:rPr/>
        <w:t>8.</w:t>
        <w:tab/>
        <w:t>Zagotavljanje pravičnega prehoda, zaščita delavcev in delovnih mest z ustreznim financiranjem prehoda in nadaljnjimi raziskavami, reforma davčnega sistema s pravičnejšim obdavčenjem in ukrepi za boj proti davčnim goljufijam ter zagotavljanje vključujočega pristopa k upravljanju pri oblikovanju politik na vseh ravneh (npr. ambiciozni ukrepi za preusposabljanje in izpopolnjevanje, močna socialna zaščita, ohranjanje javnih storitev v rokah države, ohranjanje zdravstvenih in varnostnih pravil na delovnem mestu) (časovna razprava, razprava v delovni skupini, NPC).</w:t>
      </w:r>
    </w:p>
    <w:p>
      <w:pPr>
        <w:pStyle w:val="Puce3"/>
        <w:tabs>
          <w:tab w:val="clear" w:pos="720"/>
        </w:tabs>
        <w:rPr/>
      </w:pPr>
      <w:r>
        <w:rPr/>
        <w:t>9.</w:t>
        <w:tab/>
        <w:t>Uvedba naložbenega svežnja za podnebju prijazne tehnologije in inovacije, ki bi ga bilo treba financirati s podnebnimi uvoznimi dajatvami in dajatvami za ogljično prilagoditev, povezanimi s podnebjem (priporočilo DE).</w:t>
      </w:r>
    </w:p>
    <w:p>
      <w:pPr>
        <w:pStyle w:val="Puce3"/>
        <w:tabs>
          <w:tab w:val="clear" w:pos="720"/>
        </w:tabs>
        <w:rPr/>
      </w:pPr>
      <w:r>
        <w:rPr/>
        <w:t>10.</w:t>
        <w:tab/>
        <w:t>Ob koncu prehodnega obdobja fosilna goriva ne bi smela več prejemati subvencij in ne bi smela biti financirana tradicionalna plinska infrastruktura (razprava v delovni skupini).</w:t>
      </w:r>
    </w:p>
    <w:p>
      <w:pPr>
        <w:pStyle w:val="Puce3"/>
        <w:tabs>
          <w:tab w:val="clear" w:pos="720"/>
        </w:tabs>
        <w:rPr/>
      </w:pPr>
      <w:r>
        <w:rPr/>
        <w:t>11.</w:t>
        <w:tab/>
        <w:t>Povečati vodilno vlogo in odgovornost EU pri spodbujanju ambicioznih podnebnih ukrepov in pravičnega prehoda ter prispevati k odzivanju na izgubo in škodo na mednarodnem prizorišču, kjer morajo biti Združeni narodi v središču ukrepanja (priporočilo NL, razprava delovne skupine).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Predlog: Podnebne spremembe, energija, promet</w:t>
      </w:r>
    </w:p>
    <w:p>
      <w:pPr>
        <w:pStyle w:val="P68B1DB1Normal15"/>
        <w:rPr>
          <w:b/>
          <w:b/>
        </w:rPr>
      </w:pPr>
      <w:r>
        <w:rPr/>
        <w:t>Cilj: Zagotoviti sodobno, varno, ekološko in kakovostno infrastrukturo, ki zagotavlja povezljivost, tudi na podeželskih in otoških območjih, tudi prek cenovno dostopnega javnega prevoza.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Ukrepi:</w:t>
      </w:r>
    </w:p>
    <w:p>
      <w:pPr>
        <w:pStyle w:val="Puce3"/>
        <w:tabs>
          <w:tab w:val="clear" w:pos="720"/>
        </w:tabs>
        <w:rPr/>
      </w:pPr>
      <w:r>
        <w:rPr/>
        <w:t>1.</w:t>
        <w:tab/>
        <w:t>Podpora javnemu prevozu in razvoj učinkovitega, zanesljivega in cenovno dostopnega evropskega javnega prometnega omrežja, zlasti na podeželskih in otoških območjih, z dodatnimi spodbudami za uporabo javnega prevoza (panel 3 – Priporočilo 36, okrogla miza 4 – priporočilo 2).</w:t>
      </w:r>
    </w:p>
    <w:p>
      <w:pPr>
        <w:pStyle w:val="Puce3"/>
        <w:tabs>
          <w:tab w:val="clear" w:pos="720"/>
        </w:tabs>
        <w:rPr/>
      </w:pPr>
      <w:r>
        <w:rPr/>
        <w:t>2.</w:t>
        <w:tab/>
        <w:t>Vlagati v visokohitrostne nočne vlake in določiti enoten standard okolju prijazne železniške tehnologije v Evropi, da bi ponudili verodostojno alternativo in olajšali možnost zamenjave in odvračanja letov na kratke razdalje (razprava v WG, NPM).</w:t>
      </w:r>
    </w:p>
    <w:p>
      <w:pPr>
        <w:pStyle w:val="Puce3"/>
        <w:tabs>
          <w:tab w:val="clear" w:pos="720"/>
        </w:tabs>
        <w:rPr/>
      </w:pPr>
      <w:r>
        <w:rPr/>
        <w:t>3.</w:t>
        <w:tab/>
        <w:t>Spodbujajo nakup ob upoštevanju njihove cenovne dostopnosti za gospodinjstva in (skupne) uporabe električnih vozil, ki ustrezajo dobremu življenjskemu standardu baterije, pa tudi naložbe v potrebno polnilno infrastrukturo in naložbe v razvoj drugih čistih tehnologij za vozila, katerih elektrifikacija je težko dosegljiva (stran 3 – priporočilo 38).</w:t>
      </w:r>
    </w:p>
    <w:p>
      <w:pPr>
        <w:pStyle w:val="Puce3"/>
        <w:tabs>
          <w:tab w:val="clear" w:pos="720"/>
        </w:tabs>
        <w:rPr/>
      </w:pPr>
      <w:r>
        <w:rPr/>
        <w:t>4.</w:t>
        <w:tab/>
        <w:t>Vzpostaviti širokopasovno povezljivost z internetom in mobilnim omrežjem na podeželskih in otoških območjih (Priloga 3 – Priporočilo 36).</w:t>
      </w:r>
    </w:p>
    <w:p>
      <w:pPr>
        <w:pStyle w:val="Puce3"/>
        <w:tabs>
          <w:tab w:val="clear" w:pos="720"/>
        </w:tabs>
        <w:rPr/>
      </w:pPr>
      <w:r>
        <w:rPr/>
        <w:t>5.</w:t>
        <w:tab/>
        <w:t>Izboljšati obstoječo prometno infrastrukturo z ekološkega vidika (panel 3 – Priporočilo 37).</w:t>
      </w:r>
    </w:p>
    <w:p>
      <w:pPr>
        <w:pStyle w:val="Puce3"/>
        <w:tabs>
          <w:tab w:val="clear" w:pos="720"/>
        </w:tabs>
        <w:rPr/>
      </w:pPr>
      <w:r>
        <w:rPr/>
        <w:t>6.</w:t>
        <w:tab/>
        <w:t>Zahtevati programe razvoja mest za „zelena“ mesta z manj emisijami, s posebnimi območji brez avtomobilov v mestih, ne da bi škodovala komercialnim območjem (priporočilo 6).</w:t>
      </w:r>
    </w:p>
    <w:p>
      <w:pPr>
        <w:pStyle w:val="Puce3"/>
        <w:tabs>
          <w:tab w:val="clear" w:pos="720"/>
        </w:tabs>
        <w:rPr/>
      </w:pPr>
      <w:r>
        <w:rPr/>
        <w:t>7.</w:t>
        <w:tab/>
        <w:t>Izboljšati infrastrukturo za kolesa ter zagotoviti več pravic in pravnega varstva kolesarjem in pešcem, zlasti v primeru nesreč z motornim vozilom, zagotoviti varnost v cestnem prometu in zagotoviti usposabljanje o cestnoprometnih predpisih (sklop 3 – Priporočilo 4).</w:t>
      </w:r>
    </w:p>
    <w:p>
      <w:pPr>
        <w:pStyle w:val="Puce3"/>
        <w:tabs>
          <w:tab w:val="clear" w:pos="720"/>
        </w:tabs>
        <w:rPr/>
      </w:pPr>
      <w:r>
        <w:rPr/>
        <w:t>8.</w:t>
        <w:tab/>
        <w:t>Urejanje rudarjenja kriptovalut, ki porabijo veliko energije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Predlog: Trajnostna potrošnja, pakiranje in proizvodnja</w:t>
      </w:r>
    </w:p>
    <w:p>
      <w:pPr>
        <w:pStyle w:val="P68B1DB1Normal15"/>
        <w:rPr>
          <w:b/>
          <w:b/>
        </w:rPr>
      </w:pPr>
      <w:r>
        <w:rPr/>
        <w:t>Cilj: Izboljšati uporabo in upravljanje materialov v Uniji, da bi spodbudili krožno gospodarstvo, postali bolj avtonomni in manj odvisni. Razviti krožno gospodarstvo s spodbujanjem trajnostne proizvodnje in proizvodov v Uniji. Zagotoviti, da so vsi izdelki, dani na trg Unije, skladni s skupnimi okoljskimi standardi Unije.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Ukrepi:</w:t>
      </w:r>
    </w:p>
    <w:p>
      <w:pPr>
        <w:pStyle w:val="Puce3"/>
        <w:tabs>
          <w:tab w:val="clear" w:pos="720"/>
        </w:tabs>
        <w:rPr/>
      </w:pPr>
      <w:r>
        <w:rPr/>
        <w:t>1.</w:t>
        <w:tab/>
        <w:t>Strožji in usklajeni proizvodni standardi Unije in pregleden sistem označevanja za vse proizvode, ki se prodajajo na trgu EU, glede na njihovo trajnost/okoljski odtis in dolgoživost, in sicer s kodo QR in ekološkim rezultatom ali digitalnim potnim listom izdelka (plošča 3 – priporočila 8, 13, 20 in 21, panel 1 – priporočilo 16, panel 4 – priporočilo 13).</w:t>
      </w:r>
    </w:p>
    <w:p>
      <w:pPr>
        <w:pStyle w:val="Puce3"/>
        <w:tabs>
          <w:tab w:val="clear" w:pos="720"/>
        </w:tabs>
        <w:rPr/>
      </w:pPr>
      <w:r>
        <w:rPr/>
        <w:t>2.</w:t>
        <w:tab/>
        <w:t>Pregled globalnih dobavnih verig, tudi v kmetijski proizvodnji, da se zmanjša odvisnost EU in skrajšajo stiki.</w:t>
      </w:r>
    </w:p>
    <w:p>
      <w:pPr>
        <w:pStyle w:val="Puce3"/>
        <w:tabs>
          <w:tab w:val="clear" w:pos="720"/>
        </w:tabs>
        <w:rPr/>
      </w:pPr>
      <w:r>
        <w:rPr/>
        <w:t>3.</w:t>
        <w:tab/>
        <w:t>Nadaljnje preprečevanje nastajanja odpadkov z določitvijo ciljev preprečevanja in ponovne uporabe ter določitvijo standardov kakovosti za sisteme sortiranja odpadkov (razprava v delovni skupini, priporočilo FR).</w:t>
      </w:r>
    </w:p>
    <w:p>
      <w:pPr>
        <w:pStyle w:val="Puce3"/>
        <w:tabs>
          <w:tab w:val="clear" w:pos="720"/>
        </w:tabs>
        <w:rPr/>
      </w:pPr>
      <w:r>
        <w:rPr/>
        <w:t>4.</w:t>
        <w:tab/>
        <w:t>Postopno opuščanje netrajnostnih oblik embalaže, urejanje okolju prijazne embalaže in izogibanje odpadku materialov v embalaži s finančnimi spodbudami in sankcijami ter naložbami v alternativne raziskave (panel 3 – priporočili 15 in 25, panel 1 – priporočilo 12, panel 4 – priporočilo 16).</w:t>
      </w:r>
    </w:p>
    <w:p>
      <w:pPr>
        <w:pStyle w:val="Puce3"/>
        <w:tabs>
          <w:tab w:val="clear" w:pos="720"/>
        </w:tabs>
        <w:rPr/>
      </w:pPr>
      <w:r>
        <w:rPr/>
        <w:t>5.</w:t>
        <w:tab/>
        <w:t>Uvesti evropski sistem za odlaganje embalaže in napredne standarde za zabojnike (plošča 3 – priporočili 22 in 23, NPC).</w:t>
      </w:r>
    </w:p>
    <w:p>
      <w:pPr>
        <w:pStyle w:val="Puce3"/>
        <w:tabs>
          <w:tab w:val="clear" w:pos="720"/>
        </w:tabs>
        <w:rPr/>
      </w:pPr>
      <w:r>
        <w:rPr/>
        <w:t>6.</w:t>
        <w:tab/>
        <w:t>Vzpostavitev platforme znanja EU o tem, kako zagotoviti trajnostno in dolgoročno uporabo proizvodov in kako jih „popraviti“, vključno z informacijami, ki so na voljo pri združenjih potrošnikov (področje 3 – Priporočilo 20).</w:t>
      </w:r>
    </w:p>
    <w:p>
      <w:pPr>
        <w:pStyle w:val="Puce3"/>
        <w:tabs>
          <w:tab w:val="clear" w:pos="720"/>
        </w:tabs>
        <w:rPr/>
      </w:pPr>
      <w:r>
        <w:rPr/>
        <w:t>7.</w:t>
        <w:tab/>
        <w:t>Uvesti ukrepe za boj proti zgodnji ali prezgodnji zastarelosti, vključno z načrtovano zastarelostjo, zagotoviti daljše zaščitne ukrepe, spodbujati pravico do popravila ter zagotoviti razpoložljivost in dostopnost združljivih nadomestnih delov (plošča 3 – priporočilo 20, priporočilo FR, priporočilo DE, skupina 1 – priporočilo 14).</w:t>
      </w:r>
    </w:p>
    <w:p>
      <w:pPr>
        <w:pStyle w:val="Puce3"/>
        <w:tabs>
          <w:tab w:val="clear" w:pos="720"/>
        </w:tabs>
        <w:rPr/>
      </w:pPr>
      <w:r>
        <w:rPr/>
        <w:t>8.</w:t>
        <w:tab/>
        <w:t>Ustvariti trg za sekundarne surovine ob upoštevanju obveznih stopenj vsebnosti recikliranih materialov s spodbujanjem zmanjšane uporabe surovin (razprava v delovni skupini).</w:t>
      </w:r>
    </w:p>
    <w:p>
      <w:pPr>
        <w:pStyle w:val="Puce3"/>
        <w:tabs>
          <w:tab w:val="clear" w:pos="720"/>
        </w:tabs>
        <w:rPr/>
      </w:pPr>
      <w:r>
        <w:rPr/>
        <w:t>9.</w:t>
        <w:tab/>
        <w:t>Hitro izvajanje ambiciozne strategije na področju tekstila in opredelitev mehanizma, ki potrošnikom omogoča, da vedo, da izdelek izpolnjuje trajnostna merila (panel 3 – priporočilo 28, razprava v delovni skupini).</w:t>
      </w:r>
    </w:p>
    <w:p>
      <w:pPr>
        <w:pStyle w:val="Puce3"/>
        <w:tabs>
          <w:tab w:val="clear" w:pos="720"/>
        </w:tabs>
        <w:rPr/>
      </w:pPr>
      <w:r>
        <w:rPr/>
        <w:t>10.</w:t>
        <w:tab/>
        <w:t>Ukrepi EU, ki potrošnikom omogočajo daljšo uporabo proizvodov in jih k temu spodbujajo (poglavje 3 – Priporočilo 20).</w:t>
      </w:r>
    </w:p>
    <w:p>
      <w:pPr>
        <w:pStyle w:val="Puce3"/>
        <w:tabs>
          <w:tab w:val="clear" w:pos="720"/>
        </w:tabs>
        <w:rPr/>
      </w:pPr>
      <w:r>
        <w:rPr/>
        <w:t>11.</w:t>
        <w:tab/>
        <w:t>Okrepiti okoljske standarde in uveljaviti predpise o izvozu odpadkov v EU in tretje države (pregled 4 – Priporočilo 15, NPC).</w:t>
      </w:r>
    </w:p>
    <w:p>
      <w:pPr>
        <w:pStyle w:val="Puce3"/>
        <w:tabs>
          <w:tab w:val="clear" w:pos="720"/>
        </w:tabs>
        <w:rPr/>
      </w:pPr>
      <w:r>
        <w:rPr/>
        <w:t>12.</w:t>
        <w:tab/>
        <w:t>Uvesti ukrepe za omejitev oglaševanja okolju škodljivih proizvodov z uvedbo obvezne izjave o omejitvi odgovornosti za izdelke, ki so posebej škodljivi za okolje (panel 3 – Priporočilo 22).</w:t>
      </w:r>
    </w:p>
    <w:p>
      <w:pPr>
        <w:pStyle w:val="Puce3"/>
        <w:tabs>
          <w:tab w:val="clear" w:pos="720"/>
        </w:tabs>
        <w:rPr/>
      </w:pPr>
      <w:r>
        <w:rPr/>
        <w:t>13.</w:t>
        <w:tab/>
        <w:t>Uporaba strožjih proizvodnih standardov in poštenih delovnih pogojev v celotni proizvodni in vrednostni verigi (sploh 3 – Priporočilo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Predlog: Obveščanje, ozaveščanje, dialog in način življenja</w:t>
      </w:r>
    </w:p>
    <w:p>
      <w:pPr>
        <w:pStyle w:val="P68B1DB1Normal15"/>
        <w:rPr>
          <w:b/>
          <w:b/>
        </w:rPr>
      </w:pPr>
      <w:r>
        <w:rPr/>
        <w:t>Cilj: Spodbujanje znanja, ozaveščenosti, izobraževanja in dialoga o okolju, podnebnih spremembah, rabi energije in trajnosti.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Ukrepi:</w:t>
      </w:r>
    </w:p>
    <w:p>
      <w:pPr>
        <w:pStyle w:val="Puce3"/>
        <w:tabs>
          <w:tab w:val="clear" w:pos="720"/>
        </w:tabs>
        <w:rPr/>
      </w:pPr>
      <w:r>
        <w:rPr/>
        <w:t>1.</w:t>
        <w:tab/>
        <w:t>Ustvariti interaktivno platformo, katere dejstva so bila preverjena, da bi zagotovili raznolike in redno posodobljene znanstvene informacije na področju okolja (panel 3 – priporočilo 33).</w:t>
      </w:r>
    </w:p>
    <w:p>
      <w:pPr>
        <w:pStyle w:val="Puce3"/>
        <w:tabs>
          <w:tab w:val="clear" w:pos="720"/>
        </w:tabs>
        <w:rPr/>
      </w:pPr>
      <w:r>
        <w:rPr/>
        <w:t>2.</w:t>
        <w:tab/>
        <w:t>Podpirati kampanje za ekološko ozaveščanje, vključno z dolgoročno evropsko kampanjo za trajnostno potrošnjo in življenjski slog (priporočila DE, NL in FR, okrogla miza 3 – priporočilo 7).</w:t>
      </w:r>
    </w:p>
    <w:p>
      <w:pPr>
        <w:pStyle w:val="Puce3"/>
        <w:tabs>
          <w:tab w:val="clear" w:pos="720"/>
        </w:tabs>
        <w:rPr/>
      </w:pPr>
      <w:r>
        <w:rPr/>
        <w:t>3.</w:t>
        <w:tab/>
        <w:t>Spodbujati in olajšati dialog in posvetovanja med vsemi ravnmi odločanja, zlasti z mladimi, in na lokalni ravni (priporočila DE, NL in FR, skupina 3 – priporočili 27 in 35, plenarna razprava).</w:t>
      </w:r>
    </w:p>
    <w:p>
      <w:pPr>
        <w:pStyle w:val="Puce3"/>
        <w:tabs>
          <w:tab w:val="clear" w:pos="720"/>
        </w:tabs>
        <w:rPr/>
      </w:pPr>
      <w:r>
        <w:rPr/>
        <w:t>4.</w:t>
        <w:tab/>
        <w:t>Opredelitev skupne evropske listine, namenjene okoljskim vprašanjem in spodbujanju okoljske ozaveščenosti med vsemi državljani, s strani Unije s pomočjo držav članic (področje 3 – priporočilo 7).</w:t>
      </w:r>
    </w:p>
    <w:p>
      <w:pPr>
        <w:pStyle w:val="Puce3"/>
        <w:tabs>
          <w:tab w:val="clear" w:pos="720"/>
        </w:tabs>
        <w:rPr/>
      </w:pPr>
      <w:r>
        <w:rPr/>
        <w:t>5.</w:t>
        <w:tab/>
        <w:t>Zagotavljanje tečajev usposabljanja in učnega gradiva za vse, da se izboljša znanje o podnebju in trajnosti ter omogoči vseživljenjsko učenje o okoljskih vprašanjih (področje 1 – priporočili 15 in 35, okrogla miza 3 – priporočilo 24, razprava delovne skupine).</w:t>
      </w:r>
    </w:p>
    <w:p>
      <w:pPr>
        <w:pStyle w:val="Puce3"/>
        <w:tabs>
          <w:tab w:val="clear" w:pos="720"/>
        </w:tabs>
        <w:rPr/>
      </w:pPr>
      <w:r>
        <w:rPr/>
        <w:t>6.</w:t>
        <w:tab/>
        <w:t>Vključiti proizvodnjo hrane in zaščito biotske raznovrstnosti v izobraževalni sistem, vključno s koristmi nepredelane hrane v primerjavi s predelano hrano, ter spodbujati ustvarjanje šolskih vrtov in subvencij za projekte urbanega vrtnarjenja in vertikalnega kmetijstva (panel 3 – priporočilo 5, panel 1 – priporočilo 18). Razmislijo o tem, da bi biotska raznovrstnost postala obvezna tema v šolah, in ozaveščanje javnosti o biotski raznovrstnosti z medijskimi kampanjami in „konkurencami“, ki se spodbujajo po vsej EU (tečaji lokalne uprave) (področje 3 – priporočilo 5, okrogla miza 1 – priporočilo 18).</w:t>
      </w:r>
    </w:p>
    <w:p>
      <w:pPr>
        <w:pStyle w:val="Puce3"/>
        <w:tabs>
          <w:tab w:val="clear" w:pos="720"/>
        </w:tabs>
        <w:rPr/>
      </w:pPr>
      <w:r>
        <w:rPr/>
        <w:t>7.</w:t>
        <w:tab/>
        <w:t>Okrepiti vlogo in delovanje Unije na področju okolja in izobraževanja z razširitvijo pristojnosti Unije na področju izobraževanja o podnebnih spremembah in okolju ter z razširitvijo odločanja s kvalificirano večino na teme, opredeljene kot „evropski interes“, kot je okolje (priporočila NL in FR).</w:t>
      </w:r>
    </w:p>
    <w:p>
      <w:pPr>
        <w:pStyle w:val="Puce3"/>
        <w:tabs>
          <w:tab w:val="clear" w:pos="720"/>
        </w:tabs>
        <w:rPr/>
      </w:pPr>
      <w:r>
        <w:rPr/>
        <w:t>8.</w:t>
        <w:tab/>
        <w:t>Spodbujanje prehrane rastlin zaradi varstva podnebja in ohranjanja okolja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Slika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22"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Zdravje“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 Predlog: Zdrava prehrana in zdrav življenjski slog </w:t>
      </w:r>
    </w:p>
    <w:p>
      <w:pPr>
        <w:pStyle w:val="P68B1DB1Normal15"/>
        <w:rPr>
          <w:b/>
          <w:b/>
        </w:rPr>
      </w:pPr>
      <w:r>
        <w:rPr/>
        <w:t>Cilj: Zagotoviti, da imajo vsi Evropejci dostop do izobraževanja o zdravi prehrani ter dostopa do zdrave in cenovno dostopne hrane kot podlage za zdrav način življenja, zlasti z naslednjimi ukrepi: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Ukrepi</w:t>
      </w:r>
      <w:r>
        <w:rPr>
          <w:rStyle w:val="Ancredenotedefin"/>
          <w:rStyle w:val="Ancredenotedefin"/>
        </w:rPr>
        <w:endnoteReference w:id="2"/>
      </w:r>
      <w:r>
        <w:rPr/>
        <w:t>:</w:t>
      </w:r>
    </w:p>
    <w:p>
      <w:pPr>
        <w:pStyle w:val="Puce3"/>
        <w:tabs>
          <w:tab w:val="clear" w:pos="720"/>
        </w:tabs>
        <w:rPr/>
      </w:pPr>
      <w:r>
        <w:rPr/>
        <w:t>1.</w:t>
        <w:tab/>
        <w:t>Določiti minimalne standarde kakovosti in sledljivosti živil, zlasti z omejitvijo uporabe antibiotikov in drugih zdravil za uporabo v veterinarski medicini na tisto, kar je nujno potrebno za zaščito zdravja in dobrega počutja živali, namesto da se jih uporablja preventivno, ter zagotoviti okrepitev nadzora v zvezi s tem. [#23, #17]</w:t>
      </w:r>
    </w:p>
    <w:p>
      <w:pPr>
        <w:pStyle w:val="Puce3"/>
        <w:tabs>
          <w:tab w:val="clear" w:pos="720"/>
        </w:tabs>
        <w:rPr/>
      </w:pPr>
      <w:r>
        <w:rPr/>
        <w:t>2.</w:t>
        <w:tab/>
        <w:t>Državljane izobraževati o zdravih navadah, da bi jih sprejeli že od zgodnjega otroštva, in jih spodbujati k varnim in zdravim odločitvam z obdavčitvijo predelanih živil, ki jih ni, in omogočanjem lažje dostopnosti zdravstvenih informacij o živilih; v ta namen vzpostaviti vseevropski sistem ocenjevanja predelanih živil, ki bo temeljil na znanstvenem in neodvisnem strokovnem znanju, ter oznako o uporabi hormonskih snovi in endokrinih motilcev v proizvodnji živil ter v zvezi s tem okrepiti spremljanje in izvrševanje obstoječih pravil ter razmisliti o njihovi okrepitvi. [#18, #19, GT]</w:t>
      </w:r>
    </w:p>
    <w:p>
      <w:pPr>
        <w:pStyle w:val="Puce3"/>
        <w:tabs>
          <w:tab w:val="clear" w:pos="720"/>
        </w:tabs>
        <w:rPr/>
      </w:pPr>
      <w:r>
        <w:rPr/>
        <w:t>3.</w:t>
        <w:tab/>
        <w:t>Spodbujati dialog z akterji v prehranski verigi, od proizvodnje do prodaje, kot del družbene odgovornosti podjetij za zdravo hrano. [#19, GT]</w:t>
      </w:r>
    </w:p>
    <w:p>
      <w:pPr>
        <w:pStyle w:val="Puce3"/>
        <w:tabs>
          <w:tab w:val="clear" w:pos="720"/>
        </w:tabs>
        <w:rPr/>
      </w:pPr>
      <w:r>
        <w:rPr/>
        <w:t>4.</w:t>
        <w:tab/>
        <w:t>Na ravni Unije podpirati zagotavljanje zdrave, raznolike in cenovno dostopne hrane v ustanovah za javne storitve, kot so šolske menze, bolnišnice ali zdravstvene ustanove, tudi s posebnim financiranjem. [#3, plenarno zasedanje, delovna skupina]</w:t>
      </w:r>
    </w:p>
    <w:p>
      <w:pPr>
        <w:pStyle w:val="Puce3"/>
        <w:tabs>
          <w:tab w:val="clear" w:pos="720"/>
        </w:tabs>
        <w:rPr/>
      </w:pPr>
      <w:r>
        <w:rPr/>
        <w:t>5.</w:t>
        <w:tab/>
        <w:t>Vlagati v raziskave o posledicah uporabe antibiotikov ter učinkih hormonskih snovi in endokrinih motilcev na zdravje ljudi.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Predlog: Krepitev sistema zdravstvenega varstva</w:t>
      </w:r>
    </w:p>
    <w:p>
      <w:pPr>
        <w:pStyle w:val="P68B1DB1Normal15"/>
        <w:rPr>
          <w:b/>
          <w:b/>
        </w:rPr>
      </w:pPr>
      <w:r>
        <w:rPr/>
        <w:t>Cilj: Krepitev odpornosti in kakovosti naših zdravstvenih sistemov, vključno 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Ukrepi</w:t>
      </w:r>
      <w:r>
        <w:rPr>
          <w:rStyle w:val="Ancredenotedefin"/>
          <w:rStyle w:val="Ancredenotedefin"/>
        </w:rPr>
        <w:endnoteReference w:id="4"/>
      </w:r>
      <w:r>
        <w:rPr/>
        <w:t>:</w:t>
      </w:r>
    </w:p>
    <w:p>
      <w:pPr>
        <w:pStyle w:val="Puce3"/>
        <w:tabs>
          <w:tab w:val="clear" w:pos="720"/>
        </w:tabs>
        <w:rPr/>
      </w:pPr>
      <w:r>
        <w:rPr/>
        <w:t>1.</w:t>
        <w:tab/>
        <w:t>Vzpostavitev evropskega zdravstvenega podatkovnega prostora, ki bi olajšal izmenjavo zdravstvenih podatkov; posamezne zdravstvene kartoteke bi lahko prostovoljno dali na voljo z uporabo posameznega elektronskega zdravstvenega potnega lista EU v skladu s pravili o varstvu podatkov. [#41, GT]</w:t>
      </w:r>
    </w:p>
    <w:p>
      <w:pPr>
        <w:pStyle w:val="Puce3"/>
        <w:tabs>
          <w:tab w:val="clear" w:pos="720"/>
        </w:tabs>
        <w:rPr/>
      </w:pPr>
      <w:r>
        <w:rPr/>
        <w:t>2.</w:t>
        <w:tab/>
        <w:t>Ustrezne delovne pogoje, zlasti z močnim socialnim dialogom, vključno s plačami in ureditvami dela, ter uskladitvijo standardov usposabljanja in certificiranja za zdravstvene delavce; razviti bi bilo treba programe mreženja in izmenjave, kot je Erasmus za zdravstvene šole, ki bi znatno prispeval k razvoju znanj in spretnosti. Da bi ohranili nadarjenost v Evropi in mladim strokovnjakom omogočili, da razširijo svoje znanje in pridobijo poklicne izkušnje, bi bilo treba vzpostaviti programe izmenjave na ravni EU, s katerimi bi zagotovili, da se naši najboljši življenjski znanosti ne bi pritegnili v tretje države. [#39, GT]</w:t>
      </w:r>
    </w:p>
    <w:p>
      <w:pPr>
        <w:pStyle w:val="Puce3"/>
        <w:tabs>
          <w:tab w:val="clear" w:pos="720"/>
        </w:tabs>
        <w:rPr/>
      </w:pPr>
      <w:r>
        <w:rPr/>
        <w:t>3.</w:t>
        <w:tab/>
        <w:t>Zagotoviti strateško avtonomijo na ravni Unije, da se prepreči odvisnost od tretjih držav [NL2]</w:t>
      </w:r>
      <w:r>
        <w:rPr>
          <w:rStyle w:val="Ancredenotedefin"/>
          <w:rStyle w:val="Ancredenotedefin"/>
        </w:rPr>
        <w:endnoteReference w:id="5"/>
      </w:r>
      <w:r>
        <w:rPr/>
        <w:t xml:space="preserve"> za zdravila (zlasti zdravilne učinkovine) in medicinske pripomočke (vključno s surovinami); zlasti bi bilo treba na ravni Unije oblikovati seznam bistvenih in prednostnih zdravil in zdravljenj, pa tudi inovativnih zdravil in zdravljenj (kot so biotehnološke rešitve), in sicer na podlagi obstoječih evropskih agencij in organa HERA, da se zagotovi njihova razpoložljivost za državljane. Razmisliti o organizaciji usklajenega strateškega skladiščenja po vsej Uniji. Da bi dosegli potrebno usklajeno in dolgoročno ukrepanje na ravni Unije, zdravje in zdravstveno varstvo vključita med pristojnosti, ki si jih delijo Unija in njene države članice, s spremembo člena 4 PDEU. [#40, #49, plenarno zasedanje, delovna skupina]</w:t>
      </w:r>
    </w:p>
    <w:p>
      <w:pPr>
        <w:pStyle w:val="Puce3"/>
        <w:tabs>
          <w:tab w:val="clear" w:pos="720"/>
        </w:tabs>
        <w:rPr/>
      </w:pPr>
      <w:r>
        <w:rPr/>
        <w:t>4.</w:t>
        <w:tab/>
        <w:t>Nadaljevati razvoj, usklajevanje in financiranje obstoječih programov za raziskave in inovacije na področju zdravja, ne da bi pri tem ogrozili druge programe, povezane z zdravjem, zlasti za evropske referenčne mreže, saj so podlaga za razvoj mrež zdravstvenega varstva za visoko specializirano in kompleksno zdravljenje. [#42, #43, GT]</w:t>
      </w:r>
    </w:p>
    <w:p>
      <w:pPr>
        <w:pStyle w:val="Puce3"/>
        <w:tabs>
          <w:tab w:val="clear" w:pos="720"/>
        </w:tabs>
        <w:rPr/>
      </w:pPr>
      <w:r>
        <w:rPr/>
        <w:t>5.</w:t>
        <w:tab/>
        <w:t>Vlagati v zdravstvene sisteme, zlasti na področju javnega in neprofitnega sektorja, infrastrukture in digitalnega zdravja, ter zagotoviti, da izvajalci zdravstvenega varstva spoštujejo načela popolne dostopnosti, cenovne dostopnosti in kakovosti storitev, s čimer se zagotovi, da zdravstveni delavci ne izčrpajo virov, ki so malo ali sploh ne skrbijo za javni interes. [#51, GT]</w:t>
      </w:r>
    </w:p>
    <w:p>
      <w:pPr>
        <w:pStyle w:val="Puce3"/>
        <w:tabs>
          <w:tab w:val="clear" w:pos="720"/>
        </w:tabs>
        <w:rPr/>
      </w:pPr>
      <w:r>
        <w:rPr/>
        <w:t>6.</w:t>
        <w:tab/>
        <w:t>Priprava trdnih priporočil državam članicam za naložbe v učinkovite, dostopne, cenovno dostopne, kakovostne in odporne zdravstvene sisteme, tudi v okviru evropskega semestra. Vpliv vojne v Ukrajini na javno zdravje kaže na potrebo po nadaljnjem razvoju odpornih zdravstvenih sistemov in mehanizmov solidarnosti.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Predlog: Širši pogled na zdravje</w:t>
      </w:r>
    </w:p>
    <w:p>
      <w:pPr>
        <w:pStyle w:val="P68B1DB1Normal15"/>
        <w:rPr>
          <w:b/>
          <w:b/>
        </w:rPr>
      </w:pPr>
      <w:r>
        <w:rPr/>
        <w:t>Cilj: Sprejme celovit pristop k zdravju, tako da poleg bolezni in zdravljenja obravnava zdravstveno kulturo in preprečevanje ter spodbuja skupno razumevanje težav, s katerimi se soočajo bolni ali invalidi, v skladu s pristopom „eno zdravje“, ki bi ga bilo treba poudariti kot horizontalno in temeljno načelo, ki zajema vse politike Unije.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Ukrepi</w:t>
      </w:r>
      <w:r>
        <w:rPr>
          <w:rStyle w:val="Ancredenotedefin"/>
          <w:rStyle w:val="Ancredenotedefin"/>
        </w:rPr>
        <w:endnoteReference w:id="6"/>
      </w:r>
      <w:r>
        <w:rPr/>
        <w:t>:</w:t>
      </w:r>
    </w:p>
    <w:p>
      <w:pPr>
        <w:pStyle w:val="Puce3"/>
        <w:tabs>
          <w:tab w:val="clear" w:pos="720"/>
        </w:tabs>
        <w:rPr/>
      </w:pPr>
      <w:r>
        <w:rPr/>
        <w:t>1.</w:t>
        <w:tab/>
        <w:t>Izboljšati razumevanje vprašanj duševnega zdravja in kako jih obravnavati, vključno z zgodnjim otroštvom in zgodnjim diagnosticiranjem, in sicer na podlagi dobrih praks, vzpostavljenih po vsej Uniji, ki bi morale biti zlahka dostopne prek portala za dobro prakso javnega zdravja. Da bi povečali ozaveščenost, bi morale institucije Unije in ustrezne zainteresirane strani organizirati dogodke za izmenjavo najboljših praks in pomagati svojim članom, da jih razširjajo v svojem volilnem okrožju. Pripraviti bi bilo treba akcijski načrt EU za duševno zdravje, ki bi zagotovil dolgoročno strategijo za duševno zdravje, vključno z raziskavami, obravnaval pa bi tudi razpoložljivost strokovnjakov, tudi za mladoletnike, in vzpostavitev evropskega leta duševnega zdravja v bližnji prihodnosti.</w:t>
      </w:r>
    </w:p>
    <w:p>
      <w:pPr>
        <w:pStyle w:val="Puce3"/>
        <w:tabs>
          <w:tab w:val="clear" w:pos="720"/>
        </w:tabs>
        <w:rPr/>
      </w:pPr>
      <w:r>
        <w:rPr/>
        <w:t>2.</w:t>
        <w:tab/>
        <w:t>Na ravni EU razviti standardni izobraževalni program o zdravem načinu življenja, ki bo zajemal tudi spolno vzgojo. Program bi moral vključevati tudi ukrepe, namenjene zdravemu življenjskemu slogu in varstvu okolja ter kako lahko pomagajo preprečiti številne bolezni, kot je kolesarjenje kot zdrav način vsakodnevnega potovanja. Brezplačno bi bil na voljo državam članicam in šolam, ki bi ga lahko po potrebi uporabljale v svojih programih. Tak program bi obravnaval stereotipe o ljudeh, ki so bolni ali invalidi. [#46, GT]</w:t>
      </w:r>
    </w:p>
    <w:p>
      <w:pPr>
        <w:pStyle w:val="Puce3"/>
        <w:tabs>
          <w:tab w:val="clear" w:pos="720"/>
        </w:tabs>
        <w:rPr/>
      </w:pPr>
      <w:r>
        <w:rPr/>
        <w:t>3.</w:t>
        <w:tab/>
        <w:t>Razviti praktično usposabljanje za prvo pomoč, ki bi bilo brezplačno na voljo vsem državljanom, in razmisliti o možnosti rednih tečajev kot običajne prakse tako za študente kot tudi na delovnem mestu. Na javnih mestih v vseh državah članicah bi moralo biti na voljo tudi minimalno število defibrilatorjev. [#50]</w:t>
      </w:r>
    </w:p>
    <w:p>
      <w:pPr>
        <w:pStyle w:val="Puce3"/>
        <w:tabs>
          <w:tab w:val="clear" w:pos="720"/>
        </w:tabs>
        <w:rPr/>
      </w:pPr>
      <w:r>
        <w:rPr/>
        <w:t>4.</w:t>
        <w:tab/>
        <w:t>Razširiti pobudo Teden zdravja, ki bi potekala po vsej Uniji v istem tednu in med katero bi bilo treba obravnavati in razpravljati o vseh zdravstvenih vprašanjih. Razmislite tudi o pobudah leta zdravja, začenši z letom duševnega zdravja. [#44, GT]</w:t>
      </w:r>
    </w:p>
    <w:p>
      <w:pPr>
        <w:pStyle w:val="Puce3"/>
        <w:tabs>
          <w:tab w:val="clear" w:pos="720"/>
        </w:tabs>
        <w:rPr/>
      </w:pPr>
      <w:r>
        <w:rPr/>
        <w:t>5.</w:t>
        <w:tab/>
        <w:t>Priznavati kot redno zdravljenje za obdavčitev hormonskih kontracepcijskih izdelkov, ki se uporabljajo iz zdravstvenih razlogov, na primer v primerih fibromialgije in endometrioze, kot tudi ženskih higienskih izdelkov. Zagotoviti dostop do reproduktivnega zdravljenja za vse ljudi s težavami s plodnostjo.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Predlog: Enak dostop do zdravja za vse</w:t>
      </w:r>
    </w:p>
    <w:p>
      <w:pPr>
        <w:pStyle w:val="Normal"/>
        <w:rPr/>
      </w:pPr>
      <w:r>
        <w:rPr/>
        <w:t>Cilj: Vzpostaviti „pravico do zdravja“, tako da se vsem Evropejcem zagotovi enak in splošen dostop do cenovno dostopnega, preventivnega, kurativnega in kakovostnega zdravstvenega varstva.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7"/>
      </w:r>
      <w:r>
        <w:rPr/>
        <w:t>:</w:t>
      </w:r>
    </w:p>
    <w:p>
      <w:pPr>
        <w:pStyle w:val="Puce3"/>
        <w:tabs>
          <w:tab w:val="clear" w:pos="720"/>
        </w:tabs>
        <w:rPr/>
      </w:pPr>
      <w:r>
        <w:rPr/>
        <w:t>1.</w:t>
        <w:tab/>
        <w:t>Določiti skupne minimalne zdravstvene standarde na ravni Unije, ki zajemajo tudi preprečevanje in dostopnost oskrbe ter bližino oskrbe, ter zagotavljati podporo za vzpostavitev takih standardov. [#39, GT]</w:t>
      </w:r>
    </w:p>
    <w:p>
      <w:pPr>
        <w:pStyle w:val="Puce3"/>
        <w:tabs>
          <w:tab w:val="clear" w:pos="720"/>
        </w:tabs>
        <w:rPr/>
      </w:pPr>
      <w:r>
        <w:rPr/>
        <w:t>2.</w:t>
        <w:tab/>
        <w:t>Priznavajo, da je treba v celoti upoštevati načelo subsidiarnosti in ključno vlogo lokalnih, regionalnih in nacionalnih zdravstvenih akterjev [NL3], da se zagotovi ukrepanje na ravni Unije, kadar je pravica do zdravja bolje obravnavana. Omogočiti hitrejše in odločnejše odločanje o ključnih vprašanjih ter izboljšati učinkovitost evropskega upravljanja za razvoj evropske zdravstvene unije (npr. pandemije ali redke bolezni). [#49, FRsouhait11, digitalna platforma]</w:t>
      </w:r>
    </w:p>
    <w:p>
      <w:pPr>
        <w:pStyle w:val="Puce3"/>
        <w:tabs>
          <w:tab w:val="clear" w:pos="720"/>
        </w:tabs>
        <w:rPr/>
      </w:pPr>
      <w:r>
        <w:rPr/>
        <w:t>3.</w:t>
        <w:tab/>
        <w:t>Krepitev evropske zdravstvene unije z izkoriščanjem celotnega potenciala sedanjega okvira ter vključitev zdravja in zdravstvenega varstva med pristojnosti, ki si jih delijo Unija in njene države članice, s spremembo člena 4 PDEU. [#49, FRsouhait11, digitalna platforma, GT]</w:t>
      </w:r>
      <w:r>
        <w:rPr>
          <w:rStyle w:val="Ancredenotedefin"/>
          <w:rStyle w:val="Ancredenotedefin"/>
        </w:rPr>
        <w:endnoteReference w:id="8"/>
      </w:r>
      <w:r>
        <w:rPr/>
        <w:t>.</w:t>
      </w:r>
    </w:p>
    <w:p>
      <w:pPr>
        <w:pStyle w:val="Puce3"/>
        <w:tabs>
          <w:tab w:val="clear" w:pos="720"/>
        </w:tabs>
        <w:rPr/>
      </w:pPr>
      <w:r>
        <w:rPr/>
        <w:t>4.</w:t>
        <w:tab/>
        <w:t>Zagotoviti, da ima vsakdo dostop do obstoječih zdravljenj v prvi državi EU, v kateri so na voljo; v ta namen izboljšati čezmejno sodelovanje, zlasti na področju redkih bolezni, raka, bolezni srca in ožilja ter visoko specializiranega zdravljenja, kot so presaditve organov in zdravljenje hudih opeklin. Vzpostaviti bi bilo treba evropsko mrežo za presajanje in darovanje organov za vse evropske paciente, ki potrebujejo presaditev. [plenarno in GT]</w:t>
      </w:r>
    </w:p>
    <w:p>
      <w:pPr>
        <w:pStyle w:val="Puce3"/>
        <w:tabs>
          <w:tab w:val="clear" w:pos="720"/>
        </w:tabs>
        <w:rPr/>
      </w:pPr>
      <w:r>
        <w:rPr/>
        <w:t>5.</w:t>
        <w:tab/>
        <w:t>Zagotoviti cenovno dostopno oskrbo z večjimi naložbami v zdravstveno varstvo, zlasti zobozdravstveno oskrbo, vključno s profilakso, in zagotoviti, da bo cenovno dostopna zobozdravstvena oskrba vsem na voljo v 15–20 letih. [#48, GT]</w:t>
      </w:r>
    </w:p>
    <w:p>
      <w:pPr>
        <w:pStyle w:val="Puce3"/>
        <w:tabs>
          <w:tab w:val="clear" w:pos="720"/>
        </w:tabs>
        <w:rPr/>
      </w:pPr>
      <w:r>
        <w:rPr/>
        <w:t>6.</w:t>
        <w:tab/>
        <w:t>Zagotoviti, da so zdravljenja in zdravila po vsej Uniji enake kakovosti in da imajo pravične lokalne stroške, vključno z odpravljanjem sedanje razdrobljenosti notranjega trga. [#40, NL3, delovna skupina, plenarno zasedanje]</w:t>
      </w:r>
    </w:p>
    <w:p>
      <w:pPr>
        <w:pStyle w:val="Puce3"/>
        <w:tabs>
          <w:tab w:val="clear" w:pos="720"/>
        </w:tabs>
        <w:rPr/>
      </w:pPr>
      <w:r>
        <w:rPr/>
        <w:t>7.</w:t>
        <w:tab/>
        <w:t>Boj proti negotovosti na področju zdravja s spodbujanjem brezplačne zobozdravstvene oskrbe otrokom, skupinam z nizkimi dohodki in drugim ranljivim skupinam, kot so invalidi. Študija tudi o zdravstvenih posledicah slabih stanovanj. [#48, GT]</w:t>
      </w:r>
    </w:p>
    <w:p>
      <w:pPr>
        <w:pStyle w:val="Puce3"/>
        <w:tabs>
          <w:tab w:val="clear" w:pos="720"/>
        </w:tabs>
        <w:rPr/>
      </w:pPr>
      <w:r>
        <w:rPr/>
        <w:t>8.</w:t>
        <w:tab/>
        <w:t>Upoštevati mednarodno razsežnost zdravja in priznati, da bi morala biti zdravila splošno dostopna, tudi v najrevnejših državah.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Slika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23"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Močnejša ekonomija, socialna pravičnost in zaposlovanje</w:t>
      </w:r>
    </w:p>
    <w:p>
      <w:pPr>
        <w:pStyle w:val="P68B1DB1Normal15"/>
        <w:rPr>
          <w:b/>
          <w:b/>
        </w:rPr>
      </w:pPr>
      <w:r>
        <w:rPr/>
        <w:t>Uvod</w:t>
      </w:r>
    </w:p>
    <w:p>
      <w:pPr>
        <w:pStyle w:val="Normal"/>
        <w:rPr/>
      </w:pPr>
      <w:r>
        <w:rPr/>
        <w:t>Živimo v izjemnih okoliščinah in Evropska unija bo ocenjena na podlagi njenih prizadevanj, da bi po sedanjih krizah postala močnejša, z bolj trajnostnim, vključujočim, konkurenčnim in odpornim modelom rasti. Invazija Rusije na Ukrajino in pandemija COVID-19 sta spremenila podobo EU. Konferenca bo morala obravnavati tudi socialne in gospodarske posledice te vojne v že tako težkem obdobju po pandemiji. Hkrati podnebne spremembe še vedno ogrožajo človeštvo in bodo močno vplivale na gospodarstvo in našo družbo. Iz prejetih priporočil je razvidno, da državljani pozivajo k odločnejšemu ukrepanju EU. Nerešeni nadnacionalni izzivi, kot so neenakost, konkurenčnost, zdravje, podnebne spremembe, migracije, digitalizacija ali pravično obdavčenje, zahtevajo ustrezne evropske rešitve. Iz priporočil in razprav je tudi jasno, da potrebujemo celovito strategijo za zagotovitev večje blaginje evropskih državljanov v različnih vidikih njihovega življenja. Nekateri elementi te strategije so vključeni v obstoječe politike in jih je mogoče doseči s polno uporabo obstoječega institucionalnega okvira na evropski in nacionalni ravni; druge bodo zahtevale nove politike in v nekaterih primerih spremembe pogodb. Vendar pa je treba na nove politike in spremembe pogodb gledati kot na sredstvo za izboljšanje blaginje in ne kot cilje samih. Možno in potrebno je ponovno opredeliti Unijo, da se zagotovi njena strateška avtonomija, njena trajnostna rast, izboljšanje življenjskih in delovnih razmer ter človeški napredek, ne da bi izčrpali ali uničili vire našega planeta v okviru obnovljene socialne pogodbe. Namen teh priporočil je doseči te cilje. Spodaj navedene predloge je treba brati ob upoštevanju, da so državljani po vsej Evropi izrazili različna stališča in priporočila. Ta raznolikost pogledov je ena od neprimerljivih prednosti Evrope.</w:t>
      </w:r>
    </w:p>
    <w:p>
      <w:pPr>
        <w:pStyle w:val="Normal"/>
        <w:rPr/>
      </w:pPr>
      <w:r>
        <w:rPr/>
      </w:r>
      <w:r>
        <w:br w:type="page"/>
      </w:r>
    </w:p>
    <w:p>
      <w:pPr>
        <w:pStyle w:val="Titre3"/>
        <w:numPr>
          <w:ilvl w:val="2"/>
          <w:numId w:val="2"/>
        </w:numPr>
        <w:rPr/>
      </w:pPr>
      <w:bookmarkStart w:id="58" w:name="__RefHeading___Toc298290_1346298689"/>
      <w:bookmarkEnd w:id="58"/>
      <w:r>
        <w:rPr/>
        <w:t>11. Predlog: Trajnostna rast in inovacije</w:t>
      </w:r>
    </w:p>
    <w:p>
      <w:pPr>
        <w:pStyle w:val="P68B1DB1Normal15"/>
        <w:rPr>
          <w:b/>
          <w:b/>
        </w:rPr>
      </w:pPr>
      <w:r>
        <w:rPr/>
        <w:t>Cilj: Predlagamo, naj EU podpre prehod na trajnostni in odporen model rasti, pri čemer naj upošteva zeleni in digitalni prehod z močno socialno razsežnostjo v evropskem semestru ter opolnomočenje državljanov, sindikatov in podjetij. Konvencionalne makroekonomske kazalnike in BDP bi bilo mogoče dopolniti z novimi kazalniki, da bi se odzvali na nove evropske prednostne naloge, kot sta evropski zeleni dogovor ali evropski steber socialnih pravic, ter bolje odražali zeleni in digitalni prehod ter blaginjo ljudi. To bi bilo mogoče doseči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9"/>
      </w:r>
      <w:r>
        <w:rPr/>
        <w:t>:</w:t>
      </w:r>
    </w:p>
    <w:p>
      <w:pPr>
        <w:pStyle w:val="Puce3"/>
        <w:rPr/>
      </w:pPr>
      <w:r>
        <w:rPr/>
        <w:t>1.</w:t>
        <w:tab/>
        <w:t>Spodbujanje okolju prijaznejših proizvodnih procesov v podjetjih, pomoč podjetjem pri iskanju najboljših rešitev ter zagotavljanje pozitivnih in negativnih spodbud. (PCE 11 in 12) ter povečanje lokalne proizvodnje in potrošnje (razprave).</w:t>
      </w:r>
    </w:p>
    <w:p>
      <w:pPr>
        <w:pStyle w:val="Puce3"/>
        <w:tabs>
          <w:tab w:val="clear" w:pos="720"/>
        </w:tabs>
        <w:rPr/>
      </w:pPr>
      <w:r>
        <w:rPr/>
        <w:t>2.</w:t>
        <w:tab/>
        <w:t>Prizadevanje za bolj trajnostno in krožno gospodarstvo z reševanjem problema načrtovane zastarelosti in zagotavljanjem pravice do odškodnine (PCE 14).</w:t>
      </w:r>
    </w:p>
    <w:p>
      <w:pPr>
        <w:pStyle w:val="Puce3"/>
        <w:tabs>
          <w:tab w:val="clear" w:pos="720"/>
        </w:tabs>
        <w:rPr/>
      </w:pPr>
      <w:r>
        <w:rPr/>
        <w:t>3.</w:t>
        <w:tab/>
        <w:t>Preučiti gospodarsko upravljanje Unije in evropski semester, da bi zagotovili, da bodo zeleni in digitalni prehod, socialna pravičnost in socialni napredek tesno povezani z gospodarsko konkurenčnostjo, ne da bi se pri tem upoštevala gospodarska in proračunska narava evropskega semestra. Poleg tega je treba socialne partnerje ter lokalne in regionalne oblasti bolje vključiti v izvajanje evropskega semestra, da bi izboljšali njegovo izvajanje in odgovornost (e-platforma, razprave).</w:t>
      </w:r>
    </w:p>
    <w:p>
      <w:pPr>
        <w:pStyle w:val="Puce3"/>
        <w:tabs>
          <w:tab w:val="clear" w:pos="720"/>
        </w:tabs>
        <w:rPr/>
      </w:pPr>
      <w:r>
        <w:rPr/>
        <w:t>4.</w:t>
        <w:tab/>
        <w:t>Boj proti uporabi plastične embalaže/posod za enkratno uporabo (PCE 12).</w:t>
      </w:r>
    </w:p>
    <w:p>
      <w:pPr>
        <w:pStyle w:val="Puce3"/>
        <w:tabs>
          <w:tab w:val="clear" w:pos="720"/>
        </w:tabs>
        <w:rPr/>
      </w:pPr>
      <w:r>
        <w:rPr/>
        <w:t>5.</w:t>
        <w:tab/>
        <w:t>Razširiti uporabo evropske tehnologije in jo narediti izvedljivo alternativo tuji tehnologiji (razprave).</w:t>
      </w:r>
    </w:p>
    <w:p>
      <w:pPr>
        <w:pStyle w:val="Puce3"/>
        <w:tabs>
          <w:tab w:val="clear" w:pos="720"/>
        </w:tabs>
        <w:rPr/>
      </w:pPr>
      <w:r>
        <w:rPr/>
        <w:t>6.</w:t>
        <w:tab/>
        <w:t>Spodbujati raziskave novih materialov in tehnologij ter inovativno uporabo obstoječih materialov, pri tem pa se izogibati podvajanju raziskovalnih prizadevanj (PCE 9, NL 1).</w:t>
      </w:r>
    </w:p>
    <w:p>
      <w:pPr>
        <w:pStyle w:val="Puce3"/>
        <w:tabs>
          <w:tab w:val="clear" w:pos="720"/>
        </w:tabs>
        <w:rPr/>
      </w:pPr>
      <w:r>
        <w:rPr/>
        <w:t>7.</w:t>
        <w:tab/>
        <w:t>Upoštevanje trajnosti, cenovne dostopnosti in dostopnosti energije ob upoštevanju energijske revščine in odvisnosti od tretjih držav s povečanjem deleža trajnostno proizvedene energije (CEP 10, LT 3, IT 1.1).</w:t>
      </w:r>
    </w:p>
    <w:p>
      <w:pPr>
        <w:pStyle w:val="Puce3"/>
        <w:tabs>
          <w:tab w:val="clear" w:pos="720"/>
        </w:tabs>
        <w:rPr/>
      </w:pPr>
      <w:r>
        <w:rPr/>
        <w:t>8.</w:t>
        <w:tab/>
        <w:t>Povečati ozaveščenost podjetij in državljanov za bolj trajnostno ravnanje in zagotoviti pravičen prehod na podlagi socialnega dialoga in kakovostnih delovnih mest (CEP 12 in spletna platforma).</w:t>
      </w:r>
    </w:p>
    <w:p>
      <w:pPr>
        <w:pStyle w:val="Puce3"/>
        <w:tabs>
          <w:tab w:val="clear" w:pos="720"/>
        </w:tabs>
        <w:rPr/>
      </w:pPr>
      <w:r>
        <w:rPr/>
        <w:t>9.</w:t>
        <w:tab/>
        <w:t>V nove trgovinske sporazume EU vključi ambiciozne socialne, delovne in zdravstvene standarde, vključno z zdravjem in varnostjo pri delu.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Predlog: Krepitev konkurenčnosti Unije in nadaljnja poglobitev enotnega trga</w:t>
      </w:r>
    </w:p>
    <w:p>
      <w:pPr>
        <w:pStyle w:val="Normal"/>
        <w:rPr/>
      </w:pPr>
      <w:r>
        <w:rPr/>
        <w:t>Cilj: Predlagamo okrepitev konkurenčnosti in odpornosti gospodarstva EU, enotnega trga in industrije ter obravnavanje strateških odvisnosti. Spodbujati moramo podjetniško kulturo v EU, v kateri se spodbujajo in lahko uspevajo inovativna podjetja vseh velikosti, zlasti mikro, mala in srednja ter zagonska podjetja, da bi prispevali k odpornejšim in bolj vključujočim družbam. Za lažjo vizijo bolj socialne Evrope je potrebno močno in uspešno tržno gospodarstvo. To bi bilo mogoče doseči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0"/>
      </w:r>
      <w:r>
        <w:rPr/>
        <w:t>:</w:t>
      </w:r>
    </w:p>
    <w:p>
      <w:pPr>
        <w:pStyle w:val="Puce3"/>
        <w:tabs>
          <w:tab w:val="clear" w:pos="720"/>
        </w:tabs>
        <w:rPr/>
      </w:pPr>
      <w:r>
        <w:rPr/>
        <w:t>1.</w:t>
        <w:tab/>
        <w:t>Razviti jasno vizijo evropskega gospodarstva in graditi na prednostih, kakovosti in raznolikosti Evrope ob upoštevanju gospodarskih in drugih razlik med državami članicami ter spodbujati sodelovanje in konkurenco med podjetji. (NL 1 in 2)</w:t>
      </w:r>
    </w:p>
    <w:p>
      <w:pPr>
        <w:pStyle w:val="Puce3"/>
        <w:tabs>
          <w:tab w:val="clear" w:pos="720"/>
        </w:tabs>
        <w:rPr/>
      </w:pPr>
      <w:r>
        <w:rPr/>
        <w:t>2.</w:t>
        <w:tab/>
        <w:t>Utrditi, kar je bilo storjeno v zvezi z enotno valuto ter medsebojnim povezovanjem plačilnih sistemov in telekomunikacij. (To je 4.a.2)</w:t>
      </w:r>
    </w:p>
    <w:p>
      <w:pPr>
        <w:pStyle w:val="Puce3"/>
        <w:tabs>
          <w:tab w:val="clear" w:pos="720"/>
        </w:tabs>
        <w:rPr/>
      </w:pPr>
      <w:r>
        <w:rPr/>
        <w:t>3.</w:t>
        <w:tab/>
        <w:t>Zmanjšati standardizacijo proizvodov ter priznati lokalne in regionalne posebnosti v zvezi s kulturo in proizvodnjo (spoštovanje tradicije proizvodnje). (TOČKA 2.2)</w:t>
      </w:r>
    </w:p>
    <w:p>
      <w:pPr>
        <w:pStyle w:val="Puce3"/>
        <w:tabs>
          <w:tab w:val="clear" w:pos="720"/>
        </w:tabs>
        <w:rPr/>
      </w:pPr>
      <w:r>
        <w:rPr/>
        <w:t>4.</w:t>
        <w:tab/>
        <w:t>Okrepiti navzgor usmerjeno socialno in ekonomsko konvergenco na enotnem trgu, dokončati obstoječe pobude, kot sta bančna unija in unija kapitalskih trgov, ter izvesti v prihodnost usmerjeno reformo naše ekonomske in monetarne unije (razprave).</w:t>
      </w:r>
    </w:p>
    <w:p>
      <w:pPr>
        <w:pStyle w:val="Puce3"/>
        <w:tabs>
          <w:tab w:val="clear" w:pos="720"/>
        </w:tabs>
        <w:rPr/>
      </w:pPr>
      <w:r>
        <w:rPr/>
        <w:t>5.</w:t>
        <w:tab/>
        <w:t>Spodbujati politike za močno industrijsko bazo in inovacije na področju ključnih omogočitvenih tehnologij ter podnebno politiko, usmerjeno v prihodnost, skupaj z industrijsko konkurenčnostjo z močno socialno razsežnostjo, ki temelji na socialnem dialogu in dobro delujočih odnosih med delodajalci in delojemalci (razprave).</w:t>
      </w:r>
    </w:p>
    <w:p>
      <w:pPr>
        <w:pStyle w:val="Puce3"/>
        <w:tabs>
          <w:tab w:val="clear" w:pos="720"/>
        </w:tabs>
        <w:rPr/>
      </w:pPr>
      <w:r>
        <w:rPr/>
        <w:t>6.</w:t>
        <w:tab/>
        <w:t>V vseh novih pobudah posebno pozornost nameni MSP, ki so hrbtenica našega gospodarstva. Načelo „najprej pomisli na MSP“ je treba upoštevati v vseh zakonodajnih predlogih EU, test za MSP pa bi bilo treba okrepiti v ocenah učinka Komisije v skladu z jasnimi načeli, pri tem pa v celoti spoštovati socialne in okoljske standarde ter pravice potrošnikov (razprave).</w:t>
      </w:r>
    </w:p>
    <w:p>
      <w:pPr>
        <w:pStyle w:val="Puce3"/>
        <w:tabs>
          <w:tab w:val="clear" w:pos="720"/>
        </w:tabs>
        <w:rPr/>
      </w:pPr>
      <w:r>
        <w:rPr/>
        <w:t>7.</w:t>
        <w:tab/>
        <w:t>Zagotoviti sodelovanje MSP pri vlogah za financiranje, javnih razpisih in mrežah z najmanjšim možnim upravnim naporom. Dostop do financiranja za MSP z inovacijskimi projekti z visokim tveganjem bi morali nadalje razvijati subjekti, kot sta Evropski svet za inovacije in Evropska investicijska banka (razprave).</w:t>
      </w:r>
    </w:p>
    <w:p>
      <w:pPr>
        <w:pStyle w:val="Puce3"/>
        <w:tabs>
          <w:tab w:val="clear" w:pos="720"/>
        </w:tabs>
        <w:rPr/>
      </w:pPr>
      <w:r>
        <w:rPr/>
        <w:t>8.</w:t>
        <w:tab/>
        <w:t>Ustvariti boljši okvir za naložbe v raziskave in inovacije za oblikovanje bolj trajnostnih poslovnih modelov, bogatih z biotsko raznovrstnostjo (CEP 10, 11 in 14); poudarek na tehnologiji in inovacijah kot gonilni sili rasti. (TOČKA 1.3)</w:t>
      </w:r>
    </w:p>
    <w:p>
      <w:pPr>
        <w:pStyle w:val="Puce3"/>
        <w:tabs>
          <w:tab w:val="clear" w:pos="720"/>
        </w:tabs>
        <w:rPr/>
      </w:pPr>
      <w:r>
        <w:rPr/>
        <w:t>9.</w:t>
        <w:tab/>
        <w:t>Spodbujanje kolektivne gospodarske uspešnosti z avtonomno in konkurenčno industrijo. (FR3)</w:t>
      </w:r>
    </w:p>
    <w:p>
      <w:pPr>
        <w:pStyle w:val="Puce3"/>
        <w:tabs>
          <w:tab w:val="clear" w:pos="720"/>
        </w:tabs>
        <w:rPr/>
      </w:pPr>
      <w:r>
        <w:rPr/>
        <w:t>10.</w:t>
        <w:tab/>
        <w:t>Opredelitev in razvoj strateških sektorjev, vključno z vesoljem, robotiko in umetno inteligenco. (En 3 &amp; 9)</w:t>
      </w:r>
    </w:p>
    <w:p>
      <w:pPr>
        <w:pStyle w:val="Puce3"/>
        <w:tabs>
          <w:tab w:val="clear" w:pos="720"/>
        </w:tabs>
        <w:rPr/>
      </w:pPr>
      <w:r>
        <w:rPr/>
        <w:t>11.</w:t>
        <w:tab/>
        <w:t>Vlagati v turizem in kulturno gospodarstvo ter ceniti številne majhne destinacije v Evropi. (TOČKA 1.2)</w:t>
      </w:r>
    </w:p>
    <w:p>
      <w:pPr>
        <w:pStyle w:val="Puce3"/>
        <w:tabs>
          <w:tab w:val="clear" w:pos="720"/>
        </w:tabs>
        <w:rPr/>
      </w:pPr>
      <w:r>
        <w:rPr/>
        <w:t>12.</w:t>
        <w:tab/>
        <w:t>Zagotoviti zanesljivost oskrbe z diverzifikacijo virov surovin/surovin in povečanjem proizvodnje osnovnih dobrin v Evropi, kot so zdravje, hrana, energija, obramba in promet. (EN 9, LT 1, IT 1.4)</w:t>
      </w:r>
    </w:p>
    <w:p>
      <w:pPr>
        <w:pStyle w:val="Puce3"/>
        <w:tabs>
          <w:tab w:val="clear" w:pos="720"/>
        </w:tabs>
        <w:rPr/>
      </w:pPr>
      <w:r>
        <w:rPr/>
        <w:t>13.</w:t>
        <w:tab/>
        <w:t>Spodbujanje digitalizacije evropskih podjetij, na primer s posebnim pregledom stanja, ki podjetjem omogoča primerjavo stopnje digitalizacije s splošnim ciljem povečanja konkurenčnosti. (IZ 2.1)</w:t>
      </w:r>
    </w:p>
    <w:p>
      <w:pPr>
        <w:pStyle w:val="Puce3"/>
        <w:tabs>
          <w:tab w:val="clear" w:pos="720"/>
        </w:tabs>
        <w:rPr/>
      </w:pPr>
      <w:r>
        <w:rPr/>
        <w:t>14.</w:t>
        <w:tab/>
        <w:t>Spodbujati digitalno kohezijo, da bi prispevali k ekonomski, socialni in teritorialni koheziji, kot je opredeljena v Pogodbi o delovanju Evropske unije (razprave).</w:t>
      </w:r>
    </w:p>
    <w:p>
      <w:pPr>
        <w:pStyle w:val="Puce3"/>
        <w:tabs>
          <w:tab w:val="clear" w:pos="720"/>
        </w:tabs>
        <w:rPr/>
      </w:pPr>
      <w:r>
        <w:rPr/>
        <w:t>15.</w:t>
        <w:tab/>
        <w:t>Okrepiti čezmejno sodelovanje, da bi okrepili kohezijo in odpornost v regijah in zunaj njih, in sicer s spodbujanjem evropskega čezmejnega mehanizma in podobnih orodij (razprav).</w:t>
      </w:r>
    </w:p>
    <w:p>
      <w:pPr>
        <w:pStyle w:val="Puce3"/>
        <w:tabs>
          <w:tab w:val="clear" w:pos="720"/>
        </w:tabs>
        <w:rPr/>
      </w:pPr>
      <w:r>
        <w:rPr/>
        <w:t>16.</w:t>
        <w:tab/>
        <w:t>Okrepiti in spodbujati priložnosti za čezmejno usposabljanje, da bi nadgradili znanja in spretnosti evropske delovne sile ter povečali konkurenčnost, hkrati pa okrepili znanja in spretnosti državljanov na gospodarskem področju. (DE 2.2, LT7). Spodbujanje trgovine med delavci v Evropi prek Evropskega centra za zaposlovanje; (IT 6.1) spodbujati mlade k študiju znanstvenih predmetov. (TOČKA 1.5)</w:t>
      </w:r>
    </w:p>
    <w:p>
      <w:pPr>
        <w:pStyle w:val="Puce3"/>
        <w:tabs>
          <w:tab w:val="clear" w:pos="720"/>
        </w:tabs>
        <w:rPr/>
      </w:pPr>
      <w:r>
        <w:rPr/>
        <w:t>17.</w:t>
        <w:tab/>
        <w:t>Zmanjšanje birokracije (dovoljenja, certificiranja), kjer to ni bistveno. (TOČKA 2.1)</w:t>
      </w:r>
    </w:p>
    <w:p>
      <w:pPr>
        <w:pStyle w:val="Puce3"/>
        <w:tabs>
          <w:tab w:val="clear" w:pos="720"/>
        </w:tabs>
        <w:rPr/>
      </w:pPr>
      <w:r>
        <w:rPr/>
        <w:t>18.</w:t>
        <w:tab/>
        <w:t>Boj proti ponarejanju in nelojalni konkurenci. (TOČKA 2.4)</w:t>
      </w:r>
    </w:p>
    <w:p>
      <w:pPr>
        <w:pStyle w:val="Puce3"/>
        <w:tabs>
          <w:tab w:val="clear" w:pos="720"/>
        </w:tabs>
        <w:rPr/>
      </w:pPr>
      <w:r>
        <w:rPr/>
        <w:t>19.</w:t>
        <w:tab/>
        <w:t>Zagotoviti večjo udeležbo zagonskih podjetij in MSP v inovacijskih projektih, saj to krepi njihovo inovacijsko moč, konkurenčnost in mreženje (e-platforma, razprave).</w:t>
      </w:r>
    </w:p>
    <w:p>
      <w:pPr>
        <w:pStyle w:val="Puce3"/>
        <w:tabs>
          <w:tab w:val="clear" w:pos="720"/>
        </w:tabs>
        <w:rPr/>
      </w:pPr>
      <w:r>
        <w:rPr/>
        <w:t>20.</w:t>
        <w:tab/>
        <w:t>Utrditev in zaščita enotnega trga bi morala ostati prednostna naloga; ukrepi in pobude, sprejeti na nacionalni ravni in ravni Unije, ne bi smeli posegati v enotni trg in bi morali prispevati k prostemu pretoku oseb, blaga, storitev in kapitala (razprave).</w:t>
      </w:r>
    </w:p>
    <w:p>
      <w:pPr>
        <w:pStyle w:val="Puce3"/>
        <w:tabs>
          <w:tab w:val="clear" w:pos="720"/>
        </w:tabs>
        <w:rPr/>
      </w:pPr>
      <w:r>
        <w:rPr/>
        <w:t>21.</w:t>
        <w:tab/>
        <w:t>Nove politične pobude EU bi morale biti predmet „preverjanja konkurenčnosti“, da se analizira njihov vpliv na podjetja in njihovo poslovno okolje (stroški gospodarske dejavnosti, inovacijska zmogljivost, mednarodna konkurenčnost, enaki konkurenčni pogoji itd.). To spremljanje je v skladu s Pariškim sporazumom in cilji trajnostnega razvoja, vključno z enakostjo spolov, ter ne ogroža varstva človekovih pravic, socialnih pravic in pravic delavcev ali okoljskih standardov in standardov varstva potrošnikov. V ta namen predlagamo tudi ustanovitev evropskega svetovalnega organa za konkurenčnost, ki bo spremljal izvajanje spremljanja konkurenčnosti in zlasti ocenil kumulativne učinke zakonodaje ter predložil predloge za izboljšanje ustreznih okvirnih pogojev za konkurenčnost podjetij EU. Ta organ bi moral v svoje upravljanje vključiti organizirano civilno družbo in socialne partnerje; (razprava)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Predlog: Vključujoči trgi dela</w:t>
      </w:r>
    </w:p>
    <w:p>
      <w:pPr>
        <w:pStyle w:val="P68B1DB1Normal15"/>
        <w:rPr>
          <w:b/>
          <w:b/>
        </w:rPr>
      </w:pPr>
      <w:r>
        <w:rPr/>
        <w:t>Cilj: Predlagamo izboljšanje delovanja trgov dela, da bi zagotovili pravičnejše delovne pogoje ter spodbujali enakost spolov in zaposlovanje, zlasti za mlade in ranljive skupine. EU, države članice in socialni partnerji si morajo prizadevati za odpravo revščine delavcev, krepitev pravic platformnih delavcev, prepoved neplačanih pripravništev in zagotovitev pravične mobilnosti delovne sile v Uniji. Spodbujati moramo socialni dialog in kolektivna pogajanja. Zagotoviti moramo celovito izvajanje evropskega stebra socialnih pravic, vključno z njegovimi ustreznimi krovnimi cilji za leto 2030, na evropski, nacionalni, regionalni in lokalni ravni na področjih „enakih možnosti in dostopa do trga dela“ in „pravičnih delovnih pogojev“, pri čemer je treba spoštovati pristojnosti in načeli subsidiarnosti in sorazmernosti, ter v Pogodbi vključiti protokol o socialnem napredku. Pri tem je treba spoštovati nacionalne tradicije in avtonomijo socialnih partnerjev ter sodelovati s civilno družbo. To bi bilo mogoče doseči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1"/>
      </w:r>
      <w:r>
        <w:rPr/>
        <w:t>:</w:t>
      </w:r>
    </w:p>
    <w:p>
      <w:pPr>
        <w:pStyle w:val="Puce3"/>
        <w:tabs>
          <w:tab w:val="clear" w:pos="720"/>
        </w:tabs>
        <w:rPr/>
      </w:pPr>
      <w:r>
        <w:rPr/>
        <w:t>1.</w:t>
        <w:tab/>
        <w:t>Zagotoviti, da zakonsko določene minimalne plače vsakemu delavcu zagotavljajo dostojno in podobno kakovost življenja v vseh državah članicah. Treba bi bilo opredeliti jasna merila (npr. življenjski stroški, inflacija, raven nad pragom revščine, povprečne in povprečne plače na nacionalni ravni), ki jih je treba upoštevati pri določanju ravni minimalne plače. Ravni zakonsko določenih minimalnih plač bi bilo treba redno pregledovati glede na ta merila, da se zagotovi njihova ustreznost. Posebno pozornost bi bilo treba nameniti učinkovitemu izvajanju teh pravil ter spremljanju in spremljanju izboljšanja življenjskega standarda. Hkrati bi bilo treba po vsej Uniji okrepiti in spodbujati kolektivna pogajanja (PCE 1 in 30; 4.2; spletna platforma).</w:t>
      </w:r>
    </w:p>
    <w:p>
      <w:pPr>
        <w:pStyle w:val="Puce3"/>
        <w:tabs>
          <w:tab w:val="clear" w:pos="720"/>
        </w:tabs>
        <w:rPr/>
      </w:pPr>
      <w:r>
        <w:rPr/>
        <w:t>2.</w:t>
        <w:tab/>
        <w:t>Preuči in dodatno okrepi izvajanje direktive o delovnem času (Direktiva 2003/88/ES) in druge ustrezne zakonodaje, ki zagotavlja zdravo usklajevanje poklicnega in zasebnega življenja, ob upoštevanju novih nacionalnih politik na tem področju (CEP 2).</w:t>
      </w:r>
    </w:p>
    <w:p>
      <w:pPr>
        <w:pStyle w:val="Puce3"/>
        <w:tabs>
          <w:tab w:val="clear" w:pos="720"/>
        </w:tabs>
        <w:rPr/>
      </w:pPr>
      <w:r>
        <w:rPr/>
        <w:t>3.</w:t>
        <w:tab/>
        <w:t>Uvedba ali okrepitev obstoječe zakonodaje o „pametnem delu“ in spodbujanje podjetij k spodbujanju tega novega načina dela. (PCE 7) Unija bi morala zagotoviti pravico do odklopa, storiti več za odpravo digitalnega razkoraka na delovnem mestu ter oceniti posledice dela na daljavo za zdravje, delovni čas in uspešnost. Treba je zagotoviti pravično digitalizacijo na podlagi človekovih pravic, boljših delovnih pogojev in kolektivnih pogajanj (razprave).</w:t>
      </w:r>
    </w:p>
    <w:p>
      <w:pPr>
        <w:pStyle w:val="Puce3"/>
        <w:tabs>
          <w:tab w:val="clear" w:pos="720"/>
        </w:tabs>
        <w:rPr/>
      </w:pPr>
      <w:r>
        <w:rPr/>
        <w:t>4.</w:t>
        <w:tab/>
        <w:t>Vključevanje politik zaposlovanja na ravni EU, kjer aktivne politike trga dela ostajajo osrednje in vedno bolj usklajene (IT 6.2), medtem ko se države članice osredotočajo na nadaljnja prizadevanja za reforme, da bi ustvarile ugodne pogoje za ustvarjanje kakovostnih delovnih mest (razprave).</w:t>
      </w:r>
    </w:p>
    <w:p>
      <w:pPr>
        <w:pStyle w:val="Puce3"/>
        <w:tabs>
          <w:tab w:val="clear" w:pos="720"/>
        </w:tabs>
        <w:rPr/>
      </w:pPr>
      <w:r>
        <w:rPr/>
        <w:t>5.</w:t>
        <w:tab/>
        <w:t>Sprejmejo ukrepe za zagotovitev, da so socialne pravice v celoti zaščitene in da imajo prednost pred ekonomskimi svoboščinami v primeru konfliktov, vključno z uvedbo protokola o socialnem napredku v pogodbah (spletna platforma, razprave).</w:t>
      </w:r>
    </w:p>
    <w:p>
      <w:pPr>
        <w:pStyle w:val="Puce3"/>
        <w:tabs>
          <w:tab w:val="clear" w:pos="720"/>
        </w:tabs>
        <w:rPr/>
      </w:pPr>
      <w:r>
        <w:rPr/>
        <w:t>6.</w:t>
        <w:tab/>
        <w:t>Zagotavljanje enakosti spolov v skladu s strategijo EU za enakost spolov za obdobje 2020–2025. Unija bi morala še naprej meriti enakost spolov z indeksom enakosti spolov (odsotnost, razlika v plačilu, zaposlovanje, vodstvo itd.), letno spremljati strategijo, biti pregledna glede doseženih rezultatov, spodbujati izmenjavo strokovnega znanja in najboljših praks ter vzpostaviti morebiten neposreden mehanizem za povratne informacije državljanov (npr. varuh človekovih pravic) (ECP 28; 5.a.1). Treba je odpraviti razlike v plačilu med spoloma in uvesti kvote za višje vodstvene položaje. Podjetnice bi morale imeti koristi od večje podpore v poslovnem okolju, pa tudi ženske v naravoslovju, tehnologiji, inženirstvu in matematiki (razprave).</w:t>
      </w:r>
    </w:p>
    <w:p>
      <w:pPr>
        <w:pStyle w:val="Puce3"/>
        <w:tabs>
          <w:tab w:val="clear" w:pos="720"/>
        </w:tabs>
        <w:rPr/>
      </w:pPr>
      <w:r>
        <w:rPr/>
        <w:t>7.</w:t>
        <w:tab/>
        <w:t>Spodbujanje zaposlovanja mladih, med drugim s finančno podporo podjetjem, pa tudi z zagotavljanjem dodatne podpore delodajalcem in delavcem (NL 4) ter podporo mladim podjetnikom in mladim samozaposlenim delavcem, na primer z izobraževalnimi orodji in tečaji (razprave).</w:t>
      </w:r>
    </w:p>
    <w:p>
      <w:pPr>
        <w:pStyle w:val="Puce3"/>
        <w:tabs>
          <w:tab w:val="clear" w:pos="720"/>
        </w:tabs>
        <w:rPr/>
      </w:pPr>
      <w:r>
        <w:rPr/>
        <w:t>8.</w:t>
        <w:tab/>
        <w:t>Spodbujanje zaposlovanja prikrajšanih skupin (NL 4), zlasti za invalide (spletna platforma).</w:t>
      </w:r>
    </w:p>
    <w:p>
      <w:pPr>
        <w:pStyle w:val="Puce3"/>
        <w:tabs>
          <w:tab w:val="clear" w:pos="720"/>
        </w:tabs>
        <w:rPr/>
      </w:pPr>
      <w:r>
        <w:rPr/>
        <w:t>9.</w:t>
        <w:tab/>
        <w:t>Spodbujati zaposlovanje in socialno mobilnost, da bi imeli ljudje vse možnosti za osebni razvoj in samoodločbo. (Točka 5.a.4 in IT 6.1) Lahko bi obstajala dolgoročna strategija za zagotovitev, da ima vsakdo v naši družbi prave spretnosti za iskanje zaposlitve in rast svojega talenta, zlasti mlajše generacije (razprave). Pomembno je vlagati v znanja in spretnosti, prilagojene spreminjajočim se potrebam trga dela, in spodbujati vseživljenjsko učenje, med drugim s programom izmenjave v vseh življenjskih obdobjih, ter zagotoviti pravico do vseživljenjskega učenja in pravico do usposabljanja. (FR 6); V ta namen je treba okrepiti sodelovanje med podjetji, sindikati in ponudniki storitev poklicnega izobraževanja in usposabljanja (razprave).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Predlog: Močnejše socialne politike</w:t>
      </w:r>
    </w:p>
    <w:p>
      <w:pPr>
        <w:pStyle w:val="Normal"/>
        <w:rPr/>
      </w:pPr>
      <w:r>
        <w:rPr/>
        <w:t>Cilj: Predlagamo zmanjšanje neenakosti, boj proti socialni izključenosti in revščini. Vzpostaviti moramo celovito strategijo za boj proti revščini, ki bi lahko med drugim vključevala krepitev jamstva za otroke in jamstva za mlade, uvedbo minimalnih plač, skupni evropski okvir za sisteme minimalnega dohodka in dostojna socialna stanovanja. Zagotoviti moramo celovito izvajanje evropskega stebra socialnih pravic, vključno z njegovimi ustreznimi krovnimi cilji za leto 2030, na evropski, nacionalni, regionalni in lokalni ravni na področju socialne zaščite in vključevanja, pri tem pa spoštovati ustrezne pristojnosti ter načeli subsidiarnosti in sorazmernosti ter v Pogodbi vključiti protokol o socialnem napredku. To bi bilo mogoče doseči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2"/>
      </w:r>
      <w:r>
        <w:rPr/>
        <w:t>:</w:t>
      </w:r>
    </w:p>
    <w:p>
      <w:pPr>
        <w:pStyle w:val="Puce3"/>
        <w:tabs>
          <w:tab w:val="clear" w:pos="720"/>
        </w:tabs>
        <w:rPr/>
      </w:pPr>
      <w:r>
        <w:rPr/>
        <w:t>1.</w:t>
        <w:tab/>
        <w:t>Okrepiti pristojnosti Unije na področju socialnih politik in predlagati usklajeno zakonodajo na ravni Unije za spodbujanje socialnih politik in zagotavljanje enakih pravic, vključno z zdravstvenimi pravicami, ob upoštevanju sprejetih predpisov in minimalnih zahtev na celotnem ozemlju. (CEP 19 in 21) EU bi lahko podprla in dopolnila politike držav članic, med drugim s predlogom skupnega okvira za zagotovitev minimalnega dohodka, tako da nihče ne bo zapostavljen. Te ukrepe bi bilo treba izvajati v okviru celovitega izvajanja evropskega stebra socialnih pravic in njegovega akcijskega načrta (razprave).</w:t>
      </w:r>
    </w:p>
    <w:p>
      <w:pPr>
        <w:pStyle w:val="Puce3"/>
        <w:tabs>
          <w:tab w:val="clear" w:pos="720"/>
        </w:tabs>
        <w:rPr/>
      </w:pPr>
      <w:r>
        <w:rPr/>
        <w:t>2.</w:t>
        <w:tab/>
        <w:t>Ne posegajte v socialne pravice (javno zdravje, javno izobraževanje, politike dela). (To je 4.a.1)</w:t>
      </w:r>
    </w:p>
    <w:p>
      <w:pPr>
        <w:pStyle w:val="Puce3"/>
        <w:tabs>
          <w:tab w:val="clear" w:pos="720"/>
        </w:tabs>
        <w:rPr/>
      </w:pPr>
      <w:r>
        <w:rPr/>
        <w:t>3.</w:t>
        <w:tab/>
        <w:t>Spodbujati socialne in zdravstvene raziskave v EU v skladu s prednostnimi vrsticami, ki so v javnem interesu in so jih odobrile države članice, ter zagotoviti ustrezno financiranje. To bi lahko deloma dosegli s krepitvijo sodelovanja med strokovnimi področji, državami in študijskimi centri (univerze itd.) (CEP 20).</w:t>
      </w:r>
    </w:p>
    <w:p>
      <w:pPr>
        <w:pStyle w:val="Puce3"/>
        <w:tabs>
          <w:tab w:val="clear" w:pos="720"/>
        </w:tabs>
        <w:rPr/>
      </w:pPr>
      <w:r>
        <w:rPr/>
        <w:t>4.</w:t>
        <w:tab/>
        <w:t>Omogočiti dostop do zdravstvenih storitev vsem osebam, mlajšim od 16 let, po vsej EU, če te storitve niso na voljo v nacionalnem okviru (razprave).</w:t>
      </w:r>
    </w:p>
    <w:p>
      <w:pPr>
        <w:pStyle w:val="Puce3"/>
        <w:tabs>
          <w:tab w:val="clear" w:pos="720"/>
        </w:tabs>
        <w:rPr/>
      </w:pPr>
      <w:r>
        <w:rPr/>
        <w:t>5.</w:t>
        <w:tab/>
        <w:t>Zagotoviti, da EU skupaj s socialnimi partnerji in nacionalnimi vladami podpira ciljno usmerjen dostop državljanov do dostojnih socialnih stanovanj v skladu z njihovimi posebnimi potrebami; finančna prizadevanja bi bilo treba razdeliti med zasebne donatorje, lastnike stanovanj, upravičence do stanovanj, vlade držav članic na centralni in lokalni ravni ter Evropsko unijo (25 ECP).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Predlog: Demografski prehod</w:t>
      </w:r>
    </w:p>
    <w:p>
      <w:pPr>
        <w:pStyle w:val="P68B1DB1Normal15"/>
        <w:rPr>
          <w:b/>
          <w:b/>
        </w:rPr>
      </w:pPr>
      <w:r>
        <w:rPr/>
        <w:t>Cilj: predlagamo, da se obravnavajo izzivi, ki izhajajo iz demografskega prehoda, kot ključni element splošne odpornosti Evrope, zlasti nizke rodnosti in stalnega staranja prebivalstva, s čimer se ljudem zagotovi podpora skozi vse življenje. To bi moral biti celovit ukrep, namenjen vsem generacijam, od otrok in mladih do družin, delovno sposobnega prebivalstva, starejših, ki so še vedno pripravljeni na delo, in tistih, ki so upokojeni ali potrebujejo oskrbo. To bi bilo mogoče doseči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3"/>
      </w:r>
      <w:r>
        <w:rPr/>
        <w:t>:</w:t>
      </w:r>
    </w:p>
    <w:p>
      <w:pPr>
        <w:pStyle w:val="Puce3"/>
        <w:tabs>
          <w:tab w:val="clear" w:pos="720"/>
        </w:tabs>
        <w:rPr/>
      </w:pPr>
      <w:r>
        <w:rPr/>
        <w:t>1.</w:t>
        <w:tab/>
        <w:t>Zagotoviti kakovostne, cenovno ugodne in dostopne storitve otroškega varstva po vsej EU, da bodo lahko matere in očetje samozavestno uskladili poklicno in družinsko življenje. Po potrebi bi to lahko vključevalo možnosti otroškega varstva na delovnem mestu ali blizu njega. V nekaterih državah članicah je na voljo tudi otroško varstvo čez noč, kar bi moralo biti primer. Poleg tega bi lahko te ukrepe spremljali podporni ukrepi, kot so nižje stopnje DDV za opremo, ki je potrebna za otroke. Nujno je treba preprečiti revščino in socialno izključenost otrok. (CEP 22–26) Krepitev jamstva za otroke z zagotavljanjem dostopa otrok v stiski do storitev, kot so izobraževanje in varstvo otrok, zdravstveno varstvo, prehrana in stanovanja, bi lahko bil instrument za dosego tega cilja (e-platforma, razprave).</w:t>
      </w:r>
    </w:p>
    <w:p>
      <w:pPr>
        <w:pStyle w:val="Puce3"/>
        <w:tabs>
          <w:tab w:val="clear" w:pos="720"/>
        </w:tabs>
        <w:rPr/>
      </w:pPr>
      <w:r>
        <w:rPr/>
        <w:t>2.</w:t>
        <w:tab/>
        <w:t>Vzpostaviti posebno podporo in zaščito dela za mlade. Ukrepi, namenjeni delovno sposobnemu prebivalstvu, bi morali vključevati dostop do znanja za matere in očete ob vrnitvi na delo (CEP 22). Krepitev jamstva za mlade bi lahko bila instrument za izboljšanje dostopa mladih, mlajših od 30 let, do kakovostne ponudbe zaposlitve, stalnega izobraževanja, vajeništva ali pripravništva. (razprava)</w:t>
      </w:r>
    </w:p>
    <w:p>
      <w:pPr>
        <w:pStyle w:val="Puce3"/>
        <w:tabs>
          <w:tab w:val="clear" w:pos="720"/>
        </w:tabs>
        <w:rPr/>
      </w:pPr>
      <w:r>
        <w:rPr/>
        <w:t>3.</w:t>
        <w:tab/>
        <w:t>Spodbujanje pravice do prostega pretoka izobraževanja v Uniji, zlasti z vzajemnim priznavanjem diplom, ocen, kompetenc in kvalifikacij. (razprava)</w:t>
      </w:r>
    </w:p>
    <w:p>
      <w:pPr>
        <w:pStyle w:val="Puce3"/>
        <w:tabs>
          <w:tab w:val="clear" w:pos="720"/>
        </w:tabs>
        <w:rPr/>
      </w:pPr>
      <w:r>
        <w:rPr/>
        <w:t>4.</w:t>
        <w:tab/>
        <w:t>Izboljšati zakonodajo in njeno izvajanje, da se zagotovi podpora družinam v vseh državah članicah, na primer v zvezi s starševskim dopustom, porodom in otroškim varstvom. (PCE 26 in IT 5.a.1) Stanovanje ima ključno vlogo pri podpiranju družin in bi ga bilo treba obravnavati (spletna platforma, razprave).</w:t>
      </w:r>
    </w:p>
    <w:p>
      <w:pPr>
        <w:pStyle w:val="Puce3"/>
        <w:tabs>
          <w:tab w:val="clear" w:pos="720"/>
        </w:tabs>
        <w:rPr/>
      </w:pPr>
      <w:r>
        <w:rPr/>
        <w:t>5.</w:t>
        <w:tab/>
        <w:t>Sprejeti ukrepe za zagotovitev, da imajo vse družine v vseh državah članicah enake družinske pravice. To bi moralo vključevati pravico do poroke in posvojitve. (PCE 27)</w:t>
      </w:r>
    </w:p>
    <w:p>
      <w:pPr>
        <w:pStyle w:val="Puce3"/>
        <w:tabs>
          <w:tab w:val="clear" w:pos="720"/>
        </w:tabs>
        <w:rPr/>
      </w:pPr>
      <w:r>
        <w:rPr/>
        <w:t>6.</w:t>
        <w:tab/>
        <w:t>Spodbujati prožno upokojitveno starost ob upoštevanju posebnega položaja starejših. Pri določanju upokojitvene starosti je treba razlikovati glede na poklic in zato upoštevati posebno zahtevno delo, tako duševno kot fizično. (PCE 21 in IT 5.a.1)</w:t>
      </w:r>
    </w:p>
    <w:p>
      <w:pPr>
        <w:pStyle w:val="Puce3"/>
        <w:tabs>
          <w:tab w:val="clear" w:pos="720"/>
        </w:tabs>
        <w:rPr/>
      </w:pPr>
      <w:r>
        <w:rPr/>
        <w:t>7.</w:t>
        <w:tab/>
        <w:t>Preprečevanje revščine med starejšimi z uvedbo minimalnih pokojnin. Te minimalne ravni bi morale upoštevati življenjski standard, prag revščine in kupno moč v zadevni državi članici. (PCE 21)</w:t>
      </w:r>
    </w:p>
    <w:p>
      <w:pPr>
        <w:pStyle w:val="Puce3"/>
        <w:tabs>
          <w:tab w:val="clear" w:pos="720"/>
        </w:tabs>
        <w:rPr/>
      </w:pPr>
      <w:r>
        <w:rPr/>
        <w:t>8.</w:t>
        <w:tab/>
        <w:t>Zagotoviti ustrezno socialno pomoč in zdravstveno varstvo za starejše. Pri tem je pomembno, da se osredotočite na oskrbo v skupnosti in oskrbo na domu. Podobno je treba pri ukrepih upoštevati tako prejemnike oskrbe kot izvajalce storitev oskrbe. (PCE 23)</w:t>
      </w:r>
    </w:p>
    <w:p>
      <w:pPr>
        <w:pStyle w:val="Puce3"/>
        <w:tabs>
          <w:tab w:val="clear" w:pos="720"/>
        </w:tabs>
        <w:rPr/>
      </w:pPr>
      <w:r>
        <w:rPr/>
        <w:t>9.</w:t>
        <w:tab/>
        <w:t>Zagotoviti trajnostni razvoj in demografsko odpornost regij, ki zaostajajo v razvoju, da bi postale bolj dinamične in privlačnejše, tudi s kohezijsko politiko. (spletna platforma in razprave)</w:t>
      </w:r>
    </w:p>
    <w:p>
      <w:pPr>
        <w:pStyle w:val="Puce3"/>
        <w:tabs>
          <w:tab w:val="clear" w:pos="720"/>
        </w:tabs>
        <w:rPr/>
      </w:pPr>
      <w:r>
        <w:rPr/>
        <w:t>10.</w:t>
        <w:tab/>
        <w:t>Usklajeno ukrepanje na evropski ravni za zbiranje podatkov, razčlenjenih po dejavnikih, kot je spol, in analizo demografskih trendov, izmenjavo najboljših praks in znanja ter pomoč državam članicam pri razvoju in izvajanju ustreznih politik, vključno z ustanovitvijo organa EU, specializiranega za to področje. (spletna platforma in razprave).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Predlog: Fiskalna in fiskalna politika</w:t>
      </w:r>
    </w:p>
    <w:p>
      <w:pPr>
        <w:pStyle w:val="P68B1DB1Normal15"/>
        <w:rPr>
          <w:b/>
          <w:b/>
        </w:rPr>
      </w:pPr>
      <w:r>
        <w:rPr/>
        <w:t>Cilj: predlagamo, naj EU spodbuja v prihodnost usmerjene naložbe, ki se osredotočajo na zeleni in digitalni prehod z močno socialno razsežnostjo in razsežnostjo spola, ob upoštevanju primerov instrumenta Next Generation EU in evropskega instrumenta za začasno podporo pri zmanjševanju tveganj za brezposelnost v izrednih razmerah (SURE). Unija mora upoštevati socialne in gospodarske posledice vojne proti Ukrajini ter povezavo med njenim gospodarskim upravljanjem in novim geopolitičnim okvirom, in sicer s krepitvijo lastnega proračuna z novimi lastnimi sredstvi. Državljani želijo, da se obdavčevanje odvrne od državljanov ter malih in srednjih podjetij ter se usmeri na davčne goljufe, velike onesnaževalce in digitalne velikane, hkrati pa želi, da EU podpre zmožnost držav članic in lokalnih organov, da se financirajo sami in uporabijo sredstva EU. Ta cilj je treba doseči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4"/>
      </w:r>
      <w:r>
        <w:rPr/>
        <w:t>:</w:t>
      </w:r>
    </w:p>
    <w:p>
      <w:pPr>
        <w:pStyle w:val="Puce3"/>
        <w:tabs>
          <w:tab w:val="clear" w:pos="720"/>
        </w:tabs>
        <w:rPr/>
      </w:pPr>
      <w:r>
        <w:rPr/>
        <w:t>1.</w:t>
        <w:tab/>
        <w:t>Uskladiti in usklajevati davčne politike v državah članicah EU za preprečevanje davčnih utaj in izogibanja davkom, izogibanje davčnim oazam v EU in usmerjanje selitve znotraj Evrope, vključno z zagotavljanjem, da se lahko davčne odločitve sprejemajo s kvalificirano večino v Svetu EU. Po drugi strani pa obstajajo priporočila odborov državljanov, da je obdavčitev v pristojnosti različnih držav, ki imajo svoje cilje in okoliščine. (PCE 13 in 31, IT 4.b.3, NL 2.3)</w:t>
      </w:r>
    </w:p>
    <w:p>
      <w:pPr>
        <w:pStyle w:val="Puce3"/>
        <w:tabs>
          <w:tab w:val="clear" w:pos="720"/>
        </w:tabs>
        <w:rPr/>
      </w:pPr>
      <w:r>
        <w:rPr/>
        <w:t>2.</w:t>
        <w:tab/>
        <w:t>Spodbujati sodelovanje med državami članicami EU, da se zagotovi, da vsa podjetja EU plačajo pravičen delež davkov; uvesti skupno osnovo za davek od dohodkov pravnih oseb (CCTB) ali najnižjo efektivno stopnjo. (NL 3)</w:t>
      </w:r>
    </w:p>
    <w:p>
      <w:pPr>
        <w:pStyle w:val="Puce3"/>
        <w:tabs>
          <w:tab w:val="clear" w:pos="720"/>
        </w:tabs>
        <w:rPr/>
      </w:pPr>
      <w:r>
        <w:rPr/>
        <w:t>3.</w:t>
        <w:tab/>
        <w:t>Zagotoviti, da podjetja plačujejo davke tam, kjer se ustvarja dobiček. (PCE 13)</w:t>
      </w:r>
    </w:p>
    <w:p>
      <w:pPr>
        <w:pStyle w:val="Puce3"/>
        <w:tabs>
          <w:tab w:val="clear" w:pos="720"/>
        </w:tabs>
        <w:rPr/>
      </w:pPr>
      <w:r>
        <w:rPr/>
        <w:t>4.</w:t>
        <w:tab/>
        <w:t>Zagotoviti, da davčna politika podpira evropsko industrijo in preprečuje izgubo delovnih mest v Evropi. (PCE 13 in 31)</w:t>
      </w:r>
    </w:p>
    <w:p>
      <w:pPr>
        <w:pStyle w:val="Puce3"/>
        <w:tabs>
          <w:tab w:val="clear" w:pos="720"/>
        </w:tabs>
        <w:rPr/>
      </w:pPr>
      <w:r>
        <w:rPr/>
        <w:t>5.</w:t>
        <w:tab/>
        <w:t>Podrobneje preuči možnost skupnega zadolževanja na ravni Unije, da bi ustvarili ugodnejše pogoje najemanja posojil, hkrati pa ohranili odgovorne fiskalne politike na ravni držav članic. (ŠT. 9)</w:t>
      </w:r>
    </w:p>
    <w:p>
      <w:pPr>
        <w:pStyle w:val="Puce3"/>
        <w:tabs>
          <w:tab w:val="clear" w:pos="720"/>
        </w:tabs>
        <w:rPr/>
      </w:pPr>
      <w:r>
        <w:rPr/>
        <w:t>6.</w:t>
        <w:tab/>
        <w:t>Okrepiti spremljanje črpanja in uporabe sredstev Unije, tudi na lokalni in občinski ravni.(LT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Slika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24"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EU v svetu“</w:t>
      </w:r>
    </w:p>
    <w:p>
      <w:pPr>
        <w:pStyle w:val="Titre3"/>
        <w:numPr>
          <w:ilvl w:val="2"/>
          <w:numId w:val="2"/>
        </w:numPr>
        <w:rPr/>
      </w:pPr>
      <w:bookmarkStart w:id="65" w:name="__RefHeading___Toc298304_1346298689"/>
      <w:bookmarkEnd w:id="65"/>
      <w:r>
        <w:rPr/>
        <w:t>17. Predlog: Zmanjšanje odvisnosti EU od tujih akterjev v strateških sektorjih z gospodarskega vidika</w:t>
      </w:r>
    </w:p>
    <w:p>
      <w:pPr>
        <w:pStyle w:val="P68B1DB1Normal15"/>
        <w:rPr>
          <w:b/>
          <w:b/>
        </w:rPr>
      </w:pPr>
      <w:r>
        <w:rPr/>
        <w:t>Cilj: Predlagamo, da EU sprejme ukrepe za okrepitev svoje avtonomije v ključnih strateških sektorjih, kot so kmetijski proizvodi, strateško gospodarsko blago, polprevodniki, medicinski proizvodi, inovativne digitalne in okoljske tehnologije ter energetika, in sicer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Spodbujanje raziskovalnih, razvojnih in inovacijskih dejavnosti ter sodelovanje med javnimi in zasebnimi partnerji na tem področju.</w:t>
      </w:r>
    </w:p>
    <w:p>
      <w:pPr>
        <w:pStyle w:val="Puce3"/>
        <w:tabs>
          <w:tab w:val="clear" w:pos="720"/>
        </w:tabs>
        <w:rPr/>
      </w:pPr>
      <w:r>
        <w:rPr/>
        <w:t>2.</w:t>
        <w:tab/>
        <w:t>Ohranjanje ambicioznega načrta za trgovinska pogajanja, ki lahko pomaga okrepiti odpornost in diverzifikacijo dobavnih verig, zlasti za surovine, ob pravičnejši delitvi koristi trgovine z več partnerji, s čimer se omejujeta naša izpostavljenost in odvisnost od majhnega števila dobaviteljev, ki lahko predstavljajo tveganje</w:t>
      </w:r>
      <w:r>
        <w:rPr>
          <w:rStyle w:val="Ancredenotedefin"/>
          <w:rStyle w:val="Ancredenotedefin"/>
        </w:rPr>
        <w:endnoteReference w:id="15"/>
      </w:r>
      <w:r>
        <w:rPr/>
        <w:t>.</w:t>
      </w:r>
    </w:p>
    <w:p>
      <w:pPr>
        <w:pStyle w:val="Puce3"/>
        <w:tabs>
          <w:tab w:val="clear" w:pos="720"/>
        </w:tabs>
        <w:rPr/>
      </w:pPr>
      <w:r>
        <w:rPr/>
        <w:t>3.</w:t>
        <w:tab/>
        <w:t>Večjo odpornost dobavnih verig EU s spodbujanjem naložb v strateške sektorje v Uniji, shranjevanjem kritične proizvodnje in naprav ter diverzifikacijo virov oskrbe s kritičnimi surovinami.</w:t>
      </w:r>
    </w:p>
    <w:p>
      <w:pPr>
        <w:pStyle w:val="Puce3"/>
        <w:tabs>
          <w:tab w:val="clear" w:pos="720"/>
        </w:tabs>
        <w:rPr/>
      </w:pPr>
      <w:r>
        <w:rPr/>
        <w:t>4.</w:t>
        <w:tab/>
        <w:t>Nove naložbe v dokončno oblikovanje notranjega trga in ustvarjanje enakih konkurenčnih pogojev, da bi bila proizvodnja in nakup teh izdelkov v Evropski uniji privlačnejša.</w:t>
      </w:r>
    </w:p>
    <w:p>
      <w:pPr>
        <w:pStyle w:val="Puce3"/>
        <w:tabs>
          <w:tab w:val="clear" w:pos="720"/>
        </w:tabs>
        <w:rPr/>
      </w:pPr>
      <w:r>
        <w:rPr/>
        <w:t>5.</w:t>
        <w:tab/>
        <w:t>Podpora omogočanju, da so ti proizvodi na voljo in cenovno dostopni za evropske potrošnike, ter pomoč pri zmanjševanju zunanjih odvisnosti, na primer s strukturnimi in regionalnimi politikami, davčnimi olajšavami, subvencijami, naložbami v infrastrukturo in raziskave, spodbujanjem konkurenčnosti MSP ter izobraževalnimi programi, da se ohranijo ustrezna znanja in spretnosti ter delovna mesta v Evropi, ki so pomembna za zagotavljanje osnovnih potreb</w:t>
      </w:r>
      <w:r>
        <w:rPr>
          <w:rStyle w:val="Ancredenotedefin"/>
          <w:rStyle w:val="Ancredenotedefin"/>
        </w:rPr>
        <w:endnoteReference w:id="16"/>
      </w:r>
      <w:r>
        <w:rPr/>
        <w:t>.</w:t>
      </w:r>
    </w:p>
    <w:p>
      <w:pPr>
        <w:pStyle w:val="Puce3"/>
        <w:tabs>
          <w:tab w:val="clear" w:pos="720"/>
        </w:tabs>
        <w:rPr/>
      </w:pPr>
      <w:r>
        <w:rPr/>
        <w:t>6.</w:t>
        <w:tab/>
        <w:t>Evropski program za podporo malim lokalnim proizvajalcem v strateških sektorjih v vseh</w:t>
      </w:r>
      <w:r>
        <w:rPr>
          <w:rStyle w:val="Ancredenotedefin"/>
          <w:rStyle w:val="Ancredenotedefin"/>
        </w:rPr>
        <w:endnoteReference w:id="17"/>
      </w:r>
      <w:r>
        <w:rPr/>
        <w:t>državah članicah z večjo uporabo programov in finančnih instrumentov EU, kot je InvestEU.</w:t>
      </w:r>
    </w:p>
    <w:p>
      <w:pPr>
        <w:pStyle w:val="Puce3"/>
        <w:tabs>
          <w:tab w:val="clear" w:pos="720"/>
        </w:tabs>
        <w:rPr/>
      </w:pPr>
      <w:r>
        <w:rPr/>
        <w:t>7.</w:t>
        <w:tab/>
        <w:t>Boljše sodelovanje med državami članicami pri upravljanju obvladovanja tveganja v dobavni verigi.</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Predlog: Zmanjšanje odvisnosti EU od tujih energetskih akterjev</w:t>
      </w:r>
    </w:p>
    <w:p>
      <w:pPr>
        <w:pStyle w:val="P68B1DB1Normal15"/>
        <w:rPr>
          <w:b/>
          <w:b/>
        </w:rPr>
      </w:pPr>
      <w:r>
        <w:rPr/>
        <w:t>Cilj: Predlagamo, da EU v okviru sedanjega ekološkega prehoda doseže večjo avtonomijo pri proizvodnji in oskrbi z energijo, in sicer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Sprejetje strategije za večjo avtonomijo pri proizvodnji energije. Evropski organ bi moral povezati obstoječe evropske energetske agencije, usklajevati razvoj obnovljivih virov energije in spodbujati izmenjavo znanja</w:t>
      </w:r>
      <w:r>
        <w:rPr>
          <w:rStyle w:val="Ancredenotedefin"/>
          <w:rStyle w:val="Ancredenotedefin"/>
        </w:rPr>
        <w:endnoteReference w:id="19"/>
      </w:r>
      <w:r>
        <w:rPr/>
        <w:t>.</w:t>
      </w:r>
    </w:p>
    <w:p>
      <w:pPr>
        <w:pStyle w:val="Puce3"/>
        <w:tabs>
          <w:tab w:val="clear" w:pos="720"/>
        </w:tabs>
        <w:rPr/>
      </w:pPr>
      <w:r>
        <w:rPr/>
        <w:t>2.</w:t>
        <w:tab/>
        <w:t>Aktivna podpora projektom javnega prevoza in energetske učinkovitosti, evropskemu železniškemu omrežju za visokohitrostni tovorni promet, širitvi oskrbe s čisto in obnovljivo energijo (vključno s sončno in vetrno energijo), alternativnim tehnologijam (kot sta vodik ali energetska predelava odpadkov) in prehodu z ene same avtomobilske kulture na kulturo javnega prevoza, souporabe električnih avtomobilov in kolesarjenja na mestnih območjih</w:t>
      </w:r>
      <w:r>
        <w:rPr>
          <w:rStyle w:val="Ancredenotedefin"/>
          <w:rStyle w:val="Ancredenotedefin"/>
        </w:rPr>
        <w:endnoteReference w:id="20"/>
      </w:r>
      <w:r>
        <w:rPr/>
        <w:t>.</w:t>
      </w:r>
    </w:p>
    <w:p>
      <w:pPr>
        <w:pStyle w:val="Puce3"/>
        <w:tabs>
          <w:tab w:val="clear" w:pos="720"/>
        </w:tabs>
        <w:rPr/>
      </w:pPr>
      <w:r>
        <w:rPr/>
        <w:t>3.</w:t>
        <w:tab/>
        <w:t>Zagotavljanje pravičnega in pravičnega prehoda, zlasti s podporo ranljivim državljanom, ki se pri prehodu na podnebno nevtralnost soočajo z največjimi izzivi in ki že zdaj trpijo zaradi višjih cen energije zaradi energetske odvisnosti in nedavnega potrojitve cen energije.</w:t>
      </w:r>
    </w:p>
    <w:p>
      <w:pPr>
        <w:pStyle w:val="Normal"/>
        <w:rPr/>
      </w:pPr>
      <w:r>
        <w:rPr/>
      </w:r>
    </w:p>
    <w:p>
      <w:pPr>
        <w:pStyle w:val="Puce3"/>
        <w:tabs>
          <w:tab w:val="clear" w:pos="720"/>
        </w:tabs>
        <w:rPr/>
      </w:pPr>
      <w:r>
        <w:rPr/>
        <w:t>4.</w:t>
        <w:tab/>
        <w:t>Okrepljeno sodelovanje pri ocenjevanju uporabe jedrske energije v okviru sedanjega zelenega prehoda na energijo iz obnovljivih virov v Evropi, pri čemer se preučijo skupna vprašanja, ki bi jih lahko rešila ali ustvarila, saj jo še vedno uporabljajo številne države članice</w:t>
      </w:r>
      <w:r>
        <w:rPr>
          <w:rStyle w:val="Ancredenotedefin"/>
          <w:rStyle w:val="Ancredenotedefin"/>
        </w:rPr>
        <w:endnoteReference w:id="21"/>
      </w:r>
      <w:r>
        <w:rPr/>
        <w:t>.</w:t>
      </w:r>
    </w:p>
    <w:p>
      <w:pPr>
        <w:pStyle w:val="Puce3"/>
        <w:tabs>
          <w:tab w:val="clear" w:pos="720"/>
        </w:tabs>
        <w:rPr/>
      </w:pPr>
      <w:r>
        <w:rPr/>
        <w:t>5.</w:t>
        <w:tab/>
        <w:t>Sodelovanje z mednarodnimi partnerji, da bi se zavezali k doseganju ambicioznejših ciljev na področju podnebnih sprememb v različnih mednarodnih forumih, vključno z G7 in G20.</w:t>
      </w:r>
    </w:p>
    <w:p>
      <w:pPr>
        <w:pStyle w:val="Puce3"/>
        <w:tabs>
          <w:tab w:val="clear" w:pos="720"/>
        </w:tabs>
        <w:rPr/>
      </w:pPr>
      <w:r>
        <w:rPr/>
        <w:t>6.</w:t>
        <w:tab/>
        <w:t>Povezovanje zunanje trgovine z ukrepi politike na področju podnebnih sprememb (npr. z uvedbo svežnja naložbenih ukrepov za podnebju prijazne tehnologije in inovacije, vključno s programi financiranja)</w:t>
      </w:r>
      <w:r>
        <w:rPr>
          <w:rStyle w:val="Ancredenotedefin"/>
          <w:rStyle w:val="Ancredenotedefin"/>
        </w:rPr>
        <w:endnoteReference w:id="22"/>
      </w:r>
      <w:r>
        <w:rPr/>
        <w:t>.</w:t>
      </w:r>
    </w:p>
    <w:p>
      <w:pPr>
        <w:pStyle w:val="Puce3"/>
        <w:tabs>
          <w:tab w:val="clear" w:pos="720"/>
        </w:tabs>
        <w:rPr/>
      </w:pPr>
      <w:r>
        <w:rPr/>
        <w:t>7.</w:t>
        <w:tab/>
        <w:t>Skupni nakupi uvožene energije in trajnostna energetska partnerstva, da bi zmanjšali odvisnost Evrope od uvoza energije, zlasti na področju plina in nafte, ter razvili domače vire energije v EU.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Predlog: Določitev standardov v trgovinskih in naložbenih odnosih znotraj in zunaj EU</w:t>
      </w:r>
    </w:p>
    <w:p>
      <w:pPr>
        <w:pStyle w:val="P68B1DB1Normal15"/>
        <w:rPr>
          <w:b/>
          <w:b/>
        </w:rPr>
      </w:pPr>
      <w:r>
        <w:rPr/>
        <w:t>Cilj: Predlagamo, da EU okrepi etično razsežnost svojih trgovinskih in naložbenih odnosov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Ohranitev in reforma naše večstranske mednarodne trgovinske arhitekture, ki temelji na pravilih, ter partnerstvo s podobno mislečimi demokracijami.</w:t>
      </w:r>
    </w:p>
    <w:p>
      <w:pPr>
        <w:pStyle w:val="Puce3"/>
        <w:tabs>
          <w:tab w:val="clear" w:pos="720"/>
        </w:tabs>
        <w:rPr/>
      </w:pPr>
      <w:r>
        <w:rPr/>
        <w:t>2.</w:t>
        <w:tab/>
        <w:t>Učinkovita in sorazmerna zakonodaja EU za zagotovitev, da se standardi dostojnega dela v celoti uporabljajo v vseh svetovnih vrednostnih verigah, tudi v proizvodnih in dobavnih procesih EU, ter da uvoženo blago izpolnjuje kvalitativne etične standarde, standarde trajnostnega razvoja in standarde človekovih pravic, vključno s pravicami delavcev in sindikatov, z zagotavljanjem certificiranja za proizvode v skladu s to zakonodajo EU</w:t>
      </w:r>
      <w:r>
        <w:rPr>
          <w:rStyle w:val="Ancredenotedefin"/>
          <w:rStyle w:val="Ancredenotedefin"/>
        </w:rPr>
        <w:endnoteReference w:id="23"/>
      </w:r>
      <w:r>
        <w:rPr/>
        <w:t xml:space="preserve"> in sodelovanjem v procesu dialoga na ravni EU, namenjenem obveščanju in izobraževanju o okoljskih in etičnih učinkih strateških sprememb v mednarodni trgovini.</w:t>
      </w:r>
    </w:p>
    <w:p>
      <w:pPr>
        <w:pStyle w:val="Normal"/>
        <w:rPr/>
      </w:pPr>
      <w:r>
        <w:rPr/>
      </w:r>
    </w:p>
    <w:p>
      <w:pPr>
        <w:pStyle w:val="Puce3"/>
        <w:tabs>
          <w:tab w:val="clear" w:pos="720"/>
        </w:tabs>
        <w:rPr/>
      </w:pPr>
      <w:r>
        <w:rPr/>
        <w:t>3.</w:t>
        <w:tab/>
        <w:t>Omejitve uvoza in prodaje izdelkov iz držav, ki omogočajo prisilno delo in delo otrok, redno posodobljen črni seznam podjetij in ozaveščenost potrošnikov o delu otrok z informacijami, objavljenimi prek uradnih kanalov EU</w:t>
      </w:r>
      <w:r>
        <w:rPr>
          <w:rStyle w:val="Ancredenotedefin"/>
          <w:rStyle w:val="Ancredenotedefin"/>
        </w:rPr>
        <w:endnoteReference w:id="24"/>
      </w:r>
      <w:r>
        <w:rPr/>
        <w:t>.</w:t>
      </w:r>
    </w:p>
    <w:p>
      <w:pPr>
        <w:pStyle w:val="Puce3"/>
        <w:tabs>
          <w:tab w:val="clear" w:pos="720"/>
        </w:tabs>
        <w:rPr/>
      </w:pPr>
      <w:r>
        <w:rPr/>
        <w:t>4.</w:t>
        <w:tab/>
        <w:t>Spremljanje in izvrševanje izvršljivih poglavij o trgovini in trajnostnem razvoju v sporazumih EU o prosti trgovini, vključno z možnostjo mehanizma v skrajni sili, ki temelji na sankcijah.</w:t>
      </w:r>
    </w:p>
    <w:p>
      <w:pPr>
        <w:pStyle w:val="Puce3"/>
        <w:tabs>
          <w:tab w:val="clear" w:pos="720"/>
        </w:tabs>
        <w:rPr/>
      </w:pPr>
      <w:r>
        <w:rPr/>
        <w:t>5.</w:t>
        <w:tab/>
        <w:t>Reforma splošnega sistema preferencialov EU, da se vključijo stroge določbe o navzkrižni skladnosti ter učinkoviti in ustrezni postopki spremljanja, poročanja in dialoga, da bi se izboljšal vpliv GSP na trgovino, človekove pravice in razvoj v partnerskih državah, z možnostjo preklica trgovinskih preferencialov v primeru neskladnosti.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Predlog: Določanje standardov za okoljske politike znotraj in zunaj EU</w:t>
      </w:r>
    </w:p>
    <w:p>
      <w:pPr>
        <w:pStyle w:val="P68B1DB1Normal15"/>
        <w:rPr>
          <w:b/>
          <w:b/>
        </w:rPr>
      </w:pPr>
      <w:r>
        <w:rPr/>
        <w:t>Cilj: Predlagamo, da EU okrepi okoljsko razsežnost svojih trgovinskih odnosov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Harmonizacija in krepitev okoljskega označevanja ter obvezna predstavitev evropskega kazalnika vpliva na okolje (ecoscore) na vse potrošniške proizvode. Ekoocena bi se izračunala na podlagi emisij iz proizvodnje in prevoza ter škodljivosti vsebine na podlagi seznama nevarnih proizvodov. Ecoscore bi moral upravljati in spremljati evropski organ</w:t>
      </w:r>
      <w:r>
        <w:rPr>
          <w:rStyle w:val="Ancredenotedefin"/>
          <w:rStyle w:val="Ancredenotedefin"/>
        </w:rPr>
        <w:endnoteReference w:id="25"/>
      </w:r>
      <w:r>
        <w:rPr/>
        <w:t>.</w:t>
      </w:r>
    </w:p>
    <w:p>
      <w:pPr>
        <w:pStyle w:val="Puce3"/>
        <w:tabs>
          <w:tab w:val="clear" w:pos="720"/>
        </w:tabs>
        <w:rPr/>
      </w:pPr>
      <w:r>
        <w:rPr/>
        <w:t>2.</w:t>
        <w:tab/>
        <w:t>Višji okoljski standardi za izvoz odpadkov ter strožji nadzor in sankcije za zaustavitev nezakonitega izvoza. Unija bi morala države članice spodbujati k recikliranju lastnih odpadkov in njihovi uporabi za proizvodnjo energije</w:t>
      </w:r>
      <w:r>
        <w:rPr>
          <w:rStyle w:val="Ancredenotedefin"/>
          <w:rStyle w:val="Ancredenotedefin"/>
        </w:rPr>
        <w:endnoteReference w:id="26"/>
      </w:r>
      <w:r>
        <w:rPr/>
        <w:t>.</w:t>
      </w:r>
    </w:p>
    <w:p>
      <w:pPr>
        <w:pStyle w:val="Puce3"/>
        <w:tabs>
          <w:tab w:val="clear" w:pos="720"/>
        </w:tabs>
        <w:rPr/>
      </w:pPr>
      <w:r>
        <w:rPr/>
        <w:t>3.</w:t>
        <w:tab/>
        <w:t>Opredelitev cilja odprave embalaže, ki onesnažuje, s spodbujanjem embalaže, ki manj onesnažuje, ali okolju prijaznejše embalaže</w:t>
      </w:r>
      <w:r>
        <w:rPr>
          <w:rStyle w:val="Ancredenotedefin"/>
          <w:rStyle w:val="Ancredenotedefin"/>
        </w:rPr>
        <w:endnoteReference w:id="27"/>
      </w:r>
      <w:r>
        <w:rPr/>
        <w:t xml:space="preserve"> ter vzpostavitev partnerstev z državami v razvoju, s podpiranjem njihove infrastrukture in s preučitvijo vzajemno koristnih trgovinskih sporazumov, da bi jim pomagali pri prehodu na zelene vire energije</w:t>
      </w:r>
      <w:r>
        <w:rPr>
          <w:rStyle w:val="Ancredenotedefin"/>
          <w:rStyle w:val="Ancredenotedefin"/>
        </w:rPr>
        <w:endnoteReference w:id="28"/>
      </w:r>
      <w:r>
        <w:rPr/>
        <w:t>.</w:t>
      </w:r>
    </w:p>
    <w:p>
      <w:pPr>
        <w:pStyle w:val="Puce3"/>
        <w:tabs>
          <w:tab w:val="clear" w:pos="720"/>
        </w:tabs>
        <w:rPr/>
      </w:pPr>
      <w:r>
        <w:rPr/>
        <w:t>4.</w:t>
        <w:tab/>
        <w:t>Možnost nagrajevanja držav z visokimi trajnostnimi standardi z zagotavljanjem dodatnega dostopa do trga EU za njihovo trajno blago in storitve, bodisi enostransko prek splošnega sistema preferencialov GSP+ bodisi dvostransko s pogajanji s trgovinskimi sporazumi ali večstransko s pobudami v okviru Svetovne trgovinske organizacije.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Predlog: Odločanje in kohezija v Uniji</w:t>
      </w:r>
    </w:p>
    <w:p>
      <w:pPr>
        <w:pStyle w:val="P68B1DB1Normal15"/>
        <w:rPr>
          <w:b/>
          <w:b/>
        </w:rPr>
      </w:pPr>
      <w:r>
        <w:rPr/>
        <w:t>Cilj: Predlagamo, da EU izboljša svoje zmogljivosti za sprejemanje hitrih in učinkovitih odločitev v okviru skupne zunanje in varnostne politike (SZVP), tako da nastopa enotno in deluje kot resnično globalni akter, da bi imela pozitivno vlogo v svetu in vplivala na odzivanje na vsako krizo, vključno 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Z zagotavljanjem, da se zadeve, ki se trenutno obravnavajo soglasno, zlasti na področju SZVP običajno sprejemajo s kvalificirano večino</w:t>
      </w:r>
      <w:r>
        <w:rPr>
          <w:rStyle w:val="Ancredenotedefin"/>
          <w:rStyle w:val="Ancredenotedefin"/>
        </w:rPr>
        <w:endnoteReference w:id="29"/>
      </w:r>
      <w:r>
        <w:rPr/>
        <w:t>.</w:t>
      </w:r>
    </w:p>
    <w:p>
      <w:pPr>
        <w:pStyle w:val="Puce3"/>
        <w:tabs>
          <w:tab w:val="clear" w:pos="720"/>
        </w:tabs>
        <w:rPr/>
      </w:pPr>
      <w:r>
        <w:rPr/>
        <w:t>2.</w:t>
        <w:tab/>
        <w:t>Sodelovanje na področju varnostne in obrambne politike temelji na nedavno odobrenem strateškem kompasu in uporabi evropskega mirovnega instrumenta</w:t>
      </w:r>
      <w:r>
        <w:rPr>
          <w:rStyle w:val="Ancredenotedefin"/>
          <w:rStyle w:val="Ancredenotedefin"/>
        </w:rPr>
        <w:endnoteReference w:id="30"/>
      </w:r>
      <w:r>
        <w:rPr/>
        <w:t>.</w:t>
      </w:r>
    </w:p>
    <w:p>
      <w:pPr>
        <w:pStyle w:val="Puce3"/>
        <w:tabs>
          <w:tab w:val="clear" w:pos="720"/>
        </w:tabs>
        <w:rPr/>
      </w:pPr>
      <w:r>
        <w:rPr/>
        <w:t>3.</w:t>
        <w:tab/>
        <w:t>Krepitev vloge visoke predstavnice pri zagotavljanju, da EU nastopa enotno</w:t>
      </w:r>
      <w:r>
        <w:rPr>
          <w:rStyle w:val="Ancredenotedefin"/>
          <w:rStyle w:val="Ancredenotedefin"/>
        </w:rPr>
        <w:endnoteReference w:id="31"/>
      </w:r>
      <w:r>
        <w:rPr/>
        <w:t>.</w:t>
      </w:r>
    </w:p>
    <w:p>
      <w:pPr>
        <w:pStyle w:val="Puce3"/>
        <w:tabs>
          <w:tab w:val="clear" w:pos="720"/>
        </w:tabs>
        <w:rPr/>
      </w:pPr>
      <w:r>
        <w:rPr/>
        <w:t>4.</w:t>
        <w:tab/>
        <w:t>Dogovor o močni viziji in skupni strategiji za utrditev enotnosti in sposobnosti odločanja EU, da se Unija pripravi na nadaljnje širitve</w:t>
      </w:r>
      <w:r>
        <w:rPr>
          <w:rStyle w:val="Ancredenotedefin"/>
          <w:rStyle w:val="Ancredenotedefin"/>
        </w:rPr>
        <w:endnoteReference w:id="32"/>
      </w:r>
      <w:r>
        <w:rPr/>
        <w:t>.</w:t>
      </w:r>
    </w:p>
    <w:p>
      <w:pPr>
        <w:pStyle w:val="Puce3"/>
        <w:tabs>
          <w:tab w:val="clear" w:pos="720"/>
        </w:tabs>
        <w:rPr/>
      </w:pPr>
      <w:r>
        <w:rPr/>
        <w:t>5.</w:t>
        <w:tab/>
        <w:t>S hitro ratifikacijo nedavno sklenjenih trgovinskih sporazumov, ne da bi se odpovedali ustrezni obravnavi in razpravi.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Predlog: Preglednost EU in njenih odnosov z državljani</w:t>
      </w:r>
    </w:p>
    <w:p>
      <w:pPr>
        <w:pStyle w:val="P68B1DB1Normal15"/>
        <w:rPr>
          <w:b/>
          <w:b/>
        </w:rPr>
      </w:pPr>
      <w:r>
        <w:rPr/>
        <w:t>Cilj: predlagamo, naj EU, zlasti pri svojih ukrepih na mednarodni ravni, vključno s trgovinskimi pogajanji, poveča dostopnost za državljane z izboljšanjem informacij, izobraževanja, udeležbe državljanov in preglednosti, zlasti 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Krepitev povezav z državljani in lokalnimi institucijami za izboljšanje preglednosti, doseganje državljanov ter boljše komuniciranje z njimi in povezovanje z njimi o konkretnih pobudah EU na mednarodni ravni</w:t>
      </w:r>
      <w:r>
        <w:rPr>
          <w:rStyle w:val="Ancredenotedefin"/>
          <w:rStyle w:val="Ancredenotedefin"/>
        </w:rPr>
        <w:endnoteReference w:id="33"/>
      </w:r>
      <w:r>
        <w:rPr/>
        <w:t>.</w:t>
      </w:r>
    </w:p>
    <w:p>
      <w:pPr>
        <w:pStyle w:val="Puce3"/>
        <w:tabs>
          <w:tab w:val="clear" w:pos="720"/>
        </w:tabs>
        <w:rPr/>
      </w:pPr>
      <w:r>
        <w:rPr/>
        <w:t>2.</w:t>
        <w:tab/>
        <w:t>Večja udeležba državljanov v mednarodni politiki EU in dogodkih neposredne udeležbe državljanov, kot je konferenca o prihodnosti Evrope, organizirana na nacionalni, lokalni in evropski ravni</w:t>
      </w:r>
      <w:r>
        <w:rPr>
          <w:rStyle w:val="Ancredenotedefin"/>
          <w:rStyle w:val="Ancredenotedefin"/>
        </w:rPr>
        <w:endnoteReference w:id="34"/>
      </w:r>
      <w:r>
        <w:rPr/>
        <w:t xml:space="preserve"> ter z dejavno udeležbo organizirane civilne družbe</w:t>
      </w:r>
      <w:r>
        <w:rPr>
          <w:rStyle w:val="Ancredenotedefin"/>
          <w:rStyle w:val="Ancredenotedefin"/>
        </w:rPr>
        <w:endnoteReference w:id="35"/>
      </w:r>
      <w:r>
        <w:rPr/>
        <w:t>.</w:t>
      </w:r>
    </w:p>
    <w:p>
      <w:pPr>
        <w:pStyle w:val="Puce3"/>
        <w:tabs>
          <w:tab w:val="clear" w:pos="720"/>
        </w:tabs>
        <w:rPr/>
      </w:pPr>
      <w:r>
        <w:rPr/>
        <w:t>3.</w:t>
        <w:tab/>
        <w:t>Polno podporo vseh ustreznih deležnikov državljanom, ki se odločijo za sodelovanje v organizacijah organizirane civilne družbe, kot je bilo v primeru COVID-19 in Ukrajine.</w:t>
      </w:r>
    </w:p>
    <w:p>
      <w:pPr>
        <w:pStyle w:val="Puce3"/>
        <w:tabs>
          <w:tab w:val="clear" w:pos="720"/>
        </w:tabs>
        <w:rPr/>
      </w:pPr>
      <w:r>
        <w:rPr/>
        <w:t>4.</w:t>
        <w:tab/>
        <w:t>Dodelitev posebnega proračuna za razvoj izobraževalnih programov o delovanju EU in njenih vrednotah, ki bi jih lahko predlagala državam članicam, če bi to želele, da bi jih lahko vključile v svoje učne načrte (primarno, srednješolsko in univerzitetno). Poleg tega bi lahko študentom, ki želijo študirati v drugi evropski državi v okviru programa Erasmus, ponudili poseben tečaj o Uniji in njenem delovanju. Študenti, ki se odločijo za ta tečaj, bi imeli prednost pri uporabi programov Erasmus.</w:t>
      </w:r>
    </w:p>
    <w:p>
      <w:pPr>
        <w:pStyle w:val="Puce3"/>
        <w:tabs>
          <w:tab w:val="clear" w:pos="720"/>
        </w:tabs>
        <w:rPr/>
      </w:pPr>
      <w:r>
        <w:rPr/>
        <w:t>5.</w:t>
        <w:tab/>
        <w:t>Izboljšanje medijske strategije EU z večjo prepoznavnostjo v družbenih medijih in dejavno promocijo njenih vsebin; spodbujanje inovacij z izboljšanjem dostopnosti prisotnosti v družbenih medijih</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Predlog: EU kot vodilna svetovna sila na področju miru in varnosti</w:t>
      </w:r>
    </w:p>
    <w:p>
      <w:pPr>
        <w:pStyle w:val="P68B1DB1Normal15"/>
        <w:rPr>
          <w:b/>
          <w:b/>
        </w:rPr>
      </w:pPr>
      <w:r>
        <w:rPr/>
        <w:t>Cilj: predlagamo, naj EU še naprej spodbuja dialog ter zagotavlja mir in mednarodni red, ki temelji na pravilih, krepi multilateralizem in gradi na dolgotrajnih mirovnih pobudah EU, ki so prispevale k podelitvi Nobelove nagrade leta 2012, hkrati pa krepi skupno varnost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Skupne oborožene sile, ki se uporabljajo v samoobrambi in so namenjene preprečevanju kakršnih koli agresivnih vojaških ukrepov, ki so sposobne zagotavljati pomoč v času krize, tudi v primeru naravne nesreče. Zunaj evropskih meja bi jih bilo mogoče napotiti v izjemnih okoliščinah, po možnosti v skladu s pravnim mandatom Varnostnega sveta Združenih narodov in s tem v skladu z mednarodnim pravom</w:t>
      </w:r>
      <w:r>
        <w:rPr>
          <w:rStyle w:val="Ancredenotedefin"/>
          <w:rStyle w:val="Ancredenotedefin"/>
        </w:rPr>
        <w:endnoteReference w:id="39"/>
      </w:r>
      <w:r>
        <w:rPr/>
        <w:t>, ne da bi tekmovali z Natom ali podvajali Nata in spoštovali različne nacionalne odnose z Natom; v zvezi s tem bi bilo treba v okviru razprave o strateški avtonomiji EU opraviti oceno odnosov EU z Natom.</w:t>
      </w:r>
    </w:p>
    <w:p>
      <w:pPr>
        <w:pStyle w:val="Normal"/>
        <w:rPr/>
      </w:pPr>
      <w:r>
        <w:rPr/>
      </w:r>
    </w:p>
    <w:p>
      <w:pPr>
        <w:pStyle w:val="Puce3"/>
        <w:tabs>
          <w:tab w:val="clear" w:pos="720"/>
        </w:tabs>
        <w:rPr/>
      </w:pPr>
      <w:r>
        <w:rPr/>
        <w:t>2.</w:t>
        <w:tab/>
        <w:t>Vodilna vloga pri vzpostavljanju povojne svetovne varnostne ureditve v Ukrajini, ki temelji na nedavno sprejetem strateškem kompasu EU.</w:t>
      </w:r>
    </w:p>
    <w:p>
      <w:pPr>
        <w:pStyle w:val="Puce3"/>
        <w:tabs>
          <w:tab w:val="clear" w:pos="720"/>
        </w:tabs>
        <w:rPr/>
      </w:pPr>
      <w:r>
        <w:rPr/>
        <w:t>3.</w:t>
        <w:tab/>
        <w:t>Zaščito strateških raziskav in zmogljivosti v prednostnih sektorjih, kot so vesoljski sektor, kibernetska varnost, zdravstveni sektor in okolje</w:t>
      </w:r>
      <w:r>
        <w:rPr>
          <w:rStyle w:val="Ancredenotedefin"/>
          <w:rStyle w:val="Ancredenotedefin"/>
        </w:rPr>
        <w:endnoteReference w:id="40"/>
      </w:r>
      <w:r>
        <w:rPr/>
        <w:t>.</w:t>
      </w:r>
    </w:p>
    <w:p>
      <w:pPr>
        <w:pStyle w:val="Puce3"/>
        <w:tabs>
          <w:tab w:val="clear" w:pos="720"/>
        </w:tabs>
        <w:rPr/>
      </w:pPr>
      <w:r>
        <w:rPr/>
        <w:t>4.</w:t>
        <w:tab/>
        <w:t>Krepitev operativnih zmogljivosti, potrebnih za zagotovitev učinkovitosti klavzule o medsebojni pomoči iz člena 42(7) Pogodbe o Evropski uniji, ki zagotavlja ustrezno zaščito EU vsaki državi članici, ki jo napade tretja država.</w:t>
      </w:r>
    </w:p>
    <w:p>
      <w:pPr>
        <w:pStyle w:val="Puce3"/>
        <w:tabs>
          <w:tab w:val="clear" w:pos="720"/>
        </w:tabs>
        <w:rPr/>
      </w:pPr>
      <w:r>
        <w:rPr/>
        <w:t>5.</w:t>
        <w:tab/>
        <w:t>Razmislek o tem, kako se objektivno in dejansko boriti proti dezinformacijam in propagandi.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Predlog: EU kot vodilni svetovni akter pri vzpostavljanju odnosov</w:t>
      </w:r>
    </w:p>
    <w:p>
      <w:pPr>
        <w:pStyle w:val="P68B1DB1Normal15"/>
        <w:rPr>
          <w:b/>
          <w:b/>
        </w:rPr>
      </w:pPr>
      <w:r>
        <w:rPr/>
        <w:t>Cilj: Predlagamo, da EU v svojih odnosih s tretjimi državami: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Bolj izkoristi svojo skupno politično in gospodarsko težo, nastopa enotno in deluje enotno, ne da bi nekatere države članice razdelile Unijo z neprimernimi dvostranskimi posegi</w:t>
      </w:r>
      <w:r>
        <w:rPr>
          <w:rStyle w:val="Ancredenotedefin"/>
          <w:rStyle w:val="Ancredenotedefin"/>
        </w:rPr>
        <w:endnoteReference w:id="41"/>
      </w:r>
      <w:r>
        <w:rPr/>
        <w:t>.</w:t>
      </w:r>
    </w:p>
    <w:p>
      <w:pPr>
        <w:pStyle w:val="Puce3"/>
        <w:tabs>
          <w:tab w:val="clear" w:pos="720"/>
        </w:tabs>
        <w:rPr/>
      </w:pPr>
      <w:r>
        <w:rPr/>
        <w:t>2.</w:t>
        <w:tab/>
        <w:t>Krepi svojo zmogljivost za sankcioniranje držav, vlad, subjektov, skupin ali organizacij ter posameznikov, ki ne spoštujejo njenih temeljnih načel, sporazumov in zakonov, ter zagotavlja hitro izvajanje in izvrševanje obstoječih sankcij. Kazni, naložene tretjim državam, bi morale biti sorazmerne z ukrepi, ki so jih sprožile, biti učinkovite in se uporabljati pravočasno</w:t>
      </w:r>
      <w:r>
        <w:rPr>
          <w:rStyle w:val="Ancredenotedefin"/>
          <w:rStyle w:val="Ancredenotedefin"/>
        </w:rPr>
        <w:endnoteReference w:id="42"/>
      </w:r>
      <w:r>
        <w:rPr/>
        <w:t>.</w:t>
      </w:r>
    </w:p>
    <w:p>
      <w:pPr>
        <w:pStyle w:val="Puce3"/>
        <w:tabs>
          <w:tab w:val="clear" w:pos="720"/>
        </w:tabs>
        <w:rPr/>
      </w:pPr>
      <w:r>
        <w:rPr/>
        <w:t>3.</w:t>
        <w:tab/>
        <w:t>Spodbuja trajnostno trgovino, ki temelji na pravilih, hkrati pa odpira nove trgovinske in naložbene priložnosti za evropska podjetja. Dvostranski trgovinski in naložbeni sporazumi so sicer bistveni za spodbujanje evropske konkurenčnosti, vendar so za zagotovitev enakih konkurenčnih pogojev potrebni standardi in pravila. EU mora ostati dejavna in zanesljiva partnerica pri pogajanjih, sklepanju in izvajanju trgovinskih sporazumov, ki določajo tudi visoke standarde trajnosti.</w:t>
      </w:r>
    </w:p>
    <w:p>
      <w:pPr>
        <w:pStyle w:val="Puce3"/>
        <w:tabs>
          <w:tab w:val="clear" w:pos="720"/>
        </w:tabs>
        <w:rPr/>
      </w:pPr>
      <w:r>
        <w:rPr/>
        <w:t>4.</w:t>
        <w:tab/>
        <w:t>Sklenil glavne mednarodne sporazume o sodelovanju z zastopanjem Evropske unije in ne s posameznimi državami</w:t>
      </w:r>
      <w:r>
        <w:rPr>
          <w:rStyle w:val="Ancredenotedefin"/>
          <w:rStyle w:val="Ancredenotedefin"/>
        </w:rPr>
        <w:endnoteReference w:id="43"/>
      </w:r>
      <w:r>
        <w:rPr/>
        <w:t>.</w:t>
      </w:r>
    </w:p>
    <w:p>
      <w:pPr>
        <w:pStyle w:val="Puce3"/>
        <w:tabs>
          <w:tab w:val="clear" w:pos="720"/>
        </w:tabs>
        <w:rPr/>
      </w:pPr>
      <w:r>
        <w:rPr/>
        <w:t>5.</w:t>
        <w:tab/>
        <w:t>Reformirati trgovinsko in naložbeno politiko EU, da bi oživili svetovni multilateralizem, da bi ustvarili dostojna delovna mesta in zaščitili temeljne človekove pravice, vključno s pravicami delavcev in sindikalnimi pravicami, ohranili okolje in biotsko raznovrstnost ter spoštovali Pariški sporazum o podnebnih spremembah, zagotovili kakovostne javne storitve in okrepili evropsko industrijsko bazo. EU bi morala prispevati k ponovnemu zagonu svetovnega multilateralizma s poglobljenimi reformami, ki temeljijo na demokraciji in miru, solidarnosti in spoštovanju človekovih pravic ter socialnih in okoljskih pravic, ter okrepiti vlogo Mednarodne organizacije dela.</w:t>
      </w:r>
    </w:p>
    <w:p>
      <w:pPr>
        <w:pStyle w:val="Puce3"/>
        <w:tabs>
          <w:tab w:val="clear" w:pos="720"/>
        </w:tabs>
        <w:rPr/>
      </w:pPr>
      <w:r>
        <w:rPr/>
        <w:t>6.</w:t>
        <w:tab/>
        <w:t>Vključuje boj proti trgovini z ljudmi in nezakonitemu priseljevanju ter sodelovanje pri morebitnih operacijah vračanja v sporazume o sodelovanju in naložbah s tretjimi državami.</w:t>
      </w:r>
    </w:p>
    <w:p>
      <w:pPr>
        <w:pStyle w:val="Puce3"/>
        <w:tabs>
          <w:tab w:val="clear" w:pos="720"/>
        </w:tabs>
        <w:rPr/>
      </w:pPr>
      <w:r>
        <w:rPr/>
        <w:t>7.</w:t>
        <w:tab/>
        <w:t>Razviti partnerstva z državami v razvoju za podporo njihovi infrastrukturi in razmisliti o vzajemno koristnih trgovinskih sporazumih, da bi jim pomagali pri prehodu na zelene vire energije</w:t>
      </w:r>
      <w:r>
        <w:rPr>
          <w:rStyle w:val="Ancredenotedefin"/>
          <w:rStyle w:val="Ancredenotedefin"/>
        </w:rPr>
        <w:endnoteReference w:id="44"/>
      </w:r>
      <w:r>
        <w:rPr/>
        <w:t>.</w:t>
      </w:r>
    </w:p>
    <w:p>
      <w:pPr>
        <w:pStyle w:val="Puce3"/>
        <w:tabs>
          <w:tab w:val="clear" w:pos="720"/>
        </w:tabs>
        <w:rPr/>
      </w:pPr>
      <w:r>
        <w:rPr/>
        <w:t>8.</w:t>
        <w:tab/>
        <w:t>Razvija učinkovitejšo in enotnejšo politiko do avtokratskih in hibridnih režimov ter razvija partnerstva z organizacijami civilne družbe v teh državah.</w:t>
      </w:r>
    </w:p>
    <w:p>
      <w:pPr>
        <w:pStyle w:val="Puce3"/>
        <w:tabs>
          <w:tab w:val="clear" w:pos="720"/>
        </w:tabs>
        <w:rPr/>
      </w:pPr>
      <w:r>
        <w:rPr/>
        <w:t>9.</w:t>
        <w:tab/>
        <w:t>Povečanje sredstev misij EU za opazovanje volitev.</w:t>
      </w:r>
    </w:p>
    <w:p>
      <w:pPr>
        <w:pStyle w:val="Puce3"/>
        <w:tabs>
          <w:tab w:val="clear" w:pos="720"/>
        </w:tabs>
        <w:rPr/>
      </w:pPr>
      <w:r>
        <w:rPr/>
        <w:t>10.</w:t>
        <w:tab/>
        <w:t>Ponuja verodostojne možnosti za pristop k državam kandidatkam in potencialnim državam kandidatkam, da bi spodbudili mir in stabilnost v Evropi ter zagotovili blaginjo milijonom Evropejcev</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OPOMBA: Več članov delovne skupine meni, da predloga „Zmanjšanje odvisnosti EU od tujih akterjev na področju energije“ in „Preglednost EU in njenih odnosov z državljani“ spadata zlasti v druge delovne skupine. Nekateri člani so poleg glasovanja s kvalificirano večino želeli omeniti alternative soglasju v Svetu, kot so spremenljiva geometrija, klavzule o neudeležbi in okrepljeno sodelovanje. Nekateri člani delovne skupine so pozvali k uporabi izraza „trajnostni“ in ne „etični“ v predlogu „Opredelitev standardov znotraj in zunaj EU v trgovinskih in naložbenih odnosih“. Mnenja o tem, ali bi bilo treba za pristop novih držav članic še naprej zahtevati soglasje vseh sedanjih držav članic, so različna. Pojavili so se različni pogledi na zaželeno stopnjo skupnih oboroženih sil. Dve članici sta omenili možnost irske enotnosti v primeru, da bi Severna Irska glasovala v tej smeri v skladu z določbami Velikonočnega sporazuma, in potrebo po pripravljenosti Unije na to možnost.</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Slika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 25"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Vrednote in pravice, pravna država, varnost</w:t>
      </w:r>
    </w:p>
    <w:p>
      <w:pPr>
        <w:pStyle w:val="Titre3"/>
        <w:numPr>
          <w:ilvl w:val="2"/>
          <w:numId w:val="2"/>
        </w:numPr>
        <w:rPr/>
      </w:pPr>
      <w:bookmarkStart w:id="74" w:name="__RefHeading___Toc298322_1346298689"/>
      <w:bookmarkEnd w:id="74"/>
      <w:r>
        <w:rPr/>
        <w:t>25. Predlog: Pravna država, demokratične vrednote in evropska identiteta</w:t>
      </w:r>
    </w:p>
    <w:p>
      <w:pPr>
        <w:pStyle w:val="P68B1DB1Normal15"/>
        <w:rPr>
          <w:b/>
          <w:b/>
        </w:rPr>
      </w:pPr>
      <w:r>
        <w:rPr/>
        <w:t>Cilj: Sistematično spoštovanje načela pravne države v vseh državah članicah, vključno z:</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46"/>
      </w:r>
      <w:r>
        <w:rPr/>
        <w:t>:</w:t>
      </w:r>
    </w:p>
    <w:p>
      <w:pPr>
        <w:pStyle w:val="Puce3"/>
        <w:tabs>
          <w:tab w:val="clear" w:pos="720"/>
        </w:tabs>
        <w:rPr/>
      </w:pPr>
      <w:r>
        <w:rPr/>
        <w:t>1.</w:t>
        <w:tab/>
        <w:t>Zagotavljanje, da se o vrednotah in načelih, zapisanih v Pogodbah EU in Listini Evropske unije o temeljnih pravicah, ni mogoče pogajati in da so nepreklicni pogoji za članstvo in pristop k Uniji. Vrednote EU je treba v celoti spoštovati v vseh državah članicah; prav tako bi morale delovati kot mednarodni standard in predstavljati središče privlačnosti z diplomacijo in dialogom. Širitev Unije ne bi smela ogroziti pravnega reda EU v zvezi s temeljnimi vrednotami in pravicami državljanov</w:t>
      </w:r>
      <w:r>
        <w:rPr>
          <w:rStyle w:val="Ancredenotedefin"/>
          <w:rStyle w:val="Ancredenotedefin"/>
        </w:rPr>
        <w:endnoteReference w:id="47"/>
      </w:r>
      <w:r>
        <w:rPr/>
        <w:t>.</w:t>
      </w:r>
    </w:p>
    <w:p>
      <w:pPr>
        <w:pStyle w:val="Puce3"/>
        <w:tabs>
          <w:tab w:val="clear" w:pos="720"/>
        </w:tabs>
        <w:rPr/>
      </w:pPr>
      <w:r>
        <w:rPr/>
        <w:t>2.</w:t>
        <w:tab/>
        <w:t>Z otipljivo resničnostjo evropskih vrednot za državljane EU, zlasti z bolj interaktivnim in neposrednim sodelovanjem, bi bilo treba okrepiti evropsko državljanstvo, na primer s statusom državljana Unije s pravicami in svoboščinami državljanov ter statutom evropskih čezmejnih združenj in neprofitnih organizacij. Podobno bi bilo treba evropske vrednote spodbujati s pomočjo aktovke za vključevanje, ki bi vsebovala izobraževalne elemente in informativno gradivo za državljane. Nazadnje bi bilo treba z novimi naložbami EU, izboljšanjem obstoječih medijskih platform in večjo podporo več kot 500 evropskim uradom za zvezo, prisotnim na lokalni ravni, ustvariti evropsko javno sfero avdiovizualnih in spletnih medijev</w:t>
      </w:r>
      <w:r>
        <w:rPr>
          <w:rStyle w:val="Ancredenotedefin"/>
          <w:rStyle w:val="Ancredenotedefin"/>
        </w:rPr>
        <w:endnoteReference w:id="48"/>
      </w:r>
      <w:r>
        <w:rPr/>
        <w:t xml:space="preserve">. </w:t>
      </w:r>
    </w:p>
    <w:p>
      <w:pPr>
        <w:pStyle w:val="Puce3"/>
        <w:tabs>
          <w:tab w:val="clear" w:pos="720"/>
        </w:tabs>
        <w:rPr/>
      </w:pPr>
      <w:r>
        <w:rPr/>
        <w:t>3.</w:t>
        <w:tab/>
        <w:t>Listina Evropske unije o temeljnih pravicah bi se morala uporabljati splošno. Poleg tega bi bilo treba organizirati letne konference o pravni državi (na podlagi poročila Komisije o stanju pravne države), v katerih bi sodelovale delegacije iz vseh držav članic, sestavljene iz državljanov, uradnikov, poslancev, lokalnih organov, socialnih partnerjev in civilne družbe, izbranih naključno in raznoliko. Pomembno je tudi, da se še naprej podpirajo organizacije, tudi organizacije civilne družbe, ki spodbujajo pravno državo na terenu</w:t>
      </w:r>
      <w:r>
        <w:rPr>
          <w:rStyle w:val="Ancredenotedefin"/>
          <w:rStyle w:val="Ancredenotedefin"/>
        </w:rPr>
        <w:endnoteReference w:id="49"/>
      </w:r>
      <w:r>
        <w:rPr/>
        <w:t>.</w:t>
      </w:r>
    </w:p>
    <w:p>
      <w:pPr>
        <w:pStyle w:val="Puce3"/>
        <w:tabs>
          <w:tab w:val="clear" w:pos="720"/>
        </w:tabs>
        <w:rPr/>
      </w:pPr>
      <w:r>
        <w:rPr/>
        <w:t>4.</w:t>
        <w:tab/>
        <w:t>Z učinkovito uporabo tako imenovane uredbe o navzkrižni skladnosti oceni področje uporabe navedene uredbe in drugih instrumentov pravne države ter razmisli o razširitvi njihovega področja uporabe na nova področja, ne glede na njihov pomen za proračun Unije. Vsa potrebna pravna sredstva, vključno s spremembami Pogodb, bi bilo treba obravnavati kot kaznovanje kršitev pravne države</w:t>
      </w:r>
      <w:r>
        <w:rPr>
          <w:rStyle w:val="Ancredenotedefin"/>
          <w:rStyle w:val="Ancredenotedefin"/>
        </w:rPr>
        <w:endnoteReference w:id="50"/>
      </w:r>
      <w:r>
        <w:rPr/>
        <w:t>.</w:t>
      </w:r>
    </w:p>
    <w:p>
      <w:pPr>
        <w:pStyle w:val="Puce3"/>
        <w:tabs>
          <w:tab w:val="clear" w:pos="720"/>
        </w:tabs>
        <w:rPr/>
      </w:pPr>
      <w:r>
        <w:rPr/>
        <w:t>5.</w:t>
        <w:tab/>
        <w:t>Spodbujanje izobraževalnih in medijskih programov, ki postavljajo vrednote Unije v središče procesa vključevanja migrantov ter spodbujajo interakcijo med državljani Unije in migranti, da bi omogočili njihovo uspešno vključevanje v družbe Unije in ozaveščali državljane Unije o migracijskih vprašanjih.</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Predlog: Varstvo podatkov</w:t>
      </w:r>
    </w:p>
    <w:p>
      <w:pPr>
        <w:pStyle w:val="Corpsdetexte"/>
        <w:rPr/>
      </w:pPr>
      <w:r>
        <w:rPr/>
      </w:r>
    </w:p>
    <w:p>
      <w:pPr>
        <w:pStyle w:val="P68B1DB1Normal15"/>
        <w:rPr>
          <w:b/>
          <w:b/>
        </w:rPr>
      </w:pPr>
      <w:r>
        <w:rPr/>
        <w:t>Cilj: zagotoviti bolj zaščitno in boljšo politiko obdelave podatkov za državljane,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52"/>
      </w:r>
      <w:r>
        <w:rPr/>
        <w:t>:</w:t>
      </w:r>
    </w:p>
    <w:p>
      <w:pPr>
        <w:pStyle w:val="Puce3"/>
        <w:tabs>
          <w:tab w:val="clear" w:pos="720"/>
        </w:tabs>
        <w:rPr/>
      </w:pPr>
      <w:r>
        <w:rPr/>
        <w:t>1.</w:t>
        <w:tab/>
        <w:t>S popolnim izvajanjem in pregledom obstoječe zakonodaje o varstvu podatkov, da se oceni potreba po okrepljenih mehanizmih izvrševanja za subjekte, ki obdelujejo osebne podatke, ki so trenutno v pristojnosti neodvisnih nacionalnih organov za varstvo podatkov ob upoštevanju načela subsidiarnosti. Te subjekte bi bilo treba kaznovati strožje kot pri sedanji uporabi pravil, in sicer sorazmerno z njihovim letnim prometom (do 4 %) ali celo s prepovedjo njihovih dejavnosti, zanje pa bi bilo treba opraviti neodvisno letno revizijo</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Z večjim učinkom načela vgrajene ali privzete zasebnosti, na primer z ocenjevanjem in razvojem obrazcev za privolitev podatkov, ki so lahko razumljivi, jedrnati in intuitivni ter jasno kažejo, kaj je potrebno in kaj ne. Uporabniki morajo imeti možnost dati ali preklicati privolitev v obdelavo podatkov na enostaven, hiter in trajen način.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Ocenjevanje in uvedba jasnejših in bolj zaščitnih pravil o obdelavi podatkov, ki se nanašajo na mladoletnike, po možnosti v splošni uredbi EU o varstvu podatkov, zlasti z oblikovanjem posebne kategorije za občutljive podatke mladoletnikov in uskladitvijo najnižje starosti za privolitev v državah članicah. Čeprav bi morala večina izvajanja pravil o zasebnosti in ozaveščanju še naprej spadati v pristojnost držav članic, zlasti z večjimi naložbami in sredstvi na nacionalni ravni, bi morala imeti Unija tudi pomembnejšo vlogo, na primer z ustvarjanjem evropskih kompetenc na področju državljanske vzgoje o varstvu podatkov</w:t>
      </w:r>
      <w:r>
        <w:rPr>
          <w:rStyle w:val="Ancredenotedefin"/>
          <w:rStyle w:val="Ancredenotedefin"/>
        </w:rPr>
        <w:endnoteReference w:id="57"/>
      </w:r>
      <w:r>
        <w:rPr/>
        <w:t>.</w:t>
      </w:r>
    </w:p>
    <w:p>
      <w:pPr>
        <w:pStyle w:val="Puce3"/>
        <w:tabs>
          <w:tab w:val="clear" w:pos="720"/>
        </w:tabs>
        <w:rPr/>
      </w:pPr>
      <w:r>
        <w:rPr/>
        <w:t>4.</w:t>
        <w:tab/>
        <w:t>Boljše izpolnjevanje meril za upravičenost, ki veljajo za evropske in nacionalne organe za varstvo podatkov, kar zadeva kvalifikacije in primernost, da se zagotovi največja neodvisnost njihovih članov.</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Predlog: Mediji, lažne novice, dezinformacije, preverjanje dejstev, kibernetska varnost</w:t>
      </w:r>
    </w:p>
    <w:p>
      <w:pPr>
        <w:pStyle w:val="P68B1DB1Normal15"/>
        <w:rPr>
          <w:b/>
          <w:b/>
        </w:rPr>
      </w:pPr>
      <w:r>
        <w:rPr/>
        <w:t>Cilj: Boj proti dezinformacijam z večjim spodbujanjem medijske neodvisnosti in pluralizma ter medijske pismenosti,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60"/>
      </w:r>
      <w:r>
        <w:rPr/>
        <w:t>:</w:t>
      </w:r>
    </w:p>
    <w:p>
      <w:pPr>
        <w:pStyle w:val="Puce3"/>
        <w:tabs>
          <w:tab w:val="clear" w:pos="720"/>
        </w:tabs>
        <w:rPr/>
      </w:pPr>
      <w:r>
        <w:rPr/>
        <w:t>1.</w:t>
        <w:tab/>
        <w:t>Uvedba zakonodaje za boj proti grožnjam neodvisnosti medijev z minimalnimi standardi, ki se uporabljajo po vsej Uniji, vključno s pregledom poslovnega modela medijev, da se zagotovita celovitost in neodvisnost evropskega medijskega trga</w:t>
      </w:r>
      <w:r>
        <w:rPr>
          <w:rStyle w:val="Ancredenotedefin"/>
          <w:rStyle w:val="Ancredenotedefin"/>
        </w:rPr>
        <w:endnoteReference w:id="61"/>
      </w:r>
      <w:r>
        <w:rPr/>
        <w:t>.</w:t>
      </w:r>
    </w:p>
    <w:p>
      <w:pPr>
        <w:pStyle w:val="Puce3"/>
        <w:tabs>
          <w:tab w:val="clear" w:pos="720"/>
        </w:tabs>
        <w:rPr/>
      </w:pPr>
      <w:r>
        <w:rPr/>
        <w:t>2.</w:t>
        <w:tab/>
        <w:t>Dosledno uporabo pravil EU o konkurenci v medijskem sektorju, da bi preprečili ustvarjanje velikih medijskih monopolov ter zagotovili pluralnost medijev in neodvisnost od kakršnega koli neželenega vmešavanja političnih, poslovnih in/ali tujih držav. Spodbujati bi bilo treba tudi kakovostno novinarstvo s priznanimi in visokimi standardi etike in samoregulacije</w:t>
      </w:r>
      <w:r>
        <w:rPr>
          <w:rStyle w:val="Ancredenotedefin"/>
          <w:rStyle w:val="Ancredenotedefin"/>
        </w:rPr>
        <w:endnoteReference w:id="62"/>
      </w:r>
      <w:r>
        <w:rPr/>
        <w:t>.</w:t>
      </w:r>
    </w:p>
    <w:p>
      <w:pPr>
        <w:pStyle w:val="Puce3"/>
        <w:tabs>
          <w:tab w:val="clear" w:pos="720"/>
        </w:tabs>
        <w:rPr/>
      </w:pPr>
      <w:r>
        <w:rPr/>
        <w:t>3.</w:t>
        <w:tab/>
        <w:t xml:space="preserve">Ustanovitev organa EU za boj proti ciljno usmerjenim dezinformacijam in vmešavanju, izboljšanje dojemanja razmer ter krepitev organizacij za preverjanje dejstev in neodvisnih medijev. „Številke za nujne primere“ in spletne strani, kot je Europe Direct, ki državljanom in nacionalnim medijem omogočajo, da zahtevajo in prejmejo preverjene informacije o strategijah in politikah EU, bi bilo treba tudi bolj dejavno podpirati in spodbujati.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Spodbujanje medijske pismenosti in ozaveščenosti javnosti o dezinformacijah in nenamernem širjenju novic, tudi prek obveznega šolskega izobraževanja. Države članice bi bilo treba tudi spodbujati, da v ta namen namenijo ustrezne človeške in finančne vire. </w:t>
      </w:r>
      <w:r>
        <w:rPr>
          <w:rStyle w:val="Ancredenotedefin"/>
          <w:rStyle w:val="Ancredenotedefin"/>
        </w:rPr>
        <w:endnoteReference w:id="65"/>
      </w:r>
    </w:p>
    <w:p>
      <w:pPr>
        <w:pStyle w:val="Puce3"/>
        <w:tabs>
          <w:tab w:val="clear" w:pos="720"/>
        </w:tabs>
        <w:rPr/>
      </w:pPr>
      <w:r>
        <w:rPr/>
        <w:t>5.</w:t>
        <w:tab/>
        <w:t>Na podlagi obstoječih pobud, kot sta kodeks ravnanja proti dezinformacijam in Evropski observatorij za digitalne medije (EDMO), od spletnih platform zahteva, da objavijo jasne informacije o algoritmih, ki jih uporabljajo (pri čemer lahko uporabniki soglašajo ali ne), in tveganjih dezinformacij, ki so jim uporabniki izpostavljeni, pri čemer se ohrani pravica do svobode govora in pravica do zasebnosti.</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Predlog: Mediji, lažne novice, dezinformacije, preverjanje dejstev, kibernetska varnost (bis)</w:t>
      </w:r>
    </w:p>
    <w:p>
      <w:pPr>
        <w:pStyle w:val="P68B1DB1Normal15"/>
        <w:rPr>
          <w:b/>
          <w:b/>
        </w:rPr>
      </w:pPr>
      <w:r>
        <w:rPr/>
        <w:t>Cilj: krepitev vloge Unije v boju proti kibernetskim grožnjam,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 xml:space="preserve">Krepitev Agencije Evropske unije za kibernetsko varnost (ENISA) za boljšo zaščito posameznikov, organizacij in institucij pred kršitvami kibernetske varnosti in uporabo umetne inteligence v kriminalne namene. Hkrati bi bilo treba ohraniti zaupnost in varstvo osebnih podatkov.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Izboljšanje usklajevanja nacionalnih organov za kibernetsko varnost in dodatna prizadevanja za zagotovitev učinkovitega izvajanja pravil Unije na nacionalni ravni.</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Predlog: Boj proti diskriminaciji, enakosti in kakovosti življenja</w:t>
      </w:r>
    </w:p>
    <w:p>
      <w:pPr>
        <w:pStyle w:val="P68B1DB1Normal15"/>
        <w:rPr>
          <w:b/>
          <w:b/>
        </w:rPr>
      </w:pPr>
      <w:r>
        <w:rPr/>
        <w:t>CILJ: Sprejme ukrepe za uskladitev življenjskih pogojev po vsej Uniji in izboljšanje socialno-ekonomske kakovosti življenja njenih državljanov,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72"/>
      </w:r>
      <w:r>
        <w:rPr/>
        <w:t>:</w:t>
      </w:r>
    </w:p>
    <w:p>
      <w:pPr>
        <w:pStyle w:val="Puce3"/>
        <w:tabs>
          <w:tab w:val="clear" w:pos="720"/>
        </w:tabs>
        <w:rPr/>
      </w:pPr>
      <w:r>
        <w:rPr/>
        <w:t>1.</w:t>
        <w:tab/>
        <w:t>Razvoj preglednih kazalnikov kakovosti življenja, vključno z ekonomskimi in socialnimi merili ter merili pravne države, v posvetovanju s strokovnjaki in socialnimi partnerji, da se določi jasen in realističen časovni razpored za dvig socialnih standardov in vzpostavitev skupne socialno-ekonomske strukture Unije, tudi z izvajanjem evropskega stebra socialnih pravic. Te ukrepe bi bilo treba vključiti v okvir gospodarskega upravljanja in proces evropskega semestra</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Povečanje in omogočanje neposrednih javnih naložb v zdravstvo, izobraževanje, fizično infrastrukturo ter oskrbo starejših in invalidov. Dodatne naložbe bi morale biti namenjene tudi zagotavljanju zadovoljivega ravnovesja med poklicnim in zasebnim življenjem za državljane. Te naložbe bi bilo treba izvesti na popolnoma pregleden način za spremljanje celotnega procesa</w:t>
      </w:r>
      <w:r>
        <w:rPr>
          <w:rStyle w:val="Ancredenotedefin"/>
          <w:rStyle w:val="Ancredenotedefin"/>
        </w:rPr>
        <w:endnoteReference w:id="75"/>
      </w:r>
      <w:r>
        <w:rPr/>
        <w:t>.</w:t>
      </w:r>
    </w:p>
    <w:p>
      <w:pPr>
        <w:pStyle w:val="Puce3"/>
        <w:tabs>
          <w:tab w:val="clear" w:pos="720"/>
        </w:tabs>
        <w:rPr/>
      </w:pPr>
      <w:r>
        <w:rPr/>
        <w:t>3.</w:t>
        <w:tab/>
        <w:t>Spodbujanje obdavčitve velikih podjetij, boj proti dostopu do davčnih oaz in odprava njihovega obstoja v EU, da bi povečali javne naložbe na prednostnih področjih, kot so izobraževanje (študijske štipendije, Erasmus) in raziskave. Boj proti davčnim utajam na ravni EU bi moral biti tudi sredstvo za zbiranje sredstev za javno financirane pobude</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Z določitvijo meril na ravni Unije za boj proti diskriminaciji na trgu dela in s spodbujanjem zasebnih podjetij k zaposlovanju ljudi, ki jih je diskriminacija na splošno najbolj prizadela (vključno z mladimi, starejšimi, ženskami in pripadniki manjšin), vključno s subvencijami, in drugič, z začasnimi kvotami. Socialni partnerji bi morali biti tesno vključeni v ta prizadevanja. Z zakonom bi morala biti prepovedana tudi diskriminacija zunaj trga dela, prav tako pa bi bilo treba spodbujati enakost</w:t>
      </w:r>
      <w:r>
        <w:rPr>
          <w:rStyle w:val="Ancredenotedefin"/>
          <w:rStyle w:val="Ancredenotedefin"/>
        </w:rPr>
        <w:endnoteReference w:id="78"/>
      </w:r>
      <w:r>
        <w:rPr/>
        <w:t>.</w:t>
      </w:r>
    </w:p>
    <w:p>
      <w:pPr>
        <w:pStyle w:val="Puce3"/>
        <w:tabs>
          <w:tab w:val="clear" w:pos="720"/>
        </w:tabs>
        <w:rPr/>
      </w:pPr>
      <w:r>
        <w:rPr/>
        <w:t>5.</w:t>
        <w:tab/>
        <w:t>Zagotavljanje ustanavljanja in lažjega obstoja javnih in zasebnih vrtcev po dostopnih cenah ter brezplačnih storitev otroškega varstva za tiste, ki potrebujejo pomoč</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Predlog: Pravice živali, kmetijstvo</w:t>
      </w:r>
    </w:p>
    <w:p>
      <w:pPr>
        <w:pStyle w:val="P68B1DB1Normal15"/>
        <w:rPr>
          <w:b/>
          <w:b/>
        </w:rPr>
      </w:pPr>
      <w:r>
        <w:rPr/>
        <w:t>Cilj: Sprejeti odločne ukrepe za spodbujanje in zagotavljanje okolju prijaznejšega in podnebju prijaznega kmetijstva,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80"/>
      </w:r>
      <w:r>
        <w:rPr/>
        <w:t>:</w:t>
      </w:r>
    </w:p>
    <w:p>
      <w:pPr>
        <w:pStyle w:val="Puce3"/>
        <w:tabs>
          <w:tab w:val="clear" w:pos="720"/>
        </w:tabs>
        <w:rPr/>
      </w:pPr>
      <w:r>
        <w:rPr/>
        <w:t>1.</w:t>
        <w:tab/>
        <w:t>Z določitvijo podrobnih, merljivih in časovno omejenih minimalnih meril za zaščito rejnih živali, da se zagotovijo višji standardi dobrega počutja živali v skladu z uvedbo trajnostnih ciljev in na podlagi celostnega pristopa k prehranskemu sistemu</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Uvedba denarnih kazni za škodljive učinke, ki jih povzroča kmetijska dejavnost (npr. emisije toplogrednih plinov, uporaba pesticidov, prekomerna poraba vode, prevoz na dolge razdalje itd.), odvisno od njihovega vpliva na okolje. Na tej podlagi bi bilo treba oceniti tudi kmetijske proizvode, uvožene v Unijo, vključno s carinskimi dajatvami, da se odpravi vsaka konkurenčna prednost, ki izhaja iz manj strogih okoljskih standardov</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Zmanjšanje subvencij za množično kmetijsko proizvodnjo, kadar ta ne prispeva k trajnostnemu prehodu, in preusmeritev teh virov v podporo okoljsko trajnostnemu kmetijstvu ob hkratnem zagotavljanju cenovne dostopnosti živil.</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Slika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26"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Digitalna transformacija“</w:t>
      </w:r>
    </w:p>
    <w:p>
      <w:pPr>
        <w:pStyle w:val="Normal"/>
        <w:rPr/>
      </w:pPr>
      <w:r>
        <w:rPr/>
        <w:t>Evropa mora biti vodilna v svetu in določiti standarde za digitalno preobrazbo ter začrtati evropsko pot k etični, na človeka osredotočeni, pregledni in varni družbi. Evropa mora sprejeti ambiciozen pristop in v celoti izkoristiti priložnosti, ki jih ponuja digitalizacija, hkrati pa obvladovati tveganja in izzive, ki jih prinaša digitalizacija. Digitalizacija zadeva vsa področja naše družbe in jo je treba sistematično upoštevati. V zvezi s tem je bila omenjena evropska deklaracija o digitalnih pravicah in načela za digitalno desetletje, predlagano pa je bilo tudi, da se v prihodnosti razmisli o morebitni pripravi Listine o digitalnih pravicah.</w:t>
      </w:r>
    </w:p>
    <w:p>
      <w:pPr>
        <w:pStyle w:val="Normal"/>
        <w:rPr/>
      </w:pPr>
      <w:r>
        <w:rPr/>
        <w:t>Ruska agresija v Ukrajini potrjuje le številne elemente, obravnavane v predlogih, kot so potreba po digitalni suverenosti, večji pozornosti kibernetski obrambi in zaščiti pred dezinformacijami. Dokazuje tudi, da imajo sodobni konflikti posledice v digitalni sferi in odpirajo nova vprašanja, kot so dolgoročne posledice zlorabe osebnih podatkov in nelegitimna uporaba teh podatkov v prihodnosti.</w:t>
      </w:r>
    </w:p>
    <w:p>
      <w:pPr>
        <w:pStyle w:val="Normal"/>
        <w:rPr/>
      </w:pPr>
      <w:r>
        <w:rPr/>
      </w:r>
    </w:p>
    <w:p>
      <w:pPr>
        <w:pStyle w:val="Titre3"/>
        <w:numPr>
          <w:ilvl w:val="2"/>
          <w:numId w:val="2"/>
        </w:numPr>
        <w:rPr/>
      </w:pPr>
      <w:bookmarkStart w:id="81" w:name="__RefHeading___Toc298336_1346298689"/>
      <w:bookmarkEnd w:id="81"/>
      <w:r>
        <w:rPr/>
        <w:t>31. Predlog: Dostop do digitalne infrastrukture</w:t>
      </w:r>
    </w:p>
    <w:p>
      <w:pPr>
        <w:pStyle w:val="Normal"/>
        <w:rPr/>
      </w:pPr>
      <w:r>
        <w:rPr/>
        <w:t>Cilj: Enak dostop do interneta je temeljna pravica vsakega evropskega državljana. Predlagamo, da imajo vsi v Evropi učinkovit dostop do interneta in digitalnih storitev ter da se okrepi suverenost digitalne infrastrukture EU z izvajanjem naslednjih ukrepov: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86"/>
      </w:r>
      <w:r>
        <w:rPr/>
        <w:t>:</w:t>
      </w:r>
    </w:p>
    <w:p>
      <w:pPr>
        <w:pStyle w:val="Puce3"/>
        <w:tabs>
          <w:tab w:val="clear" w:pos="720"/>
        </w:tabs>
        <w:rPr/>
      </w:pPr>
      <w:r>
        <w:rPr/>
        <w:t>1.</w:t>
        <w:tab/>
        <w:t>Naložbe v visokokakovostno in inovativno evropsko digitalno infrastrukturo (vključno z razvojem 5G in 6G v Evropi) (priporočili 40 in 47 ECP 1 in št. 1 nizozemske nacionalne kontaktne točke).</w:t>
      </w:r>
    </w:p>
    <w:p>
      <w:pPr>
        <w:pStyle w:val="Puce3"/>
        <w:tabs>
          <w:tab w:val="clear" w:pos="720"/>
        </w:tabs>
        <w:rPr/>
      </w:pPr>
      <w:r>
        <w:rPr/>
        <w:t>2.</w:t>
        <w:tab/>
        <w:t>Zagotoviti hiter, cenovno ugoden, varen in stabilen dostop do interneta po vsej Uniji, vključno z gostovanjem, pri čemer ima prednost vzpostavitev internetnih povezav na „belih/mrtvih območjih“, podeželskih, oddaljenih in obrobnih območjih, da bi odpravili digitalni razkorak med državami članicami in znotraj njih ter zagotovili, da nihče ne bo zapostavljen (priporočili 17 in 47 nizozemske nacionalne kontaktne točke 1 in 1).</w:t>
      </w:r>
    </w:p>
    <w:p>
      <w:pPr>
        <w:pStyle w:val="Puce3"/>
        <w:tabs>
          <w:tab w:val="clear" w:pos="720"/>
        </w:tabs>
        <w:rPr/>
      </w:pPr>
      <w:r>
        <w:rPr/>
        <w:t>3.</w:t>
        <w:tab/>
        <w:t>Pospešiti uvedbo digitalne in električne infrastrukture v javnih in zasebnih prostorih, ki omogoča uporabo električnih in avtonomnih vozil (razprava v delovni skupini)</w:t>
      </w:r>
      <w:r>
        <w:rPr>
          <w:rStyle w:val="Ancredenotedefin"/>
          <w:rStyle w:val="Ancredenotedefin"/>
        </w:rPr>
        <w:endnoteReference w:id="87"/>
      </w:r>
      <w:r>
        <w:rPr/>
        <w:t>.</w:t>
      </w:r>
    </w:p>
    <w:p>
      <w:pPr>
        <w:pStyle w:val="Puce3"/>
        <w:tabs>
          <w:tab w:val="clear" w:pos="720"/>
        </w:tabs>
        <w:rPr/>
      </w:pPr>
      <w:r>
        <w:rPr/>
        <w:t>4.</w:t>
        <w:tab/>
        <w:t>Sprejme ukrepe za zagotovitev poštene in odprte konkurence ter preprečevanje monopolov, odvisnosti od dobaviteljev, koncentracije podatkov in odvisnosti od tretjih držav od infrastrukture in storitev; izboljšanje trgov z vidika potrošnikov (priporočilo CEP št. 17 1).</w:t>
      </w:r>
    </w:p>
    <w:p>
      <w:pPr>
        <w:pStyle w:val="Puce3"/>
        <w:tabs>
          <w:tab w:val="clear" w:pos="720"/>
        </w:tabs>
        <w:rPr/>
      </w:pPr>
      <w:r>
        <w:rPr/>
        <w:t>5.</w:t>
        <w:tab/>
        <w:t>Otrokom, družinam, starejšim in ranljivim skupinam dati prednost pri dostopu do interneta in informacijske opreme, vključno z dostopom do izobraževanja, javnih storitev in zdravja (priporočilo 17 CEP 1 in razprava v delovni skupini).</w:t>
      </w:r>
    </w:p>
    <w:p>
      <w:pPr>
        <w:pStyle w:val="Puce3"/>
        <w:tabs>
          <w:tab w:val="clear" w:pos="720"/>
        </w:tabs>
        <w:rPr/>
      </w:pPr>
      <w:r>
        <w:rPr/>
        <w:t>6.</w:t>
        <w:tab/>
        <w:t>S popolno dostopnostjo izboljšati digitalni dostop do osnovnih javnih in zasebnih storitev za državljane in podjetja, npr. v zvezi z upravnimi postopki, ter vsem zagotoviti dostop do teh storitev in podporo, povezano z njimi, npr. s podpornimi storitvami (razprava v delovni skupini, večjezična digitalna platforma).</w:t>
      </w:r>
    </w:p>
    <w:p>
      <w:pPr>
        <w:pStyle w:val="Puce3"/>
        <w:tabs>
          <w:tab w:val="clear" w:pos="720"/>
        </w:tabs>
        <w:rPr/>
      </w:pPr>
      <w:r>
        <w:rPr/>
        <w:t>7.</w:t>
        <w:tab/>
        <w:t>Uskladiti visokokakovostne digitalne standarde in izboljšati varno mobilnost podatkov, da se olajša čezmejna interoperabilnost (razprava v delovni skupini, večjezična digitalna platforma).</w:t>
      </w:r>
    </w:p>
    <w:p>
      <w:pPr>
        <w:pStyle w:val="Puce3"/>
        <w:tabs>
          <w:tab w:val="clear" w:pos="720"/>
        </w:tabs>
        <w:rPr/>
      </w:pPr>
      <w:r>
        <w:rPr/>
        <w:t>8.</w:t>
        <w:tab/>
        <w:t>Razmislek o vplivih digitalne infrastrukture in digitalizacije na okolje, da bi digitalna preobrazba postala trajnostna in prehod na zeleno digitalno družbo (razprava v delovni skupini, večjezična digitalna platforma).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Predlog: Digitalno znanje in spretnosti, ki opolnomočajo ljudi</w:t>
      </w:r>
    </w:p>
    <w:p>
      <w:pPr>
        <w:pStyle w:val="P68B1DB1Normal15"/>
        <w:rPr>
          <w:b/>
          <w:b/>
        </w:rPr>
      </w:pPr>
      <w:r>
        <w:rPr/>
        <w:t>Cilj: Predlagamo, da EU zagotovi, da lahko vsi evropski državljani izkoristijo digitalizacijo, tako da jim omogoči, da pridobijo potrebna digitalna znanja in spretnosti ter priložnosti, in sicer z izvajanjem naslednjih ukrepov: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88"/>
      </w:r>
      <w:r>
        <w:rPr/>
        <w:t>:</w:t>
      </w:r>
    </w:p>
    <w:p>
      <w:pPr>
        <w:pStyle w:val="Puce3"/>
        <w:tabs>
          <w:tab w:val="clear" w:pos="720"/>
        </w:tabs>
        <w:rPr/>
      </w:pPr>
      <w:r>
        <w:rPr/>
        <w:t>1.</w:t>
        <w:tab/>
        <w:t>Zagotoviti dostop do usposabljanja in izobraževanja, vključno s šolskimi, formalnimi in neformalnimi učnimi načrti, do vseživljenjskih digitalnih spretnosti in znanja na podlagi obstoječih pobud na evropski ravni, pri čemer se posebna pozornost nameni vključevanju ljudi, ki pripadajo ranljivim skupinam in starejšim, ter krepitvi digitalnih znanj in spretnosti otrok na način, ki je skladen z njihovim ustreznim razvojem, in odpravljanju digitalnih neenakosti, vključno z digitalnim razkorakom med moškimi in ženskami (priporočilo EP št. 8, priporočilo 5.2 italijanske nacionalne kontaktne točke in razprava v delovni skupini).</w:t>
      </w:r>
    </w:p>
    <w:p>
      <w:pPr>
        <w:pStyle w:val="Puce3"/>
        <w:tabs>
          <w:tab w:val="clear" w:pos="720"/>
        </w:tabs>
        <w:rPr/>
      </w:pPr>
      <w:r>
        <w:rPr/>
        <w:t>2.</w:t>
        <w:tab/>
        <w:t>Zagotoviti dobro uporabo interneta s spodbujanjem držav članic k razvoju usposabljanja na področju digitalnih znanj in spretnosti za vse starostne skupine z usklajenimi programi in vsebinami na evropski ravni, kot so internetna tveganja in priložnosti, spletne pravice uporabnikov in botiquette (priporočilo 47 CEP 1 in razprava v delovni skupini).</w:t>
      </w:r>
    </w:p>
    <w:p>
      <w:pPr>
        <w:pStyle w:val="Puce3"/>
        <w:tabs>
          <w:tab w:val="clear" w:pos="720"/>
        </w:tabs>
        <w:rPr/>
      </w:pPr>
      <w:r>
        <w:rPr/>
        <w:t>3.</w:t>
        <w:tab/>
        <w:t>Sprejmejo vse potrebne ukrepe za zagotovitev, da digitalizacija družbe ne izključuje starejših in da je tehnologija zanje dostopna, in sicer s spodbujanjem ustreznih programov in pobud, kot so tečaji, prilagojeni njihovim potrebam. Hkrati bi bilo treba zagotoviti, da so bistvene storitve dostopne tudi osebno in nedigitalno (priporočili CEP 34 in 47).</w:t>
      </w:r>
    </w:p>
    <w:p>
      <w:pPr>
        <w:pStyle w:val="Puce3"/>
        <w:tabs>
          <w:tab w:val="clear" w:pos="720"/>
        </w:tabs>
        <w:rPr/>
      </w:pPr>
      <w:r>
        <w:rPr/>
        <w:t>4.</w:t>
        <w:tab/>
        <w:t>V šolah uvesti evropsko potrdilo o digitalnih znanjih in spretnostih, ki bo mlade pripravilo na prihodnji trg dela (priporočilo CEP 8 1).</w:t>
      </w:r>
    </w:p>
    <w:p>
      <w:pPr>
        <w:pStyle w:val="Puce3"/>
        <w:tabs>
          <w:tab w:val="clear" w:pos="720"/>
        </w:tabs>
        <w:rPr/>
      </w:pPr>
      <w:r>
        <w:rPr/>
        <w:t>5.</w:t>
        <w:tab/>
        <w:t>Izvajati usklajene pobude za usposabljanje na ravni Unije za prekvalifikacijo in izpopolnjevanje delavcev, da ostanejo konkurenčni na trgu dela, zlasti glede na znanja in spretnosti ter kvalifikacije, ki jih potrebujejo mala in srednja podjetja, pa tudi za usposabljanje digitalnih strokovnjakov (priporočilo CEP 8 in razprava v delovni skupini).</w:t>
      </w:r>
    </w:p>
    <w:p>
      <w:pPr>
        <w:pStyle w:val="Puce3"/>
        <w:tabs>
          <w:tab w:val="clear" w:pos="720"/>
        </w:tabs>
        <w:rPr/>
      </w:pPr>
      <w:r>
        <w:rPr/>
        <w:t>6.</w:t>
        <w:tab/>
        <w:t>Oglaševati obstoječe digitalne platforme, ki povezujejo državljane z delodajalci in jim pomagajo pri iskanju zaposlitve v EU, kot je EURES (Priporočilo CEP št. 8 1).</w:t>
      </w:r>
    </w:p>
    <w:p>
      <w:pPr>
        <w:pStyle w:val="Puce3"/>
        <w:tabs>
          <w:tab w:val="clear" w:pos="720"/>
        </w:tabs>
        <w:rPr/>
      </w:pPr>
      <w:r>
        <w:rPr/>
        <w:t>7.</w:t>
        <w:tab/>
        <w:t>Povečati naložbe in prizadevanja za spodbujanje digitalizacije izobraževanja, vključno z visokošolskim izobraževanjem (razprava v delovni skupini/večjezični digitalni platformi).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Predlog: Varna in zaupanja vredna digitalna družba – kibernetska varnost in dezinformacije</w:t>
      </w:r>
    </w:p>
    <w:p>
      <w:pPr>
        <w:pStyle w:val="P68B1DB1Normal15"/>
        <w:rPr>
          <w:b/>
          <w:b/>
        </w:rPr>
      </w:pPr>
      <w:r>
        <w:rPr/>
        <w:t>Cilj: predlagamo, da bi morala EU za oblikovanje varne, odporne in zaupanja vredne digitalne družbe zagotoviti učinkovito in pravočasno izvajanje obstoječe zakonodaje ter imeti več pristojnosti za krepitev kibernetske varnosti, boj proti nezakonitim vsebinam in kibernetski kriminaliteti, obravnavanje in obravnavanje posledic kibernetskih groženj nedržavnih akterjev in avtoritarnih držav ter boj proti dezinformacijam, in sicer z izvajanjem naslednjih ukrepov: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89"/>
      </w:r>
      <w:r>
        <w:rPr/>
        <w:t>:</w:t>
      </w:r>
    </w:p>
    <w:p>
      <w:pPr>
        <w:pStyle w:val="Puce3"/>
        <w:tabs>
          <w:tab w:val="clear" w:pos="720"/>
        </w:tabs>
        <w:rPr/>
      </w:pPr>
      <w:r>
        <w:rPr/>
        <w:t>1.</w:t>
        <w:tab/>
        <w:t>Okrepiti zmogljivosti Europola/Evropskega centra za boj proti kibernetski kriminaliteti v smislu finančnih in človeških virov, da bi omogočili bolj proaktiven pristop k kibernetski kriminaliteti in okrepili skupne evropske zmogljivosti kibernetske obrambe pred obsežnimi napadi, tudi z boljšim sodelovanjem (priporočilo ECP št. 39, priporočilo 2.6 litovske nacionalne kontaktne točke in nacionalne kontaktne točke 1 nizozemske nacionalne kontaktne točke ter razprava v delovni skupini).</w:t>
      </w:r>
    </w:p>
    <w:p>
      <w:pPr>
        <w:pStyle w:val="Puce3"/>
        <w:tabs>
          <w:tab w:val="clear" w:pos="720"/>
        </w:tabs>
        <w:rPr/>
      </w:pPr>
      <w:r>
        <w:rPr/>
        <w:t>2.</w:t>
        <w:tab/>
        <w:t>Sprejmejo potrebne ukrepe za pripravo na obsežne napade in motnje v storitvah ter za njihovo hitro premagovanje, na primer z zagotavljanjem odporne infrastrukture in alternativnih komunikacijskih kanalov (razprava v delovni skupini).</w:t>
      </w:r>
    </w:p>
    <w:p>
      <w:pPr>
        <w:pStyle w:val="Puce3"/>
        <w:tabs>
          <w:tab w:val="clear" w:pos="720"/>
        </w:tabs>
        <w:rPr/>
      </w:pPr>
      <w:r>
        <w:rPr/>
        <w:t>3.</w:t>
        <w:tab/>
        <w:t>Zagotoviti podobne sankcije ter njihovo hitro in učinkovito izvrševanje v državah članicah v primeru kibernetske kriminalitete z boljšim usklajevanjem lokalnih, regionalnih in nacionalnih centrov in organov za kibernetsko varnost (priporočilo CEP št. 39 1).</w:t>
      </w:r>
    </w:p>
    <w:p>
      <w:pPr>
        <w:pStyle w:val="Puce3"/>
        <w:tabs>
          <w:tab w:val="clear" w:pos="720"/>
        </w:tabs>
        <w:rPr/>
      </w:pPr>
      <w:r>
        <w:rPr/>
        <w:t>4.</w:t>
        <w:tab/>
        <w:t>Izboljšanje digitalnega znanja in kritičnega razmišljanja kot sredstva za boj proti dezinformacijam, spletnim grožnjam in sovražnemu govoru ter opremljeni vmesniki in preferenčne cene (razprava v delovni skupini).</w:t>
      </w:r>
    </w:p>
    <w:p>
      <w:pPr>
        <w:pStyle w:val="Puce3"/>
        <w:tabs>
          <w:tab w:val="clear" w:pos="720"/>
        </w:tabs>
        <w:rPr/>
      </w:pPr>
      <w:r>
        <w:rPr/>
        <w:t>5.</w:t>
        <w:tab/>
        <w:t>Boj proti dezinformacijam s sprejetjem zakonodaje in smernic, ki zagotavljajo, da spletne platforme in družbe v družbenih medijih obravnavajo svoje ranljivosti zaradi dezinformacij in uporabljajo ukrepe za preglednost, na primer algoritme na podlagi umetne inteligence, ki lahko poudarijo zanesljivost informacij o družbenih medijih in novih medijih, tako da uporabniku zagotovijo preverjene vire informacij. Kadar se uporabljajo algoritmi, bi moral biti končni nadzor v postopkih odločanja odgovornost ljudi (priporočilo 46 CEP 1 in razprava v delovni skupini).</w:t>
      </w:r>
    </w:p>
    <w:p>
      <w:pPr>
        <w:pStyle w:val="Puce3"/>
        <w:tabs>
          <w:tab w:val="clear" w:pos="720"/>
        </w:tabs>
        <w:rPr/>
      </w:pPr>
      <w:r>
        <w:rPr/>
        <w:t>6.</w:t>
        <w:tab/>
        <w:t>Podpiranje digitalnih platform, ki prispevajo k pluralnosti medijev, ter zagotavljanje virov in pobud za oceno zanesljivosti in nepristranskosti informacij iz tradicionalnih medijev (televizije, tiska, radia) in drugih medijev ob polnem spoštovanju načela svobode medijev ter za zagotavljanje informacij državljanom o kakovosti informacij (priporočilo CEP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Predlog: Varna in zaupanja vredna digitalna družba – varstvo podatkov</w:t>
      </w:r>
    </w:p>
    <w:p>
      <w:pPr>
        <w:pStyle w:val="P68B1DB1Normal15"/>
        <w:rPr>
          <w:b/>
          <w:b/>
        </w:rPr>
      </w:pPr>
      <w:r>
        <w:rPr/>
        <w:t>Cilj: Podpiramo suverenost podatkov ljudi, boljšo ozaveščenost ter učinkovitejše izvajanje in uveljavljanje obstoječih pravil o varstvu podatkov (GDPR), da bi okrepili nadzor ljudi nad njihovimi podatki in omejili zlorabo podatkov z izvajanjem naslednjih ukrepov: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90"/>
      </w:r>
      <w:r>
        <w:rPr/>
        <w:t>:</w:t>
      </w:r>
    </w:p>
    <w:p>
      <w:pPr>
        <w:pStyle w:val="Puce3"/>
        <w:tabs>
          <w:tab w:val="clear" w:pos="720"/>
        </w:tabs>
        <w:rPr/>
      </w:pPr>
      <w:r>
        <w:rPr/>
        <w:t>1.</w:t>
        <w:tab/>
        <w:t>Bolje razložiti pravila o varstvu podatkov, povečati preglednost in izboljšati komunikacijo z oblikovanjem smernic za besedila o soglasju po seznanitvi, ki uporabljajo preprost, jasen in razumljiv jezik, vključno z bolj vizualno predstavitvijo soglasja za uporabo podatkov, ki jih spremlja informacijska kampanja, ter zagotavljanjem, da imajo upravljavci podatkov potrebna znanja in spretnosti ter svetujejo tistim, ki potrebujejo pomoč (priporočili 42 in 45 nizozemske nacionalne kontaktne točke 1 in 2).</w:t>
      </w:r>
    </w:p>
    <w:p>
      <w:pPr>
        <w:pStyle w:val="Puce3"/>
        <w:tabs>
          <w:tab w:val="clear" w:pos="720"/>
        </w:tabs>
        <w:rPr/>
      </w:pPr>
      <w:r>
        <w:rPr/>
        <w:t>2.</w:t>
        <w:tab/>
        <w:t>Zagotoviti izvrševanje obstoječe prepovedi privzete privolitve za ponovno uporabo ali nadaljnjo prodajo podatkov (priporočilo CEP št. 42 1).</w:t>
      </w:r>
    </w:p>
    <w:p>
      <w:pPr>
        <w:pStyle w:val="Puce3"/>
        <w:tabs>
          <w:tab w:val="clear" w:pos="720"/>
        </w:tabs>
        <w:rPr/>
      </w:pPr>
      <w:r>
        <w:rPr/>
        <w:t>3.</w:t>
        <w:tab/>
        <w:t>Zagotoviti, da se zahteve uporabnikov za končni izbris podatkov odobrijo v določenem časovnem okviru (priporočilo CEP št. 42).</w:t>
      </w:r>
    </w:p>
    <w:p>
      <w:pPr>
        <w:pStyle w:val="Puce3"/>
        <w:tabs>
          <w:tab w:val="clear" w:pos="720"/>
        </w:tabs>
        <w:rPr/>
      </w:pPr>
      <w:r>
        <w:rPr/>
        <w:t>4.</w:t>
        <w:tab/>
        <w:t>Uporabnikom zagotoviti jasne in jedrnate informacije o tem, kako bodo podatki uporabljeni in kdo jih bo uporabljal (priporočilo CEP št. 42 1)</w:t>
      </w:r>
    </w:p>
    <w:p>
      <w:pPr>
        <w:pStyle w:val="Puce3"/>
        <w:tabs>
          <w:tab w:val="clear" w:pos="720"/>
        </w:tabs>
        <w:rPr/>
      </w:pPr>
      <w:r>
        <w:rPr/>
        <w:t>5.</w:t>
        <w:tab/>
        <w:t>Zagotoviti, da neevropska podjetja ravnajo v skladu z evropskimi pravili o varstvu podatkov (priporočili CEP 1 42 in 43).</w:t>
      </w:r>
    </w:p>
    <w:p>
      <w:pPr>
        <w:pStyle w:val="Puce3"/>
        <w:tabs>
          <w:tab w:val="clear" w:pos="720"/>
        </w:tabs>
        <w:rPr/>
      </w:pPr>
      <w:r>
        <w:rPr/>
        <w:t>6.</w:t>
        <w:tab/>
        <w:t>Spodbujanje vzpostavitve certifikacijske sheme na ravni EU, ki na dostopen, jasen in preprost način potrjuje skladnost s splošno uredbo o varstvu podatkov, je vidna na spletnih mestih in platformah ter bi jo moral izdati neodvisni izdajatelj certifikatov na evropski ravni. To ne bi smelo nesorazmerno obremeniti malih in srednjih podjetij (priporočilo št. 44 CEP 1 in razprava v delovni skupini).</w:t>
      </w:r>
    </w:p>
    <w:p>
      <w:pPr>
        <w:pStyle w:val="Puce3"/>
        <w:tabs>
          <w:tab w:val="clear" w:pos="720"/>
        </w:tabs>
        <w:rPr/>
      </w:pPr>
      <w:r>
        <w:rPr/>
        <w:t>7.</w:t>
        <w:tab/>
        <w:t>Zagotoviti učinkovito in pravočasno pomoč državljanom, ki imajo težave pri nasprotovanju obdelavi svojih podatkov ali preklicu njihove privolitve. V ta namen je treba na evropski ravni bolje opredeliti vsiljivo ravnanje ter razviti vodilna načela in mehanizme, ki državljanom omogočajo, da nasprotujejo obdelavi svojih podatkov in pridobijo njihov izbris ter identificirajo in kaznujejo goljufe (priporočilo CEP 43 in razprava v delovni skupini).</w:t>
      </w:r>
    </w:p>
    <w:p>
      <w:pPr>
        <w:pStyle w:val="Puce3"/>
        <w:tabs>
          <w:tab w:val="clear" w:pos="720"/>
        </w:tabs>
        <w:rPr/>
      </w:pPr>
      <w:r>
        <w:rPr/>
        <w:t>8.</w:t>
        <w:tab/>
        <w:t>Določiti kazni, vključno z globo, sorazmerno s prometom podjetij in omejitvami njihovih dejavnosti, na primer začasne ali dokončne prepovedi neželene obdelave podatkov, ter pomagati Evropskemu nadzorniku za varstvo podatkov in nacionalnim agencijam pri zagotavljanju njihovega izvajanja (priporočili CEP 1 42 in 43 ter razprava v delovni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Predlog: Digitalne inovacije za krepitev socialnega in trajnostnega gospodarstva</w:t>
      </w:r>
    </w:p>
    <w:p>
      <w:pPr>
        <w:pStyle w:val="Normal"/>
        <w:rPr/>
      </w:pPr>
      <w:r>
        <w:rPr/>
        <w:t>Cilj: Predlagamo, naj EU spodbuja ukrepe digitalizacije, ki krepijo gospodarstvo in enotni trg na pošten in trajnosten način, prispevajo k večji konkurenčnosti Evrope na področju tehnologije in inovacij, izboljšujejo enotni digitalni trg za podjetja vseh velikosti ter Evropo postavljajo v vodilno vlogo na področju digitalne preobrazbe in digitalizacije, osredotočene na človeka, z naslednjimi ukrepi: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91"/>
      </w:r>
      <w:r>
        <w:rPr/>
        <w:t>:</w:t>
      </w:r>
    </w:p>
    <w:p>
      <w:pPr>
        <w:pStyle w:val="Puce3"/>
        <w:tabs>
          <w:tab w:val="clear" w:pos="720"/>
        </w:tabs>
        <w:rPr/>
      </w:pPr>
      <w:r>
        <w:rPr/>
        <w:t>1.</w:t>
        <w:tab/>
        <w:t>Uvesti zakonodajo ali okrepiti obstoječo zakonodajo o „mobilnem delu“ (ki je osredotočeno na človeka), pri čemer se upošteva njen vpliv na telesno in duševno zdravje delavcev, na primer z zagotavljanjem pravice do odklopa. Pristop, osredotočen na človeka, predpostavlja načelo „nadzora človeka“ (PCE 1 Priporočilo št. 7 in razprava v delovni skupini)</w:t>
      </w:r>
      <w:r>
        <w:rPr>
          <w:rStyle w:val="Ancredenotedefin"/>
          <w:rStyle w:val="Ancredenotedefin"/>
        </w:rPr>
        <w:endnoteReference w:id="92"/>
      </w:r>
      <w:r>
        <w:rPr/>
        <w:t>.</w:t>
      </w:r>
    </w:p>
    <w:p>
      <w:pPr>
        <w:pStyle w:val="Puce3"/>
        <w:tabs>
          <w:tab w:val="clear" w:pos="720"/>
        </w:tabs>
        <w:rPr/>
      </w:pPr>
      <w:r>
        <w:rPr/>
        <w:t>2.</w:t>
        <w:tab/>
        <w:t>Sprejemanje zakonodaje na ravni EU za spodbujanje podjetij k družbeni odgovornosti in ohranjanju kakovostnih „mobilnih delovnih mest“ v Evropi, s čimer bi preprečili selitev teh delovnih mest v države z nižjimi stroški. Spodbude so lahko finančne narave in/ali vplivajo na podobo podjetja ter bi morale upoštevati mednarodno priznana okoljska, družbena in upravljavska merila. V ta namen bi morala Unija ustanoviti delovno skupino, sestavljeno iz strokovnjakov iz vseh zainteresiranih strani, ki bi pregledala in okrepila to zakonodajo (priporočilo CEP 7).</w:t>
      </w:r>
    </w:p>
    <w:p>
      <w:pPr>
        <w:pStyle w:val="Puce3"/>
        <w:tabs>
          <w:tab w:val="clear" w:pos="720"/>
        </w:tabs>
        <w:rPr/>
      </w:pPr>
      <w:r>
        <w:rPr/>
        <w:t>3.</w:t>
        <w:tab/>
        <w:t>Zagotoviti človeški nadzor nad postopki odločanja z uporabo umetne inteligence na delovnem mestu in preglednost uporabljenih algoritmov; upoštevajo škodljive učinke neomejenega digitalnega nadzora na delovnem mestu; obveščanje delavcev in posvetovanje z njimi pred uvedbo digitalnih tehnologij, ki vplivajo na delovne pogoje; zagotoviti, da so nove oblike zaposlitve, npr. platformno delo, v skladu s pravicami delavcev in zagotavljajo ustrezne delovne pogoje (razprava v delovni skupini).</w:t>
      </w:r>
    </w:p>
    <w:p>
      <w:pPr>
        <w:pStyle w:val="Puce3"/>
        <w:tabs>
          <w:tab w:val="clear" w:pos="720"/>
        </w:tabs>
        <w:rPr/>
      </w:pPr>
      <w:r>
        <w:rPr/>
        <w:t>4.</w:t>
        <w:tab/>
        <w:t>Sprejeti pobude za podporo delu na daljavo, na primer z ustvarjanjem pisarniških prostorov s hitrim in zanesljivim dostopom do interneta, organizacijo digitalnega usposabljanja in zagotavljanjem virov za ergonomsko opremo za delo doma (priporočilo 17 CEP 1 in razprava v delovni skupini).</w:t>
      </w:r>
    </w:p>
    <w:p>
      <w:pPr>
        <w:pStyle w:val="Puce3"/>
        <w:tabs>
          <w:tab w:val="clear" w:pos="720"/>
        </w:tabs>
        <w:rPr/>
      </w:pPr>
      <w:r>
        <w:rPr/>
        <w:t>5.</w:t>
        <w:tab/>
        <w:t>Vzpostaviti javno dostopno digitalno preglednico, ki vzpostavlja sistem razvrščanja, ki prikazuje in primerja trenutno raven digitalizacije podjetij EU (nemške nacionalne kontaktne točke).</w:t>
      </w:r>
    </w:p>
    <w:p>
      <w:pPr>
        <w:pStyle w:val="Puce3"/>
        <w:tabs>
          <w:tab w:val="clear" w:pos="720"/>
        </w:tabs>
        <w:rPr/>
      </w:pPr>
      <w:r>
        <w:rPr/>
        <w:t>6.</w:t>
        <w:tab/>
        <w:t>Izgradnja močnega in konkurenčnega digitalnega gospodarstva ter enakopravna delitev koristi digitalne preobrazbe po vsej Evropi z osredotočanjem na tehnologijo in inovacije kot gonilo rasti, spodbujanjem prelomnih vrhunskih raziskav ter zagotavljanjem prostora za inovacijske ekosisteme v vseh regijah z izboljšanjem delovnega okolja MSP in zagonskih podjetij ter pravičnim dostopom do financiranja in odpravo pravnih ali drugih bremen, ki ovirajo čezmejne dejavnosti (priporočilo italijanske nacionalne kontaktne točke 1.3, razprava delovne skupine in večjezična digitalna platforma). Vzpostavitev podatkovne infrastrukture, ki temelji na evropskih vrednotah; uporabljati načeli „digitalne prednostne naloge“ in „enotnega prenosa informacij“ ter olajšati digitalni in varen dostop do podatkov za inovacije in podjetja; spodbujanje digitalizacije javnih storitev (razprava v delovni skupini in večjezični digitalni platformi). V celoti izkoristijo potencial zanesljive in odgovorne uporabe umetne inteligence ter izkoristijo potencial tehnologije blokovnih verig in storitev v oblaku z opredelitvijo zaščitnih ukrepov in standardov, ki zagotavljajo preglednost in interoperabilnost, ustvarjajo zaupanje, olajšujejo uporabo in odpravljajo diskriminatorne ali pristranske algoritme (razprava v delovni skupini in večjezični digitalni platformi).</w:t>
      </w:r>
    </w:p>
    <w:p>
      <w:pPr>
        <w:pStyle w:val="Puce3"/>
        <w:tabs>
          <w:tab w:val="clear" w:pos="720"/>
        </w:tabs>
        <w:rPr/>
      </w:pPr>
      <w:r>
        <w:rPr/>
        <w:t>9.</w:t>
        <w:tab/>
        <w:t>Spodbujanje brezplačne programske opreme, njene uporabe v izobraževanju in usposabljanju ter prostega dostopa do javno financiranih raziskav in programske opreme (razprava v delovni skupini in večjezični digitalni platformi).</w:t>
      </w:r>
    </w:p>
    <w:p>
      <w:pPr>
        <w:pStyle w:val="Puce3"/>
        <w:tabs>
          <w:tab w:val="clear" w:pos="720"/>
        </w:tabs>
        <w:rPr/>
      </w:pPr>
      <w:r>
        <w:rPr/>
        <w:t>10.</w:t>
        <w:tab/>
        <w:t>Uvesti skupno evropsko digitalno identiteto za olajšanje čezmejnih digitalnih transakcij in storitev prek okvira evropskih standardov in vodilnih načel, ki zagotavljajo potrebne zaščitne ukrepe (razprava v delovni skupini in večjezični digitalni platformi).</w:t>
      </w:r>
    </w:p>
    <w:p>
      <w:pPr>
        <w:pStyle w:val="Puce3"/>
        <w:tabs>
          <w:tab w:val="clear" w:pos="720"/>
        </w:tabs>
        <w:rPr/>
      </w:pPr>
      <w:r>
        <w:rPr/>
        <w:t>11.</w:t>
        <w:tab/>
        <w:t>Oceniti, ali bi bilo mogoče digitalizirati informacije o potrošniških in živilskih proizvodih s standardizirano evropsko aplikacijo, ki bi zagotovila uporabniku prijaznejši dostop do informacij ter dodatne informacije o proizvodih in proizvodni verigi (priporočilo CEP št.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Slika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27"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Evropska demokracija“</w:t>
      </w:r>
    </w:p>
    <w:p>
      <w:pPr>
        <w:pStyle w:val="Titre3"/>
        <w:numPr>
          <w:ilvl w:val="2"/>
          <w:numId w:val="2"/>
        </w:numPr>
        <w:rPr/>
      </w:pPr>
      <w:bookmarkStart w:id="87" w:name="__RefHeading___Toc298348_1346298689"/>
      <w:bookmarkEnd w:id="87"/>
      <w:r>
        <w:rPr/>
        <w:t>36. Predlog: Obveščanje državljanov, participacija in mladina</w:t>
      </w:r>
    </w:p>
    <w:p>
      <w:pPr>
        <w:pStyle w:val="P68B1DB1Normal15"/>
        <w:rPr>
          <w:b/>
          <w:b/>
        </w:rPr>
      </w:pPr>
      <w:r>
        <w:rPr/>
        <w:t>Cilj: Povečati udeležbo in vključevanje mladih v demokracijo na ravni EU, da bi ustvarili „popolne izkušnje državljanov“ za Evropejce; zagotovijo, da se upoštevajo njihova stališča, tudi zunaj volilnih obdobij, in da je njihova udeležba resnična. Zato je treba določiti, katera oblika udeležbe je najprimernejša za vsako temo, na primer: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Razvoj novih mehanizmov za udeležbo državljanov in povečanje učinkovitosti obstoječih mehanizmov v skladu z evropskim pravnim redom ob hkratnem izboljšanju komunikacije o vseh teh mehanizmih. V idealnem primeru bi bilo treba vse informacije o participativnih prostorih povzeti</w:t>
      </w:r>
      <w:r>
        <w:rPr>
          <w:rStyle w:val="Ancredenotedefin"/>
          <w:rStyle w:val="Ancredenotedefin"/>
        </w:rPr>
        <w:endnoteReference w:id="93"/>
      </w:r>
      <w:r>
        <w:rPr/>
        <w:t xml:space="preserve"> na popolni uradni spletni strani z različnimi funkcijami</w:t>
      </w:r>
      <w:r>
        <w:rPr>
          <w:rStyle w:val="Ancredenotedefin"/>
          <w:rStyle w:val="Ancredenotedefin"/>
        </w:rPr>
        <w:endnoteReference w:id="94"/>
      </w:r>
      <w:r>
        <w:rPr/>
        <w:t>. Razviti bi bilo treba mehanizem za spremljanje političnih in zakonodajnih pobud, ki izhajajo iz procesov participativne demokracije</w:t>
      </w:r>
      <w:r>
        <w:rPr>
          <w:rStyle w:val="Ancredenotedefin"/>
          <w:rStyle w:val="Ancredenotedefin"/>
        </w:rPr>
        <w:endnoteReference w:id="95"/>
      </w:r>
      <w:r>
        <w:rPr/>
        <w:t>. Vsi mehanizmi sodelovanja bi morali obravnavati celotno prebivalstvo, da bi dosegli različne ciljne skupine. Pozornost je treba nameniti vsebini, temam in spretnostim moderatorjev. Ti mehanizmi bi morali temeljiti na analizi učinkov zadevnih ukrepov, zlasti na ženske in ranljive osebe</w:t>
      </w:r>
      <w:r>
        <w:rPr>
          <w:rStyle w:val="Ancredenotedefin"/>
          <w:rStyle w:val="Ancredenotedefin"/>
        </w:rPr>
        <w:endnoteReference w:id="96"/>
      </w:r>
      <w:r>
        <w:rPr/>
        <w:t>.</w:t>
      </w:r>
    </w:p>
    <w:p>
      <w:pPr>
        <w:pStyle w:val="Puce3"/>
        <w:tabs>
          <w:tab w:val="clear" w:pos="720"/>
        </w:tabs>
        <w:rPr/>
      </w:pPr>
      <w:r>
        <w:rPr/>
        <w:t>2.</w:t>
        <w:tab/>
        <w:t>S povečanjem pogostosti spletnih in nespletnih interakcij med institucijami EU in državljani z različnimi sredstvi, da se zagotovi, da lahko sodelujejo v evropskem procesu oblikovanja politik, izrazijo svoja mnenja in pridobijo povratne informacije ter pripravijo listino o udeležbi državljanov za evropske uradnike</w:t>
      </w:r>
      <w:r>
        <w:rPr>
          <w:rStyle w:val="Ancredenotedefin"/>
          <w:rStyle w:val="Ancredenotedefin"/>
        </w:rPr>
        <w:endnoteReference w:id="97"/>
      </w:r>
      <w:r>
        <w:rPr/>
        <w:t>.</w:t>
      </w:r>
    </w:p>
    <w:p>
      <w:pPr>
        <w:pStyle w:val="Puce3"/>
        <w:tabs>
          <w:tab w:val="clear" w:pos="720"/>
        </w:tabs>
        <w:rPr/>
      </w:pPr>
      <w:r>
        <w:rPr/>
        <w:t>3.</w:t>
        <w:tab/>
        <w:t>Predlagati uporabniku prijazno digitalno platformo, na kateri bi lahko državljani, zlasti mladi, izmenjali svoje zamisli, postavljali vprašanja predstavnikom evropskih institucij ter izrazili svoja stališča o pomembnih evropskih vprašanjih in zakonodajnih predlogih. Predvideti bi bilo treba tudi možnost organiziranja spletnih anket na tej platformi</w:t>
      </w:r>
      <w:r>
        <w:rPr>
          <w:rStyle w:val="Ancredenotedefin"/>
          <w:rStyle w:val="Ancredenotedefin"/>
        </w:rPr>
        <w:endnoteReference w:id="98"/>
      </w:r>
      <w:r>
        <w:rPr/>
        <w:t>.</w:t>
      </w:r>
    </w:p>
    <w:p>
      <w:pPr>
        <w:pStyle w:val="Puce3"/>
        <w:tabs>
          <w:tab w:val="clear" w:pos="720"/>
        </w:tabs>
        <w:rPr/>
      </w:pPr>
      <w:r>
        <w:rPr/>
        <w:t>4.</w:t>
        <w:tab/>
        <w:t>Izboljšanje in uskladitev obstoječih mehanizmov na evropski, nacionalni in lokalni ravni, da bi postali varnejši, dostopnejši, vidnejši in bolj vključujoči</w:t>
      </w:r>
      <w:r>
        <w:rPr>
          <w:rStyle w:val="Ancredenotedefin"/>
          <w:rStyle w:val="Ancredenotedefin"/>
        </w:rPr>
        <w:endnoteReference w:id="99"/>
      </w:r>
      <w:r>
        <w:rPr/>
        <w:t>.</w:t>
      </w:r>
    </w:p>
    <w:p>
      <w:pPr>
        <w:pStyle w:val="Puce3"/>
        <w:tabs>
          <w:tab w:val="clear" w:pos="720"/>
        </w:tabs>
        <w:rPr/>
      </w:pPr>
      <w:r>
        <w:rPr/>
        <w:t>5.</w:t>
        <w:tab/>
        <w:t>Vključevanje organizacij civilne družbe, regionalnih in lokalnih oblasti ter obstoječih organov, kot sta Evropski ekonomsko-socialni odbor (EESO) in Odbor regij (OR</w:t>
      </w:r>
      <w:r>
        <w:rPr>
          <w:rStyle w:val="Ancredenotedefin"/>
          <w:rStyle w:val="Ancredenotedefin"/>
        </w:rPr>
        <w:endnoteReference w:id="100"/>
      </w:r>
      <w:r>
        <w:rPr/>
        <w:t>), v procese udeležbe državljanov</w:t>
      </w:r>
      <w:r>
        <w:rPr>
          <w:rStyle w:val="Ancredenotedefin"/>
          <w:rStyle w:val="Ancredenotedefin"/>
        </w:rPr>
        <w:endnoteReference w:id="101"/>
      </w:r>
      <w:r>
        <w:rPr/>
        <w:t>.</w:t>
      </w:r>
    </w:p>
    <w:p>
      <w:pPr>
        <w:pStyle w:val="Puce3"/>
        <w:tabs>
          <w:tab w:val="clear" w:pos="720"/>
        </w:tabs>
        <w:rPr/>
      </w:pPr>
      <w:r>
        <w:rPr/>
        <w:t>6.</w:t>
        <w:tab/>
        <w:t>Z vzpostavitvijo sistema lokalnih svetovalcev EU, da bi evropske institucije približali evropskim državljanom</w:t>
      </w:r>
      <w:r>
        <w:rPr>
          <w:rStyle w:val="Ancredenotedefin"/>
          <w:rStyle w:val="Ancredenotedefin"/>
        </w:rPr>
        <w:endnoteReference w:id="102"/>
      </w:r>
      <w:r>
        <w:rPr/>
        <w:t>.</w:t>
      </w:r>
    </w:p>
    <w:p>
      <w:pPr>
        <w:pStyle w:val="Puce3"/>
        <w:tabs>
          <w:tab w:val="clear" w:pos="720"/>
        </w:tabs>
        <w:rPr/>
      </w:pPr>
      <w:r>
        <w:rPr/>
        <w:t>7.</w:t>
        <w:tab/>
        <w:t>Redno združevanje skupščin državljanov na pravno zavezujoči podlagi prava EU. Udeleženci bodo izbrani z žrebom v skladu z merili reprezentativnosti, sodelovanje pa se bo močno spodbujalo. Strokovnjaki bodo po potrebi članom skupščine zagotovili informacije, ki so pomembne za njihove razprave. Če institucije ne upoštevajo sklepov teh sestankov, morajo svojo odločitev obrazložiti</w:t>
      </w:r>
      <w:r>
        <w:rPr>
          <w:rStyle w:val="Ancredenotedefin"/>
          <w:rStyle w:val="Ancredenotedefin"/>
        </w:rPr>
        <w:endnoteReference w:id="103"/>
      </w:r>
      <w:r>
        <w:rPr/>
        <w:t>. Pomembno je, da se izvoljeni predstavniki pred sprejetjem političnih odločitev posvetujejo z državljani in civilno družbo ter upoštevajo njihove prispevke. Evropska unija temelji na predstavniški demokraciji: državljani na evropskih volitvah svojim predstavnikom pošiljajo jasno sporočilo in posredno govorijo o politikah EU</w:t>
      </w:r>
      <w:r>
        <w:rPr>
          <w:rStyle w:val="Ancredenotedefin"/>
          <w:rStyle w:val="Ancredenotedefin"/>
        </w:rPr>
        <w:endnoteReference w:id="104"/>
      </w:r>
      <w:r>
        <w:rPr/>
        <w:t>.</w:t>
      </w:r>
    </w:p>
    <w:p>
      <w:pPr>
        <w:pStyle w:val="Puce3"/>
        <w:tabs>
          <w:tab w:val="clear" w:pos="720"/>
        </w:tabs>
        <w:rPr/>
      </w:pPr>
      <w:r>
        <w:rPr/>
        <w:t>8.</w:t>
        <w:tab/>
        <w:t>Zagotavljanje večje finančne ali druge strukturne podpore civilni družbi, zlasti mladim, in lokalnim organom za ustanovitev lokalnih mladinskih svetov</w:t>
      </w:r>
      <w:r>
        <w:rPr>
          <w:rStyle w:val="Ancredenotedefin"/>
          <w:rStyle w:val="Ancredenotedefin"/>
        </w:rPr>
        <w:endnoteReference w:id="105"/>
      </w:r>
      <w:r>
        <w:rPr/>
        <w:t>; vključitev civilne družbe in socialnih partnerjev bi lahko bila polni steber akcijskega načrta za evropsko demokracijo, civilni družbi pa bi lahko namenili posebno strategijo</w:t>
      </w:r>
      <w:r>
        <w:rPr>
          <w:rStyle w:val="Ancredenotedefin"/>
          <w:rStyle w:val="Ancredenotedefin"/>
        </w:rPr>
        <w:endnoteReference w:id="106"/>
      </w:r>
      <w:r>
        <w:rPr/>
        <w:t>.</w:t>
      </w:r>
    </w:p>
    <w:p>
      <w:pPr>
        <w:pStyle w:val="Puce3"/>
        <w:tabs>
          <w:tab w:val="clear" w:pos="720"/>
        </w:tabs>
        <w:rPr/>
      </w:pPr>
      <w:r>
        <w:rPr/>
        <w:t>9.</w:t>
        <w:tab/>
        <w:t>Vzpostavitev „nadzora mladih“ zakonodaje, ki bi vključevala oceno učinka in mehanizem za posvetovanje s predstavniki mladih, kjer bi zakonodaja verjetno vplivala na mlade</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S krepitvijo sodelovanja med zakonodajalci EU in organizacijami civilne družbe, da bi izkoristili njihove povezave med nosilci odločanja in državljani</w:t>
      </w:r>
      <w:r>
        <w:rPr>
          <w:rStyle w:val="Ancredenotedefin"/>
          <w:rStyle w:val="Ancredenotedefin"/>
        </w:rPr>
        <w:endnoteReference w:id="108"/>
      </w:r>
      <w:r>
        <w:rPr/>
        <w:t>.</w:t>
      </w:r>
    </w:p>
    <w:p>
      <w:pPr>
        <w:pStyle w:val="Puce3"/>
        <w:tabs>
          <w:tab w:val="clear" w:pos="720"/>
        </w:tabs>
        <w:rPr/>
      </w:pPr>
      <w:r>
        <w:rPr/>
        <w:t>11.</w:t>
        <w:tab/>
        <w:t>Povzetek točk o udeležbi državljanov v Evropski listini o prispevku državljanov k evropskim zadevam.</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Predlog: Obveščanje državljanov, participacija in mladina (a)</w:t>
      </w:r>
    </w:p>
    <w:p>
      <w:pPr>
        <w:pStyle w:val="P68B1DB1Normal15"/>
        <w:rPr>
          <w:b/>
          <w:b/>
        </w:rPr>
      </w:pPr>
      <w:r>
        <w:rPr/>
        <w:t>Cilj: Zagotavljanje večje razumljivosti in dostopnosti Evropske unije; krepitev skupne evropske identitete,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Zagotavljanje minimalnega obsega izobraževanja o Evropski uniji, zlasti njenih demokratičnih procesov, ne da bi pri tem zanemarili zgodovino evropskega povezovanja in evropskega državljanstva. Ljudje vseh starosti bi morali imeti možnost, da izkoristijo te programe, ki bi morali biti zasnovani na privlačen in starosti primeren način, kot je razvoj posebnih izobraževalnih programov in gradiv za otroke, šole</w:t>
      </w:r>
      <w:r>
        <w:rPr>
          <w:rStyle w:val="Ancredenotedefin"/>
          <w:rStyle w:val="Ancredenotedefin"/>
        </w:rPr>
        <w:endnoteReference w:id="110"/>
      </w:r>
      <w:r>
        <w:rPr/>
        <w:t xml:space="preserve"> in organizacije civilne družbe, ki so dejavne na področju neformalnega izobraževanja</w:t>
      </w:r>
      <w:r>
        <w:rPr>
          <w:rStyle w:val="Ancredenotedefin"/>
          <w:rStyle w:val="Ancredenotedefin"/>
        </w:rPr>
        <w:endnoteReference w:id="111"/>
      </w:r>
      <w:r>
        <w:rPr/>
        <w:t>.</w:t>
      </w:r>
    </w:p>
    <w:p>
      <w:pPr>
        <w:pStyle w:val="Puce3"/>
        <w:tabs>
          <w:tab w:val="clear" w:pos="720"/>
        </w:tabs>
        <w:rPr/>
      </w:pPr>
      <w:r>
        <w:rPr/>
        <w:t>2.</w:t>
        <w:tab/>
        <w:t>Zagotavljanje, vključujočo, da imajo vsi državljani enostaven dostop do zanesljivih informacij o Uniji. Evropske institucije bi morale uporabljati dostopnejši jezik in se izogibati uporabi birokratskega žargona v svojih komunikacijah, hkrati pa ohraniti kakovost in tehnično</w:t>
      </w:r>
      <w:r>
        <w:rPr>
          <w:rStyle w:val="Ancredenotedefin"/>
          <w:rStyle w:val="Ancredenotedefin"/>
        </w:rPr>
        <w:endnoteReference w:id="112"/>
      </w:r>
      <w:r>
        <w:rPr/>
        <w:t xml:space="preserve"> raven danih informacij ter prilagoditi informacije različnim komunikacijskim kanalom in profilom prejemnikov</w:t>
      </w:r>
      <w:r>
        <w:rPr>
          <w:rStyle w:val="Ancredenotedefin"/>
          <w:rStyle w:val="Ancredenotedefin"/>
        </w:rPr>
        <w:endnoteReference w:id="113"/>
      </w:r>
      <w:r>
        <w:rPr/>
        <w:t>. Posebno pozornost je treba nameniti mladim na družbenih omrežjih, pa tudi prek mladinskih gibanj in različnih „ambasadorjev“ (organizacij in posameznikov),</w:t>
      </w:r>
      <w:r>
        <w:rPr>
          <w:rStyle w:val="Ancredenotedefin"/>
          <w:rStyle w:val="Ancredenotedefin"/>
        </w:rPr>
        <w:endnoteReference w:id="114"/>
      </w:r>
      <w:r>
        <w:rPr/>
        <w:t xml:space="preserve"> ki pojasnjujejo evropski projekt</w:t>
      </w:r>
      <w:r>
        <w:rPr>
          <w:rStyle w:val="Ancredenotedefin"/>
          <w:rStyle w:val="Ancredenotedefin"/>
        </w:rPr>
        <w:endnoteReference w:id="115"/>
      </w:r>
      <w:r>
        <w:rPr/>
        <w:t>.</w:t>
      </w:r>
    </w:p>
    <w:p>
      <w:pPr>
        <w:pStyle w:val="Puce3"/>
        <w:tabs>
          <w:tab w:val="clear" w:pos="720"/>
        </w:tabs>
        <w:rPr/>
      </w:pPr>
      <w:r>
        <w:rPr/>
        <w:t>3.</w:t>
        <w:tab/>
        <w:t>Večja uporaba tehnologij umetne inteligence in strojnega prevajanja za premagovanje</w:t>
      </w:r>
      <w:r>
        <w:rPr>
          <w:rStyle w:val="Ancredenotedefin"/>
          <w:rStyle w:val="Ancredenotedefin"/>
        </w:rPr>
        <w:endnoteReference w:id="116"/>
      </w:r>
      <w:r>
        <w:rPr/>
        <w:t xml:space="preserve"> jezikovnih ovir ter</w:t>
      </w:r>
      <w:r>
        <w:rPr>
          <w:rStyle w:val="Ancredenotedefin"/>
          <w:rStyle w:val="Ancredenotedefin"/>
        </w:rPr>
        <w:endnoteReference w:id="117"/>
      </w:r>
      <w:r>
        <w:rPr/>
        <w:t>zagotavljanje, da so vsa digitalna orodja dostopna invalidom</w:t>
      </w:r>
      <w:r>
        <w:rPr>
          <w:rStyle w:val="Ancredenotedefin"/>
          <w:rStyle w:val="Ancredenotedefin"/>
        </w:rPr>
        <w:endnoteReference w:id="118"/>
      </w:r>
      <w:r>
        <w:rPr/>
        <w:t xml:space="preserve"> in enostavna za uporabo.</w:t>
      </w:r>
    </w:p>
    <w:p>
      <w:pPr>
        <w:pStyle w:val="Puce3"/>
        <w:tabs>
          <w:tab w:val="clear" w:pos="720"/>
        </w:tabs>
        <w:rPr/>
      </w:pPr>
      <w:r>
        <w:rPr/>
        <w:t>4.</w:t>
        <w:tab/>
        <w:t>Z zagovarjanjem in podpiranjem svobode, pluralizma in neodvisnosti medijev ter s spodbujanjem medijev, vključno z javnimi radiotelevizijskimi postajami, javnimi tiskovnimi agencijami in evropskimi mediji, k pogostejšemu pokrivanju evropskih zadev ob spoštovanju njihove svobode in neodvisnosti, tako da bo takšno poročanje redno in celovito v vseh državah članicah Unije,</w:t>
      </w:r>
      <w:r>
        <w:rPr>
          <w:rStyle w:val="Ancredenotedefin"/>
          <w:rStyle w:val="Ancredenotedefin"/>
        </w:rPr>
        <w:endnoteReference w:id="119"/>
      </w:r>
      <w:r>
        <w:rPr/>
        <w:t>povečanje prizadevanj za boj proti dezinformacijam in tujemu vmešavanju ter zaščita novinarjev</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S približevanjem Evrope državljanom z okrepitvijo kontaktnih</w:t>
      </w:r>
      <w:r>
        <w:rPr>
          <w:rStyle w:val="Ancredenotedefin"/>
          <w:rStyle w:val="Ancredenotedefin"/>
        </w:rPr>
        <w:endnoteReference w:id="121"/>
      </w:r>
      <w:r>
        <w:rPr/>
        <w:t xml:space="preserve"> točk in specializiranih vozlišč (v nadaljnjem besedilu: evropske hiše) na lokalni ravni, ki bi državljanom nudile vire, informacije in nasvete o evropskih vprašanjih, prisluhnile njihovim pomislekom in razpravljale z združenji, da bi pritegnile stališča državljanov na evropsko raven</w:t>
      </w:r>
      <w:r>
        <w:rPr>
          <w:rStyle w:val="Ancredenotedefin"/>
          <w:rStyle w:val="Ancredenotedefin"/>
        </w:rPr>
        <w:endnoteReference w:id="122"/>
      </w:r>
      <w:r>
        <w:rPr/>
        <w:t>.</w:t>
      </w:r>
    </w:p>
    <w:p>
      <w:pPr>
        <w:pStyle w:val="Puce3"/>
        <w:tabs>
          <w:tab w:val="clear" w:pos="720"/>
        </w:tabs>
        <w:rPr/>
      </w:pPr>
      <w:r>
        <w:rPr/>
        <w:t>6.</w:t>
        <w:tab/>
        <w:t>S sprejetjem novih ukrepov za krepitev skupne identitete Evropejcev, na primer s skladom EU, ki bi spodbujal spletno in nespletno interakcijo (kot so programi izmenjav, okrogle mize ali srečanja) med državljani EU, organizacijo evropskih športnih dogodkov, ustanavljanje skupnih ekip ali uvedbo dodatnih praznikov 9. maja (dan Evrope)</w:t>
      </w:r>
      <w:r>
        <w:rPr>
          <w:rStyle w:val="Ancredenotedefin"/>
          <w:rStyle w:val="Ancredenotedefin"/>
        </w:rPr>
        <w:endnoteReference w:id="123"/>
      </w:r>
      <w:r>
        <w:rPr/>
        <w:t xml:space="preserve"> za vse evropske državljane</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Predlog: Demokracija in volitve</w:t>
      </w:r>
    </w:p>
    <w:p>
      <w:pPr>
        <w:pStyle w:val="Normal"/>
        <w:rPr/>
      </w:pPr>
      <w:r>
        <w:rPr/>
        <w:t>Cilj: Krepitev evropske demokracije s krepitvijo njenih temeljev, spodbujanjem državljanov k udeležbi na evropskih volitvah, spodbujanjem nadnacionalnih razprav o evropskih vprašanjih in zagotavljanjem močne povezave med državljani in njihovimi izvoljenimi predstavniki,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Zagotavljanje varstva evropskih vrednot, zapisanih v Pogodbah, vključno s pravno državo in trdnim socialnim modelom</w:t>
      </w:r>
      <w:r>
        <w:rPr>
          <w:rStyle w:val="Ancredenotedefin"/>
          <w:rStyle w:val="Ancredenotedefin"/>
        </w:rPr>
        <w:endnoteReference w:id="125"/>
      </w:r>
      <w:r>
        <w:rPr/>
        <w:t>, ki tvorijo središče evropske demokracije. Unija bi morala v odnosih s preostalim svetom dati prednost skupnim demokratičnim vrednotam v obmejnih državah. Šele po doseganju tega cilja lahko postane ambasadorka našega demokratičnega modela v državah, ki imajo zmogljivosti in voljo, in sicer z diplomacijo in dialogom</w:t>
      </w:r>
      <w:r>
        <w:rPr>
          <w:rStyle w:val="Ancredenotedefin"/>
          <w:rStyle w:val="Ancredenotedefin"/>
        </w:rPr>
        <w:endnoteReference w:id="126"/>
      </w:r>
      <w:r>
        <w:rPr/>
        <w:t>.</w:t>
      </w:r>
    </w:p>
    <w:p>
      <w:pPr>
        <w:pStyle w:val="Puce3"/>
        <w:tabs>
          <w:tab w:val="clear" w:pos="720"/>
        </w:tabs>
        <w:rPr/>
      </w:pPr>
      <w:r>
        <w:rPr/>
        <w:t>2.</w:t>
        <w:tab/>
        <w:t>Z uvedbo možnosti izvedbe referenduma po vsej Uniji na pobudo Evropskega parlamenta izjemoma, če se izkaže, da je tema posebej pomembna za vse evropske državljane</w:t>
      </w:r>
      <w:r>
        <w:rPr>
          <w:rStyle w:val="Ancredenotedefin"/>
          <w:rStyle w:val="Ancredenotedefin"/>
        </w:rPr>
        <w:endnoteReference w:id="127"/>
      </w:r>
      <w:r>
        <w:rPr/>
        <w:t>.</w:t>
      </w:r>
    </w:p>
    <w:p>
      <w:pPr>
        <w:pStyle w:val="Puce3"/>
        <w:tabs>
          <w:tab w:val="clear" w:pos="720"/>
        </w:tabs>
        <w:rPr/>
      </w:pPr>
      <w:r>
        <w:rPr/>
        <w:t>3.</w:t>
        <w:tab/>
        <w:t>S spremembo volilne zakonodaje Unije, da bi uskladili ureditve za evropske volitve (npr. polnoletnost, datum volitev, zahteve, ki veljajo za volilna okrožja, kandidate, politične stranke in njihovo financiranje), ter prehod na vseevropske ali nadnacionalne liste,</w:t>
      </w:r>
      <w:r>
        <w:rPr>
          <w:rStyle w:val="Ancredenotedebasdepage"/>
          <w:rStyle w:val="Ancredenotedebasdepage"/>
        </w:rPr>
        <w:footnoteReference w:id="11"/>
      </w:r>
      <w:r>
        <w:rPr/>
        <w:t xml:space="preserve"> vključno s kandidati iz različnih držav članic, potem ko so se upoštevala</w:t>
      </w:r>
      <w:r>
        <w:rPr>
          <w:rStyle w:val="Ancredenotedefin"/>
          <w:rStyle w:val="Ancredenotedefin"/>
        </w:rPr>
        <w:endnoteReference w:id="128"/>
      </w:r>
      <w:r>
        <w:rPr/>
        <w:t xml:space="preserve"> stališča državljanov držav članic o tej zadevi</w:t>
      </w:r>
      <w:r>
        <w:rPr>
          <w:rStyle w:val="Ancredenotedefin"/>
          <w:rStyle w:val="Ancredenotedefin"/>
        </w:rPr>
        <w:endnoteReference w:id="129"/>
      </w:r>
      <w:r>
        <w:rPr/>
        <w:t>.</w:t>
      </w:r>
    </w:p>
    <w:p>
      <w:pPr>
        <w:pStyle w:val="Alineanegatifpuce"/>
        <w:numPr>
          <w:ilvl w:val="0"/>
          <w:numId w:val="3"/>
        </w:numPr>
        <w:rPr/>
      </w:pPr>
      <w:r>
        <w:rPr/>
        <w:t xml:space="preserve"> </w:t>
      </w:r>
      <w:r>
        <w:rPr/>
        <w:t>Nekateri poslanci Evropskega parlamenta bi morali biti izvoljeni z vseevropskih list, drugi pa na ravni držav članic</w:t>
      </w:r>
      <w:r>
        <w:rPr>
          <w:rStyle w:val="Ancredenotedefin"/>
          <w:rStyle w:val="Ancredenotedefin"/>
        </w:rPr>
        <w:endnoteReference w:id="130"/>
      </w:r>
      <w:r>
        <w:rPr/>
        <w:t>.</w:t>
      </w:r>
    </w:p>
    <w:p>
      <w:pPr>
        <w:pStyle w:val="Alineanegatifpuce"/>
        <w:numPr>
          <w:ilvl w:val="0"/>
          <w:numId w:val="3"/>
        </w:numPr>
        <w:rPr/>
      </w:pPr>
      <w:r>
        <w:rPr/>
        <w:t xml:space="preserve"> </w:t>
      </w:r>
      <w:r>
        <w:rPr/>
        <w:t>Cilj reforme bi moral biti tudi olajšati ureditev digitalnega glasovanja</w:t>
      </w:r>
      <w:r>
        <w:rPr>
          <w:rStyle w:val="Ancredenotedefin"/>
          <w:rStyle w:val="Ancredenotedefin"/>
        </w:rPr>
        <w:endnoteReference w:id="131"/>
      </w:r>
      <w:r>
        <w:rPr/>
        <w:t xml:space="preserve"> in zagotoviti dejansko pravico invalidov do glasovanja</w:t>
      </w:r>
      <w:r>
        <w:rPr>
          <w:rStyle w:val="Ancredenotedefin"/>
          <w:rStyle w:val="Ancredenotedefin"/>
        </w:rPr>
        <w:endnoteReference w:id="132"/>
      </w:r>
      <w:r>
        <w:rPr/>
        <w:t>.</w:t>
      </w:r>
    </w:p>
    <w:p>
      <w:pPr>
        <w:pStyle w:val="Puce3"/>
        <w:tabs>
          <w:tab w:val="clear" w:pos="720"/>
        </w:tabs>
        <w:rPr/>
      </w:pPr>
      <w:r>
        <w:rPr/>
        <w:t>4.</w:t>
        <w:tab/>
        <w:t>Krepitev povezav med državljani in njihovimi izvoljenimi predstavniki ob upoštevanju nacionalnih posebnosti: državljani želijo čutiti, da so jim poslanci Evropskega parlamenta in nacionalni poslanci blizu in se na njihove pomisleke odzivajo s posebnimi ukrepi</w:t>
      </w:r>
      <w:r>
        <w:rPr>
          <w:rStyle w:val="Ancredenotedefin"/>
          <w:rStyle w:val="Ancredenotedefin"/>
        </w:rPr>
        <w:endnoteReference w:id="133"/>
      </w:r>
      <w:r>
        <w:rPr/>
        <w:t>. To je univerzalni problem in ljudje vseh starosti bi se morali vključiti</w:t>
      </w:r>
      <w:r>
        <w:rPr>
          <w:rStyle w:val="Ancredenotedefin"/>
          <w:rStyle w:val="Ancredenotedefin"/>
        </w:rPr>
        <w:endnoteReference w:id="134"/>
      </w:r>
      <w:r>
        <w:rPr/>
        <w:t>.</w:t>
      </w:r>
    </w:p>
    <w:p>
      <w:pPr>
        <w:pStyle w:val="Alineanegatifpuce"/>
        <w:numPr>
          <w:ilvl w:val="0"/>
          <w:numId w:val="3"/>
        </w:numPr>
        <w:rPr/>
      </w:pPr>
      <w:r>
        <w:rPr/>
        <w:t xml:space="preserve"> </w:t>
      </w:r>
      <w:r>
        <w:rPr/>
        <w:t>Evropski državljani bi morali imeti večjo težo pri volitvah predsednika Komisije. Ta cilj bi bilo mogoče doseči z neposrednimi volitvami predsednika Komisije</w:t>
      </w:r>
      <w:r>
        <w:rPr>
          <w:rStyle w:val="Ancredenotedefin"/>
          <w:rStyle w:val="Ancredenotedefin"/>
        </w:rPr>
        <w:endnoteReference w:id="135"/>
      </w:r>
      <w:r>
        <w:rPr/>
        <w:t xml:space="preserve"> ali s sistemom kandidatov na najvišjem seznamu</w:t>
      </w:r>
      <w:r>
        <w:rPr>
          <w:rStyle w:val="Ancredenotedebasdepage"/>
          <w:rStyle w:val="Ancredenotedebasdepage"/>
        </w:rPr>
        <w:footnoteReference w:id="12"/>
      </w:r>
      <w:r>
        <w:rPr/>
        <w:t>.</w:t>
      </w:r>
    </w:p>
    <w:p>
      <w:pPr>
        <w:pStyle w:val="Alineanegatifpuce"/>
        <w:numPr>
          <w:ilvl w:val="0"/>
          <w:numId w:val="3"/>
        </w:numPr>
        <w:rPr/>
      </w:pPr>
      <w:r>
        <w:rPr/>
        <w:t xml:space="preserve"> </w:t>
      </w:r>
      <w:r>
        <w:rPr/>
        <w:t>Evropski parlament bi moral imeti pravico do zakonodajne pobude, da bi predlagal</w:t>
      </w:r>
      <w:r>
        <w:rPr>
          <w:rStyle w:val="Ancredenotedefin"/>
          <w:rStyle w:val="Ancredenotedefin"/>
        </w:rPr>
        <w:endnoteReference w:id="136"/>
      </w:r>
      <w:r>
        <w:rPr/>
        <w:t xml:space="preserve"> teme za razpravo in nato sprejel potrebna besedila za nadaljnje ukrepanje na podlagi priporočil, ki izhajajo iz posvetovanj</w:t>
      </w:r>
      <w:r>
        <w:rPr>
          <w:rStyle w:val="Ancredenotedefin"/>
          <w:rStyle w:val="Ancredenotedefin"/>
        </w:rPr>
        <w:endnoteReference w:id="137"/>
      </w:r>
      <w:r>
        <w:rPr/>
        <w:t>.</w:t>
      </w:r>
    </w:p>
    <w:p>
      <w:pPr>
        <w:pStyle w:val="Alineanegatifpuce"/>
        <w:numPr>
          <w:ilvl w:val="0"/>
          <w:numId w:val="3"/>
        </w:numPr>
        <w:rPr/>
      </w:pPr>
      <w:r>
        <w:rPr/>
        <w:t xml:space="preserve"> </w:t>
      </w:r>
      <w:r>
        <w:rPr/>
        <w:t>Evropski parlament bi moral odločati o proračunu EU, kot to počnejo parlamenti na nacionalni ravni</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Politične stranke, organizacije civilne družbe in sindikati bi morali biti bolj dinamični in dostopni, da bi državljani bolj sodelovali in vlagali v evropsko demokracijo</w:t>
      </w:r>
      <w:r>
        <w:rPr>
          <w:rStyle w:val="Ancredenotedefin"/>
          <w:rStyle w:val="Ancredenotedefin"/>
        </w:rPr>
        <w:endnoteReference w:id="139"/>
      </w:r>
      <w:r>
        <w:rPr/>
        <w:t>. To bi spodbudilo tudi vključevanje evropskih vprašanj v javne razprave, ki jih organizirajo politične stranke, organizacije civilne družbe in socialni partnerji, bodisi pred evropskimi volitvami bodisi pred nacionalnimi, regionalnimi ali lokalnimi volitvami</w:t>
      </w:r>
      <w:r>
        <w:rPr>
          <w:rStyle w:val="Ancredenotedefin"/>
          <w:rStyle w:val="Ancredenotedefin"/>
        </w:rPr>
        <w:endnoteReference w:id="140"/>
      </w:r>
      <w:r>
        <w:rPr/>
        <w:t>.</w:t>
      </w:r>
    </w:p>
    <w:p>
      <w:pPr>
        <w:pStyle w:val="Puce3"/>
        <w:tabs>
          <w:tab w:val="clear" w:pos="720"/>
        </w:tabs>
        <w:rPr/>
      </w:pPr>
      <w:r>
        <w:rPr/>
        <w:t>5.</w:t>
        <w:tab/>
        <w:t>Demokracija je utelešena v institucijah in družbi na splošno, tudi na delovnem mestu, zahvaljujoč socialnim partnerjem</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Predlog: Postopek odločanja v Uniji</w:t>
      </w:r>
    </w:p>
    <w:p>
      <w:pPr>
        <w:pStyle w:val="P68B1DB1Normal15"/>
        <w:rPr>
          <w:b/>
          <w:b/>
        </w:rPr>
      </w:pPr>
      <w:r>
        <w:rPr/>
        <w:t>Cilj: Izboljšati postopek odločanja Unije, da se zagotovi njena sposobnost ukrepanja, ob upoštevanju interesov vsake države članice ter zagotavljanju preglednega in razumljivega postopka za državljane,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Pregled pravil o odločanju in glasovanju v evropskih institucijah. Vprašanje soglasnega glasovanja si zasluži posebno pozornost, saj vsak sporazum zelo otežuje. Zagotoviti je treba poštenost pri ponderiranju glasov, da se zaščitijo interesi majhnih držav</w:t>
      </w:r>
      <w:r>
        <w:rPr>
          <w:rStyle w:val="Ancredenotedefin"/>
          <w:rStyle w:val="Ancredenotedefin"/>
        </w:rPr>
        <w:endnoteReference w:id="142"/>
      </w:r>
      <w:r>
        <w:rPr/>
        <w:t>.</w:t>
      </w:r>
    </w:p>
    <w:p>
      <w:pPr>
        <w:pStyle w:val="Alineanegatifpuce"/>
        <w:numPr>
          <w:ilvl w:val="0"/>
          <w:numId w:val="3"/>
        </w:numPr>
        <w:rPr/>
      </w:pPr>
      <w:r>
        <w:rPr/>
        <w:t xml:space="preserve"> </w:t>
      </w:r>
      <w:r>
        <w:rPr/>
        <w:t>Vse odločitve, ki so trenutno sprejete soglasno, bi bilo treba v prihodnje sprejeti s kvalificirano večino. Edina izjema bi morala biti sprejem novih držav članic v Evropsko unijo in sprememba temeljnih načel Unije iz člena 2 Pogodbe o Evropski uniji in Listine Evropske unije o temeljnih pravicah</w:t>
      </w:r>
      <w:r>
        <w:rPr>
          <w:rStyle w:val="Ancredenotedefin"/>
          <w:rStyle w:val="Ancredenotedefin"/>
        </w:rPr>
        <w:endnoteReference w:id="143"/>
      </w:r>
      <w:r>
        <w:rPr/>
        <w:t>.</w:t>
      </w:r>
    </w:p>
    <w:p>
      <w:pPr>
        <w:pStyle w:val="Puce3"/>
        <w:tabs>
          <w:tab w:val="clear" w:pos="720"/>
        </w:tabs>
        <w:rPr/>
      </w:pPr>
      <w:r>
        <w:rPr/>
        <w:t>2.</w:t>
        <w:tab/>
        <w:t>Zagotavljanje preglednosti v postopku odločanja, omogočanje neodvisnim opazovalcem državljanov, da pozorno spremljajo ta proces, uporaba širše pravice dostopa do dokumentov</w:t>
      </w:r>
      <w:r>
        <w:rPr>
          <w:rStyle w:val="Ancredenotedefin"/>
          <w:rStyle w:val="Ancredenotedefin"/>
        </w:rPr>
        <w:endnoteReference w:id="144"/>
      </w:r>
      <w:r>
        <w:rPr/>
        <w:t xml:space="preserve"> ter vzpostavitev tesnejših povezav in okrepljenega dialoga med državljani in evropskimi institucijami na tej podlagi</w:t>
      </w:r>
      <w:r>
        <w:rPr>
          <w:rStyle w:val="Ancredenotedefin"/>
          <w:rStyle w:val="Ancredenotedefin"/>
        </w:rPr>
        <w:endnoteReference w:id="145"/>
      </w:r>
      <w:r>
        <w:rPr/>
        <w:t>.</w:t>
      </w:r>
    </w:p>
    <w:p>
      <w:pPr>
        <w:pStyle w:val="Alineanegatifpuce"/>
        <w:numPr>
          <w:ilvl w:val="0"/>
          <w:numId w:val="3"/>
        </w:numPr>
        <w:rPr/>
      </w:pPr>
      <w:r>
        <w:rPr/>
        <w:t xml:space="preserve"> </w:t>
      </w:r>
      <w:r>
        <w:rPr/>
        <w:t>Unija mora izboljšati preglednost svojega postopka odločanja in svojih institucij. Na primer, seje Sveta in Evropskega parlamenta, vključno z glasovanjem, bi bilo treba na enak način razširjati prek spleta. To bi zainteresiranim državljanom omogočilo spremljanje oblikovanja politik EU in oblikovalce politik obvezalo, da poročajo o svojih ukrepih</w:t>
      </w:r>
      <w:r>
        <w:rPr>
          <w:rStyle w:val="Ancredenotedefin"/>
          <w:rStyle w:val="Ancredenotedefin"/>
        </w:rPr>
        <w:endnoteReference w:id="146"/>
      </w:r>
      <w:r>
        <w:rPr/>
        <w:t>. Okrepiti bi bilo treba tudi pravico Evropskega parlamenta do preiskave.</w:t>
      </w:r>
      <w:r>
        <w:rPr>
          <w:rStyle w:val="Ancredenotedefin"/>
          <w:rStyle w:val="Ancredenotedefin"/>
        </w:rPr>
        <w:endnoteReference w:id="147"/>
      </w:r>
      <w:r>
        <w:rPr/>
        <w:t xml:space="preserve"> Predlog spremembe št. 44A delovne skupine.</w:t>
      </w:r>
    </w:p>
    <w:p>
      <w:pPr>
        <w:pStyle w:val="Alineanegatifpuce"/>
        <w:numPr>
          <w:ilvl w:val="0"/>
          <w:numId w:val="3"/>
        </w:numPr>
        <w:rPr/>
      </w:pPr>
      <w:r>
        <w:rPr/>
        <w:t xml:space="preserve"> </w:t>
      </w:r>
      <w:r>
        <w:rPr/>
        <w:t>Postopek odločanja Unije bi bilo treba nadalje razvijati tako, da bi vključeval več nacionalnih, regionalnih in lokalnih predstavnikov, socialnih partnerjev in organizacij civilne družbe</w:t>
      </w:r>
      <w:r>
        <w:rPr>
          <w:rStyle w:val="Ancredenotedefin"/>
          <w:rStyle w:val="Ancredenotedefin"/>
        </w:rPr>
        <w:endnoteReference w:id="148"/>
      </w:r>
      <w:r>
        <w:rPr/>
        <w:t>. Okrepiti bi bilo treba medparlamentarno sodelovanje in dialog. Evropski parlament bi moral tudi tesneje vključiti nacionalne parlamente v evropski zakonodajni postopek, na primer tako, da jih povabi na predstavitve</w:t>
      </w:r>
      <w:r>
        <w:rPr>
          <w:rStyle w:val="Ancredenotedefin"/>
          <w:rStyle w:val="Ancredenotedefin"/>
        </w:rPr>
        <w:endnoteReference w:id="149"/>
      </w:r>
      <w:r>
        <w:rPr/>
        <w:t>. Poleg tega bi bilo koristno pridobiti večjo vključenost podnacionalnih oblasti in OR, da bi bolje upoštevali njihove izkušnje pri izvajanju evropske zakonodaje</w:t>
      </w:r>
      <w:r>
        <w:rPr>
          <w:rStyle w:val="Ancredenotedefin"/>
          <w:rStyle w:val="Ancredenotedefin"/>
        </w:rPr>
        <w:endnoteReference w:id="150"/>
      </w:r>
      <w:r>
        <w:rPr/>
        <w:t>.</w:t>
      </w:r>
    </w:p>
    <w:p>
      <w:pPr>
        <w:pStyle w:val="Puce3"/>
        <w:tabs>
          <w:tab w:val="clear" w:pos="720"/>
        </w:tabs>
        <w:rPr/>
      </w:pPr>
      <w:r>
        <w:rPr/>
        <w:t>3.</w:t>
        <w:tab/>
        <w:t>Z razmislekom o spremembi imen evropskih institucij, da bi pojasnili vlogo in vlogo vsake od institucij v postopku odločanja Unije v očeh državljanov</w:t>
      </w:r>
      <w:r>
        <w:rPr>
          <w:rStyle w:val="Ancredenotedefin"/>
          <w:rStyle w:val="Ancredenotedefin"/>
        </w:rPr>
        <w:endnoteReference w:id="151"/>
      </w:r>
      <w:r>
        <w:rPr/>
        <w:t>.</w:t>
      </w:r>
    </w:p>
    <w:p>
      <w:pPr>
        <w:pStyle w:val="Alineanegatifpuce"/>
        <w:numPr>
          <w:ilvl w:val="0"/>
          <w:numId w:val="3"/>
        </w:numPr>
        <w:rPr/>
      </w:pPr>
      <w:r>
        <w:rPr/>
        <w:t xml:space="preserve"> </w:t>
      </w:r>
      <w:r>
        <w:rPr/>
        <w:t>Postopek odločanja EU bi moral temeljiti na jasnejši in razumljivejši strukturi, ki je podobna nacionalnim</w:t>
      </w:r>
      <w:r>
        <w:rPr>
          <w:rStyle w:val="Ancredenotedefin"/>
          <w:rStyle w:val="Ancredenotedefin"/>
        </w:rPr>
        <w:endnoteReference w:id="152"/>
      </w:r>
      <w:r>
        <w:rPr/>
        <w:t xml:space="preserve"> sistemom in izrecno navaja delitev pristojnosti med evropskimi institucijami in državami članicami</w:t>
      </w:r>
      <w:r>
        <w:rPr>
          <w:rStyle w:val="Ancredenotedefin"/>
          <w:rStyle w:val="Ancredenotedefin"/>
        </w:rPr>
        <w:endnoteReference w:id="153"/>
      </w:r>
      <w:r>
        <w:rPr/>
        <w:t>.</w:t>
      </w:r>
    </w:p>
    <w:p>
      <w:pPr>
        <w:pStyle w:val="Alineanegatifpuce"/>
        <w:numPr>
          <w:ilvl w:val="0"/>
          <w:numId w:val="3"/>
        </w:numPr>
        <w:rPr/>
      </w:pPr>
      <w:r>
        <w:rPr/>
        <w:t xml:space="preserve"> </w:t>
      </w:r>
      <w:r>
        <w:rPr/>
        <w:t>Svet Evropske unije bi se lahko na primer preimenoval v „Senat Unije“ in Evropsko komisijo „Izvršna komisija Unije“</w:t>
      </w:r>
      <w:r>
        <w:rPr>
          <w:rStyle w:val="Ancredenotedefin"/>
          <w:rStyle w:val="Ancredenotedefin"/>
        </w:rPr>
        <w:endnoteReference w:id="154"/>
      </w:r>
      <w:r>
        <w:rPr/>
        <w:t>.</w:t>
      </w:r>
    </w:p>
    <w:p>
      <w:pPr>
        <w:pStyle w:val="Puce3"/>
        <w:tabs>
          <w:tab w:val="clear" w:pos="720"/>
        </w:tabs>
        <w:rPr/>
      </w:pPr>
      <w:r>
        <w:rPr/>
        <w:t>4.</w:t>
        <w:tab/>
        <w:t>Krepitev zmogljivosti Unije za doseganje rezultatov na ključnih področjih</w:t>
      </w:r>
      <w:r>
        <w:rPr>
          <w:rStyle w:val="Ancredenotedefin"/>
          <w:rStyle w:val="Ancredenotedefin"/>
        </w:rPr>
        <w:endnoteReference w:id="155"/>
      </w:r>
      <w:r>
        <w:rPr/>
        <w:t>.</w:t>
      </w:r>
    </w:p>
    <w:p>
      <w:pPr>
        <w:pStyle w:val="Puce3"/>
        <w:tabs>
          <w:tab w:val="clear" w:pos="720"/>
        </w:tabs>
        <w:rPr/>
      </w:pPr>
      <w:r>
        <w:rPr/>
        <w:t>5.</w:t>
        <w:tab/>
        <w:t>Zagotavljanje mehanizmov za socialni dialog in posvetovanje z državljani v vseh fazah postopka odločanja Unije, od ocene učinka do zasnove in izvajanja ukrepov</w:t>
      </w:r>
      <w:r>
        <w:rPr>
          <w:rStyle w:val="Ancredenotedefin"/>
          <w:rStyle w:val="Ancredenotedefin"/>
        </w:rPr>
        <w:endnoteReference w:id="156"/>
      </w:r>
      <w:r>
        <w:rPr/>
        <w:t>.</w:t>
      </w:r>
    </w:p>
    <w:p>
      <w:pPr>
        <w:pStyle w:val="Puce3"/>
        <w:tabs>
          <w:tab w:val="clear" w:pos="720"/>
        </w:tabs>
        <w:rPr/>
      </w:pPr>
      <w:r>
        <w:rPr/>
        <w:t>6.</w:t>
        <w:tab/>
        <w:t>Reforma delovanja Evropske unije, vključno s tesnejšim vključevanjem socialnih partnerjev in organizacij civilne družbe. Obstoječe strukture je treba okrepiti, da bo postopek odločanja bolje odražal potrebe in pričakovanja evropskih državljanov, ki so osrednjega pomena za evropsko demokracijo. V zvezi s tem mora EESO pridobiti sredstva za pomembnejšo institucionalno vlogo poroka in spodbujevalca dejavnosti participativne demokracije, kot je strukturiran dialog z organizacijami civilne družbe in okroglimi mizami državljanov. Dinamična civilna družba je bistvena za demokratično življenje Unije</w:t>
      </w:r>
      <w:r>
        <w:rPr>
          <w:rStyle w:val="Ancredenotedefin"/>
          <w:rStyle w:val="Ancredenotedefin"/>
        </w:rPr>
        <w:endnoteReference w:id="157"/>
      </w:r>
      <w:r>
        <w:rPr/>
        <w:t>.</w:t>
      </w:r>
    </w:p>
    <w:p>
      <w:pPr>
        <w:pStyle w:val="Puce3"/>
        <w:tabs>
          <w:tab w:val="clear" w:pos="720"/>
        </w:tabs>
        <w:rPr/>
      </w:pPr>
      <w:r>
        <w:rPr/>
        <w:t>7.</w:t>
        <w:tab/>
        <w:t>S ponovnim odprtjem razprave o ustavi, če je to ustrezno, da bi jasno opredelili naše vrednote. Ustava bi lahko povečala natančnost, mobilizirala državljane in se dogovorila o pravilih postopka odločanja</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Predlog: Subsidiarnost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Aktivna subsidiarnost in upravljanje na več ravneh sta ključni načeli za demokratično in odgovorno delovanje Evropske unije</w:t>
      </w:r>
      <w:r>
        <w:rPr>
          <w:rStyle w:val="Ancredenotedefin"/>
          <w:rStyle w:val="Ancredenotedefin"/>
        </w:rPr>
        <w:endnoteReference w:id="159"/>
      </w:r>
      <w:r>
        <w:rPr/>
        <w:t>;</w:t>
      </w:r>
    </w:p>
    <w:p>
      <w:pPr>
        <w:pStyle w:val="Puce3"/>
        <w:tabs>
          <w:tab w:val="clear" w:pos="720"/>
        </w:tabs>
        <w:rPr/>
      </w:pPr>
      <w:r>
        <w:rPr/>
        <w:t>2.</w:t>
        <w:tab/>
        <w:t>EU mora pregledati mehanizem, s katerim nacionalni parlamenti preučijo, ali evropski zakonodajni predlogi posegajo v nacionalne pristojnosti ali ne; nacionalni parlamenti bi morali imeti možnost, da evropskim institucijam predlagajo zakonodajne pobude. Te mehanizme bi bilo treba razširiti na vse regionalne parlamente z zakonodajnimi pooblastili</w:t>
      </w:r>
      <w:r>
        <w:rPr>
          <w:rStyle w:val="Ancredenotedefin"/>
          <w:rStyle w:val="Ancredenotedefin"/>
        </w:rPr>
        <w:endnoteReference w:id="160"/>
      </w:r>
      <w:r>
        <w:rPr/>
        <w:t>.</w:t>
      </w:r>
    </w:p>
    <w:p>
      <w:pPr>
        <w:pStyle w:val="Puce3"/>
        <w:tabs>
          <w:tab w:val="clear" w:pos="720"/>
        </w:tabs>
        <w:rPr/>
      </w:pPr>
      <w:r>
        <w:rPr/>
        <w:t>3.</w:t>
        <w:tab/>
        <w:t>OR bi bilo treba reformirati, da bi odprli ustrezne kanale za dialog z regijami, mesti in občinami. Pri obravnavi vprašanj s teritorialnimi posledicami</w:t>
      </w:r>
      <w:r>
        <w:rPr>
          <w:rStyle w:val="Ancredenotedefin"/>
          <w:rStyle w:val="Ancredenotedefin"/>
        </w:rPr>
        <w:endnoteReference w:id="161"/>
      </w:r>
      <w:r>
        <w:rPr/>
        <w:t xml:space="preserve"> bi morala imeti pomembnejšo vlogo v institucionalni strukturi</w:t>
      </w:r>
      <w:r>
        <w:rPr>
          <w:rStyle w:val="Ancredenotedefin"/>
          <w:rStyle w:val="Ancredenotedefin"/>
        </w:rPr>
        <w:endnoteReference w:id="162"/>
      </w:r>
      <w:r>
        <w:rPr/>
        <w:t>.</w:t>
      </w:r>
    </w:p>
    <w:p>
      <w:pPr>
        <w:pStyle w:val="Normal"/>
        <w:rPr/>
      </w:pPr>
      <w:r>
        <w:rPr/>
      </w:r>
    </w:p>
    <w:p>
      <w:pPr>
        <w:pStyle w:val="Puce3"/>
        <w:tabs>
          <w:tab w:val="clear" w:pos="720"/>
        </w:tabs>
        <w:rPr/>
      </w:pPr>
      <w:r>
        <w:rPr/>
        <w:t>4.</w:t>
        <w:tab/>
        <w:t>Sistematična uporaba skupne opredelitve subsidiarnosti, ki bi jo podprle vse evropske institucije, bi lahko jasneje opredelila, na kateri ravni (evropski, nacionalni ali regionalni) je treba sprejeti odločitve</w:t>
      </w:r>
      <w:r>
        <w:rPr>
          <w:rStyle w:val="Ancredenotedefin"/>
          <w:rStyle w:val="Ancredenotedefin"/>
        </w:rPr>
        <w:endnoteReference w:id="163"/>
      </w:r>
      <w:r>
        <w:rPr/>
        <w:t>.</w:t>
      </w:r>
    </w:p>
    <w:p>
      <w:pPr>
        <w:pStyle w:val="Puce3"/>
        <w:tabs>
          <w:tab w:val="clear" w:pos="720"/>
        </w:tabs>
        <w:rPr/>
      </w:pPr>
      <w:r>
        <w:rPr/>
        <w:t>5.</w:t>
        <w:tab/>
        <w:t>Socialne partnerje in organizacije civilne družbe, ki so osrednjega pomena za evropsko demokracijo, je treba bolje vključiti v postopek odločanja. Dinamična družba je bistvena za demokratično življenje Unije.</w:t>
      </w:r>
      <w:r>
        <w:rPr>
          <w:rStyle w:val="Ancredenotedefin"/>
          <w:rStyle w:val="Ancredenotedefin"/>
        </w:rPr>
        <w:endnoteReference w:id="164"/>
      </w:r>
    </w:p>
    <w:p>
      <w:pPr>
        <w:pStyle w:val="Puce3"/>
        <w:tabs>
          <w:tab w:val="clear" w:pos="720"/>
        </w:tabs>
        <w:rPr/>
      </w:pPr>
      <w:r>
        <w:rPr/>
        <w:t>6.</w:t>
        <w:tab/>
        <w:t>Institucije EU pozivamo, naj izvajajo sklepe te delovne skupine in poskrbijo za njihovo učinkovitost. To bi lahko dosegli z obstoječimi določbami Lizbonske pogodbe in po potrebi s pozivom k uvedbi evropske konvencije</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Slika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28"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Migracije“</w:t>
      </w:r>
    </w:p>
    <w:p>
      <w:pPr>
        <w:pStyle w:val="Titre3"/>
        <w:numPr>
          <w:ilvl w:val="2"/>
          <w:numId w:val="2"/>
        </w:numPr>
        <w:rPr/>
      </w:pPr>
      <w:bookmarkStart w:id="93" w:name="__RefHeading___Toc298360_1346298689"/>
      <w:bookmarkEnd w:id="93"/>
      <w:r>
        <w:rPr/>
        <w:t>41. Predlog: Zakonite migracije</w:t>
      </w:r>
    </w:p>
    <w:p>
      <w:pPr>
        <w:pStyle w:val="P68B1DB1Normal15"/>
        <w:rPr>
          <w:b/>
          <w:b/>
        </w:rPr>
      </w:pPr>
      <w:r>
        <w:rPr/>
        <w:t>Cilj: Krepitev vloge EU na področju zakonitih migracij</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66"/>
      </w:r>
      <w:r>
        <w:rPr/>
        <w:t>:</w:t>
      </w:r>
    </w:p>
    <w:p>
      <w:pPr>
        <w:pStyle w:val="Puce3"/>
        <w:tabs>
          <w:tab w:val="clear" w:pos="720"/>
        </w:tabs>
        <w:rPr/>
      </w:pPr>
      <w:r>
        <w:rPr/>
        <w:t>1.</w:t>
        <w:tab/>
        <w:t>Začeti komunikacijsko kampanjo na evropski ravni, da bi zagotovili, da bodo evropski državljani bolje poznali EURES (mreža evropskih služb za zaposlovanje), portal EU o priseljevanju in evropsko orodje za profiliranje znanj in spretnosti za državljane tretjih držav ter da jih podjetja EU pri zaposlovanju pogosteje uporabljajo (priporočilo 6).</w:t>
      </w:r>
    </w:p>
    <w:p>
      <w:pPr>
        <w:pStyle w:val="Puce3"/>
        <w:tabs>
          <w:tab w:val="clear" w:pos="720"/>
        </w:tabs>
        <w:rPr/>
      </w:pPr>
      <w:r>
        <w:rPr/>
        <w:t>2.</w:t>
        <w:tab/>
        <w:t>Vzpostavitev evropskega subjekta za dostop migrantov do trga dela EU ali, če to ni mogoče, razširitev pristojnosti Evropske mreže zavodov za zaposlovanje (EURES), npr. izboljšanje projektov partnerstva za privabljanje talentov (priporočilo št. 7 in razprava v delovni skupini), z možnostjo, da se ponudba in povpraševanje po znanjih in spretnostih izpolnita na spletu v državi odhoda na podlagi meril za ocenjevanje (priporočilo št. 9 in razprava v delovni skupini). Unija bi morala države članice spodbujati k poenostavitvi postopka sprejema in vključevanja zakonitih migrantov ter njihovega dostopa do trga dela Unije z izboljšanjem interoperabilnosti med različnimi zadevnimi upravami (razprava v delovni skupini).</w:t>
      </w:r>
    </w:p>
    <w:p>
      <w:pPr>
        <w:pStyle w:val="Puce3"/>
        <w:tabs>
          <w:tab w:val="clear" w:pos="720"/>
        </w:tabs>
        <w:rPr/>
      </w:pPr>
      <w:r>
        <w:rPr/>
        <w:t>3.</w:t>
        <w:tab/>
        <w:t>Izboljšati delovanje in izvajanje direktive o modri karti, da bi pritegnili znanja in spretnosti, ki jih potrebuje gospodarstvo EU (priporočilo št. 7 in razprava v delovni skupini), ob ustreznem upoštevanju tveganja bega možganov (v skladu z ukrepom 1 predloga 42).</w:t>
      </w:r>
    </w:p>
    <w:p>
      <w:pPr>
        <w:pStyle w:val="Puce3"/>
        <w:tabs>
          <w:tab w:val="clear" w:pos="720"/>
        </w:tabs>
        <w:rPr/>
      </w:pPr>
      <w:r>
        <w:rPr/>
        <w:t>4.</w:t>
        <w:tab/>
        <w:t>Usklajeno spodbujati navzgor usmerjeno konvergenco delovnih pogojev po vsej Uniji, da bi odpravili neenakosti v delovnih pogojih, zagotovili učinkovito politiko EU na področju delovnih migracij in zaščitili pravice delavcev. V zvezi s tem okrepiti vlogo sindikatov na nacionalni in nadnacionalni ravni (priporočilo št. 28 in razprava v delovni skupini) v sodelovanju z organizacijami delodajalcev (razprava na plenarnem zasedanju).</w:t>
      </w:r>
    </w:p>
    <w:p>
      <w:pPr>
        <w:pStyle w:val="Puce3"/>
        <w:tabs>
          <w:tab w:val="clear" w:pos="720"/>
        </w:tabs>
        <w:rPr/>
      </w:pPr>
      <w:r>
        <w:rPr/>
        <w:t>5.</w:t>
        <w:tab/>
        <w:t>Okrepiti prizadevanja za obveščanje in izobraževanje državljanov držav članic o vprašanjih migracij in vključevanja (priporočilo 30, priporočilo odbora LT 9 in razprava delovne skupine).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Predlog: Nedovoljene migracije</w:t>
      </w:r>
    </w:p>
    <w:p>
      <w:pPr>
        <w:pStyle w:val="P68B1DB1Normal15"/>
        <w:rPr>
          <w:b/>
          <w:b/>
        </w:rPr>
      </w:pPr>
      <w:r>
        <w:rPr/>
        <w:t>Cilj: Krepitev vloge Unije v boju proti vsem oblikam nedovoljenih migracij in krepitev zaščite zunanjih meja Evropske unije ob spoštovanju človekovih pravic</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67"/>
      </w:r>
      <w:r>
        <w:rPr/>
        <w:t>:</w:t>
      </w:r>
    </w:p>
    <w:p>
      <w:pPr>
        <w:pStyle w:val="Puce3"/>
        <w:tabs>
          <w:tab w:val="clear" w:pos="720"/>
        </w:tabs>
        <w:rPr/>
      </w:pPr>
      <w:r>
        <w:rPr/>
        <w:t>1.</w:t>
        <w:tab/>
        <w:t>Dejavno sodelovati, na primer s partnerskimi sporazumi, pri gospodarskem in socialnem razvoju držav zunaj Evropske unije, iz katerih prihaja veliko migrantov, da bi odpravili temeljne vzroke migracij, vključno s podnebnimi spremembami. Ti ukrepi bi morali biti pregledni in prinašati oprijemljive rezultate z merljivimi učinki, ki bi jih bilo treba jasno sporočiti državljanom EU (priporočilo 27, priporočilo NL št. 3 in razprava v delovni skupini).</w:t>
      </w:r>
    </w:p>
    <w:p>
      <w:pPr>
        <w:pStyle w:val="Puce3"/>
        <w:tabs>
          <w:tab w:val="clear" w:pos="720"/>
        </w:tabs>
        <w:rPr/>
      </w:pPr>
      <w:r>
        <w:rPr/>
        <w:t>2.</w:t>
        <w:tab/>
        <w:t>Zagotoviti zaščito vseh zunanjih meja z izboljšanjem preglednosti in odgovornosti agencije Frontex ter krepitvijo njene vloge (priporočilo št. 8 in razprava v delovni skupini) ter prilagoditi zakonodajo EU za boljše obravnavanje sedanjih izzivov nedovoljenih migracij, kot so trgovina z ljudmi, trgovina z ljudmi, spolno izkoriščanje, hibridni napadi držav, ki izkoriščajo migrante, in kršitve človekovih pravic (priporočilo LT 10 in razprava v delovni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Predlog: Nedovoljene migracije (bis)</w:t>
      </w:r>
    </w:p>
    <w:p>
      <w:pPr>
        <w:pStyle w:val="P68B1DB1Normal15"/>
        <w:rPr>
          <w:b/>
          <w:b/>
        </w:rPr>
      </w:pPr>
      <w:r>
        <w:rPr/>
        <w:t>Cilj: Enotna uporaba skupnih pravil v vseh državah članicah v zvezi s prvim sprejemom migrantov</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68"/>
      </w:r>
      <w:r>
        <w:rPr/>
        <w:t>:</w:t>
      </w:r>
    </w:p>
    <w:p>
      <w:pPr>
        <w:pStyle w:val="Puce3"/>
        <w:tabs>
          <w:tab w:val="clear" w:pos="720"/>
        </w:tabs>
        <w:rPr/>
      </w:pPr>
      <w:r>
        <w:rPr/>
        <w:t>1.</w:t>
        <w:tab/>
        <w:t>Razvoj vseevropskih ukrepov za zagotovitev varnosti in zdravja vseh migrantov, zlasti nosečnic, otrok, mladoletnikov brez spremstva in vseh ranljivih oseb (priporočili 10 in 38 ter razprava v delovni skupini).</w:t>
      </w:r>
    </w:p>
    <w:p>
      <w:pPr>
        <w:pStyle w:val="Normal"/>
        <w:rPr/>
      </w:pPr>
      <w:r>
        <w:rPr/>
      </w:r>
    </w:p>
    <w:p>
      <w:pPr>
        <w:pStyle w:val="Puce3"/>
        <w:tabs>
          <w:tab w:val="clear" w:pos="720"/>
        </w:tabs>
        <w:rPr/>
      </w:pPr>
      <w:r>
        <w:rPr/>
        <w:t>2.</w:t>
        <w:tab/>
        <w:t>Povečati finančno, logistično in operativno podporo EU, tudi lokalnim organom, regionalnim nosilcem odločanja in organizacijam civilne družbe, za upravljanje prvega sprejema, kar bi lahko privedlo do vključevanja beguncev ali zakonitih migrantov v EU in repatriacije migrantov brez urejenega statusa (priporočilo 35 in razprava v delovni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Predlog: Azil, vključevanje</w:t>
      </w:r>
    </w:p>
    <w:p>
      <w:pPr>
        <w:pStyle w:val="P68B1DB1Normal15"/>
        <w:rPr>
          <w:b/>
          <w:b/>
        </w:rPr>
      </w:pPr>
      <w:r>
        <w:rPr/>
        <w:t>Cilj: Krepitev vloge Unije in reforma evropskega azilnega sistema na podlagi načel solidarnosti in pravične delitve odgovornosti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69"/>
      </w:r>
      <w:r>
        <w:rPr/>
        <w:t>:</w:t>
      </w:r>
    </w:p>
    <w:p>
      <w:pPr>
        <w:pStyle w:val="Puce3"/>
        <w:tabs>
          <w:tab w:val="clear" w:pos="720"/>
        </w:tabs>
        <w:rPr/>
      </w:pPr>
      <w:r>
        <w:rPr/>
        <w:t>1.</w:t>
        <w:tab/>
        <w:t>Sprejeti skupna pravila Unije o postopkih za obravnavanje prošenj za mednarodno zaščito v državah članicah, ki se enotno uporabljajo za vse prosilce za azil. Ti postopki morajo spoštovati človekovo dostojanstvo in mednarodno pravo (priporočilo 29, priporočili IT 3.8 in 4.4, str. 15 ter razprava v delovni skupini). Ker sprejem prosilcev za azil vključuje različne akterje na nacionalni ravni, bi morala Unija spodbujati države članice, naj poenostavijo in pospešijo ta proces z izboljšanjem interoperabilnosti med različnimi zadevnimi upravami ter vzpostavijo enoten urad (okno ali enotno vstopno točko) za prosilce za azil, da bi racionalizirali nacionalne upravne postopke (priporočilo 37 in razprava v delovni skupini).</w:t>
      </w:r>
    </w:p>
    <w:p>
      <w:pPr>
        <w:pStyle w:val="Puce3"/>
        <w:tabs>
          <w:tab w:val="clear" w:pos="720"/>
        </w:tabs>
        <w:rPr/>
      </w:pPr>
      <w:r>
        <w:rPr/>
        <w:t>2.</w:t>
        <w:tab/>
        <w:t>Pregledati dublinski sistem, da bi zagotovili solidarnost in pravično delitev odgovornosti, vključno z razdelitvijo migrantov med državami članicami; predvideti bi bilo mogoče tudi druge oblike podpore (priporočila 33, 36, 37, 40; LT Priporočilo št. 2; priporočili IT 3.8 (str. 15) in NL 2, razprava v delovni skupini in razprava na plenarnem zasedanju.</w:t>
      </w:r>
    </w:p>
    <w:p>
      <w:pPr>
        <w:pStyle w:val="Puce3"/>
        <w:tabs>
          <w:tab w:val="clear" w:pos="720"/>
        </w:tabs>
        <w:rPr/>
      </w:pPr>
      <w:r>
        <w:rPr/>
        <w:t>3.</w:t>
        <w:tab/>
        <w:t>Okrepiti minimalne standarde za sprejem prosilcev za azil, določene v Direktivi 2013/33/EU, s strožjimi zakonodajnimi ukrepi za izboljšanje sprejemnih zmogljivosti in nastanitve (priporočilo CEP 31, priporočilo IT 5.6, str. 11 in razprava v delovni skupini).</w:t>
      </w:r>
    </w:p>
    <w:p>
      <w:pPr>
        <w:pStyle w:val="Puce3"/>
        <w:tabs>
          <w:tab w:val="clear" w:pos="720"/>
        </w:tabs>
        <w:rPr/>
      </w:pPr>
      <w:r>
        <w:rPr/>
        <w:t>4.</w:t>
        <w:tab/>
        <w:t>Posebno pozornost bi bilo treba nameniti nosečnicam, otrokom in zlasti mladoletnikom brez spremstva (priporočilo št. 38 in razprava v delovni skupini).</w:t>
      </w:r>
    </w:p>
    <w:p>
      <w:pPr>
        <w:pStyle w:val="Puce3"/>
        <w:tabs>
          <w:tab w:val="clear" w:pos="720"/>
        </w:tabs>
        <w:rPr/>
      </w:pPr>
      <w:r>
        <w:rPr/>
        <w:t>5.</w:t>
        <w:tab/>
        <w:t>Okrepiti in povečati finančne in človeške vire ter zmogljivosti upravljanja Agencije Evropske unije za azil za usklajevanje in upravljanje premestitev prosilcev za azil znotraj držav članic EU, da bi dosegli pravično porazdelitev (priporočili 36 in 37, priporočilo LT 3 in razprava v delovni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Predlog: Azil, vključevanje(bis)</w:t>
      </w:r>
    </w:p>
    <w:p>
      <w:pPr>
        <w:pStyle w:val="P68B1DB1Normal15"/>
        <w:rPr>
          <w:b/>
          <w:b/>
        </w:rPr>
      </w:pPr>
      <w:r>
        <w:rPr/>
        <w:t>Cilj: Izboljšanje politik vključevanja v vseh državah članicah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rPr>
        <w:endnoteReference w:id="170"/>
      </w:r>
      <w:r>
        <w:rPr/>
        <w:t>:</w:t>
      </w:r>
    </w:p>
    <w:p>
      <w:pPr>
        <w:pStyle w:val="Puce3"/>
        <w:tabs>
          <w:tab w:val="clear" w:pos="720"/>
        </w:tabs>
        <w:rPr/>
      </w:pPr>
      <w:r>
        <w:rPr/>
        <w:t>1.</w:t>
        <w:tab/>
        <w:t>Unija s sodelovanjem lokalnih in regionalnih oblasti ter s prispevkom organizacij civilne družbe zagotovi tudi, da vsi prosilci za azil in begunci sodelujejo na jezikovnih tečajih in dejavnostih ter pri poklicnem usposabljanju med obravnavo njihove prošnje za prebivanje (priporočilo št. 32, priporočilo FR št. 13, razprava v delovni skupini in razprava na plenarnem zasedanju).</w:t>
      </w:r>
    </w:p>
    <w:p>
      <w:pPr>
        <w:pStyle w:val="Puce3"/>
        <w:tabs>
          <w:tab w:val="clear" w:pos="720"/>
        </w:tabs>
        <w:rPr/>
      </w:pPr>
      <w:r>
        <w:rPr/>
        <w:t>2.</w:t>
        <w:tab/>
        <w:t>Prosilci za azil s pravimi kvalifikacijami bi morali imeti dostop do trga dela, če je to mogoče, da bi okrepili svojo avtonomijo po vsej Uniji (priporočilo št. 7 in razprava v delovni skupini).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Slika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29"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Izobraževanje, kultura, mladi in šport</w:t>
      </w:r>
    </w:p>
    <w:p>
      <w:pPr>
        <w:pStyle w:val="Titre3"/>
        <w:numPr>
          <w:ilvl w:val="2"/>
          <w:numId w:val="2"/>
        </w:numPr>
        <w:rPr/>
      </w:pPr>
      <w:bookmarkStart w:id="99" w:name="__RefHeading___Toc298372_1346298689"/>
      <w:bookmarkEnd w:id="99"/>
      <w:r>
        <w:rPr/>
        <w:t>46. Predlog: Izobraževanje</w:t>
      </w:r>
    </w:p>
    <w:p>
      <w:pPr>
        <w:pStyle w:val="P68B1DB1Normal15"/>
        <w:rPr>
          <w:b/>
          <w:b/>
        </w:rPr>
      </w:pPr>
      <w:r>
        <w:rPr/>
        <w:t>Cilj: EU in njene države članice bi si morale prizadevati, da do leta 2025 vzpostavijo vključujoč evropski izobraževalni prostor, v katerem bodo imeli vsi državljani enak dostop do kakovostnega vseživljenjskega učenja in izobraževanja, vključno z ljudmi, ki živijo na podeželskih in oddaljenih območjih. V ta namen bi morale Evropska unija in njene države članice zlasti: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Usklajuje raven vseh različnih izobraževalnih programov v Evropski uniji s sprejemanjem nacionalnih, regionalnih in lokalnih vsebin ter vzpostavlja tesnejše povezave med izobraževalnimi sistemi, zlasti z enakovrednostjo diplom</w:t>
      </w:r>
      <w:r>
        <w:rPr>
          <w:rStyle w:val="Ancredenotedefin"/>
          <w:rStyle w:val="Ancredenotedefin"/>
        </w:rPr>
        <w:endnoteReference w:id="171"/>
      </w:r>
      <w:r>
        <w:rPr/>
        <w:t>. Potrjen minimalni standard za poučevanje osnovnih predmetov bi bilo treba sprejeti že v osnovni šoli</w:t>
      </w:r>
      <w:r>
        <w:rPr>
          <w:rStyle w:val="Ancredenotedefin"/>
          <w:rStyle w:val="Ancredenotedefin"/>
        </w:rPr>
        <w:endnoteReference w:id="172"/>
      </w:r>
      <w:r>
        <w:rPr/>
        <w:t>171. Na področju izobraževanja bi bilo treba vzpostaviti deljene pristojnosti, vsaj v zvezi z državljansko vzgojo, izvajanje te pristojnosti s strani Unije pa državam članicam ne more preprečiti izvajanja njihovih pristojnosti. Diplome in poklicno usposabljanje bi morale biti potrjene in vzajemno priznane v vseh državah članicah Unije</w:t>
      </w:r>
      <w:r>
        <w:rPr>
          <w:rStyle w:val="Ancredenotedefin"/>
          <w:rStyle w:val="Ancredenotedefin"/>
        </w:rPr>
        <w:endnoteReference w:id="173"/>
      </w:r>
      <w:r>
        <w:rPr/>
        <w:t>. Evropska unija bi morala izkoristiti tudi priznavanje neformalnega</w:t>
      </w:r>
      <w:r>
        <w:rPr>
          <w:rStyle w:val="Ancredenotedefin"/>
          <w:rStyle w:val="Ancredenotedefin"/>
        </w:rPr>
        <w:endnoteReference w:id="174"/>
      </w:r>
      <w:r>
        <w:rPr/>
        <w:t xml:space="preserve"> in priložnostnega učenja ter mladinskih organizacij, ki ga ponujajo, ter učnih obdobij v tujini.</w:t>
      </w:r>
    </w:p>
    <w:p>
      <w:pPr>
        <w:pStyle w:val="Puce3"/>
        <w:tabs>
          <w:tab w:val="clear" w:pos="720"/>
        </w:tabs>
        <w:rPr/>
      </w:pPr>
      <w:r>
        <w:rPr/>
        <w:t>2.</w:t>
        <w:tab/>
        <w:t>Razvoj vseživljenjskega učenja in izobraževanja v Evropi, ki bo kos izzivom prihodnosti – v skladu s pravico do usposabljanja na delovnem mestu za vse – s poudarkom na naslednjih vidikih:</w:t>
        <w:br/>
        <w:t>Državljanska vzgoja o demokratičnih procesih in vrednotah EU ter zgodovini Evrope</w:t>
      </w:r>
      <w:r>
        <w:rPr>
          <w:rStyle w:val="Ancredenotedefin"/>
          <w:rStyle w:val="Ancredenotedefin"/>
        </w:rPr>
        <w:endnoteReference w:id="175"/>
      </w:r>
      <w:r>
        <w:rPr/>
        <w:t>. Postati bi moral skupni modul, ki bi ga bilo treba poučevati v vseh državah članicah. Izboljšati bi bilo treba tudi poznavanje ekonomije, da se omogoči boljše razumevanje procesa evropskega povezovanja</w:t>
      </w:r>
      <w:r>
        <w:rPr>
          <w:rStyle w:val="Ancredenotedefin"/>
          <w:rStyle w:val="Ancredenotedefin"/>
        </w:rPr>
        <w:endnoteReference w:id="176"/>
      </w:r>
      <w:r>
        <w:rPr/>
        <w:t>.</w:t>
        <w:br/>
        <w:t>− Digitalna znanja in spretnosti</w:t>
      </w:r>
      <w:r>
        <w:rPr>
          <w:rStyle w:val="Ancredenotedefin"/>
          <w:rStyle w:val="Ancredenotedefin"/>
        </w:rPr>
        <w:endnoteReference w:id="177"/>
      </w:r>
      <w:r>
        <w:rPr/>
        <w:t>.</w:t>
        <w:br/>
        <w:t>STIAM</w:t>
      </w:r>
      <w:r>
        <w:rPr>
          <w:rStyle w:val="Ancredenotedefin"/>
          <w:rStyle w:val="Ancredenotedefin"/>
        </w:rPr>
        <w:endnoteReference w:id="178"/>
      </w:r>
      <w:r>
        <w:rPr/>
        <w:br/>
        <w:t>Podjetništvo in raziskave.</w:t>
        <w:br/>
        <w:t>Razvoj kritičnega razmišljanja. Izboljšati bi bilo treba medijsko pismenost, da se zagotovi spletna varnost in da se državljanom v vseh državah članicah omogoči, da neodvisno ocenijo, ali so informacije verodostojne ali ne, in prepoznajo lažne informacije, pri tem pa izkoristijo priložnosti, ki jih ponuja internet. To izobraževanje bi moralo vključevati organizacijo posebnih tečajev na ravni osnovnega izobraževanja in bi moralo biti na drugih javnih mestih na voljo državljanom vseh starosti pod okriljem specializiranega organa na ravni Unije, pri čemer bi bilo treba izkoristiti dobre prakse, ki obstajajo v vseh državah članicah. EU bi morala zagotoviti, da se sredstva, posebej dodeljena tem dejavnostim, uporabijo za predvideni namen</w:t>
      </w:r>
      <w:r>
        <w:rPr>
          <w:rStyle w:val="Ancredenotedefin"/>
          <w:rStyle w:val="Ancredenotedefin"/>
        </w:rPr>
        <w:endnoteReference w:id="179"/>
      </w:r>
      <w:r>
        <w:rPr/>
        <w:t>.</w:t>
        <w:br/>
        <w:t>vključevanje netehničnih spretnosti v vse tečaje v šolskih učnih načrtih. Netehnična usposobljenost pomeni: medsebojno poslušanje, dialog, odpornost, razumevanje, spoštovanje in spoštovanje drugih, kritično razmišljanje, samoučenje ter ohranjanje radovednosti in rezultatov</w:t>
      </w:r>
      <w:r>
        <w:rPr>
          <w:rStyle w:val="Ancredenotedefin"/>
          <w:rStyle w:val="Ancredenotedefin"/>
        </w:rPr>
        <w:endnoteReference w:id="180"/>
      </w:r>
      <w:r>
        <w:rPr/>
        <w:t>; — Vsem dati priložnost, da izvejo več o okoljski trajnosti in njenih povezavah z zdravjem. Biotska raznovrstnost mora biti obvezen predmet v šoli. Začeti bi bilo treba v šoli s posebnimi temami, ki obravnavajo vsa ekološka vprašanja, in vključevati izlete, da bi predstavili ustrezne dejanske primere, vse s pomočjo programa financiranja</w:t>
      </w:r>
      <w:r>
        <w:rPr>
          <w:rStyle w:val="Ancredenotedefin"/>
          <w:rStyle w:val="Ancredenotedefin"/>
        </w:rPr>
        <w:endnoteReference w:id="181"/>
      </w:r>
      <w:r>
        <w:rPr/>
        <w:t xml:space="preserve">. </w:t>
        <w:br/>
        <w:t>Boj proti ustrahovanju v šolah in rasizmu.</w:t>
      </w:r>
    </w:p>
    <w:p>
      <w:pPr>
        <w:pStyle w:val="Puce3"/>
        <w:tabs>
          <w:tab w:val="clear" w:pos="720"/>
        </w:tabs>
        <w:rPr/>
      </w:pPr>
      <w:r>
        <w:rPr/>
        <w:t>3.</w:t>
        <w:tab/>
        <w:t>Podpirati usposabljanje</w:t>
      </w:r>
      <w:r>
        <w:rPr>
          <w:rStyle w:val="Ancredenotedefin"/>
          <w:rStyle w:val="Ancredenotedefin"/>
        </w:rPr>
        <w:endnoteReference w:id="182"/>
      </w:r>
      <w:r>
        <w:rPr/>
        <w:t>učiteljev, da bi se učili iz najboljših praks in uporabili najnovejše inovativne in ustvarjalne tehnike poučevanja, ki odražajo razvoj pedagoških metod, vključno s praktičnimi dejavnostmi, tudi na podlagi izkušenj, pridobljenih med pandemijo COVID-19 in drugimi vrstami kriz, ter spodbujati priložnosti za mobilnost</w:t>
      </w:r>
      <w:r>
        <w:rPr>
          <w:rStyle w:val="Ancredenotedefin"/>
          <w:rStyle w:val="Ancredenotedefin"/>
        </w:rPr>
        <w:endnoteReference w:id="183"/>
      </w:r>
      <w:r>
        <w:rPr/>
        <w:t>.</w:t>
      </w:r>
    </w:p>
    <w:p>
      <w:pPr>
        <w:pStyle w:val="Puce3"/>
        <w:tabs>
          <w:tab w:val="clear" w:pos="720"/>
        </w:tabs>
        <w:rPr/>
      </w:pPr>
      <w:r>
        <w:rPr/>
        <w:t>4.</w:t>
        <w:tab/>
        <w:t>Da bi zadovoljili izobraževalne potrebe vseh otrok in družin, prednostno obravnavamo dostop do opreme in učinkovito širokopasovno povezljivost</w:t>
      </w:r>
      <w:r>
        <w:rPr>
          <w:rStyle w:val="Ancredenotedefin"/>
          <w:rStyle w:val="Ancredenotedefin"/>
        </w:rPr>
        <w:endnoteReference w:id="184"/>
      </w:r>
      <w:r>
        <w:rPr/>
        <w:t>.</w:t>
      </w:r>
    </w:p>
    <w:p>
      <w:pPr>
        <w:pStyle w:val="Puce3"/>
        <w:tabs>
          <w:tab w:val="clear" w:pos="720"/>
        </w:tabs>
        <w:rPr/>
      </w:pPr>
      <w:r>
        <w:rPr/>
        <w:t>5.</w:t>
        <w:tab/>
        <w:t>Vzpostaviti informacijsko platformo za izmenjavo znanja in izkušenj na ravni Unije z izmenjavo informacij o nadnacionalnih tečajih izobraževanja in usposabljanja v Uniji, predstavitvijo primerov najboljših praks in omogočanjem državljanom, da predstavijo nove zamisli za čezmejne izmenjave. Zagotoviti bi moral izobraževalno gradivo o podnebnih spremembah, okoljskih vprašanjih in digitalizaciji ter zagotavljati informacije o obstoječih specializiranih forumih o glavnih temah</w:t>
      </w:r>
      <w:r>
        <w:rPr>
          <w:rStyle w:val="Ancredenotedefin"/>
          <w:rStyle w:val="Ancredenotedefin"/>
        </w:rPr>
        <w:endnoteReference w:id="185"/>
      </w:r>
      <w:r>
        <w:rPr/>
        <w:t>. — To bi lahko spremljal program financiranja za podporo uporabi in izkoriščanju informacij platforme.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Predlog: Vprašanja v zvezi z evropsko mladino</w:t>
      </w:r>
    </w:p>
    <w:p>
      <w:pPr>
        <w:pStyle w:val="P68B1DB1Normal15"/>
        <w:rPr>
          <w:b/>
          <w:b/>
        </w:rPr>
      </w:pPr>
      <w:r>
        <w:rPr/>
        <w:t>Cilj: EU in njene države članice bi se morale osredotočiti na posebne potrebe mladih v vseh ustreznih politikah, vključno z regionalno politiko EU, da bi jim zagotovile najboljše možne pogoje za študij in delo ter začetek samostojnega življenja, hkrati pa jih vključile v demokratično življenje in postopke odločanja, tudi na evropski ravni. Mladinske organizacije imajo ključno vlogo. Za dosego tega cilja predlagamo naslednje: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Mladim zagotoviti več možnosti za udeležbo in zastopanost v demokratičnih procesih in postopkih odločanja na vseh ravneh ter podpirati obstoječe programe na tem področju, tudi z organiziranjem okroglih miz za državljane z otroki (npr. med 10 in 16 let) v šolah. Evropski predstavniki bi se lahko srečali s šolarji v svojih šolah, da bi okrepili bližino državljanov in njihovo razumevanje Evrope že od zgodnjega otroštva</w:t>
      </w:r>
      <w:r>
        <w:rPr>
          <w:rStyle w:val="Ancredenotedefin"/>
          <w:rStyle w:val="Ancredenotedefin"/>
        </w:rPr>
        <w:endnoteReference w:id="186"/>
      </w:r>
      <w:r>
        <w:rPr/>
        <w:t>. Za vse politične odločitve EU, ki jih je treba analizirati z vidika mladih, bi bilo treba razviti „preizkus mladih“ na evropski ravni, da se zagotovi, da se za vsak nov politični in zakonodajni predlog izvede ocena učinka, osredotočena na mlade, vključno s posvetovanjem z mladimi.</w:t>
      </w:r>
    </w:p>
    <w:p>
      <w:pPr>
        <w:pStyle w:val="Puce3"/>
        <w:tabs>
          <w:tab w:val="clear" w:pos="720"/>
        </w:tabs>
        <w:rPr/>
      </w:pPr>
      <w:r>
        <w:rPr/>
        <w:t>2.</w:t>
        <w:tab/>
        <w:t>Treba bi bilo razpravljati o podelitvi volilne pravice od 16. leta starosti na volitvah v Evropski parlament, pa tudi o krepitvi državljanske vzgoje in o EU. Nacionalne politične stranke bi morale zagotoviti tudi, da se mlajši kandidati uvrstijo na njihove liste za volitve v Evropski parlament</w:t>
      </w:r>
      <w:r>
        <w:rPr>
          <w:rStyle w:val="Ancredenotedefin"/>
          <w:rStyle w:val="Ancredenotedefin"/>
        </w:rPr>
        <w:endnoteReference w:id="187"/>
      </w:r>
      <w:r>
        <w:rPr/>
        <w:t>.</w:t>
      </w:r>
    </w:p>
    <w:p>
      <w:pPr>
        <w:pStyle w:val="Puce3"/>
        <w:tabs>
          <w:tab w:val="clear" w:pos="720"/>
        </w:tabs>
        <w:rPr/>
      </w:pPr>
      <w:r>
        <w:rPr/>
        <w:t>3.</w:t>
        <w:tab/>
        <w:t>Bolje pripraviti mlade na vstop v delovno silo, srednješolcem (starim od 12 let) omogočiti sodelovanje pri kakovostnih opazovalnih obiskih v nepridobitnih in neprofitnih organizacijah v tesnem sodelovanju med šolami, lokalnimi organi ter ustreznimi organizacijami in podjetji</w:t>
      </w:r>
      <w:r>
        <w:rPr>
          <w:rStyle w:val="Ancredenotedefin"/>
          <w:rStyle w:val="Ancredenotedefin"/>
        </w:rPr>
        <w:endnoteReference w:id="188"/>
      </w:r>
      <w:r>
        <w:rPr/>
        <w:t>. Te obiske bi bilo treba obravnavati kot del širšega procesa poklicnega usmerjanja v formalnem izobraževanju, da bi mladim omogočili prvi stik s svetom dela, da bi lahko usmerjali svoje poklicne odločitve in/ali razmislili o tem, da postanejo podjetniki.</w:t>
      </w:r>
    </w:p>
    <w:p>
      <w:pPr>
        <w:pStyle w:val="Puce3"/>
        <w:tabs>
          <w:tab w:val="clear" w:pos="720"/>
        </w:tabs>
        <w:rPr/>
      </w:pPr>
      <w:r>
        <w:rPr/>
        <w:t>4.</w:t>
        <w:tab/>
        <w:t>Večje financiranje EU v okviru instrumenta NextGenerationEU bi bilo treba nameniti tudi izvajanju okrepljenega evropskega jamstva za mlade, vključno z večjim sodelovanjem, večjo ozaveščenostjo, boljšo kakovostjo ponudbe, financiranjem in ukrepanjem vseh držav članic in ustreznih ravni organov. Ker lahko mladinske organizacije bolje opredelijo potrebe mladih, bi morale nacionalne vlade sodelovati z mladinskimi organizacijami v tesnem dialogu, da bi zagotovile najučinkovitejše izvajanje jamstva za mlade.</w:t>
      </w:r>
    </w:p>
    <w:p>
      <w:pPr>
        <w:pStyle w:val="Puce3"/>
        <w:tabs>
          <w:tab w:val="clear" w:pos="720"/>
        </w:tabs>
        <w:rPr/>
      </w:pPr>
      <w:r>
        <w:rPr/>
        <w:t>5.</w:t>
        <w:tab/>
        <w:t>Zagotoviti, da so pripravništva in zaposlitve mladih v skladu s standardi kakovosti, zlasti kar zadeva plačilo, z odpravo minimalnih plač za mlade in vsemi drugimi diskriminatornimi določbami delovnega prava za mlade ter s pravnim instrumentom prepovedujejo neplačana pripravništva na trgu dela in zunaj formalnega izobraževanja</w:t>
      </w:r>
      <w:r>
        <w:rPr>
          <w:rStyle w:val="Ancredenotedefin"/>
          <w:rStyle w:val="Ancredenotedefin"/>
        </w:rPr>
        <w:endnoteReference w:id="189"/>
      </w:r>
      <w:r>
        <w:rPr/>
        <w:t>.</w:t>
      </w:r>
    </w:p>
    <w:p>
      <w:pPr>
        <w:pStyle w:val="Puce3"/>
        <w:tabs>
          <w:tab w:val="clear" w:pos="720"/>
        </w:tabs>
        <w:rPr/>
      </w:pPr>
      <w:r>
        <w:rPr/>
        <w:t>6.</w:t>
        <w:tab/>
        <w:t>Zagotoviti primeren življenjski standard za mlade, vključno z dostopom do socialne zaščite in stanovanja. Mladi bi morali imeti dostop do enake ravni socialne zaščite kot druge starostne skupine. Mladim bi bilo treba olajšati tudi dostop do cenovno dostopnih stanovanj, tudi s financiranjem EU</w:t>
      </w:r>
      <w:r>
        <w:rPr>
          <w:rStyle w:val="Ancredenotedefin"/>
          <w:rStyle w:val="Ancredenotedefin"/>
        </w:rPr>
        <w:endnoteReference w:id="190"/>
      </w:r>
      <w:r>
        <w:rPr/>
        <w:t>.</w:t>
      </w:r>
    </w:p>
    <w:p>
      <w:pPr>
        <w:pStyle w:val="Puce3"/>
        <w:tabs>
          <w:tab w:val="clear" w:pos="720"/>
        </w:tabs>
        <w:rPr/>
      </w:pPr>
      <w:r>
        <w:rPr/>
        <w:t>7.</w:t>
        <w:tab/>
        <w:t>Potrebni so posebni ukrepi za preprečevanje bega možganov iz nekaterih regij in držav v Uniji zaradi nezadostnih priložnosti za mlade, hkrati pa bi Evropa postala privlačnejša za preprečevanje bega evropskih talentov in delovne sile v tretje države, da bi preprečili spodkopavanje teritorialne kohezije, zlasti kar zadeva regije, ki trpijo veliko izgubo mladih talentov, tudi s financiranjem EU</w:t>
      </w:r>
      <w:r>
        <w:rPr>
          <w:rStyle w:val="Ancredenotedefin"/>
          <w:rStyle w:val="Ancredenotedefin"/>
        </w:rPr>
        <w:endnoteReference w:id="191"/>
      </w:r>
      <w:r>
        <w:rPr/>
        <w:t>.</w:t>
      </w:r>
    </w:p>
    <w:p>
      <w:pPr>
        <w:pStyle w:val="Puce3"/>
        <w:tabs>
          <w:tab w:val="clear" w:pos="720"/>
        </w:tabs>
        <w:rPr/>
      </w:pPr>
      <w:r>
        <w:rPr/>
        <w:t>8.</w:t>
        <w:tab/>
        <w:t>V primeru resne krize (npr. zdravstvena kriza, vojna) bi morali biti dobro zasnovani načrti s podrobnimi scenariji pripravljeni na prožno uporabo, da bi čim bolj zmanjšali vpliv na izobraževanje, poklicno usposabljanje, prehod na trg dela in duševno dobro počutje mladih</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Predlog: Kultura in izmenjave</w:t>
      </w:r>
    </w:p>
    <w:p>
      <w:pPr>
        <w:pStyle w:val="P68B1DB1Normal15"/>
        <w:rPr>
          <w:b/>
          <w:b/>
        </w:rPr>
      </w:pPr>
      <w:r>
        <w:rPr/>
        <w:t>Cilj: Da bi spodbudili kulturo izmenjave ter evropsko identiteto in raznolikost na različnih področjih, bi morale države članice s pomočjo Evropske unije: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r>
        <w:rPr>
          <w:rStyle w:val="Ancredenotedefin"/>
          <w:rStyle w:val="Ancredenotedefin"/>
          <w:b/>
        </w:rPr>
        <w:endnoteReference w:id="193"/>
      </w:r>
      <w:r>
        <w:rPr/>
        <w:t>:</w:t>
      </w:r>
    </w:p>
    <w:p>
      <w:pPr>
        <w:pStyle w:val="Puce3"/>
        <w:tabs>
          <w:tab w:val="clear" w:pos="720"/>
        </w:tabs>
        <w:rPr/>
      </w:pPr>
      <w:r>
        <w:rPr/>
        <w:t>1.</w:t>
        <w:tab/>
        <w:t>Spodbujati evropske izmenjave na različnih področjih, tako fizično kot digitalno, vključno z izobraževalnimi izmenjavami, tesnim medinstitucionalnim sodelovanjem, potovanji in poklicno mobilnostjo (zlasti za učitelje in lokalne izvoljene uradnike). Takšne izmenjave bi morale biti dostopne vsem v vseh državah članicah, ne glede na starost, stopnjo izobrazbe, izvor in finančna sredstva</w:t>
      </w:r>
      <w:r>
        <w:rPr>
          <w:rStyle w:val="Ancredenotedefin"/>
          <w:rStyle w:val="Ancredenotedefin"/>
        </w:rPr>
        <w:endnoteReference w:id="194"/>
      </w:r>
      <w:r>
        <w:rPr/>
        <w:t>. V ta namen bi morala Unija zlasti okrepiti obstoječe programe izmenjave in mobilnosti na ravni Unije, kot so evropska solidarnostna enota, Erasmus+ in DiscoverEU, zagotoviti širšo in raznoliko udeležbo v teh programih ter razmisliti o dodajanju novih elementov, kot je dodatni cilj državljanske službe, ki se spodbuja s prostovoljstvom (za evropsko solidarnostno enoto), in nazivi za dostop do kulture (za DiscoverEU). Lokalne in regionalne oblasti morajo pod okriljem Odbora regij imeti vodilno vlogo na tem področju.</w:t>
      </w:r>
    </w:p>
    <w:p>
      <w:pPr>
        <w:pStyle w:val="Puce3"/>
        <w:tabs>
          <w:tab w:val="clear" w:pos="720"/>
        </w:tabs>
        <w:rPr/>
      </w:pPr>
      <w:r>
        <w:rPr/>
        <w:t>2.</w:t>
        <w:tab/>
        <w:t>Spodbujanje večjezičnosti kot prehoda v druge kulture že od zgodnjega otroštva. Regionalne in manjšinske jezike je treba dodatno zaščititi ob upoštevanju Konvencije Sveta Evrope o manjšinskih jezikih in Okvirne konvencije za varstvo narodnih manjšin. EU bi morala razmisliti o ustanovitvi institucije za spodbujanje jezikovne raznolikosti na evropski ravni. Od otrok iz osnovne šole bi bilo treba zahtevati, da na najvišji možni ravni pridobijo znanje in spretnosti v aktivnem jeziku EU, ki ni njihov lastni. Da bi evropskim državljanom olajšali komunikacijo s širšimi skupinami drugih Evropejcev in kot dejavnik evropske kohezije, bi morale države članice spodbujati učenje jezika držav članic EU, ki neposredno mejijo na obmejne regije, in pridobitev certificirane ravni angleščine</w:t>
      </w:r>
      <w:r>
        <w:rPr>
          <w:rStyle w:val="Ancredenotedefin"/>
          <w:rStyle w:val="Ancredenotedefin"/>
        </w:rPr>
        <w:endnoteReference w:id="195"/>
      </w:r>
      <w:r>
        <w:rPr/>
        <w:t>.</w:t>
      </w:r>
    </w:p>
    <w:p>
      <w:pPr>
        <w:pStyle w:val="Puce3"/>
        <w:tabs>
          <w:tab w:val="clear" w:pos="720"/>
        </w:tabs>
        <w:rPr/>
      </w:pPr>
      <w:r>
        <w:rPr/>
        <w:t>3.</w:t>
        <w:tab/>
        <w:t>Ustvariti priložnosti za izmenjavo evropskih kultur, zbliževati ljudi in spodbujati skupno evropsko identiteto, na primer z dogodki in srečanji, ki vključujejo vse ciljne skupine in potekajo na različnih lokacijah. Primeri vključujejo organizacijo svetovnih dni umetnosti</w:t>
      </w:r>
      <w:r>
        <w:rPr>
          <w:rStyle w:val="Ancredenotedefin"/>
          <w:rStyle w:val="Ancredenotedefin"/>
        </w:rPr>
        <w:endnoteReference w:id="196"/>
      </w:r>
      <w:r>
        <w:rPr/>
        <w:t>, evropsko razstavo s pedagoškimi dogodki ali preoblikovanje dneva Evrope (9. maj) v uradni evropski praznični dan za vse državljane EU</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Zaščititi evropsko kulturno dediščino in evropsko kulturo,</w:t>
      </w:r>
      <w:r>
        <w:rPr>
          <w:rStyle w:val="Ancredenotedefin"/>
          <w:rStyle w:val="Ancredenotedefin"/>
        </w:rPr>
        <w:endnoteReference w:id="198"/>
      </w:r>
      <w:r>
        <w:rPr/>
        <w:t>zlasti s priznavanjem lokalnih in regionalnih posebnosti kulturnih in produkcijskih zadev,</w:t>
      </w:r>
      <w:r>
        <w:rPr>
          <w:rStyle w:val="Ancredenotedefin"/>
          <w:rStyle w:val="Ancredenotedefin"/>
        </w:rPr>
        <w:endnoteReference w:id="199"/>
      </w:r>
      <w:r>
        <w:rPr/>
        <w:t>z novimi pobudami za njeno ohranitev in praznovanje, z mobilnostjo za spodbujanje izmenjave kulturne dediščine ter s spodbujanjem obstoječih ukrepov, kot so Ustvarjalna Evropa, novi evropski Bauhaus, programi tesnega medinstitucionalnega sodelovanja mest in evropskih prestolnic kulture, v skladu s cilji trajnostnega razvoja.</w:t>
      </w:r>
    </w:p>
    <w:p>
      <w:pPr>
        <w:pStyle w:val="Puce3"/>
        <w:tabs>
          <w:tab w:val="clear" w:pos="720"/>
        </w:tabs>
        <w:rPr/>
      </w:pPr>
      <w:r>
        <w:rPr/>
        <w:t>5.</w:t>
        <w:tab/>
        <w:t>Sprejeti ukrepe za zagotovitev zadostne zaščite kulturnih delavcev na ravni EU, zlasti v vseh prihodnjih krizah, s sprejetjem pravnega statuta na evropski ravni.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Predlog: Šport</w:t>
      </w:r>
    </w:p>
    <w:p>
      <w:pPr>
        <w:pStyle w:val="P68B1DB1Normal15"/>
        <w:rPr>
          <w:b/>
          <w:b/>
        </w:rPr>
      </w:pPr>
      <w:r>
        <w:rPr/>
        <w:t>Cilj: Šport je bistvenega pomena za naše družbe – da bi branili naše vrednote, vodili zdrav življenjski slog in starost v dobrem zdravju, spodbujali kulturo izmenjav in slavili raznolikost evropske dediščine. Zato bi si morale države članice s pomočjo Evropske unije prizadevati za: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Ukrepi:</w:t>
      </w:r>
    </w:p>
    <w:p>
      <w:pPr>
        <w:pStyle w:val="Puce3"/>
        <w:tabs>
          <w:tab w:val="clear" w:pos="720"/>
        </w:tabs>
        <w:rPr/>
      </w:pPr>
      <w:r>
        <w:rPr/>
        <w:t>1.</w:t>
        <w:tab/>
        <w:t>Poudarjajo vrednote, zlasti enakost spolov, enakost in vključevanje, ki se lahko konkretno odražajo v športu skozi celotno izobraževalno pot.</w:t>
      </w:r>
    </w:p>
    <w:p>
      <w:pPr>
        <w:pStyle w:val="Puce3"/>
        <w:tabs>
          <w:tab w:val="clear" w:pos="720"/>
        </w:tabs>
        <w:rPr/>
      </w:pPr>
      <w:r>
        <w:rPr/>
        <w:t>2.</w:t>
        <w:tab/>
        <w:t>Ozaveščanje o koristih športa in telesne dejavnosti za zdravje</w:t>
      </w:r>
      <w:r>
        <w:rPr>
          <w:rStyle w:val="Ancredenotedefin"/>
          <w:rStyle w:val="Ancredenotedefin"/>
        </w:rPr>
        <w:endnoteReference w:id="200"/>
      </w:r>
      <w:r>
        <w:rPr/>
        <w:t>.</w:t>
      </w:r>
    </w:p>
    <w:p>
      <w:pPr>
        <w:pStyle w:val="Puce3"/>
        <w:tabs>
          <w:tab w:val="clear" w:pos="720"/>
        </w:tabs>
        <w:rPr/>
      </w:pPr>
      <w:r>
        <w:rPr/>
        <w:t>3.</w:t>
        <w:tab/>
        <w:t>Vključiti športne dejavnosti v programe izmenjave in mobilnosti na ravni EU</w:t>
      </w:r>
      <w:r>
        <w:rPr>
          <w:rStyle w:val="Ancredenotedefin"/>
          <w:rStyle w:val="Ancredenotedefin"/>
        </w:rPr>
        <w:endnoteReference w:id="201"/>
      </w:r>
      <w:r>
        <w:rPr/>
        <w:t>200.</w:t>
      </w:r>
    </w:p>
    <w:p>
      <w:pPr>
        <w:pStyle w:val="Puce3"/>
        <w:tabs>
          <w:tab w:val="clear" w:pos="720"/>
        </w:tabs>
        <w:rPr/>
      </w:pPr>
      <w:r>
        <w:rPr/>
        <w:t>4.</w:t>
        <w:tab/>
        <w:t>Povečati pozornost, ki se ne namenja le profesionalnim in komercialnim športom, temveč tudi lokalnim in tradicionalnim športom, ki so priče evropske kulturne raznolikosti, da bi promovirali kulturno dediščino in podprli športne prvake v nepoklicnem okolju.</w:t>
      </w:r>
    </w:p>
    <w:p>
      <w:pPr>
        <w:pStyle w:val="Normal"/>
        <w:rPr/>
      </w:pPr>
      <w:r>
        <w:rPr/>
      </w:r>
    </w:p>
    <w:p>
      <w:pPr>
        <w:pStyle w:val="Puce3"/>
        <w:tabs>
          <w:tab w:val="clear" w:pos="720"/>
        </w:tabs>
        <w:rPr/>
      </w:pPr>
      <w:r>
        <w:rPr/>
        <w:t>5.</w:t>
        <w:tab/>
        <w:t>Hkrati spodbujajo promocijo evropske identitete z organizacijo več medevropskih športnih dogodkov,</w:t>
      </w:r>
      <w:r>
        <w:rPr/>
        <w:commentReference w:id="0"/>
      </w:r>
      <w:r>
        <w:rPr/>
        <w:t>ustanovitvijo športnih ekip EU ali prikazovanjem evropskih zastav ali simbolov na evropskih športnih prireditvah.</w:t>
      </w:r>
    </w:p>
    <w:p>
      <w:pPr>
        <w:pStyle w:val="Puce3"/>
        <w:tabs>
          <w:tab w:val="clear" w:pos="720"/>
        </w:tabs>
        <w:rPr/>
      </w:pPr>
      <w:r>
        <w:rPr/>
        <w:t>6.</w:t>
        <w:tab/>
        <w:t>Več vlagati v komuniciranje, kot je evropski teden športa, da bodo lahko državljani po vsej EU skupaj izkoristili vrhunske priložnosti.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Sklepne ugotovitve Izvršilnega odbora</w:t>
      </w:r>
    </w:p>
    <w:p>
      <w:pPr>
        <w:pStyle w:val="Normal"/>
        <w:rPr/>
      </w:pPr>
      <w:r>
        <w:rPr/>
      </w:r>
      <w:r>
        <w:br w:type="page"/>
      </w:r>
    </w:p>
    <w:p>
      <w:pPr>
        <w:pStyle w:val="Corpsdetexte"/>
        <w:rPr/>
      </w:pPr>
      <w:r>
        <w:rPr/>
        <w:t>Glavni cilj konference o prihodnosti Evrope je bil zagotoviti, da se bo Evropska unija pripravljena soočiti s sedanjimi in prihodnjimi izzivi, tako da se državljanom omogoči, da izrazijo svoje pomisleke in želje ter v sodelovanju s predstavniki treh institucij, nacionalnih parlamentov in drugih zainteresiranih strani zagotovijo smernice za prihodnost. Da bi dosegli ta cilj, je morala biti konferenca osredotočena na državljane in temeljiti na pristopu od spodaj navzgor, ki je bil sposoben ustvariti nov prostor za razpravo o prednostnih nalogah Evrope in pripravo pregleda nad tem, kaj državljani pričakujejo od Evropske unije.</w:t>
      </w:r>
    </w:p>
    <w:p>
      <w:pPr>
        <w:pStyle w:val="Corpsdetexte"/>
        <w:rPr/>
      </w:pPr>
      <w:r>
        <w:rPr/>
        <w:t>Konferenca je dejansko lahko odigrala to vlogo. Na konferenci so sodelovali evropski državljani z vseh družbenih slojev in iz vseh koncev Unije, v sodelovanju s člani Evropskega parlamenta, Sveta in Evropske komisije ter predstavniki vseh nacionalnih parlamentov, Odbora regij, regionalnih in lokalnih izvoljenih predstavnikov, Evropskega ekonomsko-socialnega odbora, socialnih partnerjev in civilne družbe ter drugimi ključnimi akterji so pripravili priporočila državljanskih forumov in predlogov za prihodnost Evrope. Orodja in metodologija, razvita za ta proces, predstavljajo edinstven sklop virov, ki bi lahko služili kot podlaga za prihodnje vaje o udeležbi državljanov in posvetovalni demokraciji na ravni EU.</w:t>
      </w:r>
    </w:p>
    <w:p>
      <w:pPr>
        <w:pStyle w:val="Corpsdetexte"/>
        <w:rPr/>
      </w:pPr>
      <w:r>
        <w:rPr/>
        <w:t>Po zaslugi številnih dogodkov in razprav po vsej EU, interaktivne večjezične digitalne platforme, evropskih in nacionalnih državljanskih okroglih miz ter plenarnega zasedanja konference je konferenca zdaj predstavila končno poročilo, ki vključuje pregled dela, ki je bilo letos trajno opravljeno, ter predloge plenarne skupščine za prihodnost Evrope. Iz teh predlogov je zelo jasno, da mora EU ukrepati, da bo uspešna pri zelenem in digitalnem prehodu, okrepila odpornost Evrope in njeno socialno pogodbo, hkrati pa obravnavala neenakosti in zagotovila, da bo Evropska unija pravično, trajnostno, inovativno in konkurenčno gospodarstvo, ki nikogar ne bo pustilo zapostavljenega.</w:t>
      </w:r>
    </w:p>
    <w:p>
      <w:pPr>
        <w:pStyle w:val="Corpsdetexte"/>
        <w:rPr/>
      </w:pPr>
      <w:r>
        <w:rPr/>
        <w:t>Razvoj geopolitičnih razmer med konferenco in zlasti ruska vojna za agresijo proti Ukrajini sta prav tako pokazala, da mora EU postati odločnejša in imeti vodilno vlogo na svetovnem prizorišču pri spodbujanju svojih vrednot in norm v vse bolj pretresenem svetu.</w:t>
      </w:r>
    </w:p>
    <w:p>
      <w:pPr>
        <w:pStyle w:val="Corpsdetexte"/>
        <w:rPr/>
      </w:pPr>
      <w:r>
        <w:rPr/>
        <w:t>Konferenca je zagotovila jasne smernice na teh področjih, tri institucije EU pa morajo zdaj preučiti, kako obravnavati izražene pomisleke, težnje in zamisli. Naslednji korak v tem procesu je razvoj konkretnih ukrepov EU na podlagi izida konference, kot je navedeno v tem končnem poročilu. Institucije EU bodo zato zdaj preučile to poročilo in njegovo nadaljnje ukrepanje v okviru svojih pristojnosti in v skladu s Pogodbama. Jeseni 2022 bo organiziran dogodek, na katerem bodo državljani obveščeni o tem, kako bodo institucije izpolnile svojo zavezo, da jim bodo prisluhnile in jih držale za prihodnost Evrope.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Slika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30" descr=""/>
                    <pic:cNvPicPr>
                      <a:picLocks noChangeAspect="1" noChangeArrowheads="1"/>
                    </pic:cNvPicPr>
                  </pic:nvPicPr>
                  <pic:blipFill>
                    <a:blip r:embed="rId81"/>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Priloga I – Priporočila štirih evropskih državljanskih forumov</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Slika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31" descr=""/>
                    <pic:cNvPicPr>
                      <a:picLocks noChangeAspect="1" noChangeArrowheads="1"/>
                    </pic:cNvPicPr>
                  </pic:nvPicPr>
                  <pic:blipFill>
                    <a:blip r:embed="rId82"/>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Okvir 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Konferenca o </w:t>
                            </w:r>
                          </w:p>
                          <w:p>
                            <w:pPr>
                              <w:pStyle w:val="P68B1DB1Normal16"/>
                              <w:rPr>
                                <w:color w:val="FFFFFF"/>
                                <w:sz w:val="72"/>
                              </w:rPr>
                            </w:pPr>
                            <w:r>
                              <w:rPr/>
                              <w:t xml:space="preserve">prihodnost Evrope </w:t>
                            </w:r>
                          </w:p>
                          <w:p>
                            <w:pPr>
                              <w:pStyle w:val="P68B1DB1Normal17"/>
                              <w:rPr>
                                <w:color w:val="FFFFFF"/>
                              </w:rPr>
                            </w:pPr>
                            <w:r>
                              <w:rPr/>
                              <w:t xml:space="preserve"> </w:t>
                            </w:r>
                            <w:r>
                              <w:rPr>
                                <w:sz w:val="32"/>
                              </w:rPr>
                              <w:t xml:space="preserve">Okrogla miza za evropske državljane 1: Močnejše gospodarstvo, socialna pravičnost in zaposlovanje/izobraževanje, kultura, mladina in šport/digitalna preobrazba </w:t>
                            </w:r>
                          </w:p>
                          <w:p>
                            <w:pPr>
                              <w:pStyle w:val="P68B1DB1Normal17"/>
                              <w:rPr>
                                <w:color w:val="FFFFFF"/>
                              </w:rPr>
                            </w:pPr>
                            <w:r>
                              <w:rPr/>
                              <w:t xml:space="preserve"> </w:t>
                            </w:r>
                          </w:p>
                          <w:p>
                            <w:pPr>
                              <w:pStyle w:val="P68B1DB1Normal17"/>
                              <w:rPr>
                                <w:color w:val="FFFFFF"/>
                              </w:rPr>
                            </w:pPr>
                            <w:r>
                              <w:rPr/>
                              <w:t>Priporočila</w:t>
                            </w:r>
                          </w:p>
                          <w:p>
                            <w:pPr>
                              <w:pStyle w:val="P68B1DB1Normal17"/>
                              <w:rPr>
                                <w:color w:val="FFFFFF"/>
                              </w:rPr>
                            </w:pPr>
                            <w:r>
                              <w:rPr/>
                              <w:t xml:space="preserve"> </w:t>
                            </w:r>
                            <w:r>
                              <w:rPr/>
                              <w:t>Fotografije © Evropska unija,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Okvir 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Konferenca o </w:t>
                      </w:r>
                    </w:p>
                    <w:p>
                      <w:pPr>
                        <w:pStyle w:val="P68B1DB1Normal16"/>
                        <w:rPr>
                          <w:color w:val="FFFFFF"/>
                          <w:sz w:val="72"/>
                        </w:rPr>
                      </w:pPr>
                      <w:r>
                        <w:rPr/>
                        <w:t xml:space="preserve">prihodnost Evrope </w:t>
                      </w:r>
                    </w:p>
                    <w:p>
                      <w:pPr>
                        <w:pStyle w:val="P68B1DB1Normal17"/>
                        <w:rPr>
                          <w:color w:val="FFFFFF"/>
                        </w:rPr>
                      </w:pPr>
                      <w:r>
                        <w:rPr/>
                        <w:t xml:space="preserve"> </w:t>
                      </w:r>
                      <w:r>
                        <w:rPr>
                          <w:sz w:val="32"/>
                        </w:rPr>
                        <w:t xml:space="preserve">Okrogla miza za evropske državljane 1: Močnejše gospodarstvo, socialna pravičnost in zaposlovanje/izobraževanje, kultura, mladina in šport/digitalna preobrazba </w:t>
                      </w:r>
                    </w:p>
                    <w:p>
                      <w:pPr>
                        <w:pStyle w:val="P68B1DB1Normal17"/>
                        <w:rPr>
                          <w:color w:val="FFFFFF"/>
                        </w:rPr>
                      </w:pPr>
                      <w:r>
                        <w:rPr/>
                        <w:t xml:space="preserve"> </w:t>
                      </w:r>
                    </w:p>
                    <w:p>
                      <w:pPr>
                        <w:pStyle w:val="P68B1DB1Normal17"/>
                        <w:rPr>
                          <w:color w:val="FFFFFF"/>
                        </w:rPr>
                      </w:pPr>
                      <w:r>
                        <w:rPr/>
                        <w:t>Priporočila</w:t>
                      </w:r>
                    </w:p>
                    <w:p>
                      <w:pPr>
                        <w:pStyle w:val="P68B1DB1Normal17"/>
                        <w:rPr>
                          <w:color w:val="FFFFFF"/>
                        </w:rPr>
                      </w:pPr>
                      <w:r>
                        <w:rPr/>
                        <w:t xml:space="preserve"> </w:t>
                      </w:r>
                      <w:r>
                        <w:rPr/>
                        <w:t>Fotografije © Evropska unija,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Okrogla miza za evropske državljane 1: Močnejše gospodarstvo, socialna pravičnost in zaposlovanje/izobraževanje, kultura, mladina in šport/digitalna preobrazba </w:t>
      </w:r>
    </w:p>
    <w:p>
      <w:pPr>
        <w:pStyle w:val="P68B1DB1Normal18"/>
        <w:widowControl w:val="false"/>
        <w:spacing w:lineRule="exact" w:line="468"/>
        <w:ind w:left="425" w:right="0" w:hanging="0"/>
        <w:jc w:val="left"/>
        <w:rPr/>
      </w:pPr>
      <w:r>
        <w:rPr>
          <w:b/>
          <w:color w:val="1C4587"/>
        </w:rPr>
        <w:t>PRIPOROČILA, KI JIH JE SPREJELA KOMISIJA (PREDLOŽITI NA PLENARNEM ZASEDANJU)</w:t>
      </w:r>
      <w:r>
        <w:rPr>
          <w:color w:val="000000"/>
        </w:rPr>
        <w:t xml:space="preserve"> </w:t>
      </w:r>
    </w:p>
    <w:p>
      <w:pPr>
        <w:pStyle w:val="Titre3"/>
        <w:numPr>
          <w:ilvl w:val="2"/>
          <w:numId w:val="2"/>
        </w:numPr>
        <w:rPr/>
      </w:pPr>
      <w:bookmarkStart w:id="106" w:name="__RefHeading___Toc297145_1346298689"/>
      <w:bookmarkEnd w:id="106"/>
      <w:r>
        <w:rPr/>
        <w:t xml:space="preserve">Os 1: Delo v Evropi </w:t>
      </w:r>
    </w:p>
    <w:p>
      <w:pPr>
        <w:pStyle w:val="Titre4"/>
        <w:numPr>
          <w:ilvl w:val="3"/>
          <w:numId w:val="2"/>
        </w:numPr>
        <w:rPr/>
      </w:pPr>
      <w:bookmarkStart w:id="107" w:name="__RefHeading___Toc297147_1346298689"/>
      <w:bookmarkEnd w:id="107"/>
      <w:r>
        <w:rPr/>
        <w:t xml:space="preserve">Podos 1.1 Trg dela </w:t>
      </w:r>
    </w:p>
    <w:p>
      <w:pPr>
        <w:pStyle w:val="P68B1DB1Normal15"/>
        <w:rPr>
          <w:b/>
          <w:b/>
        </w:rPr>
      </w:pPr>
      <w:r>
        <w:rPr/>
        <w:t xml:space="preserve">1. Sodišče priporoča uvedbo minimalne plače, da se zagotovi podobna kakovost življenja v vseh državah članicah. Zavedamo se tekočih prizadevanj v okviru Direktive EU COM(2020) 682 za uskladitev načina življenja. Minimalna plača mora zagotavljati minimalni neto dohodek, da se doseže bistveni cilj: vsi, ki so v stiski, bi morali imeti višji dohodek. Pri minimalni plači bi bilo treba upoštevati naslednje vidike: </w:t>
      </w:r>
    </w:p>
    <w:p>
      <w:pPr>
        <w:pStyle w:val="P68B1DB1Normal15"/>
        <w:rPr>
          <w:b/>
          <w:b/>
        </w:rPr>
      </w:pPr>
      <w:r>
        <w:rPr/>
        <w:t xml:space="preserve">● </w:t>
      </w:r>
      <w:r>
        <w:rPr/>
        <w:t xml:space="preserve">EU bi morala zagotoviti njegovo učinkovito izvajanje, saj trenutno vse države članice varstva delavcev ne izvajajo pravilno; </w:t>
      </w:r>
    </w:p>
    <w:p>
      <w:pPr>
        <w:pStyle w:val="P68B1DB1Normal15"/>
        <w:rPr>
          <w:b/>
          <w:b/>
        </w:rPr>
      </w:pPr>
      <w:r>
        <w:rPr/>
        <w:t xml:space="preserve">● </w:t>
      </w:r>
      <w:r>
        <w:rPr/>
        <w:t xml:space="preserve">posebno pozornost bi bilo treba nameniti spremljanju izboljšanja življenjskega standarda; </w:t>
      </w:r>
    </w:p>
    <w:p>
      <w:pPr>
        <w:pStyle w:val="Normal"/>
        <w:rPr/>
      </w:pPr>
      <w:r>
        <w:rPr>
          <w:b/>
        </w:rPr>
        <w:t xml:space="preserve">● </w:t>
      </w:r>
      <w:r>
        <w:rPr>
          <w:b/>
        </w:rPr>
        <w:t>minimalna plača mora upoštevati kupno moč v različnih državah. Postopek rednega pregleda je potreben, da se ga prilagodi spremembam življenjskih stroškov (npr. zaradi upoštevanja inflacije).</w:t>
      </w:r>
      <w:r>
        <w:rPr/>
        <w:t xml:space="preserve"> </w:t>
      </w:r>
    </w:p>
    <w:p>
      <w:pPr>
        <w:pStyle w:val="Normal"/>
        <w:rPr/>
      </w:pPr>
      <w:r>
        <w:rPr/>
        <w:t xml:space="preserve"> </w:t>
      </w:r>
    </w:p>
    <w:p>
      <w:pPr>
        <w:pStyle w:val="Normal"/>
        <w:rPr/>
      </w:pPr>
      <w:r>
        <w:rPr/>
        <w:t xml:space="preserve">To priporočilo podajamo, ker minimalna plača krepi socialno pravičnost na trgu dela in izboljšuje konkretne življenjske pogoje delavcev v vseh državah članicah, kar je zlasti pomembno v okviru hitro spreminjajočega se delovnega okolja, na primer zaradi digitalizacije. </w:t>
      </w:r>
    </w:p>
    <w:p>
      <w:pPr>
        <w:pStyle w:val="Normal"/>
        <w:rPr/>
      </w:pPr>
      <w:r>
        <w:rPr/>
        <w:t xml:space="preserve"> </w:t>
      </w:r>
    </w:p>
    <w:p>
      <w:pPr>
        <w:pStyle w:val="P68B1DB1Normal15"/>
        <w:rPr>
          <w:b/>
          <w:b/>
        </w:rPr>
      </w:pPr>
      <w:r>
        <w:rPr/>
        <w:t xml:space="preserve">2. Zakonodajni akt EU že obstaja (Direktiva EU 2003/88/ES o delovnem času), vendar ni dovolj, da se zagotovi zdravo usklajevanje poklicnega in zasebnega življenja. Kot prvi korak priporočamo pregled obstoječega okvira, da se zagotovi njegova prilagoditev trenutnim razmeram. Drugič, EU bi morala vzpostaviti strožji mehanizem spremljanja, da bi zagotovila njegovo izvajanje v vseh državah članicah. Posebno pozornost bi bilo treba nameniti različnim sektorjem z različnimi ravnmi stresa in bremena, tako psihološko kot fizično. Hkrati pa so drugi sektorji odvisni od večje prožnosti svojih zaposlenih, da se prilagodijo posebnim potrebam podjetij. </w:t>
      </w:r>
    </w:p>
    <w:p>
      <w:pPr>
        <w:pStyle w:val="Normal"/>
        <w:rPr/>
      </w:pPr>
      <w:r>
        <w:rPr/>
        <w:t xml:space="preserve">To priporočilo dajemo zaradi pomembnosti boljšega usklajevanja poklicnega in zasebnega življenja. Boljše usklajevanje poklicnega in zasebnega življenja krepi socialno kohezijo in prispeva k ustvarjanju enakih konkurenčnih pogojev za delavce. Poleg tega pozitivno vpliva na posameznikovo dobro počutje delavcev. </w:t>
      </w:r>
    </w:p>
    <w:p>
      <w:pPr>
        <w:pStyle w:val="Normal"/>
        <w:rPr/>
      </w:pPr>
      <w:r>
        <w:rPr/>
        <w:t xml:space="preserve"> </w:t>
      </w:r>
    </w:p>
    <w:p>
      <w:pPr>
        <w:pStyle w:val="Titre4"/>
        <w:numPr>
          <w:ilvl w:val="3"/>
          <w:numId w:val="2"/>
        </w:numPr>
        <w:rPr/>
      </w:pPr>
      <w:bookmarkStart w:id="108" w:name="__RefHeading___Toc297151_1346298689"/>
      <w:bookmarkEnd w:id="108"/>
      <w:r>
        <w:rPr/>
        <w:t xml:space="preserve">Podos 1.2 Mladi in zaposlovanje </w:t>
      </w:r>
    </w:p>
    <w:p>
      <w:pPr>
        <w:pStyle w:val="Normal"/>
        <w:rPr/>
      </w:pPr>
      <w:r>
        <w:rPr/>
        <w:t xml:space="preserve"> </w:t>
      </w:r>
    </w:p>
    <w:p>
      <w:pPr>
        <w:pStyle w:val="P68B1DB1Normal15"/>
        <w:rPr>
          <w:b/>
          <w:b/>
        </w:rPr>
      </w:pPr>
      <w:r>
        <w:rPr/>
        <w:t xml:space="preserve">3. Priporočamo uskladitev ravni vseh različnih izobraževalnih programov v EU in sprejemanje nacionalnih vsebin. Zato priporočamo, da se vse poklicne diplome potrdijo in vzajemno priznajo v vseh državah članicah EU. </w:t>
      </w:r>
    </w:p>
    <w:p>
      <w:pPr>
        <w:pStyle w:val="Normal"/>
        <w:rPr/>
      </w:pPr>
      <w:r>
        <w:rPr/>
        <w:t xml:space="preserve"> </w:t>
      </w:r>
    </w:p>
    <w:p>
      <w:pPr>
        <w:pStyle w:val="Normal"/>
        <w:rPr/>
      </w:pPr>
      <w:r>
        <w:rPr/>
        <w:t xml:space="preserve">To priporočilo podajamo, ker želimo olajšati mobilnost evropske delovne sile in zmanjšati upravno breme. </w:t>
      </w:r>
    </w:p>
    <w:p>
      <w:pPr>
        <w:pStyle w:val="Normal"/>
        <w:rPr/>
      </w:pPr>
      <w:r>
        <w:rPr/>
      </w:r>
    </w:p>
    <w:p>
      <w:pPr>
        <w:pStyle w:val="P68B1DB1Normal15"/>
        <w:rPr>
          <w:b/>
          <w:b/>
        </w:rPr>
      </w:pPr>
      <w:r>
        <w:rPr/>
        <w:t xml:space="preserve">4. Priporočamo, da se dijakom (od 12. leta starosti) omogoči pregled njihovega prihodnjega trga dela, tako da se jim omogoči sodelovanje na različnih kvalitetnih opazovalnih obiskih pri pridobitnih in neprofitnih organizacijah. Predlagamo, da se podjetja spodbudijo k sprejemu študentov na opazovalna pripravništva z dodelitvijo štipendij. Na oddaljenih območjih z manj priložnostmi morajo lokalne šole, javni organi, organizacije in podjetja tesno sodelovati, da bi zagotovili, da so na voljo tudi ti opazovalni obiski. </w:t>
      </w:r>
    </w:p>
    <w:p>
      <w:pPr>
        <w:pStyle w:val="Normal"/>
        <w:rPr/>
      </w:pPr>
      <w:r>
        <w:rPr/>
        <w:t xml:space="preserve"> </w:t>
      </w:r>
    </w:p>
    <w:p>
      <w:pPr>
        <w:pStyle w:val="Normal"/>
        <w:rPr/>
      </w:pPr>
      <w:r>
        <w:rPr/>
        <w:t xml:space="preserve">To priporočilo dajemo zato, ker želimo, da mladi dobijo predstavo o različnih priložnostih, ki jih ponuja trg dela, da bi lahko bolje izbirali svoj študij in svoje prihodnje delo ter razumeli, kako pomembno je izbrati pravo izobrazbo. Prav tako bi jih naučila občutka odgovornosti in spoštovanja trga dela ter jim pomagala pri vključevanju na trg dela, kar bi koristilo vsem. </w:t>
      </w:r>
    </w:p>
    <w:p>
      <w:pPr>
        <w:pStyle w:val="Normal"/>
        <w:rPr/>
      </w:pPr>
      <w:r>
        <w:rPr/>
        <w:t xml:space="preserve"> </w:t>
      </w:r>
    </w:p>
    <w:p>
      <w:pPr>
        <w:pStyle w:val="P68B1DB1Normal15"/>
        <w:rPr>
          <w:b/>
          <w:b/>
        </w:rPr>
      </w:pPr>
      <w:r>
        <w:rPr/>
        <w:t xml:space="preserve">5. Priporočamo, da se praksa netehničnih spretnosti vključi v vse šolske učne načrte. Z netehničnimi veščinami mislimo: medsebojno poslušanje, dialog, odpornost, razumevanje, spoštovanje in spoštovanje drugih, kritično razmišljanje, samoučenje ter ohranjanje radovednosti in rezultatov. Učitelje bi bilo treba usposobiti za prenos teh znanj in spretnosti s tesnim sodelovanjem s socialnimi delavci in/ali psihologi. Drugi predlogi za izvajanje: organizacija programov študentskih izmenjav med šolami, udeležba na medšolskih športnih in kulturnih prireditvah itd. </w:t>
      </w:r>
    </w:p>
    <w:p>
      <w:pPr>
        <w:pStyle w:val="Normal"/>
        <w:rPr/>
      </w:pPr>
      <w:r>
        <w:rPr/>
        <w:t xml:space="preserve"> </w:t>
      </w:r>
    </w:p>
    <w:p>
      <w:pPr>
        <w:pStyle w:val="Normal"/>
        <w:rPr/>
      </w:pPr>
      <w:r>
        <w:rPr/>
        <w:t xml:space="preserve">To priporočilo dajemo zato, ker so netehnične spretnosti potrebne osnovne spretnosti, ki so izgubljene v digitalni dobi in ki jih bodo naši mladi nujno potrebovali v svojem prihodnjem življenju. Zato vztrajamo pri vključevanju teh spretnosti v šolske učne načrte, da bi mladim pomagali pri odpornosti in preprečevanju ali premagovanju duševnih težav, ki bi jih lahko doživeli v svojem prihodnjem življenju. Socialne spretnosti krepijo odnose med ljudmi in tako pomagajo ljudem najti svoje mesto v družbi. </w:t>
      </w:r>
    </w:p>
    <w:p>
      <w:pPr>
        <w:pStyle w:val="Normal"/>
        <w:rPr/>
      </w:pPr>
      <w:r>
        <w:rPr/>
        <w:t xml:space="preserve"> </w:t>
      </w:r>
    </w:p>
    <w:p>
      <w:pPr>
        <w:pStyle w:val="P68B1DB1Normal15"/>
        <w:rPr>
          <w:b/>
          <w:b/>
        </w:rPr>
      </w:pPr>
      <w:r>
        <w:rPr/>
        <w:t xml:space="preserve">6. Priporočamo, da so v primeru resne krize (zdravstvena kriza, vojna itd.) dobro zasnovani načrti s podrobnimi scenariji pripravljeni na prožno uporabo, da bi čim bolj zmanjšali vpliv naših mladih na izobraževanje, poklicno usposabljanje in duševno dobro počutje itd. povečanje stroškov izobraževanja ali usposabljanja, obvezno podaljšanje študija, nezmožnost opravljanja pripravništva, povečanje težav z duševnim zdravjem. Te načrte je treba izvajati tako, da se čim bolj zmanjša vpliv na mlade in njihov prehod na trg dela. </w:t>
      </w:r>
    </w:p>
    <w:p>
      <w:pPr>
        <w:pStyle w:val="Normal"/>
        <w:rPr/>
      </w:pPr>
      <w:r>
        <w:rPr/>
        <w:t xml:space="preserve"> </w:t>
      </w:r>
    </w:p>
    <w:p>
      <w:pPr>
        <w:pStyle w:val="Normal"/>
        <w:rPr/>
      </w:pPr>
      <w:r>
        <w:rPr/>
        <w:t xml:space="preserve">To priporočilo dajemo zato, ker so mladi v času krize zelo ranljivi. </w:t>
      </w:r>
    </w:p>
    <w:p>
      <w:pPr>
        <w:pStyle w:val="Normal"/>
        <w:rPr/>
      </w:pPr>
      <w:r>
        <w:rPr/>
        <w:t xml:space="preserve"> </w:t>
      </w:r>
    </w:p>
    <w:p>
      <w:pPr>
        <w:pStyle w:val="Titre4"/>
        <w:numPr>
          <w:ilvl w:val="3"/>
          <w:numId w:val="2"/>
        </w:numPr>
        <w:rPr/>
      </w:pPr>
      <w:bookmarkStart w:id="109" w:name="__RefHeading___Toc297153_1346298689"/>
      <w:bookmarkEnd w:id="109"/>
      <w:r>
        <w:rPr/>
        <w:t xml:space="preserve">Podos 1.3 Digitalna preobrazba na delovnem mestu </w:t>
      </w:r>
    </w:p>
    <w:p>
      <w:pPr>
        <w:pStyle w:val="Normal"/>
        <w:rPr/>
      </w:pPr>
      <w:r>
        <w:rPr/>
        <w:t xml:space="preserve"> </w:t>
      </w:r>
    </w:p>
    <w:p>
      <w:pPr>
        <w:pStyle w:val="P68B1DB1Normal15"/>
        <w:rPr>
          <w:b/>
          <w:b/>
        </w:rPr>
      </w:pPr>
      <w:r>
        <w:rPr/>
        <w:t xml:space="preserve">7. Priporočamo, da EU uvede ali okrepi obstoječo zakonodajo o pametnem delu, tj. delu na spletu in delu na daljavo, npr. doma ali z drugega povezanega spletnega mesta. Prav tako priporočamo, da EU sprejme zakonodajo za spodbujanje podjetij k družbeni odgovornosti in ohranjanju kakovostnih mobilnih delovnih mest v EU. Spodbude so lahko finančne narave in/ali vplivajo na podobo podjetja ter bi morale upoštevati mednarodno priznana okoljska, socialna in upravljavska merila. V ta namen bi morala EU ustanoviti delovno skupino, ki bi jo sestavljali strokovnjaki iz vseh zainteresiranih strani, da bi pregledala in okrepila to zakonodajo. </w:t>
      </w:r>
    </w:p>
    <w:p>
      <w:pPr>
        <w:pStyle w:val="Normal"/>
        <w:rPr/>
      </w:pPr>
      <w:r>
        <w:rPr/>
        <w:t xml:space="preserve"> </w:t>
      </w:r>
    </w:p>
    <w:p>
      <w:pPr>
        <w:pStyle w:val="Normal"/>
        <w:rPr/>
      </w:pPr>
      <w:r>
        <w:rPr/>
        <w:t xml:space="preserve">To priporočilo dajemo zato, ker moramo spodbujati kakovostna mobilna delovna mesta in preprečiti njihovo selitev v tretje države z nižjimi stroški. Pandemija COVID-19 in svetovni gospodarski trendi poudarjajo nujnost zaščite delovnih mest v EU in zakonske ureditve mobilnega dela. </w:t>
      </w:r>
    </w:p>
    <w:p>
      <w:pPr>
        <w:pStyle w:val="Normal"/>
        <w:rPr/>
      </w:pPr>
      <w:r>
        <w:rPr/>
        <w:t xml:space="preserve"> </w:t>
      </w:r>
    </w:p>
    <w:p>
      <w:pPr>
        <w:pStyle w:val="P68B1DB1Normal15"/>
        <w:rPr>
          <w:b/>
          <w:b/>
        </w:rPr>
      </w:pPr>
      <w:r>
        <w:rPr/>
        <w:t xml:space="preserve">8. Priporočamo, da EU vsem državljanom EU zagotovi pravico do digitalnega usposabljanja. Zlasti bi bilo mogoče digitalna znanja in spretnosti mladih okrepiti z uvedbo certifikata EU v šolah, ki bi jih pripravil na prihodnji trg dela. Priporočamo tudi posebno usposabljanje na ravni EU za prekvalifikacijo in izpopolnjevanje delavcev, da bodo ostali konkurenčni na trgu dela. Nazadnje priporočamo, da EU ozavešča o obstoječih digitalnih platformah, ki povezujejo državljane z delodajalci in jim pomagajo pri iskanju zaposlitve v EU, npr. EURES. </w:t>
      </w:r>
    </w:p>
    <w:p>
      <w:pPr>
        <w:pStyle w:val="Normal"/>
        <w:rPr/>
      </w:pPr>
      <w:r>
        <w:rPr/>
        <w:t xml:space="preserve"> </w:t>
      </w:r>
    </w:p>
    <w:p>
      <w:pPr>
        <w:pStyle w:val="Normal"/>
        <w:rPr/>
      </w:pPr>
      <w:r>
        <w:rPr/>
        <w:t xml:space="preserve">To priporočilo podajamo, ker so certificirana digitalna znanja in spretnosti bistvenega pomena za dostop do trga dela ter za prekvalifikacijo delavcev in ohranjanje konkurenčnosti. </w:t>
      </w:r>
    </w:p>
    <w:p>
      <w:pPr>
        <w:pStyle w:val="Normal"/>
        <w:rPr/>
      </w:pPr>
      <w:r>
        <w:rPr/>
        <w:t xml:space="preserve"> </w:t>
      </w:r>
    </w:p>
    <w:p>
      <w:pPr>
        <w:pStyle w:val="Titre3"/>
        <w:numPr>
          <w:ilvl w:val="2"/>
          <w:numId w:val="2"/>
        </w:numPr>
        <w:rPr/>
      </w:pPr>
      <w:bookmarkStart w:id="110" w:name="__RefHeading___Toc297155_1346298689"/>
      <w:bookmarkEnd w:id="110"/>
      <w:r>
        <w:rPr/>
        <w:t xml:space="preserve">Os 2 – V prihodnost usmerjeno gospodarstvo </w:t>
      </w:r>
    </w:p>
    <w:p>
      <w:pPr>
        <w:pStyle w:val="Normal"/>
        <w:rPr/>
      </w:pPr>
      <w:r>
        <w:rPr/>
        <w:t xml:space="preserve"> </w:t>
      </w:r>
    </w:p>
    <w:p>
      <w:pPr>
        <w:pStyle w:val="Titre4"/>
        <w:numPr>
          <w:ilvl w:val="3"/>
          <w:numId w:val="2"/>
        </w:numPr>
        <w:rPr/>
      </w:pPr>
      <w:bookmarkStart w:id="111" w:name="__RefHeading___Toc297157_1346298689"/>
      <w:bookmarkEnd w:id="111"/>
      <w:r>
        <w:rPr/>
        <w:t xml:space="preserve">Podos 2.1 Inovacije in evropska konkurenčnost </w:t>
      </w:r>
    </w:p>
    <w:p>
      <w:pPr>
        <w:pStyle w:val="Normal"/>
        <w:rPr/>
      </w:pPr>
      <w:r>
        <w:rPr/>
        <w:t xml:space="preserve"> </w:t>
      </w:r>
    </w:p>
    <w:p>
      <w:pPr>
        <w:pStyle w:val="P68B1DB1Normal15"/>
        <w:rPr>
          <w:b/>
          <w:b/>
        </w:rPr>
      </w:pPr>
      <w:r>
        <w:rPr/>
        <w:t xml:space="preserve">9. Priporočamo, da EU ustvari priložnosti za naložbe v raziskave in inovacije za različne subjekte (univerze, podjetja, raziskovalne inštitute itd.), da bi razvili: </w:t>
      </w:r>
    </w:p>
    <w:p>
      <w:pPr>
        <w:pStyle w:val="P68B1DB1Normal15"/>
        <w:rPr>
          <w:b/>
          <w:b/>
        </w:rPr>
      </w:pPr>
      <w:r>
        <w:rPr/>
        <w:t xml:space="preserve">● </w:t>
      </w:r>
      <w:r>
        <w:rPr/>
        <w:t xml:space="preserve">nove, bolj trajnostne in biodiverzificirane materiale, ki bodo nadomestili tiste, ki se trenutno uporabljajo, </w:t>
      </w:r>
    </w:p>
    <w:p>
      <w:pPr>
        <w:pStyle w:val="P68B1DB1Normal15"/>
        <w:rPr>
          <w:b/>
          <w:b/>
        </w:rPr>
      </w:pPr>
      <w:r>
        <w:rPr/>
        <w:t xml:space="preserve">● </w:t>
      </w:r>
      <w:r>
        <w:rPr/>
        <w:t xml:space="preserve">inovativne uporabe obstoječih materialov (ki med drugim temeljijo na recikliranju in najsodobnejših tehnikah z najmanjšim okoljskim odtisom). </w:t>
      </w:r>
    </w:p>
    <w:p>
      <w:pPr>
        <w:pStyle w:val="Normal"/>
        <w:rPr/>
      </w:pPr>
      <w:r>
        <w:rPr>
          <w:b/>
        </w:rPr>
        <w:t>Priporočamo, da je to trajna in dolgoročna zaveza EU (vsaj do leta 2050).</w:t>
      </w:r>
      <w:r>
        <w:rPr/>
        <w:t xml:space="preserve"> </w:t>
      </w:r>
    </w:p>
    <w:p>
      <w:pPr>
        <w:pStyle w:val="Normal"/>
        <w:rPr/>
      </w:pPr>
      <w:r>
        <w:rPr/>
        <w:t xml:space="preserve"> </w:t>
      </w:r>
    </w:p>
    <w:p>
      <w:pPr>
        <w:pStyle w:val="Normal"/>
        <w:rPr/>
      </w:pPr>
      <w:r>
        <w:rPr/>
        <w:t xml:space="preserve">To priporočilo dajemo zato, ker živimo na planetu z omejenimi viri. Če želimo imeti prihodnost, moramo zaščititi podnebje in poiskati alternative, ki spoštujejo planet. Želimo tudi, da bi EU postala vodilni akter na tem področju z močno konkurenčno prednostjo na mednarodnem prizorišču. Cilj priporočila je doseči inovativne rezultate, ki jih je mogoče uporabiti v velikem obsegu in jih je mogoče izvajati na različnih področjih in v različnih državah. Pozitivno bi vplival tudi na gospodarstvo in trg dela z ustvarjanjem novih zaposlitvenih možnosti na področju trajnostnih inovacij. To bi lahko prispevalo k boju proti socialnim krivicam do te mere, da bi sedanja produkcijska sredstva, ki temeljijo na izkoriščanju, nadomestila druga, bolj etična. </w:t>
      </w:r>
    </w:p>
    <w:p>
      <w:pPr>
        <w:pStyle w:val="Normal"/>
        <w:rPr/>
      </w:pPr>
      <w:r>
        <w:rPr/>
        <w:t xml:space="preserve"> </w:t>
      </w:r>
    </w:p>
    <w:p>
      <w:pPr>
        <w:pStyle w:val="P68B1DB1Normal15"/>
        <w:rPr>
          <w:b/>
          <w:b/>
        </w:rPr>
      </w:pPr>
      <w:r>
        <w:rPr/>
        <w:t xml:space="preserve">10. Priporočamo, da se EU dolgoročno zaveže, da bo znatno povečevala svoj delež trajnostno proizvedene energije z uporabo širokega spektra obnovljivih virov z najnižjim okoljskim odtisom (na podlagi celovite analize življenjskega cikla). Poleg tega bi morala EU vlagati v izboljšanje in ohranjanje kakovosti elektroenergetske infrastrukture in omrežja. Priporočamo tudi, da se dostop do energije in cenovna dostopnost priznata kot temeljna pravica državljanov. </w:t>
      </w:r>
    </w:p>
    <w:p>
      <w:pPr>
        <w:pStyle w:val="P68B1DB1Normal15"/>
        <w:rPr>
          <w:b/>
          <w:b/>
        </w:rPr>
      </w:pPr>
      <w:r>
        <w:rPr/>
        <w:t xml:space="preserve"> </w:t>
      </w:r>
    </w:p>
    <w:p>
      <w:pPr>
        <w:pStyle w:val="Normal"/>
        <w:rPr/>
      </w:pPr>
      <w:r>
        <w:rPr/>
        <w:t xml:space="preserve">To priporočilo dajemo iz naslednjih razlogov: </w:t>
      </w:r>
    </w:p>
    <w:p>
      <w:pPr>
        <w:pStyle w:val="Normal"/>
        <w:rPr/>
      </w:pPr>
      <w:r>
        <w:rPr/>
        <w:t xml:space="preserve">● </w:t>
      </w:r>
      <w:r>
        <w:rPr/>
        <w:t xml:space="preserve">diverzifikacija energetskih virov (vključno s sončno energijo, vetrom, vodikom, morsko vodo ali katero koli drugo trajnostno metodo v prihodnosti) bi povečala energetsko neodvisnost EU; </w:t>
      </w:r>
    </w:p>
    <w:p>
      <w:pPr>
        <w:pStyle w:val="Normal"/>
        <w:rPr/>
      </w:pPr>
      <w:r>
        <w:rPr/>
        <w:t xml:space="preserve">● </w:t>
      </w:r>
      <w:r>
        <w:rPr/>
        <w:t xml:space="preserve">s tem bi se zmanjšali stroški električne energije za državljane EU; </w:t>
      </w:r>
    </w:p>
    <w:p>
      <w:pPr>
        <w:pStyle w:val="Normal"/>
        <w:rPr/>
      </w:pPr>
      <w:r>
        <w:rPr/>
        <w:t xml:space="preserve">● </w:t>
      </w:r>
      <w:r>
        <w:rPr/>
        <w:t xml:space="preserve">ustvarjanje delovnih mest in prestrukturiranje energetskega trga (zlasti v regijah, ki so se doslej zanašale na fosilna goriva); </w:t>
      </w:r>
    </w:p>
    <w:p>
      <w:pPr>
        <w:pStyle w:val="Normal"/>
        <w:rPr/>
      </w:pPr>
      <w:r>
        <w:rPr/>
        <w:t xml:space="preserve">● </w:t>
      </w:r>
      <w:r>
        <w:rPr/>
        <w:t xml:space="preserve">bi lahko spodbudil znanstveni razvoj inovativnih tehnik oskrbe z energijo; </w:t>
      </w:r>
    </w:p>
    <w:p>
      <w:pPr>
        <w:pStyle w:val="Normal"/>
        <w:rPr/>
      </w:pPr>
      <w:r>
        <w:rPr/>
        <w:t xml:space="preserve">● </w:t>
      </w:r>
      <w:r>
        <w:rPr/>
        <w:t xml:space="preserve">kakovost električne infrastrukture in omrežja je prav tako pomembna kot viri energije, saj omogoča nemoteno, učinkovito in cenovno dostopno distribucijo in prenos energije. </w:t>
      </w:r>
    </w:p>
    <w:p>
      <w:pPr>
        <w:pStyle w:val="Normal"/>
        <w:rPr/>
      </w:pPr>
      <w:r>
        <w:rPr/>
        <w:t xml:space="preserve"> </w:t>
      </w:r>
    </w:p>
    <w:p>
      <w:pPr>
        <w:pStyle w:val="P68B1DB1Normal15"/>
        <w:rPr>
          <w:b/>
          <w:b/>
        </w:rPr>
      </w:pPr>
      <w:r>
        <w:rPr/>
        <w:t xml:space="preserve">11. Priporočamo, da EU dejavno spodbuja okolju prijaznejše proizvodne procese s subvencioniranjem ali drugačnim nagrajevanjem podjetij, ki vlagajo v zmanjšanje okoljskih stroškov svoje proizvodnje. Pozivamo tudi k prizadevanjem za rast postindustrijskih območij in ustvarjanje zaščitenih zelenih površin okoli obstoječih območij. Od podjetij bi bilo treba zahtevati, da ta prizadevanja vsaj delno financirajo z lastnim denarjem. </w:t>
      </w:r>
    </w:p>
    <w:p>
      <w:pPr>
        <w:pStyle w:val="Normal"/>
        <w:rPr/>
      </w:pPr>
      <w:r>
        <w:rPr/>
        <w:t xml:space="preserve"> </w:t>
      </w:r>
    </w:p>
    <w:p>
      <w:pPr>
        <w:pStyle w:val="Normal"/>
        <w:rPr/>
      </w:pPr>
      <w:r>
        <w:rPr/>
        <w:t xml:space="preserve">To priporočilo dajemo zato, ker so proizvodni procesi pomemben del dobavne verige. Če bi postali okolju prijaznejši, bi lahko znatno zmanjšali naš vpliv na podnebje. Menimo, da bi morala podjetja in industrija odgovarjati za način, na katerega proizvajajo svoje izdelke (vključno z ukrepi za rekultivacijo in varstvo okolja). Okolju prijaznejši proizvodni proces podjetja pripravlja tudi na prihodnost in krepi njihovo odpornost (ki ščiti delovna mesta). </w:t>
      </w:r>
    </w:p>
    <w:p>
      <w:pPr>
        <w:pStyle w:val="Normal"/>
        <w:rPr/>
      </w:pPr>
      <w:r>
        <w:rPr/>
      </w:r>
    </w:p>
    <w:p>
      <w:pPr>
        <w:pStyle w:val="Titre4"/>
        <w:numPr>
          <w:ilvl w:val="3"/>
          <w:numId w:val="2"/>
        </w:numPr>
        <w:rPr/>
      </w:pPr>
      <w:bookmarkStart w:id="112" w:name="__RefHeading___Toc297159_1346298689"/>
      <w:bookmarkEnd w:id="112"/>
      <w:r>
        <w:rPr/>
        <w:t xml:space="preserve">Podos 2.2 Trajnostno gospodarstvo/podosna os 2.3 Obdavčitev </w:t>
      </w:r>
    </w:p>
    <w:p>
      <w:pPr>
        <w:pStyle w:val="Normal"/>
        <w:rPr/>
      </w:pPr>
      <w:r>
        <w:rPr/>
        <w:t xml:space="preserve"> </w:t>
      </w:r>
    </w:p>
    <w:p>
      <w:pPr>
        <w:pStyle w:val="P68B1DB1Normal15"/>
        <w:rPr>
          <w:b/>
          <w:b/>
        </w:rPr>
      </w:pPr>
      <w:r>
        <w:rPr/>
        <w:t xml:space="preserve">12. Priporočamo opustitev plastične embalaže in posploševanje embalaže za večkratno uporabo. Potrošnike in podjetja bi bilo treba spodbujati, da za potrošnika ne bi bilo dražje kupovati proizvode v razsutem stanju („v razsutem stanju“ v angleščini ali „sfuso“ v italijanščini) kot pakirani proizvodi. Podjetja, ki prispevajo k temu prehodu, bi morala imeti koristi od davčnih ugodnosti, druga pa bi morala plačati več davkov. Proizvode, ki jih ni mogoče ponovno uporabiti, je treba reciklirati in/ali biološko razgradljive. Ustanoviti je treba javno ali nadzorno institucijo, ki bo odgovorna za spremljanje, določanje pravil in njihovo razširjanje vsem. Priporočljivo je, da se o teh ukrepih izobražuje in komunicira – tudi prek družbenih medijev – ter da se tako podjetja kot potrošniki povežejo, da spremenijo svoje dolgoročno vedenje. Podjetja (npr. gradbena podjetja) bi bilo treba spodbujati in jim pomagati pri iskanju najboljših rešitev za njihove odpadke. </w:t>
      </w:r>
    </w:p>
    <w:p>
      <w:pPr>
        <w:pStyle w:val="Normal"/>
        <w:rPr/>
      </w:pPr>
      <w:r>
        <w:rPr/>
        <w:t xml:space="preserve"> </w:t>
      </w:r>
    </w:p>
    <w:p>
      <w:pPr>
        <w:pStyle w:val="Normal"/>
        <w:rPr/>
      </w:pPr>
      <w:r>
        <w:rPr/>
        <w:t xml:space="preserve">To priporočilo dajemo, ker moramo biti vsi odgovorni za svoja dejanja. Zato moramo ponovno razmisliti o vseh proizvodnih procesih. Recikliranje zahteva veliko virov (voda, energija) in zato ne more biti edina rešitev, zato ponujamo prodajo izdelkov v razsutem stanju. Recikliranje bi bilo treba uporabljati le za materiale, ki jih je mogoče enostavno reciklirati, iz finskega primera pa smo se naučili, da je recikliranje mogoče v velikem obsegu. </w:t>
      </w:r>
    </w:p>
    <w:p>
      <w:pPr>
        <w:pStyle w:val="Normal"/>
        <w:rPr/>
      </w:pPr>
      <w:r>
        <w:rPr/>
      </w:r>
    </w:p>
    <w:p>
      <w:pPr>
        <w:pStyle w:val="P68B1DB1Normal15"/>
        <w:rPr>
          <w:b/>
          <w:b/>
        </w:rPr>
      </w:pPr>
      <w:r>
        <w:rPr/>
        <w:t xml:space="preserve">13. Priporočamo, da imajo enaka davčna pravila po vsej Evropi in usklajujejo davčno politiko po vsej EU. Usklajevanje na tem področju bi moralo posameznim državam članicam omogočiti, da same določijo svoja pravila, hkrati pa se izogibajo davčnim utajam. To bo odpravilo škodljive davčne prakse in davčno konkurenco. Za trgovinske posle bi bilo treba uvesti davke, če se izvajajo: ko podjetje prodaja v državi, mora plačati davke v tej državi. Cilj teh novih pravil bi bil preprečiti preselitev in zagotoviti, da se proizvodnja in transakcije izvajajo med evropskimi državami. </w:t>
      </w:r>
    </w:p>
    <w:p>
      <w:pPr>
        <w:pStyle w:val="Normal"/>
        <w:rPr/>
      </w:pPr>
      <w:r>
        <w:rPr/>
        <w:t xml:space="preserve"> </w:t>
      </w:r>
    </w:p>
    <w:p>
      <w:pPr>
        <w:pStyle w:val="Normal"/>
        <w:rPr/>
      </w:pPr>
      <w:r>
        <w:rPr/>
        <w:t xml:space="preserve">To priporočilo podajamo za zaščito in razvoj zaposlovanja in gospodarske dejavnosti v Evropi na način, ki je pravičen do vseh držav članic. Na ta način bo Evropa imela skupno razumevanje davčnega sistema, absurden monopol zelo velikih podjetij, ki ne plačujejo dovolj davkov v primerjavi z manjšimi podjetji, pa bo odpravljen. Poleg tega bodo finančna sredstva preusmerjena tja, kjer se izvajajo komercialne dejavnosti. </w:t>
      </w:r>
    </w:p>
    <w:p>
      <w:pPr>
        <w:pStyle w:val="Normal"/>
        <w:rPr/>
      </w:pPr>
      <w:r>
        <w:rPr/>
        <w:t xml:space="preserve"> </w:t>
      </w:r>
    </w:p>
    <w:p>
      <w:pPr>
        <w:pStyle w:val="P68B1DB1Normal15"/>
        <w:rPr>
          <w:b/>
          <w:b/>
        </w:rPr>
      </w:pPr>
      <w:r>
        <w:rPr/>
        <w:t xml:space="preserve">14. Priporočamo odstranitev programiranega zastarelega sistema z vseh elektronskih naprav. Sprememba bi morala potekati posamično in komercialno, da se zagotovi dolgoročno popravilo in nadgradnja naprav ter dolgotrajna hramba. Priporočamo promocijo prenovljenih naprav. Predpisi bi morali od podjetij zahtevati, da zagotovijo pravico do popravila, vključno z nadgradnjami in posodobitvami programske opreme, ter dolgoročno reciklirajo vse naprave. Prav tako je priporočljivo, da vsako podjetje uporablja standardne konektorje. </w:t>
      </w:r>
    </w:p>
    <w:p>
      <w:pPr>
        <w:pStyle w:val="P68B1DB1Normal15"/>
        <w:rPr>
          <w:b/>
          <w:b/>
        </w:rPr>
      </w:pPr>
      <w:r>
        <w:rPr/>
        <w:t xml:space="preserve"> </w:t>
      </w:r>
    </w:p>
    <w:p>
      <w:pPr>
        <w:pStyle w:val="Normal"/>
        <w:rPr/>
      </w:pPr>
      <w:r>
        <w:rPr/>
        <w:t xml:space="preserve">To priporočilo dajemo zato, ker v sodobnem svetu izdelki običajno trajajo dve leti in naša želja je, da imajo veliko daljšo življenjsko dobo, približno 10 let. Ta predlog bo pozitivno vplival na podnebne spremembe in ekologijo. S tem se bodo zmanjšali tudi stroški za potrošnike in potrošništvo. </w:t>
      </w:r>
    </w:p>
    <w:p>
      <w:pPr>
        <w:pStyle w:val="Normal"/>
        <w:rPr/>
      </w:pPr>
      <w:r>
        <w:rPr/>
      </w:r>
    </w:p>
    <w:p>
      <w:pPr>
        <w:pStyle w:val="P68B1DB1Normal15"/>
        <w:rPr>
          <w:b/>
          <w:b/>
        </w:rPr>
      </w:pPr>
      <w:r>
        <w:rPr/>
        <w:t xml:space="preserve">15. Vsem priporočamo, da z izobraževanjem izveste več o našem okolju in njegovih povezavah z zdravjem posameznika. Izobraževalne poti bodo pomagale vsakomur opredeliti svoje osebne strategije za vključevanje teh tem v njihovo vsakdanje življenje. To izobraževanje se mora začeti v šoli s posebnimi predmeti, ki obravnavajo vsa ekološka vprašanja, in se moramo še naprej izobraževati vse življenje (na primer na delovnem mestu). Prispeval bo k zmanjšanju odpadkov ter varstvu okolja in zdravja ljudi ter spodbujal lokalno porabo zdravih in nepredelanih proizvodov lokalnih proizvajalcev. Tisti, ki ne storijo ničesar, da bi zmanjšali svoje odpadke, bodo morali imeti brezplačno usposabljanje na tem področju. Da bi prilagodili način življenja, morajo biti cene poštene tako za proizvajalca kot za potrošnika. Zato predlagamo, da imajo mali, okolju prijazni lokalni proizvajalci koristi od davčnih oprostitev. </w:t>
      </w:r>
    </w:p>
    <w:p>
      <w:pPr>
        <w:pStyle w:val="Normal"/>
        <w:rPr/>
      </w:pPr>
      <w:r>
        <w:rPr/>
        <w:t xml:space="preserve"> </w:t>
      </w:r>
    </w:p>
    <w:p>
      <w:pPr>
        <w:pStyle w:val="Normal"/>
        <w:rPr/>
      </w:pPr>
      <w:r>
        <w:rPr/>
        <w:t xml:space="preserve">To priporočilo dajemo zato, ker verjamemo, da mnogi ljudje še niso zaskrbljeni zaradi teh vprašanj. Zato je treba vzpostaviti izobraževanje za vse. Poleg tega so lokalni in zdravi izdelki za mnoge ljudi nedostopni. Zagotoviti moramo, da so lokalni izdelki bolj dostopni vsem. </w:t>
      </w:r>
    </w:p>
    <w:p>
      <w:pPr>
        <w:pStyle w:val="Normal"/>
        <w:rPr/>
      </w:pPr>
      <w:r>
        <w:rPr/>
      </w:r>
    </w:p>
    <w:p>
      <w:pPr>
        <w:pStyle w:val="Titre4"/>
        <w:numPr>
          <w:ilvl w:val="3"/>
          <w:numId w:val="2"/>
        </w:numPr>
        <w:rPr/>
      </w:pPr>
      <w:bookmarkStart w:id="113" w:name="__RefHeading___Toc297161_1346298689"/>
      <w:bookmarkEnd w:id="113"/>
      <w:r>
        <w:rPr/>
        <w:t xml:space="preserve">Podos 2.4 Kmetijstvo/podosna os 2.5 Digitalna infrastruktura </w:t>
      </w:r>
    </w:p>
    <w:p>
      <w:pPr>
        <w:pStyle w:val="Normal"/>
        <w:rPr/>
      </w:pPr>
      <w:r>
        <w:rPr/>
        <w:t xml:space="preserve"> </w:t>
      </w:r>
    </w:p>
    <w:p>
      <w:pPr>
        <w:pStyle w:val="P68B1DB1Normal15"/>
        <w:rPr>
          <w:b/>
          <w:b/>
        </w:rPr>
      </w:pPr>
      <w:r>
        <w:rPr/>
        <w:t xml:space="preserve">16. Priporočamo uvedbo skupnega evropskega sistema označevanja potrošnikov in hranilne vrednosti, ki je lahko razumljiv (npr. alergeni, država porekla itd.); priporočamo preglednost tekočih postopkov odobritve in digitalizacijo informacij o izdelkih prek standardizirane evropske aplikacije, ki bi zagotovila uporabniku prijaznejši dostop do informacij ter dodatne informacije o proizvodih in proizvodni verigi. Vidimo tudi potrebo po resnično neodvisnem organu, ki ureja živilske standarde po vsej EU in ima zakonodajna pooblastila za izvrševanje sankcij. </w:t>
      </w:r>
    </w:p>
    <w:p>
      <w:pPr>
        <w:pStyle w:val="Normal"/>
        <w:rPr/>
      </w:pPr>
      <w:r>
        <w:rPr/>
        <w:t xml:space="preserve"> </w:t>
      </w:r>
    </w:p>
    <w:p>
      <w:pPr>
        <w:pStyle w:val="Normal"/>
        <w:rPr/>
      </w:pPr>
      <w:r>
        <w:rPr/>
        <w:t xml:space="preserve">Ta priporočila podajamo, ker bi morali imeti vsi državljani EU možnost, da se zanesejo na enako kakovost hrane. Celovitost živil je potrebna za zagotovitev varnosti državljanov. Ta priporočila so bila oblikovana za usklajeno izboljšanje spremljanja postopkov odobritve in preglednosti proizvodnje hrane. </w:t>
      </w:r>
    </w:p>
    <w:p>
      <w:pPr>
        <w:pStyle w:val="Normal"/>
        <w:rPr/>
      </w:pPr>
      <w:r>
        <w:rPr/>
      </w:r>
    </w:p>
    <w:p>
      <w:pPr>
        <w:pStyle w:val="P68B1DB1Normal15"/>
        <w:rPr>
          <w:b/>
          <w:b/>
        </w:rPr>
      </w:pPr>
      <w:r>
        <w:rPr/>
        <w:t xml:space="preserve">17. Priporočamo, da je infrastruktura v lasti države, da se prepreči nastanek monopolov v sektorju telekomunikacij in internetnih storitev. Dostop do interneta bi moral biti pravica; prednostna naloga bi morala biti vključitev internetne povezave v „bele lise/mrtva območja“ (območja brez dostopa do interneta). Otroci in družine so pri dostopu do interneta in računalniške opreme prednostna naloga, zlasti kar zadeva izobraževanje in zlasti v času pandemije. Potrebna je pobuda za podporo delu na daljavo, na primer z ustvarjanjem pisarniških prostorov z dostopom do hitre in zanesljive internetne povezave ali z organizacijo digitalnega usposabljanja. </w:t>
      </w:r>
    </w:p>
    <w:p>
      <w:pPr>
        <w:pStyle w:val="Normal"/>
        <w:rPr/>
      </w:pPr>
      <w:r>
        <w:rPr/>
        <w:t xml:space="preserve"> </w:t>
      </w:r>
    </w:p>
    <w:p>
      <w:pPr>
        <w:pStyle w:val="Normal"/>
        <w:rPr/>
      </w:pPr>
      <w:r>
        <w:rPr/>
        <w:t xml:space="preserve">To priporočilo dajemo zato, ker moramo zagotoviti, da bo digitalna preobrazba izvedena pošteno. Dostop do interneta je temeljnega pomena za demokracijo in pravica vseh evropskih državljanov. </w:t>
      </w:r>
    </w:p>
    <w:p>
      <w:pPr>
        <w:pStyle w:val="Normal"/>
        <w:rPr/>
      </w:pPr>
      <w:r>
        <w:rPr/>
      </w:r>
    </w:p>
    <w:p>
      <w:pPr>
        <w:pStyle w:val="Normal"/>
        <w:rPr/>
      </w:pPr>
      <w:r>
        <w:rPr>
          <w:b/>
        </w:rPr>
        <w:t>18. Priporočamo spoštovanje lokalnih žuželk in njihovo zaščito pred invazivnimi vrstami. Predlagamo tudi spodbujanje in obrambo obveznosti zagotavljanja zelenih površin v novih urbanističnih projektih. Pozivamo, naj biotska raznovrstnost postane obvezen predmet v šolah in naj bo predmet šolskih dejavnosti, na primer praktičnih dejavnosti. Pomembno je povečati ozaveščenost javnosti o biotski raznovrstnosti z medijskimi kampanjami in „konkurencami“, ki se spodbujajo po vsej EU (tekme na ravni lokalnih skupnosti). Sodišče priporoča določitev zavezujočih nacionalnih ciljev v vseh državah članicah EU za ponovno pogozdovanje avtohtonih dreves in ponovno uvedbo lokalne flore</w:t>
      </w:r>
      <w:r>
        <w:rPr/>
        <w:t xml:space="preserve">. </w:t>
      </w:r>
    </w:p>
    <w:p>
      <w:pPr>
        <w:pStyle w:val="Normal"/>
        <w:rPr/>
      </w:pPr>
      <w:r>
        <w:rPr/>
        <w:t xml:space="preserve"> </w:t>
      </w:r>
    </w:p>
    <w:p>
      <w:pPr>
        <w:pStyle w:val="Normal"/>
        <w:rPr/>
      </w:pPr>
      <w:r>
        <w:rPr/>
        <w:t xml:space="preserve">To priporočilo podajamo, ker je biotska raznovrstnost bistvena za okolje, kakovost življenja in boj proti podnebnim spremembam.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Os 3 Pravična družba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Podos 3.1 Socialna varnost </w:t>
      </w:r>
    </w:p>
    <w:p>
      <w:pPr>
        <w:pStyle w:val="Normal"/>
        <w:rPr/>
      </w:pPr>
      <w:r>
        <w:rPr/>
        <w:t xml:space="preserve"> </w:t>
      </w:r>
    </w:p>
    <w:p>
      <w:pPr>
        <w:pStyle w:val="P68B1DB1Normal15"/>
        <w:rPr>
          <w:b/>
          <w:b/>
        </w:rPr>
      </w:pPr>
      <w:r>
        <w:rPr/>
        <w:t xml:space="preserve">19. Priporočamo spodbujanje enakih pravic in socialnih politik, vključno z zdravstvenimi politikami, ki so usklajene po vsej EU, ob upoštevanju sprejetih predpisov in minimalnih zahtev po vsej državi. </w:t>
      </w:r>
    </w:p>
    <w:p>
      <w:pPr>
        <w:pStyle w:val="Normal"/>
        <w:rPr/>
      </w:pPr>
      <w:r>
        <w:rPr/>
        <w:t xml:space="preserve"> </w:t>
      </w:r>
    </w:p>
    <w:p>
      <w:pPr>
        <w:pStyle w:val="Normal"/>
        <w:rPr/>
      </w:pPr>
      <w:r>
        <w:rPr/>
        <w:t xml:space="preserve">To priporočilo podajamo, ker med državami članicami obstajajo velike razlike v socialnih politikah, ki jih je treba zmanjšati, da bi vsem državljanom zagotovili dostojno življenje in zagotovili potrebno oskrbo in podporo ranljivim osebam iz različnih razlogov (zdravje, starost, spolna usmerjenost itd.). </w:t>
      </w:r>
    </w:p>
    <w:p>
      <w:pPr>
        <w:pStyle w:val="Normal"/>
        <w:rPr/>
      </w:pPr>
      <w:r>
        <w:rPr/>
      </w:r>
    </w:p>
    <w:p>
      <w:pPr>
        <w:pStyle w:val="P68B1DB1Normal15"/>
        <w:rPr>
          <w:b/>
          <w:b/>
        </w:rPr>
      </w:pPr>
      <w:r>
        <w:rPr/>
        <w:t xml:space="preserve">20. Priporočamo spodbujanje socialnih in zdravstvenih raziskav v EU v skladu s prednostnimi vrsticami, ki so v javnem interesu in so jih odobrile države članice, ter zagotavljanje ustreznega financiranja. Okrepiti moramo sodelovanje med strokovnimi področji, državami, študijskimi centri (univerze itd.). </w:t>
      </w:r>
    </w:p>
    <w:p>
      <w:pPr>
        <w:pStyle w:val="Normal"/>
        <w:rPr/>
      </w:pPr>
      <w:r>
        <w:rPr/>
        <w:t xml:space="preserve"> </w:t>
      </w:r>
    </w:p>
    <w:p>
      <w:pPr>
        <w:pStyle w:val="Normal"/>
        <w:rPr/>
      </w:pPr>
      <w:r>
        <w:rPr/>
        <w:t xml:space="preserve">To priporočilo dajemo zato, ker obstaja veliko področij, na katerih moramo izboljšati in poglobiti svoje znanje. Izkušnje s pandemijo so primer, kako so raziskave bistvene za izboljšanje življenja, da je sodelovanje med javnim in zasebnim sektorjem ter med vladami bistvenega pomena in da je potrebna finančna podpora. </w:t>
      </w:r>
    </w:p>
    <w:p>
      <w:pPr>
        <w:pStyle w:val="Normal"/>
        <w:rPr/>
      </w:pPr>
      <w:r>
        <w:rPr/>
      </w:r>
    </w:p>
    <w:p>
      <w:pPr>
        <w:pStyle w:val="P68B1DB1Normal15"/>
        <w:rPr>
          <w:b/>
          <w:b/>
        </w:rPr>
      </w:pPr>
      <w:r>
        <w:rPr/>
        <w:t xml:space="preserve">21. Priporočamo, da ima EU večjo pristojnost na področju socialnih politik, da bi uskladila minimalna pravila in pokojninske prejemke po vsej EU ter uvedla nove na podlagi temeljite diagnoze. Minimalna pokojnina mora biti nad pragom revščine v državi. Upokojitvena starost bi se morala razlikovati glede na poklicne kategorije in bi morala biti nižja za duševno in fizično zahtevne poklice. Hkrati bi bilo treba starejšim, ki želijo nadaljevati prostovoljno delo, zagotoviti pravico do dela. </w:t>
      </w:r>
    </w:p>
    <w:p>
      <w:pPr>
        <w:pStyle w:val="Normal"/>
        <w:rPr/>
      </w:pPr>
      <w:r>
        <w:rPr/>
        <w:t xml:space="preserve"> </w:t>
      </w:r>
    </w:p>
    <w:p>
      <w:pPr>
        <w:pStyle w:val="Normal"/>
        <w:rPr/>
      </w:pPr>
      <w:r>
        <w:rPr/>
        <w:t xml:space="preserve">To priporočilo dajemo zato, ker se pričakovana življenjska doba daljša, rodnost pa se zmanjša. Evropsko prebivalstvo se stara, zato moramo sprejeti nadaljnje ukrepe, da se izognemo tveganju marginalizacije starejših in jim zagotovimo dostojno življenje. </w:t>
      </w:r>
    </w:p>
    <w:p>
      <w:pPr>
        <w:pStyle w:val="Normal"/>
        <w:rPr/>
      </w:pPr>
      <w:r>
        <w:rPr/>
        <w:t xml:space="preserve"> </w:t>
      </w:r>
    </w:p>
    <w:p>
      <w:pPr>
        <w:pStyle w:val="Normal"/>
        <w:rPr/>
      </w:pPr>
      <w:r>
        <w:rPr>
          <w:b/>
        </w:rPr>
        <w:t>22. Priporočamo sprejetje sklopa ukrepov za spodbujanje povečanja rodnosti in zagotavljanje ustreznih rešitev za varstvo otrok. Ti ukrepi bi morali med drugim zajemati cenovno ugodne in dostopne storitve otroškega varstva (na delovnem mestu, ponoči, znižan DDV za otroške objekte), nastanitev, stabilnost zaposlitve, podporo materinstvu, posebno podporo in varstvo pri delu za mlade in starše ter podporo materam in očetom v obliki dostopa do znanja ob vrnitvi na delo.</w:t>
      </w:r>
      <w:r>
        <w:rPr/>
        <w:t xml:space="preserve"> </w:t>
      </w:r>
    </w:p>
    <w:p>
      <w:pPr>
        <w:pStyle w:val="Normal"/>
        <w:rPr/>
      </w:pPr>
      <w:r>
        <w:rPr/>
        <w:t xml:space="preserve"> </w:t>
      </w:r>
    </w:p>
    <w:p>
      <w:pPr>
        <w:pStyle w:val="Normal"/>
        <w:rPr/>
      </w:pPr>
      <w:r>
        <w:rPr/>
        <w:t xml:space="preserve">To priporočilo dajemo zato, ker se EU odlikuje po nizkih stopnjah rodnosti, ki prispevajo tudi k staranju evropskega prebivalstva in zahtevajo takojšnje ukrepanje. Cilj predlaganega svežnja je zagotoviti, da imajo mlade družine potrebno stabilnost za varstvo otrok. </w:t>
      </w:r>
    </w:p>
    <w:p>
      <w:pPr>
        <w:pStyle w:val="Normal"/>
        <w:rPr/>
      </w:pPr>
      <w:r>
        <w:rPr/>
      </w:r>
    </w:p>
    <w:p>
      <w:pPr>
        <w:pStyle w:val="P68B1DB1Normal15"/>
        <w:rPr>
          <w:b/>
          <w:b/>
        </w:rPr>
      </w:pPr>
      <w:r>
        <w:rPr/>
        <w:t xml:space="preserve">23. Priporočamo zagotavljanje socialne pomoči in zdravstvenega varstva za starejše na domu in v negovalnih domovih. Prav tako je treba izboljšati podporo tistim, ki skrbijo za starejše (blizu). </w:t>
      </w:r>
    </w:p>
    <w:p>
      <w:pPr>
        <w:pStyle w:val="Normal"/>
        <w:rPr/>
      </w:pPr>
      <w:r>
        <w:rPr/>
        <w:t xml:space="preserve"> </w:t>
      </w:r>
    </w:p>
    <w:p>
      <w:pPr>
        <w:pStyle w:val="Normal"/>
        <w:rPr/>
      </w:pPr>
      <w:r>
        <w:rPr/>
        <w:t xml:space="preserve">To priporočilo dajemo zato, ker se pričakovana življenjska doba daljša, rodnost pa se zmanjšuje; Evropsko prebivalstvo se stara, zato moramo sprejeti nadaljnje ukrepe, da se izognemo tveganju marginalizacije starejših in jim zagotovimo dostojno življenje. </w:t>
      </w:r>
    </w:p>
    <w:p>
      <w:pPr>
        <w:pStyle w:val="Normal"/>
        <w:rPr/>
      </w:pPr>
      <w:r>
        <w:rPr/>
        <w:t xml:space="preserve"> </w:t>
      </w:r>
    </w:p>
    <w:p>
      <w:pPr>
        <w:pStyle w:val="P68B1DB1Normal15"/>
        <w:rPr>
          <w:b/>
          <w:b/>
        </w:rPr>
      </w:pPr>
      <w:r>
        <w:rPr/>
        <w:t xml:space="preserve">24. Priporočamo, da EU podpre paliativno oskrbo in pomoč pri smrti [evtanazija] v skladu s konkretnim sklopom pravil in predpisov. </w:t>
      </w:r>
    </w:p>
    <w:p>
      <w:pPr>
        <w:pStyle w:val="Normal"/>
        <w:rPr/>
      </w:pPr>
      <w:r>
        <w:rPr/>
        <w:t xml:space="preserve"> </w:t>
      </w:r>
    </w:p>
    <w:p>
      <w:pPr>
        <w:pStyle w:val="Normal"/>
        <w:rPr/>
      </w:pPr>
      <w:r>
        <w:rPr/>
        <w:t xml:space="preserve">To priporočilo dajemo zato, ker bi zmanjšalo bolečino bolnikov in družin ter zagotovilo dostojen konec življenja. </w:t>
      </w:r>
    </w:p>
    <w:p>
      <w:pPr>
        <w:pStyle w:val="Normal"/>
        <w:rPr/>
      </w:pPr>
      <w:r>
        <w:rPr/>
        <w:t xml:space="preserve"> </w:t>
      </w:r>
    </w:p>
    <w:p>
      <w:pPr>
        <w:pStyle w:val="Titre4"/>
        <w:numPr>
          <w:ilvl w:val="3"/>
          <w:numId w:val="2"/>
        </w:numPr>
        <w:rPr/>
      </w:pPr>
      <w:bookmarkStart w:id="117" w:name="__RefHeading___Toc297169_1346298689"/>
      <w:bookmarkEnd w:id="117"/>
      <w:r>
        <w:rPr/>
        <w:t xml:space="preserve">Podos 3.2 Enakost pravic </w:t>
      </w:r>
    </w:p>
    <w:p>
      <w:pPr>
        <w:pStyle w:val="Normal"/>
        <w:rPr/>
      </w:pPr>
      <w:r>
        <w:rPr/>
        <w:t xml:space="preserve"> </w:t>
      </w:r>
    </w:p>
    <w:p>
      <w:pPr>
        <w:pStyle w:val="P68B1DB1Normal15"/>
        <w:rPr>
          <w:b/>
          <w:b/>
        </w:rPr>
      </w:pPr>
      <w:r>
        <w:rPr/>
        <w:t xml:space="preserve">25. Priporočamo, da EU podpre ciljno usmerjen dostop državljanov do dostojnih socialnih stanovanj v skladu z njihovimi posebnimi potrebami. Finančna prizadevanja bi bilo treba razdeliti med zasebne donatorje, lastnike stanovanj, upravičence do stanovanj, vlade držav članic na centralni in lokalni ravni ter Evropsko unijo. Cilj bi moral biti olajšati gradnjo/popravilo obstoječih socialnih stanovanj, tudi prek zadružnih združenj, najema in nakupa. Pomoč bi morala biti dodeljena na podlagi jasnih meril (npr. največja površina/oseba, ki se subvencionira, dohodek upravičencev itd.). </w:t>
      </w:r>
    </w:p>
    <w:p>
      <w:pPr>
        <w:pStyle w:val="Normal"/>
        <w:rPr/>
      </w:pPr>
      <w:r>
        <w:rPr/>
        <w:t xml:space="preserve"> </w:t>
      </w:r>
    </w:p>
    <w:p>
      <w:pPr>
        <w:pStyle w:val="Normal"/>
        <w:rPr/>
      </w:pPr>
      <w:r>
        <w:rPr/>
        <w:t xml:space="preserve">To priporočilo podajamo, ker bi izboljšanje dostopa do stanovanj zagotovilo, da imajo državljani EU dejansko enake pravice, in pomagalo ublažiti socialne napetosti. EU je v glavnem pozvana, naj nadzoruje mehanizem podpore; nacionalni in lokalni organi bi si morali bolj prizadevati za reševanje stanovanjskih težav. </w:t>
      </w:r>
    </w:p>
    <w:p>
      <w:pPr>
        <w:pStyle w:val="Normal"/>
        <w:rPr/>
      </w:pPr>
      <w:r>
        <w:rPr/>
      </w:r>
    </w:p>
    <w:p>
      <w:pPr>
        <w:pStyle w:val="P68B1DB1Normal15"/>
        <w:rPr>
          <w:b/>
          <w:b/>
        </w:rPr>
      </w:pPr>
      <w:r>
        <w:rPr/>
        <w:t xml:space="preserve">26. Priporočamo, da EU izboljša ureditev in enotno izvajanje podpornih ukrepov za družine z otroki v vseh državah članicah. Ti ukrepi vključujejo zlasti: podaljšanje trajanja starševskega dopusta, zneska dodatka ob rojstvu otroka in dodatka za nego otroka. </w:t>
      </w:r>
    </w:p>
    <w:p>
      <w:pPr>
        <w:pStyle w:val="Normal"/>
        <w:rPr/>
      </w:pPr>
      <w:r>
        <w:rPr/>
        <w:t xml:space="preserve"> </w:t>
      </w:r>
    </w:p>
    <w:p>
      <w:pPr>
        <w:pStyle w:val="Normal"/>
        <w:rPr/>
      </w:pPr>
      <w:r>
        <w:rPr/>
        <w:t xml:space="preserve">To priporočilo dajemo zato, ker menimo, da bi ti ukrepi ublažili demografski problem, s katerim se sooča EU. Prav tako bi izboljšali enakost spolov med starši. </w:t>
      </w:r>
    </w:p>
    <w:p>
      <w:pPr>
        <w:pStyle w:val="Normal"/>
        <w:rPr/>
      </w:pPr>
      <w:r>
        <w:rPr/>
      </w:r>
    </w:p>
    <w:p>
      <w:pPr>
        <w:pStyle w:val="P68B1DB1Normal15"/>
        <w:rPr>
          <w:b/>
          <w:b/>
        </w:rPr>
      </w:pPr>
      <w:r>
        <w:rPr/>
        <w:t xml:space="preserve">27. Priporočamo, da EU sprejme ukrepe, s katerimi bo vsem družinam zagotovila enake družinske pravice v vseh državah članicah. Te pravice vključujejo pravico do poroke in posvojitve. </w:t>
      </w:r>
    </w:p>
    <w:p>
      <w:pPr>
        <w:pStyle w:val="Normal"/>
        <w:rPr/>
      </w:pPr>
      <w:r>
        <w:rPr/>
        <w:t xml:space="preserve"> </w:t>
      </w:r>
    </w:p>
    <w:p>
      <w:pPr>
        <w:pStyle w:val="Normal"/>
        <w:rPr/>
      </w:pPr>
      <w:r>
        <w:rPr/>
        <w:t xml:space="preserve">To priporočilo dajemo zato, ker menimo, da bi morali vsi državljani EU uživati enake pravice, vključno z družinskimi pravicami. Družina je osnovna oblika družbene organizacije. Srečna družina prispeva k zdravi družbi. Cilj priporočila je zagotoviti, da vsi državljani uživajo družinske pravice, ne glede na spol, odraslost, etnično pripadnost ali telesno zdravje.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Podos 3.3 Lastniški/podosni 3.4 Dostop do športa </w:t>
      </w:r>
      <w:commentRangeEnd w:id="1"/>
      <w:r>
        <w:commentReference w:id="1"/>
      </w:r>
      <w:r>
        <w:rPr/>
      </w:r>
    </w:p>
    <w:p>
      <w:pPr>
        <w:pStyle w:val="Normal"/>
        <w:rPr/>
      </w:pPr>
      <w:r>
        <w:rPr/>
        <w:t xml:space="preserve"> </w:t>
      </w:r>
    </w:p>
    <w:p>
      <w:pPr>
        <w:pStyle w:val="P68B1DB1Normal15"/>
        <w:rPr>
          <w:b/>
          <w:b/>
        </w:rPr>
      </w:pPr>
      <w:r>
        <w:rPr/>
        <w:t xml:space="preserve">28. Sodišče priporoča, da se strategija EU za enakost spolov za obdobje 2020–2025 močno spodbuja in prednostno obravnava kot nujno vprašanje, ki ga države članice učinkovito obravnavajo. EU bi morala (a) opredeliti kazalnike (odnos, razlike v plačah, zaposlovanje, vodstvo itd.), letno spremljati strategijo in biti pregledna glede doseženih rezultatov; in b) vzpostaviti varuha človekovih pravic, da bi od državljanov pridobili neposredne povratne informacije. </w:t>
      </w:r>
    </w:p>
    <w:p>
      <w:pPr>
        <w:pStyle w:val="Normal"/>
        <w:rPr/>
      </w:pPr>
      <w:r>
        <w:rPr/>
        <w:t xml:space="preserve"> </w:t>
      </w:r>
    </w:p>
    <w:p>
      <w:pPr>
        <w:pStyle w:val="Normal"/>
        <w:rPr/>
      </w:pPr>
      <w:r>
        <w:rPr/>
        <w:t xml:space="preserve">To priporočilo podajamo, ker menimo, da položaj spolov v EU še zdaleč ni zadovoljiv. Enakost spolov in državljanske pravice bi morale biti usklajene na evropski ravni, da bi dosegli cilje enakosti spolov in državljanskih pravic v vseh državah, ne le tistih, kjer je kompromis močnejši. Zavezani smo prisotnosti in prispevku žensk na položajih moči in v vseh vrstah poklicev, da bi imeli raznoliko in izpolnjujoče Evropsko unijo. Ženske so v številnih situacijah prikrajšane (tudi če imajo dobro izobrazbo/certificirano visokošolsko izobrazbo ali druge privilegije), zato je takšna strategija nujno potrebna. </w:t>
      </w:r>
    </w:p>
    <w:p>
      <w:pPr>
        <w:pStyle w:val="Normal"/>
        <w:rPr/>
      </w:pPr>
      <w:r>
        <w:rPr/>
      </w:r>
    </w:p>
    <w:p>
      <w:pPr>
        <w:pStyle w:val="P68B1DB1Normal15"/>
        <w:rPr>
          <w:b/>
          <w:b/>
        </w:rPr>
      </w:pPr>
      <w:r>
        <w:rPr/>
        <w:t xml:space="preserve">29. Sodišče priporoča, naj EU spodbuja in ozavešča javnost o športu in telesni dejavnosti v vseh državah članicah zaradi njihovih koristi za zdravje. Šport in telesno dejavnost bi bilo treba vključiti v socialne politike, politike na področju duševnega in telesnega zdravja, politike izobraževanja in dela (tj. spodbujanje predpisovanja predpisov za šport in/ali telesno dejavnost s strani zdravnikov in po potrebi zagotavljanje dostopa do športnih objektov; 1 uro dela/teden za telesno aktivnost itd.). </w:t>
      </w:r>
    </w:p>
    <w:p>
      <w:pPr>
        <w:pStyle w:val="Normal"/>
        <w:rPr/>
      </w:pPr>
      <w:r>
        <w:rPr/>
        <w:t xml:space="preserve"> </w:t>
      </w:r>
    </w:p>
    <w:p>
      <w:pPr>
        <w:pStyle w:val="Normal"/>
        <w:rPr/>
      </w:pPr>
      <w:r>
        <w:rPr/>
        <w:t xml:space="preserve">To priporočilo dajemo zato, ker gre za dolgoročno naložbo. Naložbe v šport in telesno dejavnost zmanjšujejo stroške in obremenitve zdravstvenih storitev. Na primer, šport in telesna dejavnost kot zdravstveni poseg bi skrajšali trajanje zdravljenja in jih naredili učinkovitejše. Ta strategija se že uspešno izvaja v nekaterih državah, kot je Nemčija. Šport je način za izgradnjo vrednot, kot so predanost, trud, samospoštovanje, spoštovanje ali tovarištvo. Sedeči življenjski slog je pogostejši kot pri prejšnjih generacijah, med drugim zaradi več pisarniških delovnih mest in/ali sprememb v prostočasnih navadah. </w:t>
      </w:r>
    </w:p>
    <w:p>
      <w:pPr>
        <w:pStyle w:val="Normal"/>
        <w:rPr/>
      </w:pPr>
      <w:r>
        <w:rPr/>
      </w:r>
    </w:p>
    <w:p>
      <w:pPr>
        <w:pStyle w:val="P68B1DB1Normal15"/>
        <w:rPr>
          <w:b/>
          <w:b/>
        </w:rPr>
      </w:pPr>
      <w:r>
        <w:rPr/>
        <w:t xml:space="preserve">30. Priporočamo, da EU od vsake države članice zahteva, da ima minimalno plačo, ki je določena glede na življenjske stroške na njenem ozemlju in se šteje za pošteno plačo, ki omogoča minimalne življenjske pogoje nad pragom revščine. Vsaka država članica jo mora spremljati. </w:t>
      </w:r>
    </w:p>
    <w:p>
      <w:pPr>
        <w:pStyle w:val="Normal"/>
        <w:rPr/>
      </w:pPr>
      <w:r>
        <w:rPr/>
        <w:t xml:space="preserve"> </w:t>
      </w:r>
    </w:p>
    <w:p>
      <w:pPr>
        <w:pStyle w:val="Normal"/>
        <w:rPr/>
      </w:pPr>
      <w:r>
        <w:rPr/>
        <w:t xml:space="preserve">To priporočilo dajemo zato, ker je nepošteno, da ne bomo mogli priti do konca meseca, ko delamo. Pravične plače bi morale prispevati h kakovosti življenja na družbeni ravni. Nepoštene plače imajo visoke stroške za države (varnost, davčne utaje, višji socialni stroški itd.). </w:t>
      </w:r>
    </w:p>
    <w:p>
      <w:pPr>
        <w:pStyle w:val="Normal"/>
        <w:rPr/>
      </w:pPr>
      <w:r>
        <w:rPr/>
      </w:r>
    </w:p>
    <w:p>
      <w:pPr>
        <w:pStyle w:val="P68B1DB1Normal15"/>
        <w:rPr>
          <w:b/>
          <w:b/>
        </w:rPr>
      </w:pPr>
      <w:r>
        <w:rPr/>
        <w:t xml:space="preserve">31. Priporočamo davčno usklajevanje v državah članicah na ravni EU (da bi se izognili davčnim oazam v EU in se borili proti selitvi znotraj Evrope) ter davčno spodbudo za odvračanje od selitve delovnih mest zunaj Evrope. </w:t>
      </w:r>
    </w:p>
    <w:p>
      <w:pPr>
        <w:pStyle w:val="Normal"/>
        <w:rPr/>
      </w:pPr>
      <w:r>
        <w:rPr/>
        <w:t xml:space="preserve"> </w:t>
      </w:r>
    </w:p>
    <w:p>
      <w:pPr>
        <w:pStyle w:val="Normal"/>
        <w:rPr/>
      </w:pPr>
      <w:r>
        <w:rPr/>
        <w:t xml:space="preserve">To priporočilo podajamo, ker smo zaskrbljeni zaradi učinka selitve delovnih mest zunaj Evrope in menimo, da bi to preprečilo davčno konkurenco med državami članicami EU. </w:t>
      </w:r>
    </w:p>
    <w:p>
      <w:pPr>
        <w:pStyle w:val="Normal"/>
        <w:rPr/>
      </w:pPr>
      <w:r>
        <w:rPr/>
      </w:r>
    </w:p>
    <w:p>
      <w:pPr>
        <w:pStyle w:val="Titre3"/>
        <w:numPr>
          <w:ilvl w:val="2"/>
          <w:numId w:val="2"/>
        </w:numPr>
        <w:rPr/>
      </w:pPr>
      <w:bookmarkStart w:id="119" w:name="__RefHeading___Toc297173_1346298689"/>
      <w:bookmarkEnd w:id="119"/>
      <w:r>
        <w:rPr/>
        <w:t xml:space="preserve">Os 4 Učenje v Evropi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Podos 4.1 Evropska identiteta/podos 4.2 Digitalno izobraževanje </w:t>
      </w:r>
      <w:commentRangeEnd w:id="2"/>
      <w:r>
        <w:commentReference w:id="2"/>
      </w:r>
      <w:r>
        <w:rPr/>
      </w:r>
    </w:p>
    <w:p>
      <w:pPr>
        <w:pStyle w:val="Normal"/>
        <w:rPr/>
      </w:pPr>
      <w:r>
        <w:rPr/>
        <w:t xml:space="preserve"> </w:t>
      </w:r>
    </w:p>
    <w:p>
      <w:pPr>
        <w:pStyle w:val="P68B1DB1Normal15"/>
        <w:rPr>
          <w:b/>
          <w:b/>
        </w:rPr>
      </w:pPr>
      <w:r>
        <w:rPr/>
        <w:t xml:space="preserve">32. Priporočamo spodbujanje večjezičnosti od zgodnjega otroštva, na primer iz vrtca. Od osnovne šole bi moralo biti obvezno, da otroci dosežejo stopnjo C1 v aktivnem jeziku EU, ki ni njihov lastni jezik. </w:t>
      </w:r>
    </w:p>
    <w:p>
      <w:pPr>
        <w:pStyle w:val="Normal"/>
        <w:rPr/>
      </w:pPr>
      <w:r>
        <w:rPr/>
        <w:t xml:space="preserve"> </w:t>
      </w:r>
    </w:p>
    <w:p>
      <w:pPr>
        <w:pStyle w:val="Normal"/>
        <w:rPr/>
      </w:pPr>
      <w:r>
        <w:rPr/>
        <w:t xml:space="preserve">To priporočilo dajemo zato, ker je večjezičnost orodje, ki povezuje državljane in most z drugimi kulturami, zaradi česar so druge države in njihove kulture bolj dostopne. Krepi evropsko identiteto in medkulturne izmenjave. Pomembno je spoznati druge kulture v okviru Evropske unije. Zato bi se lahko na dobri ravni pogovarjali v dveh jezikih, kar bi prispevalo k oblikovanju skupne evropske identitete in razumevanju drugih evropskih kultur. EU mora tesno sodelovati z izobraževalnimi ustanovami, da bi dosegla dobre rezultate na področju izobraževanja. Prav tako je treba vzpostaviti poseben program (npr. digitalne platforme, razširjeni programi Erasmus+ itd.), ki bo izključno spodbujal večjezičnost. Sedanje evropske šole lahko v zvezi s tem služijo kot model. EU bi morala ustvariti in dejavno spodbujati več takšnih šol. </w:t>
      </w:r>
    </w:p>
    <w:p>
      <w:pPr>
        <w:pStyle w:val="Normal"/>
        <w:rPr/>
      </w:pPr>
      <w:r>
        <w:rPr/>
      </w:r>
    </w:p>
    <w:p>
      <w:pPr>
        <w:pStyle w:val="P68B1DB1Normal15"/>
        <w:rPr>
          <w:b/>
          <w:b/>
        </w:rPr>
      </w:pPr>
      <w:r>
        <w:rPr/>
        <w:t xml:space="preserve">33. Priporočamo, da EU ozavešča mlade o nevarnostih interneta in digitalizacije z oblikovanjem obveznega predmeta v osnovnošolskem izobraževanju. EU bi morala razviti orodja in ustvariti skupne prostore za usposabljanje, da bi se mladi lahko učili skupaj. </w:t>
      </w:r>
    </w:p>
    <w:p>
      <w:pPr>
        <w:pStyle w:val="Normal"/>
        <w:rPr/>
      </w:pPr>
      <w:r>
        <w:rPr/>
        <w:t xml:space="preserve"> </w:t>
      </w:r>
    </w:p>
    <w:p>
      <w:pPr>
        <w:pStyle w:val="Normal"/>
        <w:rPr/>
      </w:pPr>
      <w:r>
        <w:rPr/>
        <w:t xml:space="preserve">To priporočilo dajemo zato, ker trenutne pobude ali programi na tem področju ne zadostujejo. Poleg tega številni državljani EU ne poznajo obstoječih pobud EU na teh področjih. Otroci se ne zavedajo dovolj nevarnosti interneta, zato bi morali storiti veliko več za ozaveščanje mlajše generacije. </w:t>
      </w:r>
    </w:p>
    <w:p>
      <w:pPr>
        <w:pStyle w:val="Normal"/>
        <w:rPr/>
      </w:pPr>
      <w:r>
        <w:rPr/>
        <w:t xml:space="preserve"> </w:t>
      </w:r>
    </w:p>
    <w:p>
      <w:pPr>
        <w:pStyle w:val="P68B1DB1Normal15"/>
        <w:rPr>
          <w:b/>
          <w:b/>
        </w:rPr>
      </w:pPr>
      <w:r>
        <w:rPr/>
        <w:t xml:space="preserve">34. Priporočamo, da si EU prizadeva za večjo dostopnost tehnologije za starejše s spodbujanjem programov in pobud, na primer v obliki tečajev, prilagojenih njihovim potrebam. EU bi morala zagotoviti pravico do uporabe digitalne tehnologije tistim, ki jo želijo, in predlagati druge možnosti za tiste, ki tega ne želijo. </w:t>
      </w:r>
    </w:p>
    <w:p>
      <w:pPr>
        <w:pStyle w:val="Normal"/>
        <w:rPr/>
      </w:pPr>
      <w:r>
        <w:rPr/>
        <w:t xml:space="preserve"> </w:t>
      </w:r>
    </w:p>
    <w:p>
      <w:pPr>
        <w:pStyle w:val="Normal"/>
        <w:rPr/>
      </w:pPr>
      <w:r>
        <w:rPr/>
        <w:t xml:space="preserve">To priporočilo dajemo zato, ker bi morala EU zagotoviti, da bodo starejši lahko sodelovali v digitalnem svetu in da nihče ne bo diskriminiran. Uvesti bi bilo treba poenostavljena orodja za generacije, ki imajo manj izkušenj z uporabo nekaterih tehnologij, da bi jih vključili v današnji svet. Priporočamo boljše spodbujanje obstoječih pobud, da bi se jih državljani zavedali. Starejši v EU ne bi smeli biti diskriminirani pri uporabi orodij IT. (Kot incident to pomeni, da bi morali imeti državljani možnost živeti svoje življenje, ne da bi morali iti skozi internetno omrežje). EU bi morala organizirati in dati na voljo starejšim stalno brezplačno pomoč za lažji dostop do digitalnih orodij. </w:t>
      </w:r>
    </w:p>
    <w:p>
      <w:pPr>
        <w:pStyle w:val="Normal"/>
        <w:rPr/>
      </w:pPr>
      <w:r>
        <w:rPr/>
      </w:r>
    </w:p>
    <w:p>
      <w:pPr>
        <w:pStyle w:val="Titre4"/>
        <w:numPr>
          <w:ilvl w:val="3"/>
          <w:numId w:val="2"/>
        </w:numPr>
        <w:rPr/>
      </w:pPr>
      <w:bookmarkStart w:id="121" w:name="__RefHeading___Toc297177_1346298689"/>
      <w:bookmarkEnd w:id="121"/>
      <w:r>
        <w:rPr/>
        <w:t xml:space="preserve">Podos 4.3 Kulturna izmenjava/podosna os 4.4 Okoljska vzgoja </w:t>
      </w:r>
    </w:p>
    <w:p>
      <w:pPr>
        <w:pStyle w:val="Normal"/>
        <w:rPr/>
      </w:pPr>
      <w:r>
        <w:rPr/>
        <w:t xml:space="preserve"> </w:t>
      </w:r>
    </w:p>
    <w:p>
      <w:pPr>
        <w:pStyle w:val="P68B1DB1Normal15"/>
        <w:rPr>
          <w:b/>
          <w:b/>
        </w:rPr>
      </w:pPr>
      <w:r>
        <w:rPr/>
        <w:t xml:space="preserve">35. Priporočamo, da EU vzpostavi platformo, na kateri bo izobraževalno gradivo o podnebnih spremembah, trajnosti in okoljskih vprašanjih na voljo za izobraževalne namene. Take informacije bi morale temeljiti na dejstvih, ki jih preverijo strokovnjaki in prilagoditi vsaki državi članici. Platforma: </w:t>
      </w:r>
    </w:p>
    <w:p>
      <w:pPr>
        <w:pStyle w:val="P68B1DB1Normal15"/>
        <w:rPr>
          <w:b/>
          <w:b/>
        </w:rPr>
      </w:pPr>
      <w:r>
        <w:rPr/>
        <w:t xml:space="preserve">● </w:t>
      </w:r>
      <w:r>
        <w:rPr/>
        <w:t xml:space="preserve">bi bilo treba vključiti lekcije za različne ciljne skupine, npr. za ljudi, ki živijo na mestnih ali podeželskih območjih, za vse starostne skupine in ravni predhodnega znanja; </w:t>
      </w:r>
    </w:p>
    <w:p>
      <w:pPr>
        <w:pStyle w:val="P68B1DB1Normal15"/>
        <w:rPr>
          <w:b/>
          <w:b/>
        </w:rPr>
      </w:pPr>
      <w:r>
        <w:rPr/>
        <w:t xml:space="preserve">● </w:t>
      </w:r>
      <w:r>
        <w:rPr/>
        <w:t xml:space="preserve">mora biti na voljo vsem državam članicam in mora biti lahko dostopen; </w:t>
      </w:r>
    </w:p>
    <w:p>
      <w:pPr>
        <w:pStyle w:val="P68B1DB1Normal15"/>
        <w:rPr>
          <w:b/>
          <w:b/>
        </w:rPr>
      </w:pPr>
      <w:r>
        <w:rPr/>
        <w:t xml:space="preserve">● </w:t>
      </w:r>
      <w:r>
        <w:rPr/>
        <w:t xml:space="preserve">bi moral v njegovo izvajanje vključevati načrt promocije, ki bi moral vključevati zadevna podjetja; </w:t>
      </w:r>
    </w:p>
    <w:p>
      <w:pPr>
        <w:pStyle w:val="P68B1DB1Normal15"/>
        <w:rPr>
          <w:b/>
          <w:b/>
        </w:rPr>
      </w:pPr>
      <w:r>
        <w:rPr/>
        <w:t xml:space="preserve">● </w:t>
      </w:r>
      <w:r>
        <w:rPr/>
        <w:t xml:space="preserve">bi lahko bili na voljo hkrati s programom financiranja za podporo uporabi in izvajanju informacij, ki so na voljo na platformi. Ta sredstva bi morala podpirati tudi obiske na terenu, da se predstavijo konkretni primeri. </w:t>
      </w:r>
    </w:p>
    <w:p>
      <w:pPr>
        <w:pStyle w:val="Normal"/>
        <w:rPr/>
      </w:pPr>
      <w:r>
        <w:rPr/>
        <w:t xml:space="preserve"> </w:t>
      </w:r>
    </w:p>
    <w:p>
      <w:pPr>
        <w:pStyle w:val="Normal"/>
        <w:rPr/>
      </w:pPr>
      <w:r>
        <w:rPr/>
        <w:t xml:space="preserve">To priporočilo dajemo zato, ker ljudje vseh starosti potrebujejo dostop do dejanskih informacij o tem, kako obravnavati podnebne spremembe, trajnost in okoljska vprašanja. Pomembne koncepte, kot je ekološki odtis, morajo razumeti vsi, zlasti mladi, saj nas to, kar se učimo, spremlja vse življenje. Te teme so zapletene in dezinformacije so razširjene. Potrebujemo zanesljiv vir in EU ima verodostojnost in sredstva, da prevzame to vlogo. To je pomembno tudi zato, ker se ravni znanja in dostopa do verodostojnih informacij med državami članicami razlikujejo. </w:t>
      </w:r>
    </w:p>
    <w:p>
      <w:pPr>
        <w:pStyle w:val="Normal"/>
        <w:rPr/>
      </w:pPr>
      <w:r>
        <w:rPr/>
      </w:r>
    </w:p>
    <w:p>
      <w:pPr>
        <w:pStyle w:val="P68B1DB1Normal15"/>
        <w:rPr>
          <w:b/>
          <w:b/>
        </w:rPr>
      </w:pPr>
      <w:r>
        <w:rPr/>
        <w:t xml:space="preserve">36. Priporočamo, da EU prednostno zagotovi, da so programi izmenjav dostopni vsem (starejšim skupinam, državam članicam, stopnjam izobrazbe in finančnim zmogljivostim) ter omogoči pripravništva ali izmenjave med sektorji, državami, izobraževalnimi ustanovami, mesti in podjetji. EU bi morala biti odgovorna za vzpostavitev, posredovanje in financiranje kulturnih in družbenih izmenjav po vsej EU, tako fizičnih kot digitalnih. EU mora dejavno spodbujati te pobude in se usmeriti na ljudi, ki se še ne zavedajo programov kulturne in socialne izmenjave. Konferenca o prihodnosti Evrope, za katero so bili naključno izbrani državljani, je odličen primer evropske izmenjave. Želimo več tovrstnih pobud, želimo pa tudi manjše pobude, pa tudi izmenjave na področju športa, glasbe, (družbenih) pripravništva itd. </w:t>
      </w:r>
    </w:p>
    <w:p>
      <w:pPr>
        <w:pStyle w:val="P68B1DB1Normal15"/>
        <w:rPr>
          <w:b/>
          <w:b/>
        </w:rPr>
      </w:pPr>
      <w:r>
        <w:rPr/>
        <w:t xml:space="preserve"> </w:t>
      </w:r>
    </w:p>
    <w:p>
      <w:pPr>
        <w:pStyle w:val="Normal"/>
        <w:rPr/>
      </w:pPr>
      <w:r>
        <w:rPr/>
        <w:t xml:space="preserve">To priporočilo dajemo zato, ker je pomembno ustvariti občutek pripadnosti in kohezije ter spodbujati strpnost do naše veličastne raznolikosti in perspektiv ter razvoj individualnih veščin. Ta proces bo razvil prijateljstva, medsebojno razumevanje in kritično razmišljanje. Radi bi spodbujali angažiranost vseh članov naših skupnosti, tudi tistih, ki doslej niso sodelovali v takšnih pobudah. </w:t>
      </w:r>
    </w:p>
    <w:p>
      <w:pPr>
        <w:pStyle w:val="Normal"/>
        <w:rPr/>
      </w:pPr>
      <w:r>
        <w:rPr/>
      </w:r>
    </w:p>
    <w:p>
      <w:pPr>
        <w:pStyle w:val="Titre4"/>
        <w:numPr>
          <w:ilvl w:val="3"/>
          <w:numId w:val="2"/>
        </w:numPr>
        <w:rPr/>
      </w:pPr>
      <w:bookmarkStart w:id="122" w:name="__RefHeading___Toc297179_1346298689"/>
      <w:bookmarkEnd w:id="122"/>
      <w:r>
        <w:rPr/>
        <w:t xml:space="preserve">Podos 4.5 Kakovost, financiranje in dostop do izobraževanja/podosa 4.6 Usklajevanje izobraževanja </w:t>
      </w:r>
    </w:p>
    <w:p>
      <w:pPr>
        <w:pStyle w:val="Normal"/>
        <w:rPr/>
      </w:pPr>
      <w:r>
        <w:rPr/>
        <w:t xml:space="preserve"> </w:t>
      </w:r>
    </w:p>
    <w:p>
      <w:pPr>
        <w:pStyle w:val="P68B1DB1Normal15"/>
        <w:rPr>
          <w:b/>
          <w:b/>
        </w:rPr>
      </w:pPr>
      <w:r>
        <w:rPr/>
        <w:t xml:space="preserve">37. Priporočamo, da vse države članice opredelijo in sprejmejo minimalni standard certificiranega izobraževanja o osnovnih predmetih od osnovne šole naprej. Cilj je zagotoviti, da imajo vsi državljani enak dostop do kakovostnega izobraževanja, ki zagotavlja pravičnost in enakost. </w:t>
      </w:r>
    </w:p>
    <w:p>
      <w:pPr>
        <w:pStyle w:val="Normal"/>
        <w:rPr/>
      </w:pPr>
      <w:r>
        <w:rPr/>
      </w:r>
    </w:p>
    <w:p>
      <w:pPr>
        <w:pStyle w:val="Normal"/>
        <w:rPr/>
      </w:pPr>
      <w:r>
        <w:rPr/>
        <w:t xml:space="preserve">To priporočilo dajemo iz naslednjih razlogov: </w:t>
      </w:r>
    </w:p>
    <w:p>
      <w:pPr>
        <w:pStyle w:val="Normal"/>
        <w:rPr/>
      </w:pPr>
      <w:r>
        <w:rPr/>
        <w:t xml:space="preserve">● </w:t>
      </w:r>
      <w:r>
        <w:rPr/>
        <w:t xml:space="preserve">obstoj minimalnega standarda bi okrepil zaupanje staršev, učiteljev in učencev v njihove izobraževalne sisteme, hkrati pa pustil prostor za pobude in raznolikost. </w:t>
      </w:r>
    </w:p>
    <w:p>
      <w:pPr>
        <w:pStyle w:val="Normal"/>
        <w:rPr/>
      </w:pPr>
      <w:r>
        <w:rPr/>
        <w:t xml:space="preserve">Če se bo naše priporočilo izvajalo, bo okrepilo in okrepilo skupno evropsko identiteto ter spodbudilo kohezijo, enotnost in občutek pripadnosti. </w:t>
      </w:r>
    </w:p>
    <w:p>
      <w:pPr>
        <w:pStyle w:val="Normal"/>
        <w:rPr/>
      </w:pPr>
      <w:r>
        <w:rPr/>
        <w:t xml:space="preserve">● </w:t>
      </w:r>
      <w:r>
        <w:rPr/>
        <w:t xml:space="preserve">Izvajanje tega priporočila bi okrepilo sodelovanje in izmenjave med šolami po vsej EU, kar bi izboljšalo odnose med pedagoškim osebjem in učenci ter močno olajšalo programe izmenjav. </w:t>
      </w:r>
    </w:p>
    <w:p>
      <w:pPr>
        <w:pStyle w:val="Normal"/>
        <w:rPr/>
      </w:pPr>
      <w:r>
        <w:rPr/>
      </w:r>
    </w:p>
    <w:p>
      <w:pPr>
        <w:pStyle w:val="P68B1DB1Normal15"/>
        <w:rPr>
          <w:b/>
          <w:b/>
        </w:rPr>
      </w:pPr>
      <w:r>
        <w:rPr/>
        <w:t xml:space="preserve">38. Priporočamo, da se po standardih, ki jih je mogoče certificirati, poučuje angleščina kot glavni predmet v osnovnih šolah v vseh državah članicah EU, da se olajša in okrepi sposobnost evropskih državljanov za učinkovito komunikacijo. </w:t>
      </w:r>
    </w:p>
    <w:p>
      <w:pPr>
        <w:pStyle w:val="Normal"/>
        <w:rPr/>
      </w:pPr>
      <w:r>
        <w:rPr/>
        <w:t xml:space="preserve"> </w:t>
      </w:r>
    </w:p>
    <w:p>
      <w:pPr>
        <w:pStyle w:val="Normal"/>
        <w:rPr/>
      </w:pPr>
      <w:r>
        <w:rPr/>
        <w:t xml:space="preserve">To priporočilo dajemo iz naslednjih razlogov: </w:t>
      </w:r>
    </w:p>
    <w:p>
      <w:pPr>
        <w:pStyle w:val="Normal"/>
        <w:rPr/>
      </w:pPr>
      <w:r>
        <w:rPr/>
        <w:t xml:space="preserve">● </w:t>
      </w:r>
      <w:r>
        <w:rPr/>
        <w:t xml:space="preserve">to bi omogočilo večjo enotnost in enakost s krepitvijo sposobnosti državljanov, da komunicirajo med seboj in podpirajo močnejšo skupno evropsko identiteto; </w:t>
      </w:r>
    </w:p>
    <w:p>
      <w:pPr>
        <w:pStyle w:val="Normal"/>
        <w:rPr/>
      </w:pPr>
      <w:r>
        <w:rPr/>
        <w:t xml:space="preserve">● </w:t>
      </w:r>
      <w:r>
        <w:rPr/>
        <w:t xml:space="preserve">to bi razširilo trg dela in ga naredilo prožnejšega in dostopnejšega, kar bi državljanom zagotovilo zaupanje v delo in komuniciranje v vseh drugih državah članicah, ki ponujajo bolj osebne in poklicne perspektive. </w:t>
      </w:r>
    </w:p>
    <w:p>
      <w:pPr>
        <w:pStyle w:val="Normal"/>
        <w:rPr/>
      </w:pPr>
      <w:r>
        <w:rPr/>
        <w:t xml:space="preserve">● </w:t>
      </w:r>
      <w:r>
        <w:rPr/>
        <w:t xml:space="preserve">tak pristop bi omogočil razširjanje skupnega evropskega jezika v zelo kratkem času; </w:t>
      </w:r>
    </w:p>
    <w:p>
      <w:pPr>
        <w:pStyle w:val="Normal"/>
        <w:rPr/>
      </w:pPr>
      <w:r>
        <w:rPr/>
        <w:t xml:space="preserve">● </w:t>
      </w:r>
      <w:r>
        <w:rPr/>
        <w:t xml:space="preserve">uporaba skupnega jezika pospešuje izmenjavo informacij, kar bi koristilo sodelovanju, skupnemu kriznemu odzivu, humanitarni pomoči in zbliževanju med Evropo in Evropejci. </w:t>
      </w:r>
    </w:p>
    <w:p>
      <w:pPr>
        <w:pStyle w:val="Normal"/>
        <w:rPr/>
      </w:pPr>
      <w:r>
        <w:rPr/>
      </w:r>
    </w:p>
    <w:p>
      <w:pPr>
        <w:pStyle w:val="Titre3"/>
        <w:numPr>
          <w:ilvl w:val="2"/>
          <w:numId w:val="2"/>
        </w:numPr>
        <w:rPr/>
      </w:pPr>
      <w:bookmarkStart w:id="123" w:name="__RefHeading___Toc297181_1346298689"/>
      <w:bookmarkEnd w:id="123"/>
      <w:r>
        <w:rPr/>
        <w:t xml:space="preserve">Os 5 Etična in varna digitalna preobrazba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Podos 5.1 Demokratizacija digitalne preobrazbe/podosna os 5.2 Kibernetska varnost </w:t>
      </w:r>
      <w:commentRangeEnd w:id="3"/>
      <w:r>
        <w:commentReference w:id="3"/>
      </w:r>
      <w:r>
        <w:rPr/>
      </w:r>
    </w:p>
    <w:p>
      <w:pPr>
        <w:pStyle w:val="Normal"/>
        <w:rPr/>
      </w:pPr>
      <w:r>
        <w:rPr/>
        <w:t xml:space="preserve"> </w:t>
      </w:r>
    </w:p>
    <w:p>
      <w:pPr>
        <w:pStyle w:val="P68B1DB1Normal15"/>
        <w:rPr>
          <w:b/>
          <w:b/>
        </w:rPr>
      </w:pPr>
      <w:r>
        <w:rPr/>
        <w:t xml:space="preserve">39. Priporočamo, da ima EU več pooblastil za boj proti nezakonitim vsebinam in kibernetski kriminaliteti. Sodišče priporoča okrepitev zmogljivosti Europola/Evropskega centra za boj proti kibernetski kriminaliteti, vključno z: </w:t>
      </w:r>
    </w:p>
    <w:p>
      <w:pPr>
        <w:pStyle w:val="P68B1DB1Normal15"/>
        <w:rPr>
          <w:b/>
          <w:b/>
        </w:rPr>
      </w:pPr>
      <w:r>
        <w:rPr/>
        <w:t xml:space="preserve">● </w:t>
      </w:r>
      <w:r>
        <w:rPr/>
        <w:t xml:space="preserve">povečanje finančnih sredstev in števila zaposlenih </w:t>
      </w:r>
    </w:p>
    <w:p>
      <w:pPr>
        <w:pStyle w:val="P68B1DB1Normal15"/>
        <w:rPr>
          <w:b/>
          <w:b/>
        </w:rPr>
      </w:pPr>
      <w:r>
        <w:rPr/>
        <w:t xml:space="preserve">● </w:t>
      </w:r>
      <w:r>
        <w:rPr/>
        <w:t xml:space="preserve">zagotavljanje podobnih sankcij v vsaki državi ● zagotavljanje hitrega in učinkovitega nadzora zakonitosti </w:t>
      </w:r>
    </w:p>
    <w:p>
      <w:pPr>
        <w:pStyle w:val="Normal"/>
        <w:rPr/>
      </w:pPr>
      <w:r>
        <w:rPr/>
        <w:t xml:space="preserve"> </w:t>
      </w:r>
    </w:p>
    <w:p>
      <w:pPr>
        <w:pStyle w:val="Normal"/>
        <w:rPr/>
      </w:pPr>
      <w:r>
        <w:rPr/>
        <w:t xml:space="preserve">To priporočilo podajamo, da bi zagotovili svobodo na internetu, hkrati pa zagotovili, da se diskriminacija, zloraba in nadlegovanje kaznujejo. Podpiramo zamisel o evropskem javnem organu, ker ne želimo prepustiti ureditve spletnih platform zasebnim podjetjem. Spletne platforme morajo prevzeti odgovornost za distribuirane vsebine, vendar želimo zagotoviti, da ne prevladajo njihovi interesi. Urejanje vsebine in pregon storilcev morata biti pravočasna in učinkovita, tako da imata tudi odvračilni učinek na zlonamerne posameznike. </w:t>
      </w:r>
    </w:p>
    <w:p>
      <w:pPr>
        <w:pStyle w:val="Normal"/>
        <w:rPr/>
      </w:pPr>
      <w:r>
        <w:rPr/>
      </w:r>
    </w:p>
    <w:p>
      <w:pPr>
        <w:pStyle w:val="P68B1DB1Normal15"/>
        <w:rPr>
          <w:b/>
          <w:b/>
        </w:rPr>
      </w:pPr>
      <w:r>
        <w:rPr/>
        <w:t xml:space="preserve">40. Priporočamo, da EU vlaga v inovativno in visokokakovostno digitalno infrastrukturo (kot je 5G, ki se razvija v Evropi), da se zagotovi avtonomija Evrope in prepreči odvisnost od tretjih držav ali zasebnih podjetij. EU bi morala posebno pozornost nameniti tudi naložbam v regije, ki zaostajajo v razvoju. </w:t>
      </w:r>
    </w:p>
    <w:p>
      <w:pPr>
        <w:pStyle w:val="Normal"/>
        <w:rPr/>
      </w:pPr>
      <w:r>
        <w:rPr/>
        <w:t xml:space="preserve"> </w:t>
      </w:r>
    </w:p>
    <w:p>
      <w:pPr>
        <w:pStyle w:val="Normal"/>
        <w:rPr/>
      </w:pPr>
      <w:r>
        <w:rPr/>
        <w:t xml:space="preserve">To priporočilo dajemo zato, ker ima digitalna infrastruktura ključno vlogo v evropskem gospodarstvu, pa tudi v vsakdanjem življenju Evropejcev, kar olajšujejo. Evropa zato potrebuje visokokakovostno digitalno infrastrukturo. Če je Evropa odvisna od tretjih strani, je lahko izpostavljena negativnim vplivom zasebnih podjetij ali tujih držav. Evropa bi zato morala vlagati v digitalno infrastrukturo, da bi izboljšala svojo avtonomijo. Pomembno je tudi zagotoviti digitalno vključenost z zagotavljanjem, da naložbe koristijo manj digitalno razvitim regijam. </w:t>
      </w:r>
    </w:p>
    <w:p>
      <w:pPr>
        <w:pStyle w:val="Normal"/>
        <w:rPr/>
      </w:pPr>
      <w:r>
        <w:rPr/>
      </w:r>
    </w:p>
    <w:p>
      <w:pPr>
        <w:pStyle w:val="P68B1DB1Normal15"/>
        <w:rPr>
          <w:b/>
          <w:b/>
        </w:rPr>
      </w:pPr>
      <w:r>
        <w:rPr/>
        <w:t xml:space="preserve">41. Priporočamo, da EU spodbuja izobraževanje o lažnih novicah, dezinformacijah in spletni varnosti v evropskih šolah. Opirati bi se moral na primere dobre prakse iz vse EU. EU bi morala ustanoviti organizacijo, ki bi bila posebej odgovorna za spodbujanje tega dela in zagotavljanje priporočil izobraževalnim sistemom. Spodbujati bi moral tudi neformalno izobraževanje ter inovativne in ustvarjalne tehnike poučevanja (npr. participativne igre). </w:t>
      </w:r>
    </w:p>
    <w:p>
      <w:pPr>
        <w:pStyle w:val="Normal"/>
        <w:rPr/>
      </w:pPr>
      <w:r>
        <w:rPr/>
      </w:r>
    </w:p>
    <w:p>
      <w:pPr>
        <w:pStyle w:val="Normal"/>
        <w:rPr/>
      </w:pPr>
      <w:r>
        <w:rPr/>
        <w:t xml:space="preserve">To priporočilo dajemo zato, ker je uvedba tečajev o spletni varnosti in kulturi digitalne varnosti (boj proti spletnim prevaram, lažnim novicam itd.) v šoli pomembna, da se lahko vsakdo zaščiti pred spletnimi grožnjami. Pomembno je, da se usmerimo na mlade, ki so zelo izpostavljeni takšnim grožnjam. Šole lahko komunicirajo tudi s starši za spodbujanje dobrih praks. Ti tečaji lahko temeljijo na primerih dobre prakse v Evropi (npr. na Finskem), hkrati pa se prilagajajo potrebam vsake države. </w:t>
      </w:r>
    </w:p>
    <w:p>
      <w:pPr>
        <w:pStyle w:val="Normal"/>
        <w:rPr/>
      </w:pPr>
      <w:r>
        <w:rPr/>
        <w:t xml:space="preserve"> </w:t>
      </w:r>
    </w:p>
    <w:p>
      <w:pPr>
        <w:pStyle w:val="Titre4"/>
        <w:numPr>
          <w:ilvl w:val="3"/>
          <w:numId w:val="2"/>
        </w:numPr>
        <w:rPr/>
      </w:pPr>
      <w:bookmarkStart w:id="125" w:name="__RefHeading___Toc297185_1346298689"/>
      <w:bookmarkEnd w:id="125"/>
      <w:r>
        <w:rPr/>
        <w:t xml:space="preserve">Podos 5.3 Varstvo podatkov </w:t>
      </w:r>
    </w:p>
    <w:p>
      <w:pPr>
        <w:pStyle w:val="Normal"/>
        <w:rPr/>
      </w:pPr>
      <w:r>
        <w:rPr/>
        <w:t xml:space="preserve"> </w:t>
      </w:r>
    </w:p>
    <w:p>
      <w:pPr>
        <w:pStyle w:val="P68B1DB1Normal15"/>
        <w:rPr>
          <w:b/>
          <w:b/>
        </w:rPr>
      </w:pPr>
      <w:r>
        <w:rPr/>
        <w:t xml:space="preserve">42. Priporočamo nadaljnje omejevanje zlorabe podatkov s strani „podatkovnih velikanov“ s povečanjem skladnosti s Splošno uredbo o varstvu podatkov (Splošna uredba o varstvu podatkov), ustvarjanjem bolj standardiziranih mehanizmov po vsej EU in zagotavljanjem, da celo neevropska podjetja, ki delujejo v EU, ravnajo v skladu s to uredbo. To izboljšanje bi moralo zagotoviti jasno in jedrnato razlago pogojev uporabe podatkov, da bi se izognili dvoumnosti in zagotavljanju dodatnih informacij o tem, kako bodo podatki uporabljeni in kdo jih bo uporabljal, ter da bi se izognili privolitvi v ponovno uporabo in nadaljnjo prodajo podatkov, ki sta privzeta možnost. Zagotoviti bi morala, da se podatki na zahtevo državljana trajno izbrišejo. Prav tako bi moral povečati doslednost spremljanja skladnosti s pravili v zvezi z oblikovanjem profilov posameznikov na podlagi njihovih spletnih dejavnosti. Predlagamo dve vrsti sankcij: globa, sorazmerna s prometom podjetja in omejitvami dejavnosti podjetja. </w:t>
      </w:r>
    </w:p>
    <w:p>
      <w:pPr>
        <w:pStyle w:val="Normal"/>
        <w:rPr/>
      </w:pPr>
      <w:r>
        <w:rPr/>
        <w:t xml:space="preserve"> </w:t>
      </w:r>
    </w:p>
    <w:p>
      <w:pPr>
        <w:pStyle w:val="Normal"/>
        <w:rPr/>
      </w:pPr>
      <w:r>
        <w:rPr/>
        <w:t xml:space="preserve">To priporočilo podajamo, ker je preglednost trenutno zelo omejena glede vrste zbranih podatkov, načina njihove obdelave in identitete tistih, ki so jim bili prodani. Še bolj moramo omejiti zlorabe moči podatkovnih velikanov in zagotoviti, da državljani zavestno privolijo v obdelavo njihovih podatkov. </w:t>
      </w:r>
    </w:p>
    <w:p>
      <w:pPr>
        <w:pStyle w:val="Normal"/>
        <w:rPr/>
      </w:pPr>
      <w:r>
        <w:rPr/>
        <w:t xml:space="preserve"> </w:t>
      </w:r>
    </w:p>
    <w:p>
      <w:pPr>
        <w:pStyle w:val="P68B1DB1Normal15"/>
        <w:rPr>
          <w:b/>
          <w:b/>
        </w:rPr>
      </w:pPr>
      <w:r>
        <w:rPr/>
        <w:t xml:space="preserve">43. Priporočamo ustanovitev neodvisne vseevropske agencije, ki bi morala jasno opredeliti vsiljivo vedenje (npr. neželena pošta) in razviti smernice o tem, kako lahko državljani nasprotujejo obdelavi svojih podatkov in pridobijo njihov izbris, zlasti od tretjih oseb. Ta agencija mora imeti pooblastila za prepoznavanje in sankcioniranje goljufov in organizacij, ki ne spoštujejo pravil. Osredotočiti bi se moral na zagotavljanje, da subjekti s sedežem zunaj EU, ki tam delujejo, spoštujejo pravila EU. Financiral bi ga institucije EU in bi ga sestavljal skupni odbor neodvisnih organov (tj. strokovnjakov iz akademskih krogov in subjektov, ki zastopajo strokovnjake). Moral bi imeti rotirajoči preesidium. Predlagamo dve vrsti sankcij: globo, sorazmerno s prometom podjetij in omejitvami dejavnosti podjetij. </w:t>
      </w:r>
    </w:p>
    <w:p>
      <w:pPr>
        <w:pStyle w:val="Normal"/>
        <w:rPr/>
      </w:pPr>
      <w:r>
        <w:rPr/>
      </w:r>
    </w:p>
    <w:p>
      <w:pPr>
        <w:pStyle w:val="Normal"/>
        <w:rPr/>
      </w:pPr>
      <w:r>
        <w:rPr/>
        <w:t xml:space="preserve">To priporočilo podajamo, ker ni osrednje agencije z močnim mandatom, ki bi lahko pomagala državljanom, zlasti kadar imajo težave in potrebujejo pomoč, nasvet ali podporo. Ni jasnih in zavezujočih pravil, ki bi jih morala podjetja upoštevati. Sankcije se ne uporabljajo ali imajo zanemarljiv vpliv na podjetja. </w:t>
      </w:r>
    </w:p>
    <w:p>
      <w:pPr>
        <w:pStyle w:val="Normal"/>
        <w:rPr/>
      </w:pPr>
      <w:r>
        <w:rPr/>
        <w:t xml:space="preserve"> </w:t>
      </w:r>
    </w:p>
    <w:p>
      <w:pPr>
        <w:pStyle w:val="P68B1DB1Normal15"/>
        <w:rPr>
          <w:b/>
          <w:b/>
        </w:rPr>
      </w:pPr>
      <w:r>
        <w:rPr/>
        <w:t xml:space="preserve">44. Priporočamo vzpostavitev sistema certificiranja EU, ki bi na pregleden način dokazoval skladnost s Splošno uredbo o varstvu podatkov in zagotovil, da so informacije o varstvu podatkov predstavljene na dostopen, jasen in preprost način. To potrdilo bi bilo obvezno in vidno na spletnih mestih in platformah. Izdati bi ga moral neodvisni izdajatelj certifikatov na evropski ravni, ki bi obstajal ali bil ustanovljen v ta namen in ki ne bi bil povezan z nacionalnimi vladami ali zasebnim sektorjem. </w:t>
      </w:r>
    </w:p>
    <w:p>
      <w:pPr>
        <w:pStyle w:val="Normal"/>
        <w:rPr/>
      </w:pPr>
      <w:r>
        <w:rPr/>
        <w:t xml:space="preserve"> </w:t>
      </w:r>
    </w:p>
    <w:p>
      <w:pPr>
        <w:pStyle w:val="Normal"/>
        <w:rPr/>
      </w:pPr>
      <w:r>
        <w:rPr/>
        <w:t xml:space="preserve">To priporočilo dajemo zato, ker je trenutno malo ali nič transparentnosti o tem, kako vsako podjetje varuje podatke, uporabniki/stranke pa ne morejo sprejemati informiranih odločitev. </w:t>
      </w:r>
    </w:p>
    <w:p>
      <w:pPr>
        <w:pStyle w:val="Normal"/>
        <w:rPr/>
      </w:pPr>
      <w:r>
        <w:rPr/>
      </w:r>
    </w:p>
    <w:p>
      <w:pPr>
        <w:pStyle w:val="P68B1DB1Normal15"/>
        <w:rPr>
          <w:b/>
          <w:b/>
        </w:rPr>
      </w:pPr>
      <w:r>
        <w:rPr/>
        <w:t xml:space="preserve">45. Priporočamo boljšo razlago Splošne uredbe o varstvu podatkov (Splošna uredba o varstvu podatkov) in izboljšanje komunikacije o njej z ustvarjanjem standardnega besedila o skladnosti, ki uporablja preprost in jasen jezik, razumljiv vsem. To besedilo bi moralo predstavljati ključno sporočilo in/ali temeljna načela. Postopek odobritve bi moral biti bolj viden (npr. prošnja za izrecno odobritev telefonskega dostopa s prošnjo). Spremljati bi ga morala informacijska kampanja (vključno s televizijo) in, sistematično, obvezni tečaji (vsaj za tiste, ki delajo s podatki) in svetovanje o namenu tistih, ki potrebujejo pomoč. </w:t>
      </w:r>
    </w:p>
    <w:p>
      <w:pPr>
        <w:pStyle w:val="Normal"/>
        <w:rPr/>
      </w:pPr>
      <w:r>
        <w:rPr/>
        <w:t xml:space="preserve"> </w:t>
      </w:r>
    </w:p>
    <w:p>
      <w:pPr>
        <w:pStyle w:val="Normal"/>
        <w:rPr/>
      </w:pPr>
      <w:r>
        <w:rPr/>
        <w:t xml:space="preserve">To priporočilo dajemo zato, ker je trenutno besedilo Splošne uredbe o varstvu podatkov preveč nejasno in preveč tehnično, količina informacij pa je velika in ni dostopna vsem. Komunikacija med državami prav tako ni podobna in pogosto izključuje različne skupine, predvsem starejše in ljudi, rojene pred digitalno tehnologijo. </w:t>
      </w:r>
    </w:p>
    <w:p>
      <w:pPr>
        <w:pStyle w:val="Normal"/>
        <w:rPr/>
      </w:pPr>
      <w:r>
        <w:rPr/>
      </w:r>
    </w:p>
    <w:p>
      <w:pPr>
        <w:pStyle w:val="Titre4"/>
        <w:numPr>
          <w:ilvl w:val="3"/>
          <w:numId w:val="2"/>
        </w:numPr>
        <w:rPr/>
      </w:pPr>
      <w:bookmarkStart w:id="126" w:name="__RefHeading___Toc297187_1346298689"/>
      <w:bookmarkEnd w:id="126"/>
      <w:r>
        <w:rPr/>
        <w:t xml:space="preserve">Podos 5.4 Digitalna preobrazba in zdravje </w:t>
      </w:r>
    </w:p>
    <w:p>
      <w:pPr>
        <w:pStyle w:val="Normal"/>
        <w:rPr/>
      </w:pPr>
      <w:r>
        <w:rPr/>
        <w:t xml:space="preserve"> </w:t>
      </w:r>
    </w:p>
    <w:p>
      <w:pPr>
        <w:pStyle w:val="P68B1DB1Normal15"/>
        <w:rPr>
          <w:b/>
          <w:b/>
        </w:rPr>
      </w:pPr>
      <w:r>
        <w:rPr/>
        <w:t xml:space="preserve">46. Priporočamo, da EU problem „lažnih informacij“ obravnava na dva načina: </w:t>
      </w:r>
    </w:p>
    <w:p>
      <w:pPr>
        <w:pStyle w:val="P68B1DB1Normal15"/>
        <w:rPr>
          <w:b/>
          <w:b/>
        </w:rPr>
      </w:pPr>
      <w:r>
        <w:rPr/>
        <w:t xml:space="preserve">● </w:t>
      </w:r>
      <w:r>
        <w:rPr/>
        <w:t xml:space="preserve">zakonodaja, ki podjetjem družbenih medijev omogoča izvajanje algoritmov strojnega učenja, ki lahko poudarijo zanesljivost informacij na družbenih medijih in novih medijih ter uporabniku zagotavljajo preverjene vire informacij. Priporočamo, da algoritme nadzorujejo strokovnjaki, da se zagotovi njihovo pravilno delovanje; </w:t>
      </w:r>
    </w:p>
    <w:p>
      <w:pPr>
        <w:pStyle w:val="P68B1DB1Normal15"/>
        <w:rPr>
          <w:b/>
          <w:b/>
        </w:rPr>
      </w:pPr>
      <w:r>
        <w:rPr/>
        <w:t xml:space="preserve">● </w:t>
      </w:r>
      <w:r>
        <w:rPr/>
        <w:t xml:space="preserve">vzpostavitev digitalne platforme za dodeljevanje rezultatov informacij iz tradicionalnih medijev (npr. televizije, tiska, radia) ne glede na politične in gospodarske interese, ki državljane obvešča o kakovosti informacij brez uporabe kakršne koli oblike cenzure. Ta platforma bi morala biti predmet javnega nadzora in spoštovati najvišje standarde preglednosti, EU pa bi morala zagotoviti, da se sredstva, ki so ji dodeljena, uporabijo za predvideni namen. </w:t>
      </w:r>
    </w:p>
    <w:p>
      <w:pPr>
        <w:pStyle w:val="Normal"/>
        <w:rPr/>
      </w:pPr>
      <w:r>
        <w:rPr/>
        <w:t xml:space="preserve"> </w:t>
      </w:r>
    </w:p>
    <w:p>
      <w:pPr>
        <w:pStyle w:val="Normal"/>
        <w:rPr/>
      </w:pPr>
      <w:r>
        <w:rPr/>
        <w:t xml:space="preserve">To priporočilo dajemo zato, ker gre za različne vrste medijev, in menimo, da bi sankcije ali odstranitev vsebin lahko pripeljale do cenzure ter ogrozile svobodo izražanja in svobodo tiska. Priporočamo, da strokovnjaki preverijo in nadzorujejo pravilno delovanje algoritma, da se zagotovi njegovo pravilno delovanje. Nazadnje priporočamo, da je platforma nepolitična in neodvisna, da se zagotovita preglednost in svoboda izražanja. Poleg tega, ker se je nemogoče popolnoma znebiti napačnih informacij, bo dajanje teh orodij na voljo državljanom pomagalo zmanjšati njihove učinke v Evropi. </w:t>
      </w:r>
    </w:p>
    <w:p>
      <w:pPr>
        <w:pStyle w:val="Normal"/>
        <w:rPr/>
      </w:pPr>
      <w:r>
        <w:rPr/>
        <w:t xml:space="preserve"> </w:t>
      </w:r>
    </w:p>
    <w:p>
      <w:pPr>
        <w:pStyle w:val="P68B1DB1Normal15"/>
        <w:rPr>
          <w:b/>
          <w:b/>
        </w:rPr>
      </w:pPr>
      <w:r>
        <w:rPr/>
        <w:t xml:space="preserve">47. Priporočamo, da EU izvaja različne ukrepe za zagotovitev zdrave uporabe interneta: </w:t>
      </w:r>
    </w:p>
    <w:p>
      <w:pPr>
        <w:pStyle w:val="P68B1DB1Normal15"/>
        <w:rPr>
          <w:b/>
          <w:b/>
        </w:rPr>
      </w:pPr>
      <w:r>
        <w:rPr/>
        <w:t xml:space="preserve">● </w:t>
      </w:r>
      <w:r>
        <w:rPr/>
        <w:t xml:space="preserve">EU mora najprej obravnavati pomanjkanje infrastrukture in opreme, ki državljanom preprečuje dostop do interneta; </w:t>
      </w:r>
    </w:p>
    <w:p>
      <w:pPr>
        <w:pStyle w:val="P68B1DB1Normal15"/>
        <w:rPr>
          <w:b/>
          <w:b/>
        </w:rPr>
      </w:pPr>
      <w:r>
        <w:rPr/>
        <w:t xml:space="preserve">● </w:t>
      </w:r>
      <w:r>
        <w:rPr/>
        <w:t xml:space="preserve">Nato priporočamo, da EU spodbuja države članice k uvedbi usposabljanja na internetu in z njim povezanih tveganj za vse starostne skupine. To bi lahko dosegli z uvedbo tečajev v šolah za otroke in mladino ter oblikovanjem različnih učnih načrtov in učnih načrtov, da bi dosegli odrasle in starejše državljane. Vsebino teh tečajev bi morala na evropski ravni določiti skupina neodvisnih strokovnjakov. </w:t>
      </w:r>
    </w:p>
    <w:p>
      <w:pPr>
        <w:pStyle w:val="P68B1DB1Normal15"/>
        <w:rPr>
          <w:b/>
          <w:b/>
        </w:rPr>
      </w:pPr>
      <w:r>
        <w:rPr/>
        <w:t xml:space="preserve">● </w:t>
      </w:r>
      <w:r>
        <w:rPr/>
        <w:t xml:space="preserve">Na koncu pozivamo EU, naj sprejme vse potrebne ukrepe za zagotovitev, da digitalizacija družbe ne bo izključevala starejših ljudi, in naj zagotovi, da bodo osnovne storitve dostopne tudi osebno. </w:t>
      </w:r>
    </w:p>
    <w:p>
      <w:pPr>
        <w:pStyle w:val="Normal"/>
        <w:rPr/>
      </w:pPr>
      <w:r>
        <w:rPr/>
      </w:r>
    </w:p>
    <w:p>
      <w:pPr>
        <w:pStyle w:val="P68B1DB1Normal15"/>
        <w:rPr>
          <w:b/>
          <w:b/>
        </w:rPr>
      </w:pPr>
      <w:r>
        <w:rPr/>
        <w:t xml:space="preserve">● </w:t>
      </w:r>
      <w:r>
        <w:rPr/>
        <w:t xml:space="preserve">EU bi morala zagotoviti, da se sredstva, posebej dodeljena tem dejavnostim, uporabijo za predvideni namen. </w:t>
      </w:r>
    </w:p>
    <w:p>
      <w:pPr>
        <w:pStyle w:val="Normal"/>
        <w:rPr/>
      </w:pPr>
      <w:r>
        <w:rPr/>
        <w:t xml:space="preserve"> </w:t>
      </w:r>
    </w:p>
    <w:p>
      <w:pPr>
        <w:pStyle w:val="Normal"/>
        <w:rPr/>
      </w:pPr>
      <w:r>
        <w:rPr/>
        <w:t xml:space="preserve">To priporočilo podajamo zaradi pomanjkanja infrastrukture in opreme (npr. naprav) na nekaterih mestih v Evropi ter potrebe po zagotovitvi povezave pred izobraževanjem državljanov, saj vemo, da je dostop do interneta v nekaterih regijah in za nekatere profile omejen. Priporočamo organizacijo tečajev za pomoč otrokom pri pridobivanju digitalnih znanj in spretnosti, zagotavljanje dodatnih programov za pomoč starejšim pri digitalizaciji in sprejetje potrebnih ukrepov za zagotovitev, da digitalna preobrazba ne ogroža pravic starejših. </w:t>
      </w:r>
    </w:p>
    <w:p>
      <w:pPr>
        <w:pStyle w:val="Normal"/>
        <w:rPr/>
      </w:pPr>
      <w:r>
        <w:rPr/>
      </w:r>
    </w:p>
    <w:p>
      <w:pPr>
        <w:pStyle w:val="P68B1DB1Normal15"/>
        <w:rPr>
          <w:b/>
          <w:b/>
        </w:rPr>
      </w:pPr>
      <w:r>
        <w:rPr/>
        <w:t xml:space="preserve">48. Priporočamo, da EU spodbuja izobraževanje državljanov v vsaki državi članici, da bi okrepila kritično razmišljanje, skepticizem in preverjanje dejstev ter jih naučila neodvisno oceniti, ali so informacije zanesljive ali ne. To izobraževanje bi moralo vključevati organizacijo posebnih tečajev na ravni osnovnega izobraževanja in bi moralo biti na drugih javnih mestih ponujeno državljanom vseh starosti, ki želijo izkoristiti to izobraževanje. EU bi morala zagotoviti, da se sredstva, posebej dodeljena tem dejavnostim, uporabijo za predvideni namen. </w:t>
      </w:r>
    </w:p>
    <w:p>
      <w:pPr>
        <w:pStyle w:val="Normal"/>
        <w:rPr/>
      </w:pPr>
      <w:r>
        <w:rPr/>
        <w:t xml:space="preserve"> </w:t>
      </w:r>
    </w:p>
    <w:p>
      <w:pPr>
        <w:pStyle w:val="Normal"/>
        <w:rPr/>
      </w:pPr>
      <w:r>
        <w:rPr/>
        <w:t xml:space="preserve">To priporočilo dajemo zato, ker menimo, da se je nemogoče popolnoma znebiti napačnih informacij. To usposabljanje bo državljanom pomagalo, da jih prepoznajo sami. Posledično se bodo zmanjšali učinki lažnih informacij na družbo in državljane same. Poleg tega bi državljanom ponudila več možnosti za ukrepanje, namesto da bi se zanašala na to, da bi institucije pridobile zanesljive informacije. </w:t>
      </w:r>
    </w:p>
    <w:p>
      <w:pPr>
        <w:pStyle w:val="Normal"/>
        <w:rPr/>
      </w:pPr>
      <w:r>
        <w:rPr/>
        <w:t xml:space="preserve"> </w:t>
      </w:r>
    </w:p>
    <w:p>
      <w:pPr>
        <w:pStyle w:val="Titre3"/>
        <w:numPr>
          <w:ilvl w:val="2"/>
          <w:numId w:val="2"/>
        </w:numPr>
        <w:rPr/>
      </w:pPr>
      <w:bookmarkStart w:id="127" w:name="__RefHeading___Toc297189_1346298689"/>
      <w:bookmarkEnd w:id="127"/>
      <w:r>
        <w:rPr/>
        <w:t xml:space="preserve">Priloga: DRUGA PRIPOROČILA, KI JIH JE KOMISIJA OBRAVNAVALA IN KI NISO BILA SPREJETA </w:t>
      </w:r>
    </w:p>
    <w:p>
      <w:pPr>
        <w:pStyle w:val="Normal"/>
        <w:rPr/>
      </w:pPr>
      <w:r>
        <w:rPr/>
        <w:t xml:space="preserve"> </w:t>
      </w:r>
    </w:p>
    <w:p>
      <w:pPr>
        <w:pStyle w:val="Titre4"/>
        <w:numPr>
          <w:ilvl w:val="3"/>
          <w:numId w:val="2"/>
        </w:numPr>
        <w:rPr/>
      </w:pPr>
      <w:bookmarkStart w:id="128" w:name="__RefHeading___Toc297191_1346298689"/>
      <w:bookmarkEnd w:id="128"/>
      <w:r>
        <w:rPr/>
        <w:t xml:space="preserve">Os 3 Pravična družba </w:t>
      </w:r>
    </w:p>
    <w:p>
      <w:pPr>
        <w:pStyle w:val="Normal"/>
        <w:rPr/>
      </w:pPr>
      <w:r>
        <w:rPr/>
        <w:t xml:space="preserve"> </w:t>
      </w:r>
    </w:p>
    <w:p>
      <w:pPr>
        <w:pStyle w:val="Normal"/>
        <w:rPr/>
      </w:pPr>
      <w:r>
        <w:rPr/>
        <w:t xml:space="preserve">Podos 3.2 Enakost pravic </w:t>
      </w:r>
    </w:p>
    <w:p>
      <w:pPr>
        <w:pStyle w:val="Normal"/>
        <w:rPr/>
      </w:pPr>
      <w:r>
        <w:rPr/>
        <w:t xml:space="preserve"> </w:t>
      </w:r>
    </w:p>
    <w:p>
      <w:pPr>
        <w:pStyle w:val="P68B1DB1Normal15"/>
        <w:rPr>
          <w:b/>
          <w:b/>
        </w:rPr>
      </w:pPr>
      <w:r>
        <w:rPr/>
        <w:t xml:space="preserve">Priporočamo, da EU vzpostavi mehanizem za spremljanje in spoštovanje pravic manjšin (npr. portal ali urad, kjer lahko ljudje vložijo pritožbe). </w:t>
      </w:r>
    </w:p>
    <w:p>
      <w:pPr>
        <w:pStyle w:val="Normal"/>
        <w:rPr/>
      </w:pPr>
      <w:r>
        <w:rPr/>
        <w:t xml:space="preserve"> </w:t>
      </w:r>
    </w:p>
    <w:p>
      <w:pPr>
        <w:pStyle w:val="Normal"/>
        <w:rPr/>
      </w:pPr>
      <w:r>
        <w:rPr/>
        <w:t xml:space="preserve">To priporočilo dajemo zato, ker verjamemo, da lahko vsak posameznik izrazi svoje mnenje in ima pravico poiskati in prejeti pomoč. Takšen urad je potreben za zmanjšanje napetosti med manjšinami in večino. </w:t>
      </w:r>
    </w:p>
    <w:p>
      <w:pPr>
        <w:pStyle w:val="Normal"/>
        <w:rPr/>
      </w:pPr>
      <w:r>
        <w:rPr/>
      </w:r>
    </w:p>
    <w:p>
      <w:pPr>
        <w:pStyle w:val="Normal"/>
        <w:rPr/>
      </w:pPr>
      <w:r>
        <w:rPr/>
        <w:t xml:space="preserve">Podos 3.3 Lastniški/podosni 3.4 Dostop do športa </w:t>
      </w:r>
    </w:p>
    <w:p>
      <w:pPr>
        <w:pStyle w:val="Normal"/>
        <w:rPr/>
      </w:pPr>
      <w:r>
        <w:rPr/>
        <w:t xml:space="preserve"> </w:t>
      </w:r>
    </w:p>
    <w:p>
      <w:pPr>
        <w:pStyle w:val="P68B1DB1Normal15"/>
        <w:rPr>
          <w:b/>
          <w:b/>
        </w:rPr>
      </w:pPr>
      <w:r>
        <w:rPr/>
        <w:t xml:space="preserve">Priporočamo, da EU ozavešča o telesni dejavnosti z modeliranjem vlog, ki vključuje javne osebnosti (to pomeni, da bi morali dogodki, ki jih organizira Parlament, vključevati določeno obliko telesne dejavnosti ali gibanja za nekaj sekund, kot so raztezanje, hoja ali skakanje). </w:t>
      </w:r>
    </w:p>
    <w:p>
      <w:pPr>
        <w:pStyle w:val="Normal"/>
        <w:rPr/>
      </w:pPr>
      <w:r>
        <w:rPr/>
        <w:t xml:space="preserve"> </w:t>
      </w:r>
    </w:p>
    <w:p>
      <w:pPr>
        <w:pStyle w:val="Normal"/>
        <w:rPr/>
      </w:pPr>
      <w:r>
        <w:rPr/>
        <w:t xml:space="preserve">To priporočilo dajemo zato, ker bo mobilizacija javnih osebnosti za telesno dejavnost povečala ozaveščenost javnosti. </w:t>
      </w:r>
    </w:p>
    <w:p>
      <w:pPr>
        <w:pStyle w:val="Normal"/>
        <w:rPr/>
      </w:pPr>
      <w:r>
        <w:rPr/>
      </w:r>
    </w:p>
    <w:p>
      <w:pPr>
        <w:pStyle w:val="Titre4"/>
        <w:numPr>
          <w:ilvl w:val="3"/>
          <w:numId w:val="2"/>
        </w:numPr>
        <w:rPr/>
      </w:pPr>
      <w:bookmarkStart w:id="129" w:name="__RefHeading___Toc297193_1346298689"/>
      <w:bookmarkEnd w:id="129"/>
      <w:r>
        <w:rPr/>
        <w:t xml:space="preserve">Os 5 Etična in varna digitalna preobrazba </w:t>
      </w:r>
    </w:p>
    <w:p>
      <w:pPr>
        <w:pStyle w:val="Normal"/>
        <w:rPr/>
      </w:pPr>
      <w:r>
        <w:rPr/>
        <w:t xml:space="preserve"> </w:t>
      </w:r>
    </w:p>
    <w:p>
      <w:pPr>
        <w:pStyle w:val="Normal"/>
        <w:rPr/>
      </w:pPr>
      <w:r>
        <w:rPr/>
        <w:t xml:space="preserve">Podos 5.3 Varstvo podatkov </w:t>
      </w:r>
    </w:p>
    <w:p>
      <w:pPr>
        <w:pStyle w:val="Normal"/>
        <w:rPr/>
      </w:pPr>
      <w:r>
        <w:rPr/>
        <w:t xml:space="preserve"> </w:t>
      </w:r>
    </w:p>
    <w:p>
      <w:pPr>
        <w:pStyle w:val="P68B1DB1Normal15"/>
        <w:rPr>
          <w:b/>
          <w:b/>
        </w:rPr>
      </w:pPr>
      <w:r>
        <w:rPr/>
        <w:t xml:space="preserve">Priporočamo, da ustvarite spletni ID, ki bo hranil osebne in občutljive podatke, vendar bo na voljo samo organom in policiji. Spletne platforme in prodajalci bodo uporabljali spletno kodo, povezano s tem spletnim identifikatorjem, in podatke, potrebne za določeno dejavnost. Privzeta nastavitev za souporabo podatkov z uporabo tega identifikatorja ne bi smela biti odobrena. Podatke je treba posredovati le neposredno vpletenim strankam in ne tretji osebi. Če se podatki posredujejo tretji osebi, bi moral imeti državljan možnost, da jim brez težav ugovarja. Podatki bi morali biti na voljo le za omejeno časovno obdobje ali za določeno transakcijo. Dovoljenje za uporabo podatkov bi moralo biti časovno omejeno ali jasno opredeljeno, kaj lahko podjetja storijo s temi podatki. </w:t>
      </w:r>
    </w:p>
    <w:p>
      <w:pPr>
        <w:pStyle w:val="Normal"/>
        <w:rPr/>
      </w:pPr>
      <w:r>
        <w:rPr/>
        <w:t xml:space="preserve"> </w:t>
      </w:r>
    </w:p>
    <w:p>
      <w:pPr>
        <w:pStyle w:val="Normal"/>
        <w:rPr/>
      </w:pPr>
      <w:r>
        <w:rPr/>
        <w:t xml:space="preserve">To priporočilo dajemo zato, ker lahko podjetja trenutno zbirajo vse podatke, vključno z osebnimi in občutljivimi podatki, ter jih uporabljajo za številne namene, ne da bi razkrila točno, kako in zakaj. Tako operaterji dobijo več informacij, kot jih dejansko potrebujejo za zagotavljanje storitev, in lahko nato preprodajajo ali ponovno uporabijo druge podatke brez našega soglasja. Hkrati bo to zagotovilo odgovornost uporabnikov interneta in hkrati ohranilo njihovo relativno anonimnost. </w:t>
      </w:r>
      <w:r>
        <w:br w:type="page"/>
      </w:r>
    </w:p>
    <w:p>
      <w:pPr>
        <w:pStyle w:val="Titre2"/>
        <w:numPr>
          <w:ilvl w:val="1"/>
          <w:numId w:val="2"/>
        </w:numPr>
        <w:rPr/>
      </w:pPr>
      <w:bookmarkStart w:id="130" w:name="__RefHeading___Toc297195_1346298689"/>
      <w:bookmarkEnd w:id="130"/>
      <w:r>
        <w:rPr/>
        <w:t xml:space="preserve">Okrogla miza za evropske državljane 2: „Evropska demokracija; vrednote in pravice, pravna država, varnost </w:t>
      </w:r>
    </w:p>
    <w:p>
      <w:pPr>
        <w:pStyle w:val="Normal"/>
        <w:rPr/>
      </w:pPr>
      <w:r>
        <w:rPr/>
      </w:r>
    </w:p>
    <w:p>
      <w:pPr>
        <w:pStyle w:val="Normal"/>
        <w:rPr/>
      </w:pPr>
      <w:r>
        <w:rPr/>
        <w:t xml:space="preserve">PRIPOROČILA, KI JIH JE SPREJELA KOMISIJA (PREDLOŽITI NA PLENARNEM ZASEDANJU) </w:t>
      </w:r>
    </w:p>
    <w:p>
      <w:pPr>
        <w:pStyle w:val="Normal"/>
        <w:rPr/>
      </w:pPr>
      <w:r>
        <w:rPr/>
        <w:t xml:space="preserve"> </w:t>
      </w:r>
    </w:p>
    <w:p>
      <w:pPr>
        <w:pStyle w:val="Titre3"/>
        <w:numPr>
          <w:ilvl w:val="2"/>
          <w:numId w:val="2"/>
        </w:numPr>
        <w:rPr/>
      </w:pPr>
      <w:bookmarkStart w:id="131" w:name="__RefHeading___Toc297197_1346298689"/>
      <w:bookmarkEnd w:id="131"/>
      <w:r>
        <w:rPr/>
        <w:t xml:space="preserve">Os 1: Zagotavljanje pravic in nediskriminacije </w:t>
      </w:r>
    </w:p>
    <w:p>
      <w:pPr>
        <w:pStyle w:val="Normal"/>
        <w:rPr/>
      </w:pPr>
      <w:r>
        <w:rPr/>
        <w:t xml:space="preserve"> </w:t>
      </w:r>
    </w:p>
    <w:p>
      <w:pPr>
        <w:pStyle w:val="Titre4"/>
        <w:numPr>
          <w:ilvl w:val="3"/>
          <w:numId w:val="2"/>
        </w:numPr>
        <w:rPr/>
      </w:pPr>
      <w:bookmarkStart w:id="132" w:name="__RefHeading___Toc297199_1346298689"/>
      <w:bookmarkEnd w:id="132"/>
      <w:r>
        <w:rPr/>
        <w:t xml:space="preserve">Podos 1.1 Nediskriminacija/podosna os 1.2 Enakost spolov </w:t>
      </w:r>
    </w:p>
    <w:p>
      <w:pPr>
        <w:pStyle w:val="Normal"/>
        <w:rPr/>
      </w:pPr>
      <w:r>
        <w:rPr/>
        <w:t xml:space="preserve"> </w:t>
      </w:r>
    </w:p>
    <w:p>
      <w:pPr>
        <w:pStyle w:val="P68B1DB1Normal15"/>
        <w:rPr>
          <w:b/>
          <w:b/>
        </w:rPr>
      </w:pPr>
      <w:r>
        <w:rPr/>
        <w:t xml:space="preserve">1. „Priporočamo, da EU vključi merila za boj proti diskriminaciji na trgu dela (kvote za mlade, starejše, ženske, manjšine). Če bodo podjetja izpolnjevala ta merila, bodo prejela subvencije ali davčne olajšave.“ </w:t>
      </w:r>
    </w:p>
    <w:p>
      <w:pPr>
        <w:pStyle w:val="P68B1DB1Normal15"/>
        <w:rPr>
          <w:b/>
          <w:b/>
        </w:rPr>
      </w:pPr>
      <w:r>
        <w:rPr/>
        <w:t xml:space="preserve">Priporočamo ozaveščanje zaposlenih o naslednjih vprašanjih: </w:t>
      </w:r>
    </w:p>
    <w:p>
      <w:pPr>
        <w:pStyle w:val="P68B1DB1Normal15"/>
        <w:rPr>
          <w:b/>
          <w:b/>
        </w:rPr>
      </w:pPr>
      <w:r>
        <w:rPr/>
        <w:t xml:space="preserve">● </w:t>
      </w:r>
      <w:r>
        <w:rPr/>
        <w:t xml:space="preserve">nadnacionalne in nacionalne institucije (npr. sindikati); </w:t>
      </w:r>
    </w:p>
    <w:p>
      <w:pPr>
        <w:pStyle w:val="P68B1DB1Normal15"/>
        <w:rPr>
          <w:b/>
          <w:b/>
        </w:rPr>
      </w:pPr>
      <w:r>
        <w:rPr/>
        <w:t xml:space="preserve">● </w:t>
      </w:r>
      <w:r>
        <w:rPr/>
        <w:t xml:space="preserve">mehanizmi za zagotavljanje, da podjetja spoštujejo obstoječa pravila o nediskriminaciji na delovnem mestu; </w:t>
      </w:r>
    </w:p>
    <w:p>
      <w:pPr>
        <w:pStyle w:val="P68B1DB1Normal15"/>
        <w:rPr>
          <w:b/>
          <w:b/>
        </w:rPr>
      </w:pPr>
      <w:r>
        <w:rPr/>
        <w:t xml:space="preserve">● </w:t>
      </w:r>
      <w:r>
        <w:rPr/>
        <w:t xml:space="preserve">programi kvalifikacij za družbene skupine, ki se soočajo z diskriminacijo na trgu dela (mladi, starejši, ženske, manjšine). </w:t>
      </w:r>
    </w:p>
    <w:p>
      <w:pPr>
        <w:pStyle w:val="Normal"/>
        <w:rPr/>
      </w:pPr>
      <w:r>
        <w:rPr/>
        <w:t xml:space="preserve"> </w:t>
      </w:r>
    </w:p>
    <w:p>
      <w:pPr>
        <w:pStyle w:val="P68B1DB1Normal15"/>
        <w:rPr>
          <w:b/>
          <w:b/>
        </w:rPr>
      </w:pPr>
      <w:r>
        <w:rPr/>
        <w:t xml:space="preserve">Priporočamo, da se zakonodaja EU sprejme v dveh fazah. Prvič, zagotoviti bi bilo treba subvencije za zaposlovanje delavcev iz nekaterih kategorij, ki bi lahko bile diskriminirane. Drugič, zakonodajni akt bi moral od delodajalcev zahtevati, da te skupine zaposlijo za najkrajše časovno obdobje. </w:t>
      </w:r>
    </w:p>
    <w:p>
      <w:pPr>
        <w:pStyle w:val="Normal"/>
        <w:rPr/>
      </w:pPr>
      <w:r>
        <w:rPr/>
        <w:t xml:space="preserve"> </w:t>
      </w:r>
    </w:p>
    <w:p>
      <w:pPr>
        <w:pStyle w:val="Normal"/>
        <w:rPr/>
      </w:pPr>
      <w:r>
        <w:rPr/>
        <w:t xml:space="preserve">EU je dejansko odgovorna za ohranjanje ravnovesja med interesi prostega trga in zaščito ranljivih skupin, ki jih je treba pravno zaščititi. Heterogene skupine so zaželene za podjetja, saj ponujajo različne kvalifikacije. Subvencije so dodatna spodbuda za podjetja. </w:t>
      </w:r>
    </w:p>
    <w:p>
      <w:pPr>
        <w:pStyle w:val="Normal"/>
        <w:rPr/>
      </w:pPr>
      <w:r>
        <w:rPr/>
        <w:t xml:space="preserve"> </w:t>
      </w:r>
    </w:p>
    <w:p>
      <w:pPr>
        <w:pStyle w:val="P68B1DB1Normal15"/>
        <w:rPr>
          <w:b/>
          <w:b/>
        </w:rPr>
      </w:pPr>
      <w:r>
        <w:rPr/>
        <w:t xml:space="preserve">2. „Priporočamo, da EU oblikuje program spodbud, ki bo olajšal oblikovanje cenovno dostopnih vrtcev in otroških igrišč v velikih in malih podjetjih. Skupne zmogljivosti so tudi izvedljiva rešitev za mala podjetja, da bi imela koristi od subvencije. </w:t>
      </w:r>
    </w:p>
    <w:p>
      <w:pPr>
        <w:pStyle w:val="P68B1DB1Normal15"/>
        <w:rPr>
          <w:b/>
          <w:b/>
        </w:rPr>
      </w:pPr>
      <w:r>
        <w:rPr/>
        <w:t xml:space="preserve">Priporočamo, da EU od podjetij zahteva, da ustanovijo vrtce sorazmerno s številom zaposlenih. </w:t>
      </w:r>
    </w:p>
    <w:p>
      <w:pPr>
        <w:pStyle w:val="Normal"/>
        <w:rPr/>
      </w:pPr>
      <w:r>
        <w:rPr/>
        <w:t xml:space="preserve"> </w:t>
      </w:r>
    </w:p>
    <w:p>
      <w:pPr>
        <w:pStyle w:val="Normal"/>
        <w:rPr/>
      </w:pPr>
      <w:r>
        <w:rPr/>
        <w:t xml:space="preserve">To priporočamo, ker usklajevanje družinskega in poklicnega življenja izboljšuje delovno uspešnost, zmanjšuje brezposelnost in postavlja starše, zlasti ženske, v položaj, ki jim omogoča nadaljevanje poklicne poti. S poudarkom na socialni razsežnosti predlagana rešitev zagotavlja varnost otrok in zmanjšuje zaskrbljenost staršev. </w:t>
      </w:r>
    </w:p>
    <w:p>
      <w:pPr>
        <w:pStyle w:val="Normal"/>
        <w:rPr/>
      </w:pPr>
      <w:r>
        <w:rPr/>
      </w:r>
    </w:p>
    <w:p>
      <w:pPr>
        <w:pStyle w:val="Titre4"/>
        <w:numPr>
          <w:ilvl w:val="3"/>
          <w:numId w:val="2"/>
        </w:numPr>
        <w:rPr/>
      </w:pPr>
      <w:bookmarkStart w:id="133" w:name="__RefHeading___Toc297201_1346298689"/>
      <w:bookmarkEnd w:id="133"/>
      <w:r>
        <w:rPr/>
        <w:t xml:space="preserve">Podos 1.3: Varstvo človekovih pravic ter pravic narave in živali </w:t>
      </w:r>
    </w:p>
    <w:p>
      <w:pPr>
        <w:pStyle w:val="Normal"/>
        <w:rPr/>
      </w:pPr>
      <w:r>
        <w:rPr/>
        <w:t xml:space="preserve"> </w:t>
      </w:r>
    </w:p>
    <w:p>
      <w:pPr>
        <w:pStyle w:val="P68B1DB1Normal15"/>
        <w:rPr>
          <w:b/>
          <w:b/>
        </w:rPr>
      </w:pPr>
      <w:r>
        <w:rPr/>
        <w:t xml:space="preserve">3. „Priporočamo ohranitev dobrega počutja in trajnosti živali s spremembo Direktive 98/58/ES o zaščiti živali na kmetijah. Opredeliti je treba podrobnejša minimalna merila. Biti morajo točni, merljivi in časovno omejeni. Minimalna merila morajo biti določena tako, da vodijo k višjim standardom dobrega počutja živali in hkrati omogočajo prehod na trajnostno podnebje in okolje ter ekološko kmetijstvo. </w:t>
      </w:r>
    </w:p>
    <w:p>
      <w:pPr>
        <w:pStyle w:val="Normal"/>
        <w:rPr/>
      </w:pPr>
      <w:r>
        <w:rPr/>
        <w:t xml:space="preserve"> </w:t>
      </w:r>
    </w:p>
    <w:p>
      <w:pPr>
        <w:pStyle w:val="Normal"/>
        <w:rPr/>
      </w:pPr>
      <w:r>
        <w:rPr/>
        <w:t xml:space="preserve">Kot državljani menimo, da je pomembno, da se v EU uskladijo strožji minimalni standardi za živinorejo. Zavedamo se, da bi lahko prehod povzročil težave v nekaterih kmetijskih sektorjih, ki prejemajo subvencije, in za tiste, ki so v prehodu na ekološko in trajnostno kmetijstvo. Kljub temu menimo, da je zelo pomembno zagotoviti, da se ta prehod izvede. </w:t>
      </w:r>
    </w:p>
    <w:p>
      <w:pPr>
        <w:pStyle w:val="Normal"/>
        <w:rPr/>
      </w:pPr>
      <w:r>
        <w:rPr/>
        <w:t xml:space="preserve"> </w:t>
      </w:r>
    </w:p>
    <w:p>
      <w:pPr>
        <w:pStyle w:val="P68B1DB1Normal15"/>
        <w:rPr>
          <w:b/>
          <w:b/>
        </w:rPr>
      </w:pPr>
      <w:r>
        <w:rPr/>
        <w:t xml:space="preserve">4. Priporočamo spodbujanje okolju in podnebju prijaznejšega kmetijstva v Evropi in po svetu, na primer z obdavčitvijo vseh negativnih emisij, pesticidov in ekstremne rabe vode, odvisno od njihovega vpliva na okolje. Carine za vse kmetijske proizvode, uvožene v Unijo, morajo odpraviti konkurenčne prednosti tretjih držav, ki ne izpolnjujejo enakih standardov kot Unija. Za spodbujanje živali prijaznega kmetijstva priporočamo obdavčitev emisij, ki jih povzroča prevoz živali na dolge razdalje. </w:t>
      </w:r>
    </w:p>
    <w:p>
      <w:pPr>
        <w:pStyle w:val="Normal"/>
        <w:rPr/>
      </w:pPr>
      <w:r>
        <w:rPr/>
        <w:t xml:space="preserve"> </w:t>
      </w:r>
    </w:p>
    <w:p>
      <w:pPr>
        <w:pStyle w:val="Normal"/>
        <w:rPr/>
      </w:pPr>
      <w:r>
        <w:rPr/>
        <w:t xml:space="preserve">Z vzpostavitvijo takšnega sistema verjamemo, da je mogoče podpreti prehod na podnebju prijazno in okolju prijazno kmetijstvo. </w:t>
      </w:r>
    </w:p>
    <w:p>
      <w:pPr>
        <w:pStyle w:val="Normal"/>
        <w:rPr/>
      </w:pPr>
      <w:r>
        <w:rPr/>
        <w:t xml:space="preserve"> </w:t>
      </w:r>
    </w:p>
    <w:p>
      <w:pPr>
        <w:pStyle w:val="P68B1DB1Normal15"/>
        <w:rPr>
          <w:b/>
          <w:b/>
        </w:rPr>
      </w:pPr>
      <w:r>
        <w:rPr/>
        <w:t xml:space="preserve">5. Medtem ko v zadnjem času kroži veliko lažnih novic, priporočamo spodbujanje bolj neodvisne, objektivne in uravnotežene medijske pokritosti z naslednjimi koraki: 1. pripraviti direktivo EU o določitvi minimalnih standardov za neodvisnost medijev; 2. na ravni Unije spodbujati razvoj medijskih spretnosti za vsakega državljana.“ </w:t>
      </w:r>
    </w:p>
    <w:p>
      <w:pPr>
        <w:pStyle w:val="Normal"/>
        <w:rPr/>
      </w:pPr>
      <w:r>
        <w:rPr/>
        <w:t xml:space="preserve"> </w:t>
      </w:r>
    </w:p>
    <w:p>
      <w:pPr>
        <w:pStyle w:val="Normal"/>
        <w:rPr/>
      </w:pPr>
      <w:r>
        <w:rPr/>
        <w:t xml:space="preserve">EU mora pripraviti direktivo, ki bo zagotavljala neodvisnost medijev in svobodo izražanja. </w:t>
      </w:r>
    </w:p>
    <w:p>
      <w:pPr>
        <w:pStyle w:val="Normal"/>
        <w:rPr/>
      </w:pPr>
      <w:r>
        <w:rPr/>
        <w:t xml:space="preserve"> </w:t>
      </w:r>
    </w:p>
    <w:p>
      <w:pPr>
        <w:pStyle w:val="Normal"/>
        <w:rPr/>
      </w:pPr>
      <w:r>
        <w:rPr>
          <w:b/>
        </w:rPr>
        <w:t>6. Priporočamo, da ustavimo subvencioniranje množične kmetijske proizvodnje, če to ne vodi v prehod na podnebno, ekološko in trajnostno kmetijstvo. Namesto tega priporočamo preusmeritev nepovratnih sredstev v podporo trajnostnemu prehodu.</w:t>
      </w:r>
      <w:r>
        <w:rPr/>
        <w:t xml:space="preserve"> </w:t>
      </w:r>
    </w:p>
    <w:p>
      <w:pPr>
        <w:pStyle w:val="Normal"/>
        <w:rPr/>
      </w:pPr>
      <w:r>
        <w:rPr/>
        <w:t xml:space="preserve"> </w:t>
      </w:r>
    </w:p>
    <w:p>
      <w:pPr>
        <w:pStyle w:val="Normal"/>
        <w:rPr/>
      </w:pPr>
      <w:r>
        <w:rPr/>
        <w:t xml:space="preserve">Namesto subvencioniranja kmetijskega sektorja množične živinoreje bi bilo treba subvencije preusmeriti na kmetije, ki so v prehodu, da bi izpolnile nove minimalne standarde dobrega počutja živali. </w:t>
      </w:r>
    </w:p>
    <w:p>
      <w:pPr>
        <w:pStyle w:val="Normal"/>
        <w:rPr/>
      </w:pPr>
      <w:r>
        <w:rPr/>
        <w:t xml:space="preserve"> </w:t>
      </w:r>
    </w:p>
    <w:p>
      <w:pPr>
        <w:pStyle w:val="Titre4"/>
        <w:numPr>
          <w:ilvl w:val="3"/>
          <w:numId w:val="2"/>
        </w:numPr>
        <w:rPr/>
      </w:pPr>
      <w:bookmarkStart w:id="134" w:name="__RefHeading___Toc297203_1346298689"/>
      <w:bookmarkEnd w:id="134"/>
      <w:r>
        <w:rPr/>
        <w:t xml:space="preserve">Podos 1.4 Pravica do zasebnosti </w:t>
      </w:r>
    </w:p>
    <w:p>
      <w:pPr>
        <w:pStyle w:val="Normal"/>
        <w:rPr/>
      </w:pPr>
      <w:r>
        <w:rPr/>
        <w:t xml:space="preserve"> </w:t>
      </w:r>
    </w:p>
    <w:p>
      <w:pPr>
        <w:pStyle w:val="P68B1DB1Normal15"/>
        <w:rPr>
          <w:b/>
          <w:b/>
        </w:rPr>
      </w:pPr>
      <w:r>
        <w:rPr/>
        <w:t xml:space="preserve">7. „Priporočamo, da se subjekti, ki obdelujejo osebne podatke, pooblastijo na ravni EU. Za te subjekte bo treba opraviti tudi neodvisno, zunanjo letno revizijo varstva podatkov. Ti subjekti bodo kaznovani za kršitve varstva podatkov sorazmerno z njihovim letnim prometom, in sicer bolj kot v sedanji uredbi. Odobritev je treba preklicati po dveh zaporednih kršitvah in takoj po hudi kršitvi. </w:t>
      </w:r>
    </w:p>
    <w:p>
      <w:pPr>
        <w:pStyle w:val="Normal"/>
        <w:rPr/>
      </w:pPr>
      <w:r>
        <w:rPr/>
        <w:t xml:space="preserve"> </w:t>
      </w:r>
    </w:p>
    <w:p>
      <w:pPr>
        <w:pStyle w:val="Normal"/>
        <w:rPr/>
      </w:pPr>
      <w:r>
        <w:rPr/>
        <w:t xml:space="preserve">Priporočamo takšne ukrepe, saj sedanja uredba (GDPR) ne zadostuje in je treba subjekte bolje nadzorovati in sankcionirati, da se zagotovi, da ne kršijo varstva podatkov in pravice do zasebnosti. </w:t>
      </w:r>
    </w:p>
    <w:p>
      <w:pPr>
        <w:pStyle w:val="Normal"/>
        <w:rPr/>
      </w:pPr>
      <w:r>
        <w:rPr/>
        <w:t xml:space="preserve"> </w:t>
      </w:r>
    </w:p>
    <w:p>
      <w:pPr>
        <w:pStyle w:val="P68B1DB1Normal15"/>
        <w:rPr>
          <w:b/>
          <w:b/>
        </w:rPr>
      </w:pPr>
      <w:r>
        <w:rPr/>
        <w:t xml:space="preserve">8. „Priporočamo okrepitev pristojnosti Unije na naslednjih področjih: 1) izobraževanje o varstvu podatkov, 2) ozaveščanje o varstvu podatkov in 3) varstvo osebnih podatkov mladoletnikov. Priporočamo pojasnitev in okrepitev pravil v zvezi z obdelavo podatkov mladoletnikov v GDPR, vključno s pravili o privolitvi, preverjanju starosti in nadzoru zakonitih skrbnikov. Priporočamo tudi, da se v GDPR uvede posebna kategorija za občutljive podatke mladoletnikov (npr. kazenske evidence, zdravstvene informacije, golota), tako da so mladoletniki zaščiteni pred kakršno koli obliko zlorabe in diskriminacije. </w:t>
      </w:r>
    </w:p>
    <w:p>
      <w:pPr>
        <w:pStyle w:val="Normal"/>
        <w:rPr/>
      </w:pPr>
      <w:r>
        <w:rPr/>
        <w:t xml:space="preserve"> </w:t>
      </w:r>
    </w:p>
    <w:p>
      <w:pPr>
        <w:pStyle w:val="Normal"/>
        <w:rPr/>
      </w:pPr>
      <w:r>
        <w:rPr/>
        <w:t xml:space="preserve">To priporočilo je potrebno, ker so mladoletniki še posebej izpostavljeni varstvu podatkov in kršitvam zasebnosti ter ker trenutno splošno prebivalstvo (zlasti mladoletniki, učitelji in zakoniti skrbniki) ni dovolj seznanjeno z varstvom podatkov. Vsi se morajo naučiti uporabljati spletne in nespletne podatkovne storitve ter zaščititi pravice otrok do zasebnosti. Poleg tega lahko zakoniti skrbniki pogosto privolijo v obdelavo podatkov otrok, ne da bi bili v celoti seznanjeni ali obveščeni, otroci pa lahko ponarejajo privolitev staršev. To priporočilo je potrebno tudi zato, ker na ravni EU ni prave kampanje ozaveščanja o varstvu podatkov, ki bi bila namenjena zlasti mladoletnikom, zakonitim skrbnikom in učiteljem, čeprav je takšna kampanja nujna. </w:t>
      </w:r>
    </w:p>
    <w:p>
      <w:pPr>
        <w:pStyle w:val="Normal"/>
        <w:rPr/>
      </w:pPr>
      <w:r>
        <w:rPr/>
      </w:r>
    </w:p>
    <w:p>
      <w:pPr>
        <w:pStyle w:val="P68B1DB1Normal15"/>
        <w:rPr>
          <w:b/>
          <w:b/>
        </w:rPr>
      </w:pPr>
      <w:r>
        <w:rPr/>
        <w:t xml:space="preserve">9. Priporočamo, da se vzpostavijo standardizirani pravilniki o zasebnosti in lahko razumljivi, jedrnati in intuitivni obrazci za privolitev, ki jasno kažejo, katera obdelava podatkov je nujno potrebna in kaj je neobvezno. Priporočamo, da je preklic soglasja enostaven, hiter in trajen. Priporočamo, da se subjektom prepove omejitev njihovih storitev več, kot je potrebno, če privolitev za neobvezno obdelavo podatkov ni bila dana. </w:t>
      </w:r>
    </w:p>
    <w:p>
      <w:pPr>
        <w:pStyle w:val="Normal"/>
        <w:rPr/>
      </w:pPr>
      <w:r>
        <w:rPr/>
        <w:t xml:space="preserve"> </w:t>
      </w:r>
    </w:p>
    <w:p>
      <w:pPr>
        <w:pStyle w:val="Normal"/>
        <w:rPr/>
      </w:pPr>
      <w:r>
        <w:rPr/>
        <w:t xml:space="preserve">To priporočamo, ker sedanja pravila EU niso dovolj natančna, preklic privolitve je dolgotrajen, začasen in zapleten, subjekti pa nimajo interesa, da bi svoje storitve ponudili državljanom, ki uveljavljajo svojo pravico do varstva podatkov. </w:t>
      </w:r>
    </w:p>
    <w:p>
      <w:pPr>
        <w:pStyle w:val="Normal"/>
        <w:rPr/>
      </w:pPr>
      <w:r>
        <w:rPr/>
        <w:t xml:space="preserve"> </w:t>
      </w:r>
    </w:p>
    <w:p>
      <w:pPr>
        <w:pStyle w:val="Titre3"/>
        <w:numPr>
          <w:ilvl w:val="2"/>
          <w:numId w:val="2"/>
        </w:numPr>
        <w:rPr/>
      </w:pPr>
      <w:bookmarkStart w:id="135" w:name="__RefHeading___Toc297205_1346298689"/>
      <w:bookmarkEnd w:id="135"/>
      <w:r>
        <w:rPr/>
        <w:t xml:space="preserve">Os 2: Zaščita demokracije in pravne države </w:t>
      </w:r>
    </w:p>
    <w:p>
      <w:pPr>
        <w:pStyle w:val="Normal"/>
        <w:rPr/>
      </w:pPr>
      <w:r>
        <w:rPr/>
        <w:t xml:space="preserve"> </w:t>
      </w:r>
    </w:p>
    <w:p>
      <w:pPr>
        <w:pStyle w:val="Titre4"/>
        <w:numPr>
          <w:ilvl w:val="3"/>
          <w:numId w:val="2"/>
        </w:numPr>
        <w:rPr/>
      </w:pPr>
      <w:bookmarkStart w:id="136" w:name="__RefHeading___Toc297207_1346298689"/>
      <w:bookmarkEnd w:id="136"/>
      <w:r>
        <w:rPr/>
        <w:t xml:space="preserve">Podos 2.1 Zaščita pravne države </w:t>
      </w:r>
    </w:p>
    <w:p>
      <w:pPr>
        <w:pStyle w:val="Normal"/>
        <w:rPr/>
      </w:pPr>
      <w:r>
        <w:rPr/>
        <w:t xml:space="preserve"> </w:t>
      </w:r>
    </w:p>
    <w:p>
      <w:pPr>
        <w:pStyle w:val="P68B1DB1Normal15"/>
        <w:rPr>
          <w:b/>
          <w:b/>
        </w:rPr>
      </w:pPr>
      <w:r>
        <w:rPr/>
        <w:t xml:space="preserve">10. „Priporočamo, da se uredba o navzkrižni skladnosti (2020/2092, sprejeta 16. decembra 2020) spremeni tako, da se bo uporabljala za vse kršitve pravne države in ne za kršitve, ki vplivajo na proračun EU.“ </w:t>
      </w:r>
    </w:p>
    <w:p>
      <w:pPr>
        <w:pStyle w:val="Normal"/>
        <w:rPr/>
      </w:pPr>
      <w:r>
        <w:rPr/>
        <w:t xml:space="preserve"> </w:t>
      </w:r>
    </w:p>
    <w:p>
      <w:pPr>
        <w:pStyle w:val="Normal"/>
        <w:rPr/>
      </w:pPr>
      <w:r>
        <w:rPr/>
        <w:t xml:space="preserve">Uredba o navzkrižni skladnosti omogoča začasno ustavitev izplačevanja sredstev EU državam članicam, ki kršijo načelo pravne države. Vendar se v sedanjem besedilu uporablja samo za kršitve, ki vplivajo ali bi lahko vplivale na proračun EU. Poleg tega sedanje besedilo uredbe o navzkrižni skladnosti ščiti proračun EU in institucije EU, ne pa državljane zadevnih držav članic. Zato priporočamo, da se sedanje besedilo uredbe spremeni tako, da bo zajemalo vse kršitve pravne države. </w:t>
      </w:r>
    </w:p>
    <w:p>
      <w:pPr>
        <w:pStyle w:val="Normal"/>
        <w:rPr/>
      </w:pPr>
      <w:r>
        <w:rPr/>
        <w:t xml:space="preserve"> </w:t>
      </w:r>
    </w:p>
    <w:p>
      <w:pPr>
        <w:pStyle w:val="P68B1DB1Normal15"/>
        <w:rPr>
          <w:b/>
          <w:b/>
        </w:rPr>
      </w:pPr>
      <w:r>
        <w:rPr/>
        <w:t xml:space="preserve">11. „Priporočamo, da EU organizira letne konference o pravni državi po objavi letnega poročila o stanju pravne države (mehanizem Komisije za spremljanje spoštovanja načela pravne države v državah članicah). Države članice bi morale biti obvezane, da na konferenco pošljejo različne socialne nacionalne delegacije, vključno z državljani in javnimi uslužbenci.“ </w:t>
      </w:r>
    </w:p>
    <w:p>
      <w:pPr>
        <w:pStyle w:val="Normal"/>
        <w:rPr/>
      </w:pPr>
      <w:r>
        <w:rPr/>
        <w:t xml:space="preserve"> </w:t>
      </w:r>
    </w:p>
    <w:p>
      <w:pPr>
        <w:pStyle w:val="Normal"/>
        <w:rPr/>
      </w:pPr>
      <w:r>
        <w:rPr/>
        <w:t xml:space="preserve">Ta konferenca bi spodbujala dialog med državljani EU o vprašanjih pravne države ter dialog med državljani in strokovnjaki, ki pripravljajo letna poročila o pravni državi. Prepričani smo, da bodo lahko udeleženci v ozračju medsebojnega spoštovanja in izmenjave najboljše prakse in ideje vrnili v svoje matične države. Poleg tega bi konferenca povečala ozaveščenost in razumevanje načela pravne države ter sklepov in postopkov, na katerih temelji letno poročilo o pravni državi. Prav tako bi pritegnila medijsko pozornost in državljanom omogočila, da delijo svoje izkušnje in jih primerjajo z ugotovitvami poročila. </w:t>
      </w:r>
    </w:p>
    <w:p>
      <w:pPr>
        <w:pStyle w:val="Normal"/>
        <w:rPr/>
      </w:pPr>
      <w:r>
        <w:rPr/>
      </w:r>
    </w:p>
    <w:p>
      <w:pPr>
        <w:pStyle w:val="Titre4"/>
        <w:numPr>
          <w:ilvl w:val="3"/>
          <w:numId w:val="2"/>
        </w:numPr>
        <w:rPr/>
      </w:pPr>
      <w:bookmarkStart w:id="137" w:name="__RefHeading___Toc297209_1346298689"/>
      <w:bookmarkEnd w:id="137"/>
      <w:r>
        <w:rPr/>
        <w:t xml:space="preserve">2.2 Zaščita in krepitev demokracije/podosna os 2.4 Mediji in dezinformacije </w:t>
      </w:r>
    </w:p>
    <w:p>
      <w:pPr>
        <w:pStyle w:val="Normal"/>
        <w:rPr/>
      </w:pPr>
      <w:r>
        <w:rPr/>
        <w:t xml:space="preserve"> </w:t>
      </w:r>
    </w:p>
    <w:p>
      <w:pPr>
        <w:pStyle w:val="P68B1DB1Normal15"/>
        <w:rPr>
          <w:b/>
          <w:b/>
        </w:rPr>
      </w:pPr>
      <w:r>
        <w:rPr/>
        <w:t xml:space="preserve">12. „Priporočamo, da EU v medijskem sektorju strožje uporablja svoja pravila o konkurenci, da bi zagotovila zaščito pluralnosti medijev v vseh državah članicah. EU bi morala preprečiti velike medijske monopole in politična imenovanja v medijskih odborih. Priporočamo tudi, da prihodnja zakonodaja EU o svobodi medijev vključuje pravila za preprečevanje, da bi politiki imeli v lasti ali imeli močan vpliv na njihovo vsebino. </w:t>
      </w:r>
    </w:p>
    <w:p>
      <w:pPr>
        <w:pStyle w:val="Normal"/>
        <w:rPr/>
      </w:pPr>
      <w:r>
        <w:rPr/>
        <w:t xml:space="preserve"> </w:t>
      </w:r>
    </w:p>
    <w:p>
      <w:pPr>
        <w:pStyle w:val="Normal"/>
        <w:rPr/>
      </w:pPr>
      <w:r>
        <w:rPr/>
        <w:t xml:space="preserve">To priporočamo, ker uporaba pravil EU o konkurenci spodbuja pluralistično medijsko okolje, v katerem lahko državljani izbirajo. Ker Komisija trenutno pripravlja zakonodajni akt (o svobodi medijev) za integriteto medijskega trga EU, bi bilo treba določiti tudi, da politiki ne smejo imeti medijev ali nanje vplivati. </w:t>
      </w:r>
    </w:p>
    <w:p>
      <w:pPr>
        <w:pStyle w:val="Normal"/>
        <w:rPr/>
      </w:pPr>
      <w:r>
        <w:rPr/>
        <w:t xml:space="preserve"> </w:t>
      </w:r>
    </w:p>
    <w:p>
      <w:pPr>
        <w:pStyle w:val="Titre4"/>
        <w:numPr>
          <w:ilvl w:val="3"/>
          <w:numId w:val="2"/>
        </w:numPr>
        <w:rPr/>
      </w:pPr>
      <w:bookmarkStart w:id="138" w:name="__RefHeading___Toc297211_1346298689"/>
      <w:bookmarkEnd w:id="138"/>
      <w:r>
        <w:rPr/>
        <w:t xml:space="preserve">Podos 2.3 Varnost </w:t>
      </w:r>
    </w:p>
    <w:p>
      <w:pPr>
        <w:pStyle w:val="Normal"/>
        <w:rPr/>
      </w:pPr>
      <w:r>
        <w:rPr/>
        <w:t xml:space="preserve"> </w:t>
      </w:r>
    </w:p>
    <w:p>
      <w:pPr>
        <w:pStyle w:val="P68B1DB1Normal15"/>
        <w:rPr>
          <w:b/>
          <w:b/>
        </w:rPr>
      </w:pPr>
      <w:r>
        <w:rPr/>
        <w:t xml:space="preserve">13. „Priporočamo, da imajo institucije EU pomembnejšo vlogo z vsemi razpoložljivimi orodji, vključno z nacionalnimi centri za kibernetsko varnost in Agencijo Evropske unije za kibernetsko varnost (ENISA), da bi državljane, organizacije in institucije zaščitili pred novimi grožnjami, ki izhajajo iz kršitev kibernetske varnosti in uporabe umetne inteligence v kriminalne namene. Priporočamo tudi, da se direktive iz Evrope in njenih agencij ustrezno izvajajo in razširjajo v vseh državah članicah.“ </w:t>
      </w:r>
    </w:p>
    <w:p>
      <w:pPr>
        <w:pStyle w:val="Normal"/>
        <w:rPr/>
      </w:pPr>
      <w:r>
        <w:rPr/>
        <w:t xml:space="preserve"> </w:t>
      </w:r>
    </w:p>
    <w:p>
      <w:pPr>
        <w:pStyle w:val="Normal"/>
        <w:rPr/>
      </w:pPr>
      <w:r>
        <w:rPr/>
        <w:t xml:space="preserve">To priporočamo, ker se državljani počutijo nemočni in se ne zavedajo, kaj Evropska unija počne v boju proti tem grožnjam. To priporočamo, ker te grožnje predstavljajo resen nacionalni in evropski varnostni problem. To priporočamo, ker bi morala biti Evropa resnično gonilo inovacij na tem področju. </w:t>
      </w:r>
    </w:p>
    <w:p>
      <w:pPr>
        <w:pStyle w:val="Normal"/>
        <w:rPr/>
      </w:pPr>
      <w:r>
        <w:rPr/>
        <w:t xml:space="preserve"> </w:t>
      </w:r>
    </w:p>
    <w:p>
      <w:pPr>
        <w:pStyle w:val="P68B1DB1Normal15"/>
        <w:rPr>
          <w:b/>
          <w:b/>
        </w:rPr>
      </w:pPr>
      <w:r>
        <w:rPr/>
        <w:t xml:space="preserve">14. „Priporočamo, da Unija v odnosih z zunanjimi državami najprej okrepi skupne demokratične vrednote na svojih mejah. Šele po doseganju tega cilja priporočamo, da Unija postane ambasador našega demokratičnega modela v državah, ki so pripravljene uporabiti ta model in so to pripravljene storiti z diplomacijo in dialogom. </w:t>
      </w:r>
    </w:p>
    <w:p>
      <w:pPr>
        <w:pStyle w:val="Normal"/>
        <w:rPr/>
      </w:pPr>
      <w:r>
        <w:rPr/>
        <w:t xml:space="preserve"> </w:t>
      </w:r>
    </w:p>
    <w:p>
      <w:pPr>
        <w:pStyle w:val="Normal"/>
        <w:rPr/>
      </w:pPr>
      <w:r>
        <w:rPr/>
        <w:t xml:space="preserve">Priporočamo ta ukrep, ker moramo pogledati navznoter, preden pogledamo navzven. Ker Evropa lahko in mora pomagati državam članicam pri krepitvi njihovih demokracij. Ker se varujemo tudi s tem, da dajemo zgled in podpiramo prizadevanja zunanjih držav za demokracijo. </w:t>
      </w:r>
    </w:p>
    <w:p>
      <w:pPr>
        <w:pStyle w:val="Normal"/>
        <w:rPr/>
      </w:pPr>
      <w:r>
        <w:rPr/>
        <w:t xml:space="preserve"> </w:t>
      </w:r>
    </w:p>
    <w:p>
      <w:pPr>
        <w:pStyle w:val="Titre3"/>
        <w:numPr>
          <w:ilvl w:val="2"/>
          <w:numId w:val="2"/>
        </w:numPr>
        <w:rPr/>
      </w:pPr>
      <w:bookmarkStart w:id="139" w:name="__RefHeading___Toc297213_1346298689"/>
      <w:bookmarkEnd w:id="139"/>
      <w:r>
        <w:rPr/>
        <w:t xml:space="preserve">Os 3: Reforma Evropske unije </w:t>
      </w:r>
    </w:p>
    <w:p>
      <w:pPr>
        <w:pStyle w:val="Normal"/>
        <w:rPr/>
      </w:pPr>
      <w:r>
        <w:rPr/>
        <w:t xml:space="preserve"> </w:t>
      </w:r>
    </w:p>
    <w:p>
      <w:pPr>
        <w:pStyle w:val="Titre4"/>
        <w:numPr>
          <w:ilvl w:val="3"/>
          <w:numId w:val="2"/>
        </w:numPr>
        <w:rPr/>
      </w:pPr>
      <w:bookmarkStart w:id="140" w:name="__RefHeading___Toc297215_1346298689"/>
      <w:bookmarkEnd w:id="140"/>
      <w:r>
        <w:rPr/>
        <w:t>Podos 3.1 Institucionalna reforma</w:t>
      </w:r>
    </w:p>
    <w:p>
      <w:pPr>
        <w:pStyle w:val="Normal"/>
        <w:rPr/>
      </w:pPr>
      <w:r>
        <w:rPr/>
        <w:t xml:space="preserve"> </w:t>
      </w:r>
    </w:p>
    <w:p>
      <w:pPr>
        <w:pStyle w:val="Normal"/>
        <w:rPr/>
      </w:pPr>
      <w:r>
        <w:rPr>
          <w:b/>
        </w:rPr>
        <w:t>15. „Priporočamo spremembo imen institucij EU, da se pojasnijo njihove funkcije. Svet Evropske unije bi lahko na primer imenovali senat Evropske unije. Evropsko komisijo bi lahko imenovali Izvršna komisija Evropske unije</w:t>
      </w:r>
      <w:r>
        <w:rPr/>
        <w:t xml:space="preserve">. </w:t>
      </w:r>
    </w:p>
    <w:p>
      <w:pPr>
        <w:pStyle w:val="Normal"/>
        <w:rPr/>
      </w:pPr>
      <w:r>
        <w:rPr/>
        <w:t xml:space="preserve"> </w:t>
      </w:r>
    </w:p>
    <w:p>
      <w:pPr>
        <w:pStyle w:val="Normal"/>
        <w:rPr/>
      </w:pPr>
      <w:r>
        <w:rPr/>
        <w:t xml:space="preserve">To priporočamo, saj državljani trenutno težko razumejo vloge in funkcije vsake institucije EU. Njihova imena ne odražajo njihovih funkcij. Od državljanov ni mogoče pričakovati, da bodo razlikovali med Svetom Evropske unije, Evropskim svetom in Svetom Evrope. Pomembno je, da se izognemo prekrivanju. </w:t>
      </w:r>
    </w:p>
    <w:p>
      <w:pPr>
        <w:pStyle w:val="Normal"/>
        <w:rPr/>
      </w:pPr>
      <w:r>
        <w:rPr/>
        <w:t xml:space="preserve"> </w:t>
      </w:r>
    </w:p>
    <w:p>
      <w:pPr>
        <w:pStyle w:val="P68B1DB1Normal15"/>
        <w:rPr>
          <w:b/>
          <w:b/>
        </w:rPr>
      </w:pPr>
      <w:r>
        <w:rPr/>
        <w:t xml:space="preserve">16. Priporočamo sprejetje volilnega zakona za Evropski parlament, ki usklajuje volilne pogoje (starost volilne pravice, datum volitev, zahteve v zvezi z volilnimi okrožji, kandidati, političnimi strankami in njihovim financiranjem). Evropski državljani bi morali imeti pravico, da glasujejo za različne stranke na ravni EU, ki jih sestavljajo kandidati iz več držav članic. V zadostnem prehodnem obdobju so lahko državljani še vedno glasovali za nacionalne in nadnacionalne stranke. </w:t>
      </w:r>
    </w:p>
    <w:p>
      <w:pPr>
        <w:pStyle w:val="Normal"/>
        <w:rPr/>
      </w:pPr>
      <w:r>
        <w:rPr/>
        <w:t xml:space="preserve"> </w:t>
      </w:r>
    </w:p>
    <w:p>
      <w:pPr>
        <w:pStyle w:val="Normal"/>
        <w:rPr/>
      </w:pPr>
      <w:r>
        <w:rPr/>
        <w:t xml:space="preserve">To priporočamo, ker mora Unija razviti občutek enotnosti, ki bi se lahko pojavil z resnično enotnimi volitvami Evropskega parlamenta. Te skupne volitve bodo omogočile opolnomočenje poslancev Evropskega parlamenta in osredotočenje volilne kampanje na skupne evropske teme. </w:t>
      </w:r>
    </w:p>
    <w:p>
      <w:pPr>
        <w:pStyle w:val="Normal"/>
        <w:rPr/>
      </w:pPr>
      <w:r>
        <w:rPr/>
        <w:t xml:space="preserve"> </w:t>
      </w:r>
    </w:p>
    <w:p>
      <w:pPr>
        <w:pStyle w:val="Titre4"/>
        <w:numPr>
          <w:ilvl w:val="3"/>
          <w:numId w:val="2"/>
        </w:numPr>
        <w:rPr/>
      </w:pPr>
      <w:bookmarkStart w:id="141" w:name="__RefHeading___Toc297217_1346298689"/>
      <w:bookmarkEnd w:id="141"/>
      <w:r>
        <w:rPr/>
        <w:t xml:space="preserve">Podos 3.2 Sprejemanje odločitev </w:t>
      </w:r>
    </w:p>
    <w:p>
      <w:pPr>
        <w:pStyle w:val="Normal"/>
        <w:rPr/>
      </w:pPr>
      <w:r>
        <w:rPr/>
        <w:t xml:space="preserve"> </w:t>
      </w:r>
    </w:p>
    <w:p>
      <w:pPr>
        <w:pStyle w:val="P68B1DB1Normal15"/>
        <w:rPr>
          <w:b/>
          <w:b/>
        </w:rPr>
      </w:pPr>
      <w:r>
        <w:rPr/>
        <w:t xml:space="preserve">17. Priporočamo vzpostavitev spletne platforme, kjer lahko državljani najdejo in zahtevajo dejansko preverjene informacije. Platforma bi morala biti jasno povezana z institucijami EU, tematsko strukturirana in lahko dostopna (npr. z zagotavljanjem dežurne telefonske številke). Državljani bi morali imeti možnost postavljati kritična vprašanja strokovnjakom (npr. akademiki, novinarji) in dobiti dejanske odgovore iz virov. </w:t>
      </w:r>
    </w:p>
    <w:p>
      <w:pPr>
        <w:pStyle w:val="Normal"/>
        <w:rPr/>
      </w:pPr>
      <w:r>
        <w:rPr/>
        <w:t xml:space="preserve"> </w:t>
      </w:r>
    </w:p>
    <w:p>
      <w:pPr>
        <w:pStyle w:val="Normal"/>
        <w:rPr/>
      </w:pPr>
      <w:r>
        <w:rPr/>
        <w:t xml:space="preserve">Prost dostop do dejanskih informacij je za našo družbo izjemno pomemben, da bodo državljani dobro obveščeni in zaščiteni pred lažnimi novicami in dezinformacijami. Potrebujemo verodostojen in neodvisen vir informacij, na katerega ne vplivajo politični, gospodarski in nacionalni interesi. Poleg tega lahko platforma vzpostavi most (tj. neposreden odnos) med državljani in EU. </w:t>
      </w:r>
    </w:p>
    <w:p>
      <w:pPr>
        <w:pStyle w:val="Normal"/>
        <w:rPr/>
      </w:pPr>
      <w:r>
        <w:rPr/>
      </w:r>
    </w:p>
    <w:p>
      <w:pPr>
        <w:pStyle w:val="P68B1DB1Normal15"/>
        <w:rPr>
          <w:b/>
          <w:b/>
        </w:rPr>
      </w:pPr>
      <w:r>
        <w:rPr/>
        <w:t xml:space="preserve">18. Priporočamo, da se v izjemnih primerih izvede referendum na ravni EU o vprašanjih, ki so zelo pomembna za vse evropske državljane. Referendum bi moral začeti Evropski parlament in bi moral biti pravno zavezujoč. </w:t>
      </w:r>
    </w:p>
    <w:p>
      <w:pPr>
        <w:pStyle w:val="Normal"/>
        <w:rPr/>
      </w:pPr>
      <w:r>
        <w:rPr/>
        <w:t xml:space="preserve"> </w:t>
      </w:r>
    </w:p>
    <w:p>
      <w:pPr>
        <w:pStyle w:val="Normal"/>
        <w:rPr/>
      </w:pPr>
      <w:r>
        <w:rPr/>
        <w:t xml:space="preserve">Državljani EU bi morali imeti bolj neposreden vpliv na pomembne odločitve o evropskih vprašanjih. Kljub temu bi morali referendumi potekati le v izjemnih okoliščinah, saj jih zaradi visokih stroškov ne bi bilo mogoče redno izvajati. Zavedamo se, da bo to priporočilo morda zahtevalo spremembo Pogodbe in prilagoditev nacionalnih ustav. </w:t>
      </w:r>
    </w:p>
    <w:p>
      <w:pPr>
        <w:pStyle w:val="Normal"/>
        <w:rPr/>
      </w:pPr>
      <w:r>
        <w:rPr/>
        <w:t xml:space="preserve"> </w:t>
      </w:r>
    </w:p>
    <w:p>
      <w:pPr>
        <w:pStyle w:val="P68B1DB1Normal15"/>
        <w:rPr>
          <w:b/>
          <w:b/>
        </w:rPr>
      </w:pPr>
      <w:r>
        <w:rPr/>
        <w:t xml:space="preserve">19. Priporočamo vzpostavitev večnamenske digitalne platforme, prek katere lahko državljani volijo na spletnih volitvah in anketah. Državljani bi morali imeti možnost, da motivirajo svoje glasovanje o pomembnih vprašanjih in zakonodajnih predlogih evropskih institucij. Ta platforma bi morala biti varna, široko dostopna in zelo vidna vsem državljanom. </w:t>
      </w:r>
    </w:p>
    <w:p>
      <w:pPr>
        <w:pStyle w:val="Normal"/>
        <w:rPr/>
      </w:pPr>
      <w:r>
        <w:rPr/>
        <w:t xml:space="preserve"> </w:t>
      </w:r>
    </w:p>
    <w:p>
      <w:pPr>
        <w:pStyle w:val="Normal"/>
        <w:rPr/>
      </w:pPr>
      <w:r>
        <w:rPr/>
        <w:t xml:space="preserve">Namen te platforme je povečati udeležbo v evropski politiki ter državljanom olajšati dostop do posvetovanja in glasovanja. Obstoječa orodja in postopki niso dovolj vidni, zato potrebujemo novo integrirano orodje za te različne funkcije. Večja udeležba vodi k boljšim odločitvam, večjemu zaupanju med evropskimi državljani in boljšemu delovanju Unije na splošno. </w:t>
      </w:r>
    </w:p>
    <w:p>
      <w:pPr>
        <w:pStyle w:val="Normal"/>
        <w:rPr/>
      </w:pPr>
      <w:r>
        <w:rPr/>
        <w:t xml:space="preserve"> </w:t>
      </w:r>
    </w:p>
    <w:p>
      <w:pPr>
        <w:pStyle w:val="P68B1DB1Normal15"/>
        <w:rPr>
          <w:b/>
          <w:b/>
        </w:rPr>
      </w:pPr>
      <w:r>
        <w:rPr/>
        <w:t xml:space="preserve">20. „Priporočamo, da se sistemi glasovanja v institucijah EU ponovno ocenijo tako, da se osredotočijo na vprašanje glasovanja s soglasjem. „Ponderiranje“ glasov je treba izračunati pošteno, da se zaščitijo interesi majhnih držav. </w:t>
      </w:r>
    </w:p>
    <w:p>
      <w:pPr>
        <w:pStyle w:val="Normal"/>
        <w:rPr/>
      </w:pPr>
      <w:r>
        <w:rPr/>
        <w:t xml:space="preserve"> </w:t>
      </w:r>
    </w:p>
    <w:p>
      <w:pPr>
        <w:pStyle w:val="Normal"/>
        <w:rPr/>
      </w:pPr>
      <w:r>
        <w:rPr/>
        <w:t xml:space="preserve">Soglasje je pomemben izziv za odločanje v EU. Glede na veliko število držav članic je zelo težko doseči dogovor. Po potrebi bi bilo treba spremeniti evropske pogodbe, da bi rešili vprašanje soglasja. </w:t>
      </w:r>
    </w:p>
    <w:p>
      <w:pPr>
        <w:pStyle w:val="Normal"/>
        <w:rPr/>
      </w:pPr>
      <w:r>
        <w:rPr/>
        <w:t xml:space="preserve"> </w:t>
      </w:r>
    </w:p>
    <w:p>
      <w:pPr>
        <w:pStyle w:val="Titre4"/>
        <w:numPr>
          <w:ilvl w:val="3"/>
          <w:numId w:val="2"/>
        </w:numPr>
        <w:rPr/>
      </w:pPr>
      <w:bookmarkStart w:id="142" w:name="__RefHeading___Toc297219_1346298689"/>
      <w:bookmarkEnd w:id="142"/>
      <w:r>
        <w:rPr/>
        <w:t xml:space="preserve">Podos 3.3 tesnejša integracija </w:t>
      </w:r>
    </w:p>
    <w:p>
      <w:pPr>
        <w:pStyle w:val="Normal"/>
        <w:rPr/>
      </w:pPr>
      <w:r>
        <w:rPr/>
        <w:t xml:space="preserve"> </w:t>
      </w:r>
    </w:p>
    <w:p>
      <w:pPr>
        <w:pStyle w:val="P68B1DB1Normal15"/>
        <w:rPr>
          <w:b/>
          <w:b/>
        </w:rPr>
      </w:pPr>
      <w:r>
        <w:rPr/>
        <w:t xml:space="preserve">21. „Priporočamo, da Unija izvede javne naložbe, ki bodo privedle do ustvarjanja ustreznih delovnih mest ter izboljšanja in harmonizacije kakovosti življenja po vsej Uniji, med državami članicami in znotraj držav članic (tj. na regionalni ravni). Pri izvajanju javnih naložb je treba zagotoviti učinkovit nadzor, preglednost in obveščanje državljanov ter državljanom omogočiti spremljanje celotnega naložbenega procesa. Za boljšo kakovost življenja bi bilo treba vlagati na področjih, kot so izobraževanje, zdravstvo, stanovanja, fizična infrastruktura, oskrba starejših in invalidov, ob upoštevanju potreb vsake države članice. Dodatne naložbe bi morale biti usmerjene v vzpostavitev dobrega ravnovesja med ustreznim poklicnim in zasebnim življenjem, da se omogoči zdrav življenjski slog. </w:t>
      </w:r>
    </w:p>
    <w:p>
      <w:pPr>
        <w:pStyle w:val="Normal"/>
        <w:rPr/>
      </w:pPr>
      <w:r>
        <w:rPr/>
        <w:t xml:space="preserve"> </w:t>
      </w:r>
    </w:p>
    <w:p>
      <w:pPr>
        <w:pStyle w:val="Normal"/>
        <w:rPr/>
      </w:pPr>
      <w:r>
        <w:rPr/>
        <w:t xml:space="preserve">Ta ukrep priporočamo, ker bo uskladitev življenjskega standarda v Uniji izboljšala gospodarski napredek po vsej Uniji, kar bo privedlo do enotne Evropske unije. To je ključni kazalnik za nadaljnje povezovanje Unije. Čeprav so nekateri od teh mehanizmov že vzpostavljeni, menimo, da jih je še mogoče izboljšati. </w:t>
      </w:r>
    </w:p>
    <w:p>
      <w:pPr>
        <w:pStyle w:val="Normal"/>
        <w:rPr/>
      </w:pPr>
      <w:r>
        <w:rPr/>
        <w:t xml:space="preserve"> </w:t>
      </w:r>
    </w:p>
    <w:p>
      <w:pPr>
        <w:pStyle w:val="P68B1DB1Normal15"/>
        <w:rPr>
          <w:b/>
          <w:b/>
        </w:rPr>
      </w:pPr>
      <w:r>
        <w:rPr/>
        <w:t xml:space="preserve">22. „Priporočamo, da se za vse države članice vzpostavi skupna podlaga, ki bo temeljila na nizu ekonomskih kazalnikov in kazalnikov kakovosti življenja, da bi vsem zagotovili enake možnosti in zagotovili enakopraven položaj, da bi dosegli skupno gospodarsko strukturo. Pomembno je, da se ta skupna podlaga določi v skladu z jasnim in realističnim časovnim razporedom, ki ga določijo institucije na priporočilo strokovnjakov. S strokovnjaki bi se bilo treba posvetovati tudi o obliki takšne skupne gospodarske strukture. Pomembno je tudi, da se s pomočjo strokovnjakov natančneje opredelijo kazalniki, na katerih temelji ta skupna podlaga. </w:t>
      </w:r>
    </w:p>
    <w:p>
      <w:pPr>
        <w:pStyle w:val="Normal"/>
        <w:rPr/>
      </w:pPr>
      <w:r>
        <w:rPr/>
        <w:t xml:space="preserve"> </w:t>
      </w:r>
    </w:p>
    <w:p>
      <w:pPr>
        <w:pStyle w:val="Normal"/>
        <w:rPr/>
      </w:pPr>
      <w:r>
        <w:rPr/>
        <w:t xml:space="preserve">To priporočamo, ker če bomo imeli pravično Unijo, bomo imeli enotnejšo Evropo. Da bi bili pošteni, moramo ponuditi enake možnosti in skupno podlago za celotno Unijo. Skupno gospodarsko strukturo bo mogoče doseči šele, ko bo vzpostavljena skupna osnova. </w:t>
      </w:r>
    </w:p>
    <w:p>
      <w:pPr>
        <w:pStyle w:val="Normal"/>
        <w:rPr/>
      </w:pPr>
      <w:r>
        <w:rPr/>
        <w:t xml:space="preserve"> </w:t>
      </w:r>
    </w:p>
    <w:p>
      <w:pPr>
        <w:pStyle w:val="P68B1DB1Normal15"/>
        <w:rPr>
          <w:b/>
          <w:b/>
        </w:rPr>
      </w:pPr>
      <w:r>
        <w:rPr/>
        <w:t xml:space="preserve">23. Priporočamo obdavčitev velikih podjetij in dohodkov pravnih oseb, da bi prispevali k javnim naložbam, ter uporabo obdavčitve za naložbe v izobraževanje in razvoj v vsaki državi (raziskave in razvoj, štipendije – Erasmus itd.). Prav tako je pomembno zagotoviti odpravo davčnih oaz v EU.“ </w:t>
      </w:r>
    </w:p>
    <w:p>
      <w:pPr>
        <w:pStyle w:val="Normal"/>
        <w:rPr/>
      </w:pPr>
      <w:r>
        <w:rPr/>
        <w:t xml:space="preserve"> </w:t>
      </w:r>
    </w:p>
    <w:p>
      <w:pPr>
        <w:pStyle w:val="Normal"/>
        <w:rPr/>
      </w:pPr>
      <w:r>
        <w:rPr/>
        <w:t xml:space="preserve">Priporočamo ta ukrep, saj bo pomagal preprečevati davčne utaje in ustvarjanje davčnih oaz ter spodbujal izpolnjevanje obveznosti. </w:t>
      </w:r>
    </w:p>
    <w:p>
      <w:pPr>
        <w:pStyle w:val="Normal"/>
        <w:rPr/>
      </w:pPr>
      <w:r>
        <w:rPr/>
      </w:r>
    </w:p>
    <w:p>
      <w:pPr>
        <w:pStyle w:val="Titre3"/>
        <w:numPr>
          <w:ilvl w:val="2"/>
          <w:numId w:val="2"/>
        </w:numPr>
        <w:rPr/>
      </w:pPr>
      <w:bookmarkStart w:id="143" w:name="__RefHeading___Toc297221_1346298689"/>
      <w:bookmarkEnd w:id="143"/>
      <w:r>
        <w:rPr/>
        <w:t xml:space="preserve">Os 4: Oblikovanje evropske identitete </w:t>
      </w:r>
    </w:p>
    <w:p>
      <w:pPr>
        <w:pStyle w:val="Normal"/>
        <w:rPr/>
      </w:pPr>
      <w:r>
        <w:rPr/>
        <w:t xml:space="preserve"> </w:t>
      </w:r>
    </w:p>
    <w:p>
      <w:pPr>
        <w:pStyle w:val="Titre4"/>
        <w:numPr>
          <w:ilvl w:val="3"/>
          <w:numId w:val="2"/>
        </w:numPr>
        <w:rPr/>
      </w:pPr>
      <w:bookmarkStart w:id="144" w:name="__RefHeading___Toc297223_1346298689"/>
      <w:bookmarkEnd w:id="144"/>
      <w:r>
        <w:rPr/>
        <w:t xml:space="preserve">Podos 4.1 Izobraževanje za demokracijo </w:t>
      </w:r>
    </w:p>
    <w:p>
      <w:pPr>
        <w:pStyle w:val="Normal"/>
        <w:rPr/>
      </w:pPr>
      <w:r>
        <w:rPr/>
        <w:t xml:space="preserve"> </w:t>
      </w:r>
    </w:p>
    <w:p>
      <w:pPr>
        <w:pStyle w:val="P68B1DB1Normal15"/>
        <w:rPr>
          <w:b/>
          <w:b/>
        </w:rPr>
      </w:pPr>
      <w:r>
        <w:rPr/>
        <w:t xml:space="preserve">24. Priporočamo, da izobraževanje o demokraciji v EU izboljša in doseže minimalno raven znanja v vseh državah članicah. To izobraževanje bi moralo med drugim zajemati demokratične procese in splošne informacije o Uniji, ki bi jih bilo treba poučevati v vseh državah članicah EU. Obogatiti bi ga morali z nizom različnih konceptov, namenjenih poučevanju demokratičnega procesa, ki bi moral biti privlačen in primeren starosti. </w:t>
      </w:r>
    </w:p>
    <w:p>
      <w:pPr>
        <w:pStyle w:val="Normal"/>
        <w:rPr/>
      </w:pPr>
      <w:r>
        <w:rPr/>
        <w:t xml:space="preserve"> </w:t>
      </w:r>
    </w:p>
    <w:p>
      <w:pPr>
        <w:pStyle w:val="Normal"/>
        <w:rPr/>
      </w:pPr>
      <w:r>
        <w:rPr/>
        <w:t xml:space="preserve">To priporočilo in razlogi zanj so pomembni, ker bo, če se bo izvajal, privedel do bolj usklajenega in demokratičnega življenja v Uniji. Utemeljitve so naslednje: mladi se bodo izobraževali v demokratičnih procesih; to izobraževanje bi lahko omejilo populizem in dezinformacije v javni razpravi; to bi lahko zmanjšalo diskriminacijo; in končno, to bi omogočilo izobraževanje in mobilizacijo državljanov za demokracijo, ki presega njihovo preprosto dolžnost glasovanja. </w:t>
      </w:r>
    </w:p>
    <w:p>
      <w:pPr>
        <w:pStyle w:val="Normal"/>
        <w:rPr/>
      </w:pPr>
      <w:r>
        <w:rPr/>
        <w:t xml:space="preserve"> </w:t>
      </w:r>
    </w:p>
    <w:p>
      <w:pPr>
        <w:pStyle w:val="P68B1DB1Normal15"/>
        <w:rPr>
          <w:b/>
          <w:b/>
        </w:rPr>
      </w:pPr>
      <w:r>
        <w:rPr/>
        <w:t xml:space="preserve">25. „Priporočamo nadaljnji razvoj, izboljšanje in dostopnost obstoječih in nastajajočih prevajalskih tehnologij, kot je umetna inteligenca, da bi zmanjšali jezikovne ovire ter okrepili skupno identiteto in demokracijo v EU.“ </w:t>
      </w:r>
    </w:p>
    <w:p>
      <w:pPr>
        <w:pStyle w:val="Normal"/>
        <w:rPr/>
      </w:pPr>
      <w:r>
        <w:rPr/>
        <w:t xml:space="preserve"> </w:t>
      </w:r>
    </w:p>
    <w:p>
      <w:pPr>
        <w:pStyle w:val="Normal"/>
        <w:rPr/>
      </w:pPr>
      <w:r>
        <w:rPr/>
        <w:t xml:space="preserve">To priporočilo in razlogi zanj so pomembni, ker bo, če se bo izvajal, prispeval k oblikovanju skupne evropske identitete z izboljšanjem komunikacije med državljani vseh držav članic. </w:t>
      </w:r>
    </w:p>
    <w:p>
      <w:pPr>
        <w:pStyle w:val="Normal"/>
        <w:rPr/>
      </w:pPr>
      <w:r>
        <w:rPr/>
        <w:t xml:space="preserve"> </w:t>
      </w:r>
    </w:p>
    <w:p>
      <w:pPr>
        <w:pStyle w:val="P68B1DB1Normal15"/>
        <w:rPr>
          <w:b/>
          <w:b/>
        </w:rPr>
      </w:pPr>
      <w:r>
        <w:rPr/>
        <w:t xml:space="preserve">26. Priporočamo, da so preverljive informacije razumljivo dostopne državljanom prek mobilne aplikacije, da se izboljšajo preglednost, javna razprava in demokracija. Ta aplikacija bi se lahko uporabila za razširjanje informacij, na primer o zakonodaji, razpravah v EU, spremembah Pogodb itd. </w:t>
      </w:r>
    </w:p>
    <w:p>
      <w:pPr>
        <w:pStyle w:val="Normal"/>
        <w:rPr/>
      </w:pPr>
      <w:r>
        <w:rPr/>
        <w:t xml:space="preserve"> </w:t>
      </w:r>
    </w:p>
    <w:p>
      <w:pPr>
        <w:pStyle w:val="Normal"/>
        <w:rPr/>
      </w:pPr>
      <w:r>
        <w:rPr/>
        <w:t xml:space="preserve">To priporočilo in razlogi zanj so pomembni, ker bo, če se bo izvajal, olajšal komunikacijo v obsegu, ki bo omogočil bolj ozaveščeno razpravo med državljani različnih držav članic, in sicer z aplikacijo, ki bi lahko imela veliko različnih funkcij. Ta aplikacija bi morala biti oblikovana tako, da bi bila verjetno zanimiva za vse ter bi lahko še bolj pritegnila radovednost in povečala dostopnost in privlačnost tehničnih informacij. Vlogo bi bilo treba obravnavati kot dopolnilni vir, ki razširja informacije, ki jih uradno preveri neposredno Unija, da se izboljša zaupanje in preglednost v javni razpravi ter prispeva k oblikovanju skupne evropske identitete. </w:t>
      </w:r>
    </w:p>
    <w:p>
      <w:pPr>
        <w:pStyle w:val="Normal"/>
        <w:rPr/>
      </w:pPr>
      <w:r>
        <w:rPr/>
      </w:r>
    </w:p>
    <w:p>
      <w:pPr>
        <w:pStyle w:val="Titre4"/>
        <w:numPr>
          <w:ilvl w:val="3"/>
          <w:numId w:val="2"/>
        </w:numPr>
        <w:rPr/>
      </w:pPr>
      <w:bookmarkStart w:id="145" w:name="__RefHeading___Toc297225_1346298689"/>
      <w:bookmarkEnd w:id="145"/>
      <w:r>
        <w:rPr/>
        <w:t xml:space="preserve">Podos 4.2 Evropske vrednote in identiteta </w:t>
      </w:r>
    </w:p>
    <w:p>
      <w:pPr>
        <w:pStyle w:val="Normal"/>
        <w:rPr/>
      </w:pPr>
      <w:r>
        <w:rPr/>
        <w:t xml:space="preserve"> </w:t>
      </w:r>
    </w:p>
    <w:p>
      <w:pPr>
        <w:pStyle w:val="P68B1DB1Normal15"/>
        <w:rPr>
          <w:b/>
          <w:b/>
        </w:rPr>
      </w:pPr>
      <w:r>
        <w:rPr/>
        <w:t xml:space="preserve">27. „Priporočamo, da EU ustanovi poseben sklad za spletno in nespletno interakcijo (tj. programe izmenjav, okrogle mize, srečanja) med državljani EU, da bi okrepili evropsko identiteto. Udeleženci bi morali biti reprezentativni za družbo v Uniji, vključno s skupinami, izbranimi na ciljno usmerjen način na podlagi različnih meril, tj. demografskih, socialno-ekonomskih in poklicnih meril. Za spodbujanje evropske identitete je treba jasno navesti cilje tega sklada, ta sklad pa bi bilo treba redno ocenjevati. </w:t>
      </w:r>
    </w:p>
    <w:p>
      <w:pPr>
        <w:pStyle w:val="Normal"/>
        <w:rPr/>
      </w:pPr>
      <w:r>
        <w:rPr/>
        <w:t xml:space="preserve"> </w:t>
      </w:r>
    </w:p>
    <w:p>
      <w:pPr>
        <w:pStyle w:val="Normal"/>
        <w:rPr/>
      </w:pPr>
      <w:r>
        <w:rPr/>
        <w:t xml:space="preserve">To priporočamo, saj ta vrsta interakcije državljanom omogoča izmenjavo idej, daljše izmenjave pa jim omogočajo razumevanje različnih kultur in izmenjavo izkušenj, vključno s poklicnimi praksami. Potreben je sklad EU, saj je pomembno, da lahko sodelujejo vsi, tudi tisti, ki običajno ne sodelujejo. </w:t>
      </w:r>
    </w:p>
    <w:p>
      <w:pPr>
        <w:pStyle w:val="Normal"/>
        <w:rPr/>
      </w:pPr>
      <w:r>
        <w:rPr/>
        <w:t xml:space="preserve"> </w:t>
      </w:r>
    </w:p>
    <w:p>
      <w:pPr>
        <w:pStyle w:val="P68B1DB1Normal15"/>
        <w:rPr>
          <w:b/>
          <w:b/>
        </w:rPr>
      </w:pPr>
      <w:r>
        <w:rPr/>
        <w:t xml:space="preserve">28. „Priporočamo, da EU hitro vlaga v boj proti dezinformacijam, podpira obstoječe organizacije in pobude, kot sta kodeks ravnanja glede dezinformacij in Evropski observatorij za digitalne medije, ter primerljive pobude v državah članicah. Lahko bi uvedli različne protiukrepe: preverjanje dejstev, ozaveščenost o dezinformacijah, priprava lahko dostopnih statističnih podatkov, uvedba ustreznih sankcij v okviru pravnega okvira za tiste, ki dezinformacije razširjajo, in boj proti virom dezinformacij. </w:t>
      </w:r>
    </w:p>
    <w:p>
      <w:pPr>
        <w:pStyle w:val="Normal"/>
        <w:rPr/>
      </w:pPr>
      <w:r>
        <w:rPr/>
        <w:t xml:space="preserve"> </w:t>
      </w:r>
    </w:p>
    <w:p>
      <w:pPr>
        <w:pStyle w:val="Normal"/>
        <w:rPr/>
      </w:pPr>
      <w:r>
        <w:rPr/>
        <w:t xml:space="preserve">To priporočilo je pomembno, ker napačne informacije in dezinformacije iz EU in zunaj nje ustvarjajo konflikte med državljani EU, polarizirajo družbo, ogrožajo demokracijo in škodijo gospodarstvu. Glede na kompleksnost teme so potrebni precejšnji človeški in finančni viri. </w:t>
      </w:r>
    </w:p>
    <w:p>
      <w:pPr>
        <w:pStyle w:val="Normal"/>
        <w:rPr/>
      </w:pPr>
      <w:r>
        <w:rPr/>
        <w:t xml:space="preserve"> </w:t>
      </w:r>
    </w:p>
    <w:p>
      <w:pPr>
        <w:pStyle w:val="P68B1DB1Normal15"/>
        <w:rPr>
          <w:b/>
          <w:b/>
        </w:rPr>
      </w:pPr>
      <w:r>
        <w:rPr/>
        <w:t xml:space="preserve">29. „Priporočamo 1) povečanje pogostosti spletnih in nespletnih interakcij med Unijo in njenimi državljani (tj. z neposrednim razgovorom z državljani o evropskih vprašanjih in vzpostavitvijo platforme, ki je enostavna za uporabo, da se zagotovi, da lahko vsak državljan sodeluje z institucijami in uradniki EU) in 2) zagotovi, da lahko državljani sodelujejo v postopku oblikovanja politik EU, izrazijo svoja mnenja in dobijo povratne informacije, ter priporoča oblikovanje Listine ali kodeksa ravnanja ali smernic za uradnike EU. Obstajajo različni načini interakcije, da lahko sodelujejo vsi državljani. </w:t>
      </w:r>
    </w:p>
    <w:p>
      <w:pPr>
        <w:pStyle w:val="Normal"/>
        <w:rPr/>
      </w:pPr>
      <w:r>
        <w:rPr/>
        <w:t xml:space="preserve"> </w:t>
      </w:r>
    </w:p>
    <w:p>
      <w:pPr>
        <w:pStyle w:val="Normal"/>
        <w:rPr/>
      </w:pPr>
      <w:r>
        <w:rPr/>
        <w:t xml:space="preserve">Ta ukrep priporočamo, ker obstaja več načinov za vzpostavitev stika z evropskimi institucijami (spletne platforme, predstavniška telesa), vendar niso znani, učinkoviti in nepregledni. Dostopnost se od države do države zelo razlikuje. Pogostejše in boljše interakcije bodo ustvarile občutek odgovornosti za evropsko državljanstvo. </w:t>
      </w:r>
    </w:p>
    <w:p>
      <w:pPr>
        <w:pStyle w:val="Normal"/>
        <w:rPr/>
      </w:pPr>
      <w:r>
        <w:rPr/>
        <w:t xml:space="preserve"> </w:t>
      </w:r>
    </w:p>
    <w:p>
      <w:pPr>
        <w:pStyle w:val="P68B1DB1Normal15"/>
        <w:rPr>
          <w:b/>
          <w:b/>
        </w:rPr>
      </w:pPr>
      <w:r>
        <w:rPr/>
        <w:t xml:space="preserve">30. Priporočamo, da imajo evropska identiteta in vrednote (tj. pravna država, demokracija in solidarnost) posebno vlogo v procesu vključevanja migrantov. Predvidijo se lahko različni ukrepi, kot so oblikovanje programov ali podpora že obstoječih (lokalnih) programov, da bi spodbudili socialne interakcije med migranti in državljani EU ali sodelovanje podjetij v programih, ki podpirajo vključevanje migrantov. Hkrati bi bilo treba uvesti podobne programe za ozaveščanje državljanov EU o vprašanjih, povezanih z migracijami. </w:t>
      </w:r>
    </w:p>
    <w:p>
      <w:pPr>
        <w:pStyle w:val="Normal"/>
        <w:rPr/>
      </w:pPr>
      <w:r>
        <w:rPr/>
        <w:t xml:space="preserve"> </w:t>
      </w:r>
    </w:p>
    <w:p>
      <w:pPr>
        <w:pStyle w:val="Normal"/>
        <w:rPr/>
      </w:pPr>
      <w:r>
        <w:rPr/>
        <w:t xml:space="preserve">To priporočilo je pomembno, saj lahko programi socialne interakcije migrantom pomagajo v njihovem novem življenju in jim omogočajo boljše razumevanje vsakdanjega življenja migrantov. Če migranti živijo v getih, jih ni mogoče vključiti v družbo na nacionalni ravni ali ravni EU. Potrebna je skupna politika, saj lahko migranti, ko vstopijo na ozemlje Unije, potujejo v vse države EU. Podpreti je treba lokalne pobude, saj bodo lokalne oblasti sredstva porabile učinkoviteje kot na nacionalni ravni. </w:t>
      </w:r>
    </w:p>
    <w:p>
      <w:pPr>
        <w:pStyle w:val="Normal"/>
        <w:rPr/>
      </w:pPr>
      <w:r>
        <w:rPr/>
        <w:t xml:space="preserve"> </w:t>
      </w:r>
    </w:p>
    <w:p>
      <w:pPr>
        <w:pStyle w:val="Titre4"/>
        <w:numPr>
          <w:ilvl w:val="3"/>
          <w:numId w:val="2"/>
        </w:numPr>
        <w:rPr/>
      </w:pPr>
      <w:bookmarkStart w:id="146" w:name="__RefHeading___Toc297227_1346298689"/>
      <w:bookmarkEnd w:id="146"/>
      <w:r>
        <w:rPr/>
        <w:t xml:space="preserve">Podos 4.3 Informacije EU </w:t>
      </w:r>
    </w:p>
    <w:p>
      <w:pPr>
        <w:pStyle w:val="Normal"/>
        <w:rPr/>
      </w:pPr>
      <w:r>
        <w:rPr/>
        <w:t xml:space="preserve"> </w:t>
      </w:r>
    </w:p>
    <w:p>
      <w:pPr>
        <w:pStyle w:val="P68B1DB1Normal15"/>
        <w:rPr>
          <w:b/>
          <w:b/>
        </w:rPr>
      </w:pPr>
      <w:r>
        <w:rPr/>
        <w:t xml:space="preserve">31. „Priporočamo, da EU bolje obvešča evropske državljane. V ta namen bi morala Unija uporabiti vsa potrebna sredstva, pri tem pa spoštovati svobodo in neodvisnost medijev. Medijem bi moral zagotavljati splošne in zanesljive vire ter informacije o dejavnostih in politikah Unije. Unija bi morala zagotoviti enako razširjanje informacij v vseh državah članicah prek nacionalnih in evropskih medijev ter zagotoviti, da države članice spodbujajo javne radiotelevizije in javne tiskovne agencije k reševanju evropskih vprašanj.“ </w:t>
      </w:r>
    </w:p>
    <w:p>
      <w:pPr>
        <w:pStyle w:val="Normal"/>
        <w:rPr/>
      </w:pPr>
      <w:r>
        <w:rPr/>
      </w:r>
    </w:p>
    <w:p>
      <w:pPr>
        <w:pStyle w:val="Normal"/>
        <w:rPr/>
      </w:pPr>
      <w:r>
        <w:rPr/>
        <w:t xml:space="preserve">To priporočamo, ker po naših osebnih izkušnjah in po podatkih Eurobarometra večino evropskih državljanov obveščajo glavni mediji (tisk, radio in televizija), ti kanali pa trenutno ponujajo zelo malo informacij o EU. Mediji, vključno z javnimi mediji, imajo funkcijo javne službe. Zato je bistvenega pomena, da se obravnavajo evropska vprašanja, ki vplivajo na evropsko prebivalstvo, da bi izpolnili to nalogo. Sodišče priporoča, da so informacije EU, ki se razširjajo v različnih državah članicah, enake za spodbujanje vključevanja, in priporoča, da se izognemo različnim informacijam o različnih vprašanjih v posameznih državah. Za enak rezultat je bolj priročno in ceneje uporabiti obstoječe medijske kanale, kot pa ustvariti nov kanal. Prednost obstoječih kanalov je tudi v tem, da so državljani že seznanjeni. Noben državljan ne bi smel izbirati med različnimi kanali za dostop do različnih vsebin (nacionalnih ali evropskih). </w:t>
      </w:r>
    </w:p>
    <w:p>
      <w:pPr>
        <w:pStyle w:val="Normal"/>
        <w:rPr/>
      </w:pPr>
      <w:r>
        <w:rPr/>
        <w:t xml:space="preserve"> </w:t>
      </w:r>
    </w:p>
    <w:p>
      <w:pPr>
        <w:pStyle w:val="P68B1DB1Normal15"/>
        <w:rPr>
          <w:b/>
          <w:b/>
        </w:rPr>
      </w:pPr>
      <w:r>
        <w:rPr/>
        <w:t xml:space="preserve">32. „Priporočamo, da EU oblikuje in spodbuja večjezične spletne forume in srečanja zunaj spleta, ki državljanom omogočajo, da sodelujejo v razpravi s predstavniki EU, ne glede na temo in geografski obseg obravnavanega vprašanja. Odgovore na vprašanja, zastavljena na teh spletnih forumih in nespletnih srečanjih, bi bilo treba zagotoviti v natančno opredeljenem kratkem časovnem okviru. Vse informacije v zvezi s temi prostori bi morale biti centralizirane na integriranem uradnem spletnem mestu z različnimi značilnostmi, kot so prostor za pogosto zastavljena vprašanja, možnost izmenjave idej, predlogov ali pomislekov z drugimi državljani in mehanizem za navedbo, kateri od njih prejema največ podpore. V vsakem primeru mora biti dostop do te spletne strani enostaven in nebirokratski jezik. </w:t>
      </w:r>
    </w:p>
    <w:p>
      <w:pPr>
        <w:pStyle w:val="Normal"/>
        <w:rPr/>
      </w:pPr>
      <w:r>
        <w:rPr/>
        <w:t xml:space="preserve"> </w:t>
      </w:r>
    </w:p>
    <w:p>
      <w:pPr>
        <w:pStyle w:val="Normal"/>
        <w:rPr/>
      </w:pPr>
      <w:r>
        <w:rPr/>
        <w:t xml:space="preserve">To priporočamo, ker je to način za vzpostavitev neposrednega mostu med evropskimi državljani in evropskimi predstavniki, da bi govorili in sodelovali, državljanom omogočili enostaven dostop do informacij o Uniji in jih bolje obveščali o informacijah, ki so že na voljo. To bo ustvarilo bolj pregledno in odprto Unijo ter državljanom pomagalo pri izmenjavi njihovih težav in razmislekov ter prejemanju političnih odzivov in rešitev, državljanom pa omogočilo sodelovanje in izmenjavo stališč in izkušenj z drugimi državljani. </w:t>
      </w:r>
    </w:p>
    <w:p>
      <w:pPr>
        <w:pStyle w:val="Normal"/>
        <w:rPr/>
      </w:pPr>
      <w:r>
        <w:rPr/>
        <w:t xml:space="preserve"> </w:t>
      </w:r>
    </w:p>
    <w:p>
      <w:pPr>
        <w:pStyle w:val="Normal"/>
        <w:rPr>
          <w:b/>
          <w:b/>
        </w:rPr>
      </w:pPr>
      <w:r>
        <w:rPr>
          <w:b/>
        </w:rPr>
        <w:t xml:space="preserve">33. </w:t>
      </w:r>
      <w:commentRangeStart w:id="4"/>
      <w:r>
        <w:rPr>
          <w:b/>
          <w:i/>
        </w:rPr>
        <w:t>„Priporočamo, da institucije in predstavniki EU uporabljajo dostopnejši jezik in se pri komuniciranju izogibajo birokratskim izrazom, hkrati pa ohranjajo kakovost in tehnično raven danih informacij.</w:t>
      </w:r>
      <w:r>
        <w:rPr>
          <w:b/>
        </w:rPr>
        <w:t xml:space="preserve"> Unija</w:t>
      </w:r>
      <w:r>
        <w:rPr>
          <w:b/>
        </w:rPr>
      </w:r>
      <w:commentRangeEnd w:id="4"/>
      <w:r>
        <w:commentReference w:id="4"/>
      </w:r>
      <w:r>
        <w:rPr>
          <w:b/>
        </w:rPr>
        <w:t xml:space="preserve">bi morala informacije, ki jih zagotavlja državljanom, prilagoditi tudi prek različnih komunikacijskih kanalov in različnega občinstva (npr. časopisov, televizije, družbenih medijev). EU bi si morala še posebej prizadevati za prilagoditev komunikacije digitalnim medijem, da bi povečala svoje zmogljivosti za stike z mladimi.“ </w:t>
      </w:r>
    </w:p>
    <w:p>
      <w:pPr>
        <w:pStyle w:val="Normal"/>
        <w:rPr/>
      </w:pPr>
      <w:r>
        <w:rPr/>
        <w:t xml:space="preserve"> </w:t>
      </w:r>
    </w:p>
    <w:p>
      <w:pPr>
        <w:pStyle w:val="Normal"/>
        <w:rPr/>
      </w:pPr>
      <w:r>
        <w:rPr/>
        <w:t xml:space="preserve">Priporočamo ta ukrep, saj bodo razumljive informacije Uniji omogočile, da doseže več evropskih državljanov in ne le tistih, ki sodelujejo. Državljani bodo z novimi sodobnimi orodji, namenjenimi posebnemu občinstvu, bolje razumeli dejavnosti in politike EU, zlasti mlade, ki se ne čutijo blizu EU ali z njo povezani. </w:t>
      </w:r>
    </w:p>
    <w:p>
      <w:pPr>
        <w:pStyle w:val="Normal"/>
        <w:rPr/>
      </w:pPr>
      <w:r>
        <w:rPr/>
      </w:r>
    </w:p>
    <w:p>
      <w:pPr>
        <w:pStyle w:val="Titre3"/>
        <w:numPr>
          <w:ilvl w:val="2"/>
          <w:numId w:val="2"/>
        </w:numPr>
        <w:rPr/>
      </w:pPr>
      <w:bookmarkStart w:id="147" w:name="__RefHeading___Toc297229_1346298689"/>
      <w:bookmarkEnd w:id="147"/>
      <w:r>
        <w:rPr/>
        <w:t xml:space="preserve">Os 5: Krepitev udeležbe državljanov </w:t>
      </w:r>
    </w:p>
    <w:p>
      <w:pPr>
        <w:pStyle w:val="Normal"/>
        <w:rPr/>
      </w:pPr>
      <w:r>
        <w:rPr/>
        <w:t xml:space="preserve"> </w:t>
      </w:r>
    </w:p>
    <w:p>
      <w:pPr>
        <w:pStyle w:val="Titre4"/>
        <w:numPr>
          <w:ilvl w:val="3"/>
          <w:numId w:val="2"/>
        </w:numPr>
        <w:rPr/>
      </w:pPr>
      <w:bookmarkStart w:id="148" w:name="__RefHeading___Toc297231_1346298689"/>
      <w:bookmarkEnd w:id="148"/>
      <w:r>
        <w:rPr/>
        <w:t xml:space="preserve">Podos 5.1 Sodelovanje državljanov </w:t>
      </w:r>
    </w:p>
    <w:p>
      <w:pPr>
        <w:pStyle w:val="Normal"/>
        <w:rPr/>
      </w:pPr>
      <w:r>
        <w:rPr/>
        <w:t xml:space="preserve"> </w:t>
      </w:r>
    </w:p>
    <w:p>
      <w:pPr>
        <w:pStyle w:val="P68B1DB1Normal15"/>
        <w:rPr>
          <w:b/>
          <w:b/>
        </w:rPr>
      </w:pPr>
      <w:r>
        <w:rPr/>
        <w:t xml:space="preserve">34. „Priporočamo, da so v vseh postopkih odločanja EU prisotni neodvisni opazovalci državljanov. Obstajati bi moral stalni forum ali organ predstavnikov državljanov, ki bi bil odgovoren za razširjanje ustreznih in pomembnih informacij vsem državljanom Unije, opredeljenim kot taki. Ti državljani bi z vsemi drugimi evropskimi državljani sodelovali s pristopom od zgoraj navzdol/od spodaj navzgor, ki bi nadalje razvijal dialog med državljani in institucijami EU.“ </w:t>
      </w:r>
    </w:p>
    <w:p>
      <w:pPr>
        <w:pStyle w:val="Normal"/>
        <w:rPr/>
      </w:pPr>
      <w:r>
        <w:rPr/>
        <w:t xml:space="preserve"> </w:t>
      </w:r>
    </w:p>
    <w:p>
      <w:pPr>
        <w:pStyle w:val="Normal"/>
        <w:rPr/>
      </w:pPr>
      <w:r>
        <w:rPr/>
        <w:t xml:space="preserve">Državljani si seveda zaslužijo, da so obveščeni o vseh vprašanjih, zato je pomembno zagotoviti, da politiki ne bodo mogli spregledati nekaterih vprašanj, ki bi jih želeli prezreti. Tak ukrep bi z vzpostavitvijo novih poti zaupanja premostil vrzel med državljani in izvoljenimi predstavniki. </w:t>
      </w:r>
    </w:p>
    <w:p>
      <w:pPr>
        <w:pStyle w:val="Normal"/>
        <w:rPr/>
      </w:pPr>
      <w:r>
        <w:rPr/>
        <w:t xml:space="preserve"> </w:t>
      </w:r>
    </w:p>
    <w:p>
      <w:pPr>
        <w:pStyle w:val="P68B1DB1Normal15"/>
        <w:rPr>
          <w:b/>
          <w:b/>
        </w:rPr>
      </w:pPr>
      <w:r>
        <w:rPr/>
        <w:t xml:space="preserve"> </w:t>
      </w:r>
      <w:r>
        <w:rPr/>
        <w:t xml:space="preserve">35. „Priporočamo, da Unija ponovno odpre razpravo o ustavi Evrope, da bi oblikovali ustavo, ki bi jo navdihnili državljani Unije. Državljani bi morali imeti možnost, da glasujejo za takšno ustavo. Da bi se izognili kakršnemu koli navzkrižju z državami članicami, bi bilo treba vrednote človekovih pravic in demokracije prednostno vključiti v to ustavo. Pri pripravi takšne ustave je treba upoštevati prejšnja prizadevanja, ki nikoli niso privedla do ustave. </w:t>
      </w:r>
    </w:p>
    <w:p>
      <w:pPr>
        <w:pStyle w:val="Normal"/>
        <w:rPr/>
      </w:pPr>
      <w:r>
        <w:rPr/>
        <w:t xml:space="preserve"> </w:t>
      </w:r>
    </w:p>
    <w:p>
      <w:pPr>
        <w:pStyle w:val="Normal"/>
        <w:rPr/>
      </w:pPr>
      <w:r>
        <w:rPr/>
        <w:t xml:space="preserve">Ker bi ta ustava mlade vključila v politiko na ravni EU in preprečila nacionalistične sile, ki se stopnjujejo. To bi zagotovilo skupno opredelitev demokracije v Evropi in bi se enako izvajalo v vseh državah članicah. Ker ima EU skupne vrednote na področju demokracije in človekovih pravic. Ker bi imeli državljani možnost, da sodelujejo v postopku odločanja in se bolj identificirajo z Unijo s sodelovanjem v tem procesu. </w:t>
      </w:r>
    </w:p>
    <w:p>
      <w:pPr>
        <w:pStyle w:val="Normal"/>
        <w:rPr/>
      </w:pPr>
      <w:r>
        <w:rPr/>
        <w:t xml:space="preserve"> </w:t>
      </w:r>
    </w:p>
    <w:p>
      <w:pPr>
        <w:pStyle w:val="P68B1DB1Normal15"/>
        <w:rPr>
          <w:b/>
          <w:b/>
        </w:rPr>
      </w:pPr>
      <w:r>
        <w:rPr/>
        <w:t xml:space="preserve">36. Priporočamo, da so politiki bolj odgovorni pri tem, kako zastopajo državljane, ki so jih izvolili. Zlasti mladi so še posebej ločeni od politike in se ne jemljejo resno, ko sodelujejo. Toda nezainteresiranost je univerzalni problem in ljudje vseh starosti bi morali biti bolj angažirani, kot so zdaj. </w:t>
      </w:r>
    </w:p>
    <w:p>
      <w:pPr>
        <w:pStyle w:val="Normal"/>
        <w:rPr/>
      </w:pPr>
      <w:r>
        <w:rPr/>
        <w:t xml:space="preserve"> </w:t>
      </w:r>
    </w:p>
    <w:p>
      <w:pPr>
        <w:pStyle w:val="Normal"/>
        <w:rPr/>
      </w:pPr>
      <w:r>
        <w:rPr/>
        <w:t xml:space="preserve">Opredelitev demokracije je treba posodobiti. Zavedati se moramo, kakšna je demokracija v resnici. Ker so imeli mladi dovolj in so razočarani nad politiki, ki jih vidijo kot elite, ki ne delijo svojega mnenja. Zato morajo biti državljani bolj vključeni na izviren in privlačen način. Izobraževalni sistem, družbeni mediji in vse druge oblike medijev bi lahko to vlogo opravljali v celotnem življenjskem ciklu in v vseh jezikih. </w:t>
      </w:r>
    </w:p>
    <w:p>
      <w:pPr>
        <w:pStyle w:val="Normal"/>
        <w:rPr/>
      </w:pPr>
      <w:r>
        <w:rPr/>
        <w:t xml:space="preserve"> </w:t>
      </w:r>
    </w:p>
    <w:p>
      <w:pPr>
        <w:pStyle w:val="Titre4"/>
        <w:numPr>
          <w:ilvl w:val="3"/>
          <w:numId w:val="2"/>
        </w:numPr>
        <w:rPr/>
      </w:pPr>
      <w:bookmarkStart w:id="149" w:name="__RefHeading___Toc297233_1346298689"/>
      <w:bookmarkEnd w:id="149"/>
      <w:r>
        <w:rPr/>
        <w:t xml:space="preserve">Podos 5.2 Sodelovanje državljanov </w:t>
      </w:r>
    </w:p>
    <w:p>
      <w:pPr>
        <w:pStyle w:val="Normal"/>
        <w:rPr/>
      </w:pPr>
      <w:r>
        <w:rPr/>
        <w:t xml:space="preserve"> </w:t>
      </w:r>
    </w:p>
    <w:p>
      <w:pPr>
        <w:pStyle w:val="P68B1DB1Normal15"/>
        <w:rPr>
          <w:b/>
          <w:b/>
        </w:rPr>
      </w:pPr>
      <w:r>
        <w:rPr/>
        <w:t xml:space="preserve">37. „Priporočamo, da se EU bolj odločno približa državljanom. Da bi to dosegli, bi morale biti države članice vključene v spodbujanje udeležbe državljanov v Uniji. Unija bi morala spodbujati uporabo mehanizmov za udeležbo državljanov z vzpostavitvijo komercialnih in oglaševalskih kampanj. Nacionalne in lokalne oblasti bi morale biti zavezane k sodelovanju v tem procesu. Unija bi morala zagotoviti učinkovitost platform participativne demokracije.“ </w:t>
      </w:r>
    </w:p>
    <w:p>
      <w:pPr>
        <w:pStyle w:val="Normal"/>
        <w:rPr/>
      </w:pPr>
      <w:r>
        <w:rPr/>
        <w:t xml:space="preserve"> </w:t>
      </w:r>
    </w:p>
    <w:p>
      <w:pPr>
        <w:pStyle w:val="Normal"/>
        <w:rPr/>
      </w:pPr>
      <w:r>
        <w:rPr/>
        <w:t xml:space="preserve">To priporočamo, ker je treba platformo, ki že obstaja, okrepiti in povečati učinkovitost: državljani morajo imeti več povratnih informacij v EU in obratno. V EU ni dovolj razprav, tako med državljani kot med vladami. Ker državljani ne vlagajo peticij, ker ne vedo, da mehanizem obstaja, ali ker menijo, da takšne peticije ne morejo uspeti. </w:t>
      </w:r>
    </w:p>
    <w:p>
      <w:pPr>
        <w:pStyle w:val="Normal"/>
        <w:rPr/>
      </w:pPr>
      <w:r>
        <w:rPr/>
        <w:t xml:space="preserve"> </w:t>
      </w:r>
    </w:p>
    <w:p>
      <w:pPr>
        <w:pStyle w:val="P68B1DB1Normal15"/>
        <w:rPr>
          <w:b/>
          <w:b/>
        </w:rPr>
      </w:pPr>
      <w:r>
        <w:rPr/>
        <w:t xml:space="preserve">38. „Priporočamo, da Unija oblikuje in izvaja učne načrte za šole o tem, kaj se v EU izvaja v zvezi z mehanizmi sodelovanja. Takšne programe bi bilo treba vključiti v šolske učne načrte o evropskem državljanstvu in etiki z vsebino, prilagojeno starosti učencev. Obstajajo tudi programi za odrasle. Državljanom bi morali biti na voljo programi vseživljenjskega učenja, da bi se poglobilo njihovo poznavanje možnosti za udeležbo državljanov v Uniji.“ </w:t>
      </w:r>
    </w:p>
    <w:p>
      <w:pPr>
        <w:pStyle w:val="Normal"/>
        <w:rPr/>
      </w:pPr>
      <w:r>
        <w:rPr/>
        <w:t xml:space="preserve"> </w:t>
      </w:r>
    </w:p>
    <w:p>
      <w:pPr>
        <w:pStyle w:val="Normal"/>
        <w:rPr/>
      </w:pPr>
      <w:r>
        <w:rPr/>
        <w:t xml:space="preserve">Ta ukrep priporočamo, ker je pomemben za prihodnost naših otrok. Državljani želijo vedeti, kako izraziti svoj glas. Pomembno je, da poznajo natančne mehanizme in kako jih je mogoče uporabiti, da bo Unija slišala njihov glas. To je pomembno, da so vsi evropski državljani enakopravni. Kot evropski državljani moramo vedeti, kako lahko uveljavljamo svoje pravice. Kot evropski državljani imamo pravico poznati te informacije. </w:t>
      </w:r>
    </w:p>
    <w:p>
      <w:pPr>
        <w:pStyle w:val="Normal"/>
        <w:rPr/>
      </w:pPr>
      <w:r>
        <w:rPr/>
        <w:t xml:space="preserve"> </w:t>
      </w:r>
    </w:p>
    <w:p>
      <w:pPr>
        <w:pStyle w:val="Titre4"/>
        <w:numPr>
          <w:ilvl w:val="3"/>
          <w:numId w:val="2"/>
        </w:numPr>
        <w:rPr/>
      </w:pPr>
      <w:bookmarkStart w:id="150" w:name="__RefHeading___Toc297235_1346298689"/>
      <w:bookmarkEnd w:id="150"/>
      <w:r>
        <w:rPr/>
        <w:t xml:space="preserve">Podos 5.3 Sodelovanje državljanov </w:t>
      </w:r>
    </w:p>
    <w:p>
      <w:pPr>
        <w:pStyle w:val="Normal"/>
        <w:rPr/>
      </w:pPr>
      <w:r>
        <w:rPr/>
        <w:t xml:space="preserve"> </w:t>
      </w:r>
    </w:p>
    <w:p>
      <w:pPr>
        <w:pStyle w:val="P68B1DB1Normal15"/>
        <w:rPr>
          <w:b/>
          <w:b/>
        </w:rPr>
      </w:pPr>
      <w:r>
        <w:rPr/>
        <w:t xml:space="preserve">39. Priporočamo, da Unija organizira skupščino državljanov. Močno priporočamo, da se uvedejo v skladu s pravno zavezujočim in obveznim zakonom ali predpisom. Te državljanske skupščine naj bi potekale vsakih 12 do 18 mesecev. Udeležba državljanov ne bi smela biti obvezna, temveč bi jo bilo treba spodbujati, hkrati pa bi morala biti organizirana na podlagi omejenih mandatov. Udeleženci morajo biti izbrani naključno v skladu z merili reprezentativnosti. Ne smejo zastopati organizacij kakršne koli vrste in ne smejo biti pozvani k sodelovanju zaradi svoje poklicne funkcije, ko so člani skupščine. Po potrebi bodo strokovnjaki zagotovili podporo za zagotovitev, da imajo člani skupščine dovolj informacij, da lahko razpravljajo. Odločanje bo v rokah državljanov. Unija mora zagotoviti zavezanost politikov odločitvam, ki jih sprejemajo državljani v državljanskih skupščinah. Če se predlogi državljanov ne upoštevajo ali so izrecno zavrnjeni, morajo evropske institucije o njih poročati in navesti razloge, zakaj je bila ta odločitev sprejeta. </w:t>
      </w:r>
    </w:p>
    <w:p>
      <w:pPr>
        <w:pStyle w:val="Normal"/>
        <w:rPr/>
      </w:pPr>
      <w:r>
        <w:rPr/>
        <w:t xml:space="preserve"> </w:t>
      </w:r>
    </w:p>
    <w:p>
      <w:pPr>
        <w:pStyle w:val="Normal"/>
        <w:rPr/>
      </w:pPr>
      <w:r>
        <w:rPr/>
        <w:t xml:space="preserve">Priporočamo ustanovitev skupščin državljanov, ker želimo, da se državljani počutijo bližje evropskim institucijam in neposredno prispevajo k odločanju, skupaj s politiki, da bi okrepili občutek pripadnosti in neposredno učinkovitost. Poleg tega želimo, da politične stranke odgovarjajo državljanom, vključno z njihovimi volilnimi programi. </w:t>
      </w:r>
    </w:p>
    <w:p>
      <w:pPr>
        <w:pStyle w:val="Normal"/>
        <w:rPr/>
      </w:pPr>
      <w:r>
        <w:rPr/>
        <w:t xml:space="preserve"> </w:t>
      </w:r>
    </w:p>
    <w:p>
      <w:pPr>
        <w:pStyle w:val="Titre3"/>
        <w:numPr>
          <w:ilvl w:val="2"/>
          <w:numId w:val="2"/>
        </w:numPr>
        <w:rPr/>
      </w:pPr>
      <w:bookmarkStart w:id="151" w:name="__RefHeading___Toc297237_1346298689"/>
      <w:bookmarkEnd w:id="151"/>
      <w:r>
        <w:rPr/>
        <w:t xml:space="preserve">Priloga: DRUGA PRIPOROČILA, KI JIH JE KOMISIJA OBRAVNAVALA, VENDAR NISO BILA SPREJETA </w:t>
      </w:r>
    </w:p>
    <w:p>
      <w:pPr>
        <w:pStyle w:val="Normal"/>
        <w:rPr/>
      </w:pPr>
      <w:r>
        <w:rPr/>
        <w:t xml:space="preserve"> </w:t>
      </w:r>
    </w:p>
    <w:p>
      <w:pPr>
        <w:pStyle w:val="Titre4"/>
        <w:numPr>
          <w:ilvl w:val="3"/>
          <w:numId w:val="2"/>
        </w:numPr>
        <w:rPr/>
      </w:pPr>
      <w:bookmarkStart w:id="152" w:name="__RefHeading___Toc297239_1346298689"/>
      <w:bookmarkEnd w:id="152"/>
      <w:r>
        <w:rPr/>
        <w:t xml:space="preserve">Os 1: Zagotavljanje pravic in nediskriminacije </w:t>
      </w:r>
    </w:p>
    <w:p>
      <w:pPr>
        <w:pStyle w:val="Normal"/>
        <w:rPr/>
      </w:pPr>
      <w:r>
        <w:rPr/>
        <w:t xml:space="preserve"> </w:t>
      </w:r>
    </w:p>
    <w:p>
      <w:pPr>
        <w:pStyle w:val="Normal"/>
        <w:rPr/>
      </w:pPr>
      <w:r>
        <w:rPr/>
        <w:t xml:space="preserve">Podos 1.1 Nediskriminacija/podosna os 1.2 Enakost spolov </w:t>
      </w:r>
    </w:p>
    <w:p>
      <w:pPr>
        <w:pStyle w:val="Normal"/>
        <w:rPr/>
      </w:pPr>
      <w:r>
        <w:rPr/>
        <w:t xml:space="preserve"> </w:t>
      </w:r>
    </w:p>
    <w:p>
      <w:pPr>
        <w:pStyle w:val="P68B1DB1Normal15"/>
        <w:rPr>
          <w:b/>
          <w:b/>
        </w:rPr>
      </w:pPr>
      <w:r>
        <w:rPr/>
        <w:t>„</w:t>
      </w:r>
      <w:r>
        <w:rPr/>
        <w:t xml:space="preserve">Priporočamo, da EU manjšine dejavno vključi v oblikovanje politik o ključnih vidikih državnih institucij (npr. policije in nevladnih organizacij). Priporočamo, da Unija ustanovi svetovalni svet, ki ga neposredno izvolijo manjšine. Sestavljati bi ga morali predvsem predstavniki manjšin, pa tudi predstavniki nevladnih organizacij. Imeti bi moral vlogo usposabljanja pri ozaveščanju javnih uslužbencev o potrebah manjšin. Ta organ bi moral imeti veto na vprašanja manjšin. </w:t>
      </w:r>
    </w:p>
    <w:p>
      <w:pPr>
        <w:pStyle w:val="Normal"/>
        <w:rPr/>
      </w:pPr>
      <w:r>
        <w:rPr/>
        <w:t xml:space="preserve">To priporočamo, ker glasovi manjšin niso dovolj slišani. Izražati bi se morali v svojem imenu, na samoodločen način in na strokovni ravni; zato smo združili zastopanost z glasovanjem in strokovnim znanjem. </w:t>
      </w:r>
    </w:p>
    <w:p>
      <w:pPr>
        <w:pStyle w:val="Normal"/>
        <w:rPr/>
      </w:pPr>
      <w:r>
        <w:rPr/>
        <w:t xml:space="preserve"> </w:t>
      </w:r>
    </w:p>
    <w:p>
      <w:pPr>
        <w:pStyle w:val="Titre4"/>
        <w:numPr>
          <w:ilvl w:val="3"/>
          <w:numId w:val="2"/>
        </w:numPr>
        <w:rPr/>
      </w:pPr>
      <w:bookmarkStart w:id="153" w:name="__RefHeading___Toc297241_1346298689"/>
      <w:bookmarkEnd w:id="153"/>
      <w:r>
        <w:rPr/>
        <w:t xml:space="preserve">Os 2: Zaščita demokracije in pravne države </w:t>
      </w:r>
    </w:p>
    <w:p>
      <w:pPr>
        <w:pStyle w:val="Normal"/>
        <w:rPr/>
      </w:pPr>
      <w:r>
        <w:rPr/>
        <w:t xml:space="preserve"> </w:t>
      </w:r>
    </w:p>
    <w:p>
      <w:pPr>
        <w:pStyle w:val="Normal"/>
        <w:rPr/>
      </w:pPr>
      <w:r>
        <w:rPr/>
        <w:t xml:space="preserve">2.2 Zaščita in krepitev demokracije/podosna os 2.4 Mediji in dezinformacije </w:t>
      </w:r>
    </w:p>
    <w:p>
      <w:pPr>
        <w:pStyle w:val="Normal"/>
        <w:rPr/>
      </w:pPr>
      <w:r>
        <w:rPr/>
        <w:t xml:space="preserve"> </w:t>
      </w:r>
    </w:p>
    <w:p>
      <w:pPr>
        <w:pStyle w:val="P68B1DB1Normal15"/>
        <w:rPr>
          <w:b/>
          <w:b/>
        </w:rPr>
      </w:pPr>
      <w:r>
        <w:rPr/>
        <w:t>„</w:t>
      </w:r>
      <w:r>
        <w:rPr/>
        <w:t xml:space="preserve">Priporočamo ustanovitev agencije za spremljanje avdiovizualnih, tiskanih in digitalnih medijev na evropski ravni. Ta agencija bi morala preveriti, ali nacionalni mediji pri pripravi svojih vsebin sledijo nepristranskemu in objektivnemu procesu. Za preprečevanje dezinformacij bi morala Agencija zagotoviti sistem za ocenjevanje zanesljivosti nacionalnih medijev. Ta sistem ocenjevanja bi moral biti za državljane enostaven za razumevanje. </w:t>
      </w:r>
    </w:p>
    <w:p>
      <w:pPr>
        <w:pStyle w:val="Normal"/>
        <w:rPr/>
      </w:pPr>
      <w:r>
        <w:rPr/>
        <w:t xml:space="preserve"> </w:t>
      </w:r>
    </w:p>
    <w:p>
      <w:pPr>
        <w:pStyle w:val="Normal"/>
        <w:rPr/>
      </w:pPr>
      <w:r>
        <w:rPr/>
        <w:t xml:space="preserve">To priporočamo, ker potrebujemo oceno medijev in njihove zanesljivosti, pa tudi raznolikost medijev v državah EU. Evropska agencija bi bila najbolj objektiven organ, ki bi zagotavljal takšno poslanstvo. Poleg tega tak sistem ocenjevanja državljanom omogoča ozaveščene odločitve in spodbuja medije, da zagotovijo zanesljive informacije. Če se izkaže, da bonitetni sistem ne zadostuje za zagotovitev zanesljivosti medijev, bi morala biti agencija pooblaščena tudi za nalaganje sankcij. </w:t>
      </w:r>
    </w:p>
    <w:p>
      <w:pPr>
        <w:pStyle w:val="Normal"/>
        <w:rPr/>
      </w:pPr>
      <w:r>
        <w:rPr/>
        <w:t xml:space="preserve"> </w:t>
      </w:r>
    </w:p>
    <w:p>
      <w:pPr>
        <w:pStyle w:val="Titre3"/>
        <w:numPr>
          <w:ilvl w:val="2"/>
          <w:numId w:val="2"/>
        </w:numPr>
        <w:rPr/>
      </w:pPr>
      <w:bookmarkStart w:id="154" w:name="__RefHeading___Toc297243_1346298689"/>
      <w:bookmarkEnd w:id="154"/>
      <w:r>
        <w:rPr/>
        <w:t xml:space="preserve">Os 5: Krepitev udeležbe državljanov </w:t>
      </w:r>
    </w:p>
    <w:p>
      <w:pPr>
        <w:pStyle w:val="Normal"/>
        <w:rPr/>
      </w:pPr>
      <w:r>
        <w:rPr/>
        <w:t xml:space="preserve"> </w:t>
      </w:r>
    </w:p>
    <w:p>
      <w:pPr>
        <w:pStyle w:val="Titre4"/>
        <w:numPr>
          <w:ilvl w:val="3"/>
          <w:numId w:val="2"/>
        </w:numPr>
        <w:rPr/>
      </w:pPr>
      <w:r>
        <w:rPr/>
        <w:t xml:space="preserve">Podos 5.1 Sodelovanje državljanov </w:t>
      </w:r>
    </w:p>
    <w:p>
      <w:pPr>
        <w:pStyle w:val="Normal"/>
        <w:rPr/>
      </w:pPr>
      <w:r>
        <w:rPr/>
        <w:t xml:space="preserve"> </w:t>
      </w:r>
    </w:p>
    <w:p>
      <w:pPr>
        <w:pStyle w:val="P68B1DB1Normal15"/>
        <w:rPr>
          <w:b/>
          <w:b/>
        </w:rPr>
      </w:pPr>
      <w:r>
        <w:rPr/>
        <w:t>„</w:t>
      </w:r>
      <w:r>
        <w:rPr/>
        <w:t xml:space="preserve">Priporočamo ustanovitev predstavniškega telesa državljanov, ki bo razpravljalo o postopku odločanja in pomembno prispevalo k njemu – kadar se o ključnem vprašanju za evropske državljane odloča na ravni EU (v skladu z odločitvijo državljanov – po možnosti s preiskavo). To bi morala biti heterogena skupina približno 100 državljanov iz vseh držav EU, v katerih je vsaka država enako zastopana. To bi morala biti rotirajoča skupina, katere člani se redno nadomeščajo. </w:t>
      </w:r>
    </w:p>
    <w:p>
      <w:pPr>
        <w:pStyle w:val="Normal"/>
        <w:rPr/>
      </w:pPr>
      <w:r>
        <w:rPr/>
        <w:t xml:space="preserve"> </w:t>
      </w:r>
    </w:p>
    <w:p>
      <w:pPr>
        <w:pStyle w:val="Normal"/>
        <w:rPr/>
      </w:pPr>
      <w:r>
        <w:rPr/>
        <w:t xml:space="preserve">Ker se je pomembno izogniti težavam, kot je korupcija, ki bi lahko izhajala iz stalnega predstavniškega organa, je bistveno, da ima tak organ enako zastopanost vseh držav, da bi se izognil nepošteni pristojnosti odločanja. Ker bi se s tem načinom delovanja izognili težavam, povezanim z namestitvijo ali stalno uporabo tehnologij na daljavo.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Okrogla miza za evropske državljane 3: Podnebne spremembe in okolje/zdravje </w:t>
      </w:r>
    </w:p>
    <w:p>
      <w:pPr>
        <w:pStyle w:val="Normal"/>
        <w:rPr/>
      </w:pPr>
      <w:r>
        <w:rPr/>
        <w:t xml:space="preserve"> </w:t>
      </w:r>
    </w:p>
    <w:p>
      <w:pPr>
        <w:pStyle w:val="Normal"/>
        <w:rPr/>
      </w:pPr>
      <w:r>
        <w:rPr/>
        <w:t xml:space="preserve">PRIPOROČILA, KI JIH JE SPREJELA KOMISIJA (PREDLOŽITI NA PLENARNEM ZASEDANJU) </w:t>
      </w:r>
    </w:p>
    <w:p>
      <w:pPr>
        <w:pStyle w:val="Normal"/>
        <w:rPr/>
      </w:pPr>
      <w:r>
        <w:rPr/>
        <w:t xml:space="preserve"> </w:t>
      </w:r>
    </w:p>
    <w:p>
      <w:pPr>
        <w:pStyle w:val="Titre3"/>
        <w:numPr>
          <w:ilvl w:val="2"/>
          <w:numId w:val="2"/>
        </w:numPr>
        <w:rPr/>
      </w:pPr>
      <w:bookmarkStart w:id="156" w:name="__RefHeading___Toc297247_1346298689"/>
      <w:bookmarkEnd w:id="156"/>
      <w:r>
        <w:rPr/>
        <w:t xml:space="preserve">Os 1: Boljši načini življenja </w:t>
      </w:r>
    </w:p>
    <w:p>
      <w:pPr>
        <w:pStyle w:val="Normal"/>
        <w:rPr/>
      </w:pPr>
      <w:r>
        <w:rPr/>
        <w:t xml:space="preserve"> </w:t>
      </w:r>
    </w:p>
    <w:p>
      <w:pPr>
        <w:pStyle w:val="Titre4"/>
        <w:numPr>
          <w:ilvl w:val="3"/>
          <w:numId w:val="2"/>
        </w:numPr>
        <w:rPr/>
      </w:pPr>
      <w:bookmarkStart w:id="157" w:name="__RefHeading___Toc297249_1346298689"/>
      <w:bookmarkEnd w:id="157"/>
      <w:r>
        <w:rPr/>
        <w:t xml:space="preserve">Podos 1.1 Zdravi življenjski slog </w:t>
      </w:r>
    </w:p>
    <w:p>
      <w:pPr>
        <w:pStyle w:val="P68B1DB1Normal15"/>
        <w:rPr>
          <w:b/>
          <w:b/>
        </w:rPr>
      </w:pPr>
      <w:r>
        <w:rPr/>
        <w:t xml:space="preserve">1. Priporočamo, da EU zagotovi subvencije za ekološko kmetovanje, vključno s spodbudami za ekološke pesticide, da bi bili ekološki proizvodi cenovno dostopnejši. Poleg tega mora EU podpreti izobraževanje kmetov o ekološkem in trajnostnem kmetovanju ter monokulturah. Male ekološke kmetije, neintenzivne kmetije in kmetije s kratkimi dobavnimi verigami bi morale imeti koristi od podpore, ki bi jim omogočila večjo konkurenčnost. </w:t>
      </w:r>
    </w:p>
    <w:p>
      <w:pPr>
        <w:pStyle w:val="Normal"/>
        <w:rPr/>
      </w:pPr>
      <w:r>
        <w:rPr/>
        <w:t xml:space="preserve"> </w:t>
      </w:r>
    </w:p>
    <w:p>
      <w:pPr>
        <w:pStyle w:val="Normal"/>
        <w:rPr/>
      </w:pPr>
      <w:r>
        <w:rPr/>
        <w:t xml:space="preserve">S subvencioniranjem ekoloških proizvodov bi bili cenovno dostopnejši. Pomagati bi morali supermarketom, ki uporabljajo krajše dobavne verige, in malim kmetom, tako da jim ponudijo priložnosti za prodajo svojih proizvodov. To omogoča razširitev dostopa do svežih izdelkov. Poleg tega nizke cene neekoloških proizvodov ne odražajo škode, ki jo povzročajo. </w:t>
      </w:r>
    </w:p>
    <w:p>
      <w:pPr>
        <w:pStyle w:val="Normal"/>
        <w:rPr/>
      </w:pPr>
      <w:r>
        <w:rPr/>
        <w:t xml:space="preserve"> </w:t>
      </w:r>
    </w:p>
    <w:p>
      <w:pPr>
        <w:pStyle w:val="P68B1DB1Normal15"/>
        <w:rPr>
          <w:b/>
          <w:b/>
        </w:rPr>
      </w:pPr>
      <w:r>
        <w:rPr/>
        <w:t xml:space="preserve">2. Priporočamo, da se inovacije v vertikalnem kmetijstvu financirajo z naložbami EU. </w:t>
      </w:r>
    </w:p>
    <w:p>
      <w:pPr>
        <w:pStyle w:val="Normal"/>
        <w:rPr/>
      </w:pPr>
      <w:r>
        <w:rPr/>
        <w:t xml:space="preserve">Vertikalno kmetijstvo nam omogoča, da prihranimo prostor, ki bi ga namesto tega lahko uporabili za gozdarstvo. Prav tako ne potrebuje pesticidov, kar nam omogoča, da pridelamo več ekološke hrane. Poleg tega nanjo ne vplivajo slabe vremenske razmere, ki so vse pogostejše zaradi podnebnih sprememb, in lahko skrajšajo dobavne verige. </w:t>
      </w:r>
    </w:p>
    <w:p>
      <w:pPr>
        <w:pStyle w:val="Normal"/>
        <w:rPr/>
      </w:pPr>
      <w:r>
        <w:rPr/>
        <w:t xml:space="preserve"> </w:t>
      </w:r>
    </w:p>
    <w:p>
      <w:pPr>
        <w:pStyle w:val="P68B1DB1Normal15"/>
        <w:rPr>
          <w:b/>
          <w:b/>
        </w:rPr>
      </w:pPr>
      <w:r>
        <w:rPr/>
        <w:t xml:space="preserve">3. EU bi morala določiti minimalne standarde glede kakovosti hrane, sledljivosti živil in uživanja sezonskih proizvodov v šolskih menzah. Zdrave sestavine za šolske menze bi bilo zato treba subvencionirati, da bi učencem zagotovili kakovostno cenovno dostopno hrano. </w:t>
      </w:r>
    </w:p>
    <w:p>
      <w:pPr>
        <w:pStyle w:val="Normal"/>
        <w:rPr/>
      </w:pPr>
      <w:r>
        <w:rPr/>
        <w:t xml:space="preserve"> </w:t>
      </w:r>
    </w:p>
    <w:p>
      <w:pPr>
        <w:pStyle w:val="Normal"/>
        <w:rPr/>
      </w:pPr>
      <w:r>
        <w:rPr/>
        <w:t xml:space="preserve">Od zgodnjega otroštva pridobivamo navade, ki oblikujejo naš odnos do zdravja; v šoli je treba spodbujati dobre navade, učenci pa jih lahko posnemajo doma. Gre tudi za vprašanje socialne pravičnosti: vsak študent EU bi moral imeti pravico do kakovostne hrane v šoli. </w:t>
      </w:r>
    </w:p>
    <w:p>
      <w:pPr>
        <w:pStyle w:val="Normal"/>
        <w:rPr/>
      </w:pPr>
      <w:r>
        <w:rPr/>
        <w:t xml:space="preserve"> </w:t>
      </w:r>
    </w:p>
    <w:p>
      <w:pPr>
        <w:pStyle w:val="P68B1DB1Normal15"/>
        <w:rPr>
          <w:b/>
          <w:b/>
        </w:rPr>
      </w:pPr>
      <w:r>
        <w:rPr/>
        <w:t xml:space="preserve">4. Priporočamo vlaganje v nove kolesarske steze in izboljšanje obstoječih poti, da bo kolesarjenje varno in privlačno ter da bodo lahko vse starostne skupine imele koristi od usposabljanja na področju cestnoprometnih predpisov v Evropi, zlasti za uporabnike e-koles in ljudi brez vozniškega dovoljenja. Od proizvajalcev električnih koles bi bilo treba zahtevati, da zagotovijo informacije o uporabi električnega kolesa in s tem povezanih tveganjih. Kolesarjem bi bilo treba zagotoviti pravno varstvo v primeru nesreče, v kateri je udeleženo vozilo (glej nizozemska pravila). Zavzemamo se za območja brez avtomobilov v mestih (ne da bi škodovali trgovskim območjem). Širše gledano priporočamo, da se kolesarjem in pešcem dajo prednost in dodatne pravice pred motornimi vozili, hkrati pa se zagotovi varnost v cestnem prometu in skladnost s prometnimi predpisi. </w:t>
      </w:r>
    </w:p>
    <w:p>
      <w:pPr>
        <w:pStyle w:val="Normal"/>
        <w:rPr/>
      </w:pPr>
      <w:r>
        <w:rPr/>
        <w:t xml:space="preserve"> </w:t>
      </w:r>
    </w:p>
    <w:p>
      <w:pPr>
        <w:pStyle w:val="Normal"/>
        <w:rPr/>
      </w:pPr>
      <w:r>
        <w:rPr/>
        <w:t xml:space="preserve">Ta priporočila so pomembna, ker kolesarjenje prinaša koristi v smislu zdravja posameznika in javnega zdravja, kakovosti zraka, ravni hrupa, podnebja in prometa v mestnih središčih. Kolesarji in pešci se morajo počutiti varne glede na tveganja, povezana s povečano uporabo električnega kolesa. Včasih kolesarske steze manjkajo ali so v slabem stanju. </w:t>
      </w:r>
    </w:p>
    <w:p>
      <w:pPr>
        <w:pStyle w:val="Normal"/>
        <w:rPr/>
      </w:pPr>
      <w:r>
        <w:rPr/>
        <w:t xml:space="preserve"> </w:t>
      </w:r>
    </w:p>
    <w:p>
      <w:pPr>
        <w:pStyle w:val="P68B1DB1Normal15"/>
        <w:rPr>
          <w:b/>
          <w:b/>
        </w:rPr>
      </w:pPr>
      <w:r>
        <w:rPr/>
        <w:t xml:space="preserve">5. Priporočamo vključitev proizvodnje hrane v javno izobraževanje. Priporočamo subvencioniranje in podpiranje ustvarjanja vrtov v šolah, če je mogoče, ter urbanih vrtnarskih projektov v javnih in zasebnih prostorih. Okviri urbanističnega načrtovanja morajo vključevati potrebo po vesolju, vodi in podporni infrastrukturi. Na primer, nekdanja parkirišča bi se lahko uporabljala za projekte ekologizacije, vertikalni vrtnarski projekti bi se lahko izvajali na stavbah ali pa bi se pridobitev gradbenih dovoljenj lahko pogojevala z vključevanjem zelenih površin. Sodišče priporoča izmenjavo inovativnih in dobrih praks v vseh državah članicah. </w:t>
      </w:r>
    </w:p>
    <w:p>
      <w:pPr>
        <w:pStyle w:val="Normal"/>
        <w:rPr/>
      </w:pPr>
      <w:r>
        <w:rPr/>
        <w:t xml:space="preserve"> </w:t>
      </w:r>
    </w:p>
    <w:p>
      <w:pPr>
        <w:pStyle w:val="Normal"/>
        <w:rPr/>
      </w:pPr>
      <w:r>
        <w:rPr/>
        <w:t xml:space="preserve">Vrtnarski projekti spodbujajo odpornost mest in njihovih prebivalcev ter združujejo ljudi različnih starosti in družbenih skupin. Množenje zelenih površin izboljšuje kakovost življenja, kakovost zraka, duševno in telesno zdravje ter okolje. </w:t>
      </w:r>
    </w:p>
    <w:p>
      <w:pPr>
        <w:pStyle w:val="Normal"/>
        <w:rPr/>
      </w:pPr>
      <w:r>
        <w:rPr/>
        <w:t xml:space="preserve"> </w:t>
      </w:r>
    </w:p>
    <w:p>
      <w:pPr>
        <w:pStyle w:val="Titre4"/>
        <w:numPr>
          <w:ilvl w:val="3"/>
          <w:numId w:val="2"/>
        </w:numPr>
        <w:rPr/>
      </w:pPr>
      <w:bookmarkStart w:id="158" w:name="__RefHeading___Toc297251_1346298689"/>
      <w:bookmarkEnd w:id="158"/>
      <w:r>
        <w:rPr/>
        <w:t xml:space="preserve">Podos 1.2 Okoljsko izobraževanje </w:t>
      </w:r>
    </w:p>
    <w:p>
      <w:pPr>
        <w:pStyle w:val="P68B1DB1Normal15"/>
        <w:rPr>
          <w:b/>
          <w:b/>
        </w:rPr>
      </w:pPr>
      <w:r>
        <w:rPr/>
        <w:t>6. Priporočamo, da EU sprejme direktivo, ki zahteva, da so programi urbanističnega načrtovanja skladni s posebnimi okoljskimi zahtevami, da bi mesta postala bolj zelena. Ta direktiva bi se morala uporabljati za zasebne in javne dobrine ter prostore, zlasti za nove stavbe v razvoju. Določiti mora minimalne standarde za zagotovitev, da so stavbe in prostori čim bolj zeleni. Pridevnik „zeleno“ se tukaj nanaša na uporabo obnovljivih virov energije, manjšo porabo energije, nizke emisije</w:t>
      </w:r>
      <w:r>
        <w:rPr>
          <w:vertAlign w:val="subscript"/>
        </w:rPr>
        <w:t>CO2 in</w:t>
      </w:r>
      <w:r>
        <w:rPr/>
        <w:t xml:space="preserve"> vključevanje rastlin v arhitekturne projekte. </w:t>
      </w:r>
    </w:p>
    <w:p>
      <w:pPr>
        <w:pStyle w:val="Normal"/>
        <w:rPr/>
      </w:pPr>
      <w:r>
        <w:rPr/>
        <w:t xml:space="preserve"> </w:t>
      </w:r>
    </w:p>
    <w:p>
      <w:pPr>
        <w:pStyle w:val="Normal"/>
        <w:rPr/>
      </w:pPr>
      <w:r>
        <w:rPr/>
        <w:t>Bolj zelena mesta dejavno prispevajo k zmanjšanju učinkov podnebnih sprememb ter zlasti emisij CO2 in</w:t>
      </w:r>
      <w:r>
        <w:rPr>
          <w:vertAlign w:val="subscript"/>
        </w:rPr>
        <w:t>ozona</w:t>
      </w:r>
      <w:r>
        <w:rPr/>
        <w:t xml:space="preserve">, ki negativno vplivajo na zdravje državljanov. Naložbe v bolj zelena mesta prispevajo k trajnostnemu razvoju skupnosti, ki prinaša dolgoročne gospodarske in družbene koristi. </w:t>
      </w:r>
    </w:p>
    <w:p>
      <w:pPr>
        <w:pStyle w:val="Normal"/>
        <w:rPr/>
      </w:pPr>
      <w:r>
        <w:rPr/>
        <w:t xml:space="preserve"> </w:t>
      </w:r>
    </w:p>
    <w:p>
      <w:pPr>
        <w:pStyle w:val="P68B1DB1Normal15"/>
        <w:rPr>
          <w:b/>
          <w:b/>
        </w:rPr>
      </w:pPr>
      <w:r>
        <w:rPr/>
        <w:t xml:space="preserve">7. Priporočamo, da EU s pomočjo držav članic razvije, sprejme in izvaja skupno evropsko listino, ki bo osredotočena na okoljska vprašanja v njihovi kompleksnosti. Listina bo državam članicam zagotovila okvir za organizacijo rednih kampanj obveščanja in usposabljanja, ki se razširjajo prek vseh razpoložljivih medijskih kanalov in na novem informacijskem portalu, vzpostavljenem v ta namen. Te kampanje bi bilo treba organizirati po vsej EU in na vseh ravneh, da bi povečali ozaveščenost vseh državljanov o okolju. </w:t>
      </w:r>
    </w:p>
    <w:p>
      <w:pPr>
        <w:pStyle w:val="Normal"/>
        <w:rPr/>
      </w:pPr>
      <w:r>
        <w:rPr/>
        <w:t xml:space="preserve"> </w:t>
      </w:r>
    </w:p>
    <w:p>
      <w:pPr>
        <w:pStyle w:val="Normal"/>
        <w:rPr/>
      </w:pPr>
      <w:r>
        <w:rPr/>
        <w:t xml:space="preserve">Pomanjkanje usklajevanja med državami članicami ovira učinkovitost obstoječih kampanj in upočasnjuje prizadevanja za reševanje svetovnega izziva podnebnih sprememb. Skupna listina bo spodbujala sinergije med akcijskimi načrti držav članic in zagotovila večjo učinkovitost prizadevanj. Poleg tega bo zagotovila, da se državljanom zagotovijo dosledne in dosledne informacije o vplivu njihovih vsakodnevnih dejavnosti, kot sta izbira načina prevoza in ravnanje z njihovimi odpadki. </w:t>
      </w:r>
    </w:p>
    <w:p>
      <w:pPr>
        <w:pStyle w:val="Normal"/>
        <w:rPr/>
      </w:pPr>
      <w:r>
        <w:rPr/>
        <w:t xml:space="preserve"> </w:t>
      </w:r>
    </w:p>
    <w:p>
      <w:pPr>
        <w:pStyle w:val="Titre3"/>
        <w:numPr>
          <w:ilvl w:val="2"/>
          <w:numId w:val="2"/>
        </w:numPr>
        <w:rPr/>
      </w:pPr>
      <w:bookmarkStart w:id="159" w:name="__RefHeading___Toc297253_1346298689"/>
      <w:bookmarkEnd w:id="159"/>
      <w:r>
        <w:rPr/>
        <w:t xml:space="preserve">Os 2: Varovanje okolja in zdravja </w:t>
      </w:r>
    </w:p>
    <w:p>
      <w:pPr>
        <w:pStyle w:val="Titre4"/>
        <w:numPr>
          <w:ilvl w:val="3"/>
          <w:numId w:val="2"/>
        </w:numPr>
        <w:rPr/>
      </w:pPr>
      <w:bookmarkStart w:id="160" w:name="__RefHeading___Toc297255_1346298689"/>
      <w:bookmarkEnd w:id="160"/>
      <w:r>
        <w:rPr/>
        <w:t xml:space="preserve">Podos 2.1 Zdravo naravno okolje </w:t>
      </w:r>
    </w:p>
    <w:p>
      <w:pPr>
        <w:pStyle w:val="P68B1DB1Normal15"/>
        <w:rPr>
          <w:b/>
          <w:b/>
        </w:rPr>
      </w:pPr>
      <w:r>
        <w:rPr/>
        <w:t xml:space="preserve">8. Priporočamo enoten ekološki sistem, ki prikazuje skupni okoljski odtis vsakega razpoložljivega izdelka, kupljenega v EU. Proizvodi iz tretjih držav morajo ta sistem ekološkega ocenjevanja spoštovati na pregleden način. Ta sistem bi moral temeljiti na jasnih merilih za razvrstitev, ki se uporabljajo za proizvode same, in uporabljati na primer kodo QR, ki zagotavlja podrobnejše informacije o izdelku. </w:t>
      </w:r>
    </w:p>
    <w:p>
      <w:pPr>
        <w:pStyle w:val="Normal"/>
        <w:rPr/>
      </w:pPr>
      <w:r>
        <w:rPr/>
        <w:t xml:space="preserve"> </w:t>
      </w:r>
    </w:p>
    <w:p>
      <w:pPr>
        <w:pStyle w:val="Normal"/>
        <w:rPr/>
      </w:pPr>
      <w:r>
        <w:rPr/>
        <w:t xml:space="preserve">Informacije o življenjskem ciklu izdelkov so bistvenega pomena za vse državljane EU, da bi potrošniki pri nakupovanju opolnomočeni. To bo državljanom EU omogočilo sprejemanje odgovornih odločitev, ki bodo prispevale k varstvu njihovega okolja. </w:t>
      </w:r>
    </w:p>
    <w:p>
      <w:pPr>
        <w:pStyle w:val="Normal"/>
        <w:rPr/>
      </w:pPr>
      <w:r>
        <w:rPr/>
        <w:t xml:space="preserve"> </w:t>
      </w:r>
    </w:p>
    <w:p>
      <w:pPr>
        <w:pStyle w:val="P68B1DB1Normal15"/>
        <w:rPr>
          <w:b/>
          <w:b/>
        </w:rPr>
      </w:pPr>
      <w:r>
        <w:rPr/>
        <w:t xml:space="preserve">9. Priporočamo, da se več vlaga v raziskovanje novih okolju prijaznih virov energije in da se do uvedbe teh novih virov dodatne naložbe namenijo obstoječim optimalnim rešitvam za proizvodnjo energije. Priporočamo tudi pregledno obveščanje in izobraževanje evropskih državljanov o določenih virih energije. Toplo priporočamo, da upoštevamo splošne ekološke in družbene vplive procesa proizvodnje energije za sedanje in prihodnje generacije. </w:t>
      </w:r>
    </w:p>
    <w:p>
      <w:pPr>
        <w:pStyle w:val="Normal"/>
        <w:rPr/>
      </w:pPr>
      <w:r>
        <w:rPr/>
        <w:t xml:space="preserve"> </w:t>
      </w:r>
    </w:p>
    <w:p>
      <w:pPr>
        <w:pStyle w:val="Normal"/>
        <w:rPr/>
      </w:pPr>
      <w:r>
        <w:rPr/>
        <w:t xml:space="preserve">Soočamo se z zelo visokimi emisijami ogljika in drugimi strupenimi snovmi iz proizvodnje energije, ki zmanjšujejo podnebje in kakovost zraka. Za uskladitev s smernicami EU, priporočili iz poročil Medvladnega foruma o podnebnih spremembah in cilji konference COP26 moramo okrepiti raziskave in naložbe, da bi dosegli podnebno nevtralno proizvodnjo energije. </w:t>
      </w:r>
    </w:p>
    <w:p>
      <w:pPr>
        <w:pStyle w:val="Normal"/>
        <w:rPr/>
      </w:pPr>
      <w:r>
        <w:rPr/>
        <w:t xml:space="preserve"> </w:t>
      </w:r>
    </w:p>
    <w:p>
      <w:pPr>
        <w:pStyle w:val="Titre4"/>
        <w:numPr>
          <w:ilvl w:val="3"/>
          <w:numId w:val="2"/>
        </w:numPr>
        <w:rPr/>
      </w:pPr>
      <w:bookmarkStart w:id="161" w:name="__RefHeading___Toc297257_1346298689"/>
      <w:bookmarkEnd w:id="161"/>
      <w:r>
        <w:rPr/>
        <w:t xml:space="preserve">Podos 2.2 Zaščita naše biotske raznovrstnosti </w:t>
      </w:r>
    </w:p>
    <w:p>
      <w:pPr>
        <w:pStyle w:val="P68B1DB1Normal15"/>
        <w:rPr>
          <w:b/>
          <w:b/>
        </w:rPr>
      </w:pPr>
      <w:r>
        <w:rPr/>
        <w:t xml:space="preserve">10. Priporočamo drastično zmanjšanje uporabe kemičnih pesticidov in gnojil v vseh vrstah kmetijstva z zagotavljanjem uporabe strožjih skupnih standardov, pospeševanjem raziskav naravnih alternativ in podpiranjem sprejemanja novih rešitev, vključno z usposabljanjem kmetov. </w:t>
      </w:r>
    </w:p>
    <w:p>
      <w:pPr>
        <w:pStyle w:val="Normal"/>
        <w:rPr/>
      </w:pPr>
      <w:r>
        <w:rPr/>
        <w:t xml:space="preserve"> </w:t>
      </w:r>
    </w:p>
    <w:p>
      <w:pPr>
        <w:pStyle w:val="Normal"/>
        <w:rPr/>
      </w:pPr>
      <w:r>
        <w:rPr/>
        <w:t xml:space="preserve">Čeprav je bil dosežen napredek v zvezi z gnojili in alternativnimi pesticidi, jih večina še ni uporabna za velike kmetije. Zato si je treba bolj prizadevati za razvoj novih rešitev. Raziskave bi bilo treba spodbujati z javno porabo in višjimi standardi za uporabo pesticidov in gnojil. Rezultate raziskav je treba hitro razširjati na ravni EU. </w:t>
      </w:r>
    </w:p>
    <w:p>
      <w:pPr>
        <w:pStyle w:val="Normal"/>
        <w:rPr/>
      </w:pPr>
      <w:r>
        <w:rPr/>
        <w:t xml:space="preserve"> </w:t>
      </w:r>
    </w:p>
    <w:p>
      <w:pPr>
        <w:pStyle w:val="P68B1DB1Normal15"/>
        <w:rPr>
          <w:b/>
          <w:b/>
        </w:rPr>
      </w:pPr>
      <w:r>
        <w:rPr/>
        <w:t xml:space="preserve">11. Priporočamo razširitev zavarovanih območij za ohranjanje biotske raznovrstnosti (sesalcev, ptic, žuželk in rastlin) in krepitev pravne države v zvezi s človeškim posegom na teh območjih. Zavarovana območja se ne bodo obravnavala le kot otočki, temveč tudi kot kontinuum z bolj zelenimi urbanimi območji v skladu z usklajenimi standardi EU. </w:t>
      </w:r>
    </w:p>
    <w:p>
      <w:pPr>
        <w:pStyle w:val="Normal"/>
        <w:rPr/>
      </w:pPr>
      <w:r>
        <w:rPr/>
        <w:t xml:space="preserve"> </w:t>
      </w:r>
    </w:p>
    <w:p>
      <w:pPr>
        <w:pStyle w:val="Normal"/>
        <w:rPr/>
      </w:pPr>
      <w:r>
        <w:rPr/>
        <w:t xml:space="preserve">Biotska raznovrstnost močno trpi zaradi krčenja gozdov. Oblikovanje zavarovanih območij je eno glavnih sredstev za zaščito kopenske biotske raznovrstnosti. Vendar je težko ohraniti zavarovana območja v bližini onesnaženih mest ali se izogniti človeškemu vmešavanju, ko okolica pušča malo prostora za naravo. Bivalna območja moramo ozeleniti in jih vključiti v njihovo okolico. </w:t>
      </w:r>
    </w:p>
    <w:p>
      <w:pPr>
        <w:pStyle w:val="Normal"/>
        <w:rPr/>
      </w:pPr>
      <w:r>
        <w:rPr/>
        <w:t xml:space="preserve"> </w:t>
      </w:r>
    </w:p>
    <w:p>
      <w:pPr>
        <w:pStyle w:val="Normal"/>
        <w:rPr/>
      </w:pPr>
      <w:r>
        <w:rPr>
          <w:b/>
        </w:rPr>
        <w:t>12. Priporočamo preusmeritev splošnih subvencij v kmetijstvo predvsem v projekte, povezane z razvojem trajnostnega kmetijstva, vključno s spoštovanjem narave in delavcev. Upravičenci bi morali spoštovati jasne okoljske standarde in jih pozorno spremljati.</w:t>
      </w:r>
      <w:r>
        <w:rPr/>
        <w:t xml:space="preserve"> </w:t>
      </w:r>
    </w:p>
    <w:p>
      <w:pPr>
        <w:pStyle w:val="Normal"/>
        <w:rPr/>
      </w:pPr>
      <w:r>
        <w:rPr/>
        <w:t xml:space="preserve"> </w:t>
      </w:r>
    </w:p>
    <w:p>
      <w:pPr>
        <w:pStyle w:val="Normal"/>
        <w:rPr/>
      </w:pPr>
      <w:r>
        <w:rPr/>
        <w:t xml:space="preserve">Menimo, da bi bilo treba spodbujati le trajnostno kmetijstvo, kar pomeni prerazporeditev sredstev, ki se trenutno uporabljajo za splošne subvencije. Poleg tega je mogoče povečati učinkovitost uporabljenih sredstev z osredotočanjem na transformativne projekte in inovativne rešitve namesto na letna plačila. Zagotoviti bi bilo treba boljše spremljanje ekološkega vpliva kmetijskih dejavnosti in projektov. Človekove pravice delavcev je treba obravnavati tudi kot sestavni del trajnosti. </w:t>
      </w:r>
    </w:p>
    <w:p>
      <w:pPr>
        <w:pStyle w:val="Normal"/>
        <w:rPr/>
      </w:pPr>
      <w:r>
        <w:rPr/>
        <w:t xml:space="preserve"> </w:t>
      </w:r>
    </w:p>
    <w:p>
      <w:pPr>
        <w:pStyle w:val="Normal"/>
        <w:rPr/>
      </w:pPr>
      <w:r>
        <w:rPr>
          <w:b/>
        </w:rPr>
        <w:t>13. Priporočamo, da EU zagotovi pošteno konkurenco za okolju prijazne kmetijske proizvode z določitvijo višjih standardov za proizvode iz EU in uvožene proizvode ter zagotavljanjem sledljivosti, označevanja in nadzora kakovosti.</w:t>
      </w:r>
      <w:r>
        <w:rPr/>
        <w:t xml:space="preserve"> </w:t>
      </w:r>
    </w:p>
    <w:p>
      <w:pPr>
        <w:pStyle w:val="Normal"/>
        <w:rPr/>
      </w:pPr>
      <w:r>
        <w:rPr/>
        <w:t xml:space="preserve"> </w:t>
      </w:r>
    </w:p>
    <w:p>
      <w:pPr>
        <w:pStyle w:val="Normal"/>
        <w:rPr/>
      </w:pPr>
      <w:r>
        <w:rPr/>
        <w:t xml:space="preserve">Nižja produktivnost trajnostnih kmetijskih proizvodov ogroža njihovo stroškovno konkurenčnost. Uvoženi proizvodi morajo izpolnjevati enake stroge standarde glede vpliva njihove proizvodnje na okolje. Naši organi bi morali biti sposobni zagotoviti sledljivost uvoženih kmetijskih proizvodov. </w:t>
      </w:r>
    </w:p>
    <w:p>
      <w:pPr>
        <w:pStyle w:val="Normal"/>
        <w:rPr/>
      </w:pPr>
      <w:r>
        <w:rPr/>
        <w:t xml:space="preserve"> </w:t>
      </w:r>
    </w:p>
    <w:p>
      <w:pPr>
        <w:pStyle w:val="P68B1DB1Normal15"/>
        <w:rPr>
          <w:b/>
          <w:b/>
        </w:rPr>
      </w:pPr>
      <w:r>
        <w:rPr/>
        <w:t xml:space="preserve">14. Priporočamo hitro in obsežno ponovno pogozdovanje in pogozdovanje v EU, zahvaljujoč optimizirani rabi zemljišč. Posebno pozornost bi bilo treba nameniti ponovnemu pogozdovanju izkoriščanih ali uničenih gozdov in pogozdovanju območij z degradiranimi tlemi. Spodbujati bi bilo treba nove, odgovornejše rešitve za boljšo uporabo lesa, na primer za nadomestitev plastike in drugih kemikalij, doseganje večje energetske učinkovitosti biomase in recikliranje lesnih proizvodov. </w:t>
      </w:r>
    </w:p>
    <w:p>
      <w:pPr>
        <w:pStyle w:val="Normal"/>
        <w:rPr/>
      </w:pPr>
      <w:r>
        <w:rPr/>
        <w:t xml:space="preserve"> </w:t>
      </w:r>
    </w:p>
    <w:p>
      <w:pPr>
        <w:pStyle w:val="Normal"/>
        <w:rPr/>
      </w:pPr>
      <w:r>
        <w:rPr/>
        <w:t xml:space="preserve">Ponovno pogozdovanje nedvomno pozitivno vpliva na okolje in biotsko raznovrstnost na splošno. Hkrati moramo porabiti manj lesa, da se segrejemo, vendar več, da bi postali izdelki z visoko dodano vrednostjo; na primer, za zamenjavo plastike je uporaba lesa najpomembnejša. </w:t>
      </w:r>
    </w:p>
    <w:p>
      <w:pPr>
        <w:pStyle w:val="Normal"/>
        <w:rPr/>
      </w:pPr>
      <w:r>
        <w:rPr/>
        <w:t xml:space="preserve"> </w:t>
      </w:r>
    </w:p>
    <w:p>
      <w:pPr>
        <w:pStyle w:val="Titre4"/>
        <w:numPr>
          <w:ilvl w:val="3"/>
          <w:numId w:val="2"/>
        </w:numPr>
        <w:rPr/>
      </w:pPr>
      <w:bookmarkStart w:id="162" w:name="__RefHeading___Toc297259_1346298689"/>
      <w:bookmarkEnd w:id="162"/>
      <w:r>
        <w:rPr/>
        <w:t xml:space="preserve">Podos 2.3 Varna in zdrava hrana </w:t>
      </w:r>
    </w:p>
    <w:p>
      <w:pPr>
        <w:pStyle w:val="P68B1DB1Normal15"/>
        <w:rPr>
          <w:b/>
          <w:b/>
        </w:rPr>
      </w:pPr>
      <w:r>
        <w:rPr/>
        <w:t xml:space="preserve">15. Priporočamo hitro in postopno odstranjevanje netrajnostne embalaže, ki se uporablja za živila, vključno s plastično embalažo in drugo biološko nerazgradljivo embalažo. V ta namen predlagamo, da se podjetjem ponudijo finančne spodbude za prehod na popolnoma biorazgradljive oblike embalaže, vlaganje v iskanje alternativ in nalaganje sankcij podjetjem, ki ne uporabljajo biorazgradljive embalaže. </w:t>
      </w:r>
    </w:p>
    <w:p>
      <w:pPr>
        <w:pStyle w:val="Normal"/>
        <w:rPr/>
      </w:pPr>
      <w:r>
        <w:rPr/>
        <w:t xml:space="preserve"> </w:t>
      </w:r>
    </w:p>
    <w:p>
      <w:pPr>
        <w:pStyle w:val="Normal"/>
        <w:rPr/>
      </w:pPr>
      <w:r>
        <w:rPr/>
        <w:t xml:space="preserve">Plastični odpadki, zlasti mikroplastika, postajajo vse bolj bogati in počasi razgradljivi. Uživanje plastike ogroža kakovost in varnost hrane ter hkrati ogroža zdravje ljudi in živali. Poleg tega obstoječa zakonodaja EU za zmanjšanje količine embalaže, ki ni biološko razgradljiva, ne zadostuje. </w:t>
      </w:r>
    </w:p>
    <w:p>
      <w:pPr>
        <w:pStyle w:val="Normal"/>
        <w:rPr/>
      </w:pPr>
      <w:r>
        <w:rPr/>
        <w:t xml:space="preserve"> </w:t>
      </w:r>
    </w:p>
    <w:p>
      <w:pPr>
        <w:pStyle w:val="P68B1DB1Normal15"/>
        <w:rPr>
          <w:b/>
          <w:b/>
        </w:rPr>
      </w:pPr>
      <w:r>
        <w:rPr/>
        <w:t xml:space="preserve">16. Priporočamo postopno opustitev intenzivnega kmetovanja, vključno s prenehanjem ponižujočih življenjskih pogojev za živali. Predlagamo vzpostavitev skupnih standardov za živinorejo (npr. največje število živali, prilagojen zunanji prostor) in več naložb v neintenzivne metode (obsežno in trajnostno kmetijstvo) z zagotavljanjem finančnih spodbud in usposabljanja za kmete v podporo temu razvoju. </w:t>
      </w:r>
    </w:p>
    <w:p>
      <w:pPr>
        <w:pStyle w:val="Normal"/>
        <w:rPr/>
      </w:pPr>
      <w:r>
        <w:rPr/>
        <w:t xml:space="preserve"> </w:t>
      </w:r>
    </w:p>
    <w:p>
      <w:pPr>
        <w:pStyle w:val="Normal"/>
        <w:rPr/>
      </w:pPr>
      <w:r>
        <w:rPr/>
        <w:t xml:space="preserve">Postopno opuščanje intenzivnega kmetijstva bo zmanjšalo raven onesnaženosti okolja in okrepilo varstvo narave. Poleg tega bo postopno opuščanje intenzivne živinoreje zmanjšalo količino zdravil, potrebnih za boj proti boleznim živali, in izboljšalo kakovost naše prehrane. Intenzivno kmetovanje tudi ne spoštuje dobrobiti živali, vendar obstajajo bolj trajnostne oblike kmetovanja, kot je ekstenzivno kmetovanje; kmetom je treba zagotoviti subvencije, ki jim bodo pomagali na tej poti. </w:t>
      </w:r>
    </w:p>
    <w:p>
      <w:pPr>
        <w:pStyle w:val="Normal"/>
        <w:rPr/>
      </w:pPr>
      <w:r>
        <w:rPr/>
        <w:t xml:space="preserve"> </w:t>
      </w:r>
    </w:p>
    <w:p>
      <w:pPr>
        <w:pStyle w:val="P68B1DB1Normal15"/>
        <w:rPr>
          <w:b/>
          <w:b/>
        </w:rPr>
      </w:pPr>
      <w:r>
        <w:rPr/>
        <w:t xml:space="preserve">17. Priporočamo okrepitev nadzora nad prepovedjo nepotrebne uporabe antibiotikov in drugih zdravil za uporabo v veterinarski medicini v krmnih dodatkih: naj se ta pobuda uresniči! Predlagamo, da se uporaba antibiotikov v živinoreji dovoli le, kadar je to nujno potrebno, da se zaščiti zdravje in dobro počutje živali, ne pa preventivno. Poleg tega je treba več vlagati v iskanje učinkovitejših antibiotikov in razvoj alternativ, hkrati pa graditi na tekočih raziskavah na tem področju. </w:t>
      </w:r>
    </w:p>
    <w:p>
      <w:pPr>
        <w:pStyle w:val="Normal"/>
        <w:rPr/>
      </w:pPr>
      <w:r>
        <w:rPr/>
        <w:t xml:space="preserve"> </w:t>
      </w:r>
    </w:p>
    <w:p>
      <w:pPr>
        <w:pStyle w:val="Normal"/>
        <w:rPr/>
      </w:pPr>
      <w:r>
        <w:rPr/>
        <w:t xml:space="preserve">Človeška odpornost na antibiotike se zmanjša zaradi uživanja hrane, pridobljene iz živali, ki so jim bili antibiotiki dani. Poleg tega je potreben čas za razvoj ustreznih rešitev za nadomestitev obstoječih antibiotikov in zagotovitev, da so kmetje obveščeni in pripravljeni na njihovo uporabo. Priznavamo, da obstajajo direktive EU o antibiotikih; vendar ti ukrepi niso bili izvedeni na enak način v vseh državah članicah. Nazadnje, zdravila za uporabo v veterinarski medicini se zlorabljajo za namene dopinga; zato bo strožja zakonodaja na tem področju izboljšala dobro počutje živali in izboljšala njihovo kakovost življenja. </w:t>
      </w:r>
    </w:p>
    <w:p>
      <w:pPr>
        <w:pStyle w:val="Normal"/>
        <w:rPr/>
      </w:pPr>
      <w:r>
        <w:rPr/>
        <w:t xml:space="preserve"> </w:t>
      </w:r>
    </w:p>
    <w:p>
      <w:pPr>
        <w:pStyle w:val="P68B1DB1Normal15"/>
        <w:rPr>
          <w:b/>
          <w:b/>
        </w:rPr>
      </w:pPr>
      <w:r>
        <w:rPr/>
        <w:t xml:space="preserve">18. Priporočamo, da zakonodaja EU zahteva poročanje o uporabi hormonskih snovi in endokrinih motilcev v proizvodnji živil, da se določijo vrsta, količina in izpostavljenost uporabljenega končnega proizvoda. Na embalaži vseh zadevnih živil morajo biti jasno navedene prisotne snovi in razlogi za njihovo uporabo. Poleg tega bi bilo treba pospešiti raziskave o učinkih hormonskih snovi in endokrinih motilcev na zdravje ljudi. </w:t>
      </w:r>
    </w:p>
    <w:p>
      <w:pPr>
        <w:pStyle w:val="Normal"/>
        <w:rPr/>
      </w:pPr>
      <w:r>
        <w:rPr/>
        <w:t xml:space="preserve"> </w:t>
      </w:r>
    </w:p>
    <w:p>
      <w:pPr>
        <w:pStyle w:val="Normal"/>
        <w:rPr/>
      </w:pPr>
      <w:r>
        <w:rPr/>
        <w:t xml:space="preserve">Trenutno sledljivost živil ni zadostna, zlasti kar zadeva hormonske snovi in endokrine motilce. Menimo, da je preglednost pri proizvodnji hrane nujna za izpolnjevanje odgovornosti. Poleg tega bi morali potrošniki imeti možnost poznati celotno sestavo živil, ki jih uživajo, in imeti možnost, da svobodno izberejo, kaj jedo. Poleg tega ni dovolj raziskav o vplivu na ljudi (in morebitnih tveganjih), povezanih z uživanjem živil, ki vsebujejo hormonske snovi in endokrine motilce. </w:t>
      </w:r>
    </w:p>
    <w:p>
      <w:pPr>
        <w:pStyle w:val="Normal"/>
        <w:rPr/>
      </w:pPr>
      <w:r>
        <w:rPr/>
        <w:t xml:space="preserve"> </w:t>
      </w:r>
    </w:p>
    <w:p>
      <w:pPr>
        <w:pStyle w:val="P68B1DB1Normal15"/>
        <w:rPr>
          <w:b/>
          <w:b/>
        </w:rPr>
      </w:pPr>
      <w:r>
        <w:rPr/>
        <w:t xml:space="preserve">19. Priporočamo, da odvrnete porabo predelane hrane z uporabo davkov na živila, ki so škodljiva za zdravje, in z vlaganjem sredstev v zdravo hrano. Predlagamo vzpostavitev vseevropskega sistema ocenjevanja zdravih živil, ki bo temeljil na najboljših praksah v državah članicah, in označevanje živil, ki bodo potrošnike obveščale o njihovih učinkih na zdravje. </w:t>
      </w:r>
    </w:p>
    <w:p>
      <w:pPr>
        <w:pStyle w:val="Normal"/>
        <w:rPr/>
      </w:pPr>
      <w:r>
        <w:rPr/>
        <w:t xml:space="preserve"> </w:t>
      </w:r>
    </w:p>
    <w:p>
      <w:pPr>
        <w:pStyle w:val="Normal"/>
        <w:rPr/>
      </w:pPr>
      <w:r>
        <w:rPr/>
        <w:t xml:space="preserve">Na ta način se lahko zbrana sredstva uporabijo za razvoj kampanj za ozaveščanje in promocijo, prednostno obravnavo zdrave prehrane v izobraževalnem sektorju in zmanjšanje prepoznavnosti nezdrave hrane v supermarketih. Naložbe v zdravo hrano prispevajo tudi k izboljšanju splošnega zdravja prebivalstva in posledično k zmanjšanju ravni javne porabe, potrebne za reševanje zdravstvenih težav, ki so posledica slabe prehrane. Poleg tega menimo, da bodo davki in subvencije spodbudili podjetja k proizvodnji bolj zdrave hrane. </w:t>
      </w:r>
    </w:p>
    <w:p>
      <w:pPr>
        <w:pStyle w:val="Normal"/>
        <w:rPr/>
      </w:pPr>
      <w:r>
        <w:rPr/>
        <w:t xml:space="preserve"> </w:t>
      </w:r>
    </w:p>
    <w:p>
      <w:pPr>
        <w:pStyle w:val="Titre3"/>
        <w:numPr>
          <w:ilvl w:val="2"/>
          <w:numId w:val="2"/>
        </w:numPr>
        <w:rPr/>
      </w:pPr>
      <w:bookmarkStart w:id="163" w:name="__RefHeading___Toc297261_1346298689"/>
      <w:bookmarkEnd w:id="163"/>
      <w:r>
        <w:rPr/>
        <w:t xml:space="preserve">Os 3: preusmeritev našega gospodarstva in potrošnje </w:t>
      </w:r>
    </w:p>
    <w:p>
      <w:pPr>
        <w:pStyle w:val="Titre4"/>
        <w:numPr>
          <w:ilvl w:val="3"/>
          <w:numId w:val="2"/>
        </w:numPr>
        <w:rPr/>
      </w:pPr>
      <w:bookmarkStart w:id="164" w:name="__RefHeading___Toc297263_1346298689"/>
      <w:bookmarkEnd w:id="164"/>
      <w:r>
        <w:rPr/>
        <w:t xml:space="preserve">Podos 3.1 Urejanje prekomerne proizvodnje in prekomerne porabe </w:t>
      </w:r>
    </w:p>
    <w:p>
      <w:pPr>
        <w:pStyle w:val="P68B1DB1Normal15"/>
        <w:rPr>
          <w:b/>
          <w:b/>
        </w:rPr>
      </w:pPr>
      <w:r>
        <w:rPr/>
        <w:t xml:space="preserve">20. Priporočamo, da EU sprejme več ukrepov, da bi potrošnikom omogočila daljšo uporabo proizvodov in jih k temu spodbujala. EU bi se morala boriti proti načrtovani zastarelosti s podaljšanjem garancije za izdelke in določitvijo najvišje cene za rezervne dele po izteku garancijskega obdobja. Vse države članice bi morale uvesti znižanje davka za storitve popravil, kot to velja na Švedskem. Od proizvajalcev bi bilo treba zahtevati, da navedejo pričakovano življenjsko dobo svojih izdelkov. EU bi morala informacije o tem, kako ponovno uporabiti in popraviti izdelke, zagotoviti prek spletišča in izobraževanja. </w:t>
      </w:r>
    </w:p>
    <w:p>
      <w:pPr>
        <w:pStyle w:val="Normal"/>
        <w:rPr/>
      </w:pPr>
      <w:r>
        <w:rPr/>
        <w:t xml:space="preserve"> </w:t>
      </w:r>
    </w:p>
    <w:p>
      <w:pPr>
        <w:pStyle w:val="Normal"/>
        <w:rPr/>
      </w:pPr>
      <w:r>
        <w:rPr/>
        <w:t xml:space="preserve">Naša družba odpadkov ni sposobna preživeti, ker ustvarja preveč odpadkov. Z uporabo predlaganih ukrepov se bomo razvili v družbo, v kateri bodo izdelki ponovno uporabljeni in popravljeni, njihovo število pa se bo zmanjšalo, s čimer se bo zmanjšala prekomerna poraba. </w:t>
      </w:r>
    </w:p>
    <w:p>
      <w:pPr>
        <w:pStyle w:val="Normal"/>
        <w:rPr/>
      </w:pPr>
      <w:r>
        <w:rPr/>
        <w:t xml:space="preserve"> </w:t>
      </w:r>
    </w:p>
    <w:p>
      <w:pPr>
        <w:pStyle w:val="P68B1DB1Normal15"/>
        <w:rPr>
          <w:b/>
          <w:b/>
        </w:rPr>
      </w:pPr>
      <w:r>
        <w:rPr/>
        <w:t xml:space="preserve">21. Priporočamo, da EU uporablja strožje okoljske standarde in zagotovi poštene delovne pogoje v celotni proizvodni verigi. Proizvodni standardi EU bi morali biti bolj trajnostni in usklajeni med državami članicami ter bi se morali uporabljati za uvoženo blago. Ti standardi morajo biti tudi socialne narave, vključno z dostojnim dohodkom za delavce in zadovoljivimi delovnimi pogoji v tovarnah. Posledice bi morale biti za blago, ki ne izpolnjuje teh standardov. </w:t>
      </w:r>
    </w:p>
    <w:p>
      <w:pPr>
        <w:pStyle w:val="Normal"/>
        <w:rPr/>
      </w:pPr>
      <w:r>
        <w:rPr/>
        <w:t xml:space="preserve"> </w:t>
      </w:r>
    </w:p>
    <w:p>
      <w:pPr>
        <w:pStyle w:val="Normal"/>
        <w:rPr/>
      </w:pPr>
      <w:r>
        <w:rPr/>
        <w:t xml:space="preserve">Pomembno je, da se v Evropi vzpostavijo okoljski in socialno homogeni proizvodni standardi, da se zagotovi trajnostna proizvodnja vseh ponujenih proizvodov. Ti ukrepi so bistveni za preusmeritev našega gospodarstva in spreminjanje poslovnih vzorcev proizvodnje. </w:t>
      </w:r>
    </w:p>
    <w:p>
      <w:pPr>
        <w:pStyle w:val="Normal"/>
        <w:rPr/>
      </w:pPr>
      <w:r>
        <w:rPr/>
        <w:t xml:space="preserve"> </w:t>
      </w:r>
    </w:p>
    <w:p>
      <w:pPr>
        <w:pStyle w:val="P68B1DB1Normal15"/>
        <w:rPr>
          <w:b/>
          <w:b/>
        </w:rPr>
      </w:pPr>
      <w:r>
        <w:rPr/>
        <w:t xml:space="preserve">22. Priporočamo, da EU in države članice sprejmejo ukrepe za omejitev oglaševanja proizvodov, ki škodujejo okolju. Za izdelke z nizko trajnostjo bi morala veljati obvezna klavzula o odgovornosti v vseh oblikah oglaševanja, ki kažejo, da so škodljivi za okolje. EU bi morala prepovedati oglaševanje proizvodov, ki sploh niso trajnostni. </w:t>
      </w:r>
    </w:p>
    <w:p>
      <w:pPr>
        <w:pStyle w:val="Normal"/>
        <w:rPr/>
      </w:pPr>
      <w:r>
        <w:rPr/>
        <w:t xml:space="preserve"> </w:t>
      </w:r>
    </w:p>
    <w:p>
      <w:pPr>
        <w:pStyle w:val="Normal"/>
        <w:rPr/>
      </w:pPr>
      <w:r>
        <w:rPr/>
        <w:t xml:space="preserve">Oglaševanje spodbuja potrošnjo; izdelkov, ki škodujejo okolju, ne bi smeli izpostavljati. Na ta način bodo potrošniki manj verjetno kupovali okolju škodljive izdelke. </w:t>
      </w:r>
    </w:p>
    <w:p>
      <w:pPr>
        <w:pStyle w:val="Normal"/>
        <w:rPr/>
      </w:pPr>
      <w:r>
        <w:rPr/>
        <w:t xml:space="preserve"> </w:t>
      </w:r>
    </w:p>
    <w:p>
      <w:pPr>
        <w:pStyle w:val="P68B1DB1Normal15"/>
        <w:rPr>
          <w:b/>
          <w:b/>
        </w:rPr>
      </w:pPr>
      <w:r>
        <w:rPr/>
        <w:t xml:space="preserve">23. Priporočamo, da EU vzpostavi in razvije infrastrukturo sistemov za odlaganje za vso primarno embalažo stekla, plastike, aluminija itd. po vsej EU. Proizvajalci bi morali v največji možni meri ponovno uporabiti vrnjeno embalažo s sterilizacijo, ne pa preprosto reciklirati materialov. Poleg embalaže hrane in pijače bi moral pripomoček zajemati tudi druge vrste steklenic in posod, kot so plastenke za šampone. </w:t>
      </w:r>
    </w:p>
    <w:p>
      <w:pPr>
        <w:pStyle w:val="Normal"/>
        <w:rPr/>
      </w:pPr>
      <w:r>
        <w:rPr/>
        <w:t xml:space="preserve"> </w:t>
      </w:r>
    </w:p>
    <w:p>
      <w:pPr>
        <w:pStyle w:val="Normal"/>
        <w:rPr/>
      </w:pPr>
      <w:r>
        <w:rPr/>
        <w:t xml:space="preserve">Trenutno potrošniki metajo preveč embalaže, onesnažujejo in uničujejo naše ekosisteme. Sistemi za odlaganje odpadkov pomagajo zmanjšati količino odpadkov, saj državljane spodbujajo, da embalažo vrnejo, namesto da bi jo zavrgli. Z razvojem tega sistema bomo porabili manj sredstev; količina nastalih odpadkov se bo zmanjšala. </w:t>
      </w:r>
    </w:p>
    <w:p>
      <w:pPr>
        <w:pStyle w:val="Normal"/>
        <w:rPr/>
      </w:pPr>
      <w:r>
        <w:rPr/>
        <w:t xml:space="preserve"> </w:t>
      </w:r>
    </w:p>
    <w:p>
      <w:pPr>
        <w:pStyle w:val="Titre4"/>
        <w:numPr>
          <w:ilvl w:val="3"/>
          <w:numId w:val="2"/>
        </w:numPr>
        <w:rPr/>
      </w:pPr>
      <w:bookmarkStart w:id="165" w:name="__RefHeading___Toc297265_1346298689"/>
      <w:bookmarkEnd w:id="165"/>
      <w:r>
        <w:rPr/>
        <w:t xml:space="preserve">Podos 3.2 Zmanjšanje odpadkov </w:t>
      </w:r>
    </w:p>
    <w:p>
      <w:pPr>
        <w:pStyle w:val="P68B1DB1Normal15"/>
        <w:rPr>
          <w:b/>
          <w:b/>
        </w:rPr>
      </w:pPr>
      <w:r>
        <w:rPr/>
        <w:t xml:space="preserve">24. Priporočamo, da se spodbuja močnejše izvajanje politik krožnega gospodarstva na evropski ravni, ki so namenjene tako podjetjem kot državljanom, in sicer v obliki finančnih spodbud za tiste, ki jih spoštujejo. </w:t>
      </w:r>
    </w:p>
    <w:p>
      <w:pPr>
        <w:pStyle w:val="Normal"/>
        <w:rPr/>
      </w:pPr>
      <w:r>
        <w:rPr/>
        <w:t xml:space="preserve"> </w:t>
      </w:r>
    </w:p>
    <w:p>
      <w:pPr>
        <w:pStyle w:val="Normal"/>
        <w:rPr/>
      </w:pPr>
      <w:r>
        <w:rPr/>
        <w:t xml:space="preserve">Mnogi ljudje se sčasoma znajdejo brezposelni, če proizvodna podjetja zmanjšajo svojo delovno silo ali celo končajo s prenehanjem plačila/fermenta. Ukrepi za preusposabljanje za brezposelne bodo spodbujali okolju prijazne prakse, hkrati pa omejili brezposelnost in spodbujali posodobitev raznolikega gospodarstva. </w:t>
      </w:r>
    </w:p>
    <w:p>
      <w:pPr>
        <w:pStyle w:val="Normal"/>
        <w:rPr/>
      </w:pPr>
      <w:r>
        <w:rPr/>
        <w:t xml:space="preserve"> </w:t>
      </w:r>
    </w:p>
    <w:p>
      <w:pPr>
        <w:pStyle w:val="P68B1DB1Normal15"/>
        <w:rPr>
          <w:b/>
          <w:b/>
        </w:rPr>
      </w:pPr>
      <w:r>
        <w:rPr/>
        <w:t xml:space="preserve">25. Priporočamo, da EU regulira uporabo okolju varne embalaže (tj. embalažo, ki temelji na biološko razgradljivih ali recikliranih ali bolj trajnostnih materialih, če je to mogoče) in/ali uporabo manj obsežne embalaže, tudi s QR kodo, ki zagotavlja informacije, pomembne za postopek recikliranja in/ali odstranjevanja embalaže po uporabi. </w:t>
      </w:r>
    </w:p>
    <w:p>
      <w:pPr>
        <w:pStyle w:val="Normal"/>
        <w:rPr/>
      </w:pPr>
      <w:r>
        <w:rPr/>
        <w:t xml:space="preserve"> </w:t>
      </w:r>
    </w:p>
    <w:p>
      <w:pPr>
        <w:pStyle w:val="Normal"/>
        <w:rPr/>
      </w:pPr>
      <w:r>
        <w:rPr/>
        <w:t xml:space="preserve">To priporočilo bo privedlo do zmanjšanja embalaže, zmanjšanja količine odpadkov in posledično onesnaževanja; okolje bo zato čistejše in na koncu bo ogljični odtis manjši. Zmanjšala se bo tudi davčna obremenitev proizvajalcev. </w:t>
      </w:r>
    </w:p>
    <w:p>
      <w:pPr>
        <w:pStyle w:val="Normal"/>
        <w:rPr/>
      </w:pPr>
      <w:r>
        <w:rPr/>
        <w:t xml:space="preserve"> </w:t>
      </w:r>
    </w:p>
    <w:p>
      <w:pPr>
        <w:pStyle w:val="Titre4"/>
        <w:numPr>
          <w:ilvl w:val="3"/>
          <w:numId w:val="2"/>
        </w:numPr>
        <w:rPr/>
      </w:pPr>
      <w:bookmarkStart w:id="166" w:name="__RefHeading___Toc297267_1346298689"/>
      <w:bookmarkEnd w:id="166"/>
      <w:r>
        <w:rPr/>
        <w:t xml:space="preserve">Podos 3.3 Pravični izdelki, enak dostop in poštena potrošnja </w:t>
      </w:r>
    </w:p>
    <w:p>
      <w:pPr>
        <w:pStyle w:val="P68B1DB1Normal15"/>
        <w:rPr>
          <w:b/>
          <w:b/>
        </w:rPr>
      </w:pPr>
      <w:r>
        <w:rPr/>
        <w:t xml:space="preserve">26. Evropski uniji priporočamo, da vzpostavi pravni okvir, ki bo vsem evropskim potrošnikom zagotovil cenovno ugoden in izboljšan dostop do kakovostnih in lokalnih živilskih proizvodov. </w:t>
      </w:r>
    </w:p>
    <w:p>
      <w:pPr>
        <w:pStyle w:val="Normal"/>
        <w:rPr/>
      </w:pPr>
      <w:r>
        <w:rPr/>
        <w:t xml:space="preserve"> </w:t>
      </w:r>
    </w:p>
    <w:p>
      <w:pPr>
        <w:pStyle w:val="Normal"/>
        <w:rPr/>
      </w:pPr>
      <w:r>
        <w:rPr/>
        <w:t xml:space="preserve">Dejansko na ravni EU trenutno ni enotne razlage, kaj je treba šteti za lokalno in kakovostno hrano. To vrzel je treba zapolniti. </w:t>
      </w:r>
    </w:p>
    <w:p>
      <w:pPr>
        <w:pStyle w:val="Normal"/>
        <w:rPr/>
      </w:pPr>
      <w:r>
        <w:rPr/>
        <w:t xml:space="preserve">Uvoz izdelkov slabe kakovosti neposredno negativno vpliva na okolje. Za boj proti podnebnim spremembam se moramo spopasti z vsemi njihovimi vzroki, vključno z uvozom nizko kakovostnih proizvodov: treba je zmanjšati prevozno razdaljo in spodbujati sezonske izdelke. </w:t>
      </w:r>
    </w:p>
    <w:p>
      <w:pPr>
        <w:pStyle w:val="Normal"/>
        <w:rPr/>
      </w:pPr>
      <w:r>
        <w:rPr/>
        <w:t xml:space="preserve">To priporočilo je obetavno, saj bi se lahko uporabljalo tudi za neživilske proizvode. </w:t>
      </w:r>
    </w:p>
    <w:p>
      <w:pPr>
        <w:pStyle w:val="Normal"/>
        <w:rPr/>
      </w:pPr>
      <w:r>
        <w:rPr/>
        <w:t xml:space="preserve"> </w:t>
      </w:r>
    </w:p>
    <w:p>
      <w:pPr>
        <w:pStyle w:val="P68B1DB1Normal15"/>
        <w:rPr>
          <w:b/>
          <w:b/>
        </w:rPr>
      </w:pPr>
      <w:r>
        <w:rPr/>
        <w:t xml:space="preserve">27. Priporočamo, da Evropska unija s programi financiranja spodbuja raziskave in razvoj, da bi zagotovila bolj trajnostne in cenovno dostopne izdelke na evropskem trgu. Evropska unija se mora posvetovati tudi z državljani na vseh ravneh odločanja, tudi na lokalni ravni, da bi določila njihove potrebe po trajnostnih proizvodih. </w:t>
      </w:r>
    </w:p>
    <w:p>
      <w:pPr>
        <w:pStyle w:val="Normal"/>
        <w:rPr/>
      </w:pPr>
      <w:r>
        <w:rPr/>
        <w:t xml:space="preserve"> </w:t>
      </w:r>
    </w:p>
    <w:p>
      <w:pPr>
        <w:pStyle w:val="Normal"/>
        <w:rPr/>
      </w:pPr>
      <w:r>
        <w:rPr/>
        <w:t xml:space="preserve">Menimo, da so raziskave o trajnostnih proizvodih nezadostne in da je nujno treba dodeliti več finančnih sredstev za raziskave, da bodo lahko Evropejci dostopali do cenovno dostopnejših trajnostnih proizvodov. </w:t>
      </w:r>
    </w:p>
    <w:p>
      <w:pPr>
        <w:pStyle w:val="Normal"/>
        <w:rPr/>
      </w:pPr>
      <w:r>
        <w:rPr/>
        <w:t xml:space="preserve">Državljani morajo sodelovati v postopku odločanja. Program za ukrepe na področju raziskav in inovacij je treba pripraviti skupaj z državljani. O nadaljnjem ukrepanju bi jih bilo treba obvestiti, rezultate pa bi jim bilo treba sporočiti. </w:t>
      </w:r>
    </w:p>
    <w:p>
      <w:pPr>
        <w:pStyle w:val="Normal"/>
        <w:rPr/>
      </w:pPr>
      <w:r>
        <w:rPr/>
      </w:r>
    </w:p>
    <w:p>
      <w:pPr>
        <w:pStyle w:val="P68B1DB1Normal15"/>
        <w:rPr>
          <w:b/>
          <w:b/>
        </w:rPr>
      </w:pPr>
      <w:r>
        <w:rPr/>
        <w:t xml:space="preserve">28. Priporočamo, da Evropska unija uvede regulativni mehanizem za modne izdelke, ki vstopajo na skupni trg. Ta mehanizem bi bil namenjen spodbujanju boljše porabe s kazalnikom, ki zagotavlja, da proizvod izpolnjuje trajnostna merila. </w:t>
      </w:r>
    </w:p>
    <w:p>
      <w:pPr>
        <w:pStyle w:val="Normal"/>
        <w:rPr/>
      </w:pPr>
      <w:r>
        <w:rPr/>
        <w:t xml:space="preserve"> </w:t>
      </w:r>
    </w:p>
    <w:p>
      <w:pPr>
        <w:pStyle w:val="Normal"/>
        <w:rPr/>
      </w:pPr>
      <w:r>
        <w:rPr/>
        <w:t xml:space="preserve">Modni sektor, ki proizvaja preveč blaga slabe kakovosti zunaj evropskih meja, ne uporablja etičnih standardov in ne sprejema trajnostnega ravnanja. </w:t>
      </w:r>
    </w:p>
    <w:p>
      <w:pPr>
        <w:pStyle w:val="Normal"/>
        <w:rPr/>
      </w:pPr>
      <w:r>
        <w:rPr/>
        <w:t xml:space="preserve">Najti moramo pravičen mehanizem, ki bo potrošnikom omogočil boljšo porabo. Vendar je pomembno, da se davki ne zvišajo, kar bi imelo negativne posledice za potrošnike z zmanjšanjem njihove kupne moči. </w:t>
      </w:r>
    </w:p>
    <w:p>
      <w:pPr>
        <w:pStyle w:val="Normal"/>
        <w:rPr/>
      </w:pPr>
      <w:r>
        <w:rPr/>
        <w:t xml:space="preserve">Potrošniki bi morali vedeti, pod kakšnimi pogoji se izdelki, ki jih kupujejo, proizvajajo in ali izpolnjujejo standarde trajnostne kakovosti. </w:t>
      </w:r>
    </w:p>
    <w:p>
      <w:pPr>
        <w:pStyle w:val="Normal"/>
        <w:rPr/>
      </w:pPr>
      <w:r>
        <w:rPr/>
        <w:t xml:space="preserve"> </w:t>
      </w:r>
    </w:p>
    <w:p>
      <w:pPr>
        <w:pStyle w:val="Titre3"/>
        <w:numPr>
          <w:ilvl w:val="2"/>
          <w:numId w:val="2"/>
        </w:numPr>
        <w:rPr/>
      </w:pPr>
      <w:bookmarkStart w:id="167" w:name="__RefHeading___Toc297269_1346298689"/>
      <w:bookmarkEnd w:id="167"/>
      <w:r>
        <w:rPr/>
        <w:t xml:space="preserve">Os 4: na poti k trajnostni družbi </w:t>
      </w:r>
    </w:p>
    <w:p>
      <w:pPr>
        <w:pStyle w:val="Titre4"/>
        <w:numPr>
          <w:ilvl w:val="3"/>
          <w:numId w:val="2"/>
        </w:numPr>
        <w:rPr/>
      </w:pPr>
      <w:bookmarkStart w:id="168" w:name="__RefHeading___Toc297271_1346298689"/>
      <w:bookmarkEnd w:id="168"/>
      <w:r>
        <w:rPr/>
        <w:t xml:space="preserve">Podos 4.1 Obnovljive energije, od zdaj naprej </w:t>
      </w:r>
    </w:p>
    <w:p>
      <w:pPr>
        <w:pStyle w:val="P68B1DB1Normal15"/>
        <w:rPr>
          <w:b/>
          <w:b/>
        </w:rPr>
      </w:pPr>
      <w:r>
        <w:rPr/>
        <w:t xml:space="preserve">29. Priporočamo, da EU sprejme ukrepe za uvedbo obveznih filtrov CO2, zlasti za elektrarne na premog, v prehodnem obdobju, dokler se bomo še naprej zanašali na konvencionalno energijo. Poleg tega priporočamo, da EU zagotovi finančno pomoč državam članicam, ki nimajo finančnih sredstev za uporabo filtrov CO2. Pomoč je pogojena s skladnostjo s podnebnimi politikami EU, povezanimi s Pariškim sporazumom, zelenim dogovorom in vsemi novimi podnebnimi pravili. </w:t>
      </w:r>
    </w:p>
    <w:p>
      <w:pPr>
        <w:pStyle w:val="Normal"/>
        <w:rPr/>
      </w:pPr>
      <w:r>
        <w:rPr>
          <w:b/>
        </w:rPr>
        <w:t>To je konkreten korak, ki ga je treba sprejeti vzporedno z nadaljnjimi naložbami v raziskave o varnosti proizvodnje energije, njegov cilj pa je pomagati državam članicam EU, da postopoma dosežejo skupne cilje zmanjšanja emisij CO2.</w:t>
      </w:r>
      <w:r>
        <w:rPr/>
        <w:t xml:space="preserve"> </w:t>
      </w:r>
    </w:p>
    <w:p>
      <w:pPr>
        <w:pStyle w:val="Normal"/>
        <w:rPr/>
      </w:pPr>
      <w:r>
        <w:rPr/>
        <w:t xml:space="preserve"> </w:t>
      </w:r>
    </w:p>
    <w:p>
      <w:pPr>
        <w:pStyle w:val="Normal"/>
        <w:rPr/>
      </w:pPr>
      <w:r>
        <w:rPr/>
        <w:t xml:space="preserve">Vemo, da uporaba konvencionalnih goriv povzroča emisije toplogrednih plinov in da morajo države članice EU zmanjšati uporabo konvencionalnih goriv, da bi bile skladne s Pariškim sporazumom. Ker emisij CO2 ni mogoče takoj odpraviti in smo še vedno odvisni od premoga, moramo kratkoročno in srednjeročno ukrepati. </w:t>
      </w:r>
    </w:p>
    <w:p>
      <w:pPr>
        <w:pStyle w:val="Normal"/>
        <w:rPr/>
      </w:pPr>
      <w:r>
        <w:rPr/>
        <w:t xml:space="preserve">Zmanjšanje emisij CO2 je v skupnem interesu vseh državljanov, tako znotraj kot zunaj EU; EU kot institucija ima svoje odgovornosti in daje priporočila in zagotavlja rešitve, saj države članice ciljev ne morejo doseči same. </w:t>
      </w:r>
    </w:p>
    <w:p>
      <w:pPr>
        <w:pStyle w:val="Normal"/>
        <w:rPr/>
      </w:pPr>
      <w:r>
        <w:rPr/>
      </w:r>
    </w:p>
    <w:p>
      <w:pPr>
        <w:pStyle w:val="P68B1DB1Normal15"/>
        <w:rPr>
          <w:b/>
          <w:b/>
        </w:rPr>
      </w:pPr>
      <w:r>
        <w:rPr/>
        <w:t xml:space="preserve">30. Priporočamo zmanjšanje intenzivne industrijske živinoreje za zmanjšanje proizvodnje metana in onesnaževanja vode. V ta namen EU revidira svojo skupno kmetijsko politiko, da bi svoje subvencije usmerila v trajnostno in lokalno kmetijstvo, vključno s sistemom označevanja, ki potrošnikom omogoča, da prepoznajo trajnostne mesne izdelke. Prav tako spodbujamo EU, naj vlaga v metode ponovne uporabe odpadkov iz živinoreje in drugih industrij. </w:t>
      </w:r>
    </w:p>
    <w:p>
      <w:pPr>
        <w:pStyle w:val="Normal"/>
        <w:rPr/>
      </w:pPr>
      <w:r>
        <w:rPr/>
        <w:t xml:space="preserve"> </w:t>
      </w:r>
    </w:p>
    <w:p>
      <w:pPr>
        <w:pStyle w:val="Normal"/>
        <w:rPr/>
      </w:pPr>
      <w:r>
        <w:rPr/>
        <w:t xml:space="preserve">Prebivalstvo narašča, kar bo v prihodnosti povzročilo povečano povpraševanje po mesu. Zato je treba zmanjšati porabo mesa. </w:t>
      </w:r>
    </w:p>
    <w:p>
      <w:pPr>
        <w:pStyle w:val="Normal"/>
        <w:rPr/>
      </w:pPr>
      <w:r>
        <w:rPr/>
        <w:t xml:space="preserve">Ker metan proizvaja toplogredne pline, menimo, da je naravno začeti z zmanjšanjem emisij v živinoreji. </w:t>
      </w:r>
    </w:p>
    <w:p>
      <w:pPr>
        <w:pStyle w:val="Normal"/>
        <w:rPr/>
      </w:pPr>
      <w:r>
        <w:rPr/>
        <w:t xml:space="preserve">Vsi vemo, da je treba porabiti manj mesa, zato je treba število goveda ustrezno zmanjšati. </w:t>
      </w:r>
    </w:p>
    <w:p>
      <w:pPr>
        <w:pStyle w:val="Normal"/>
        <w:rPr/>
      </w:pPr>
      <w:r>
        <w:rPr/>
        <w:t xml:space="preserve"> </w:t>
      </w:r>
    </w:p>
    <w:p>
      <w:pPr>
        <w:pStyle w:val="P68B1DB1Normal15"/>
        <w:rPr>
          <w:b/>
          <w:b/>
        </w:rPr>
      </w:pPr>
      <w:r>
        <w:rPr/>
        <w:t xml:space="preserve">31. Čeprav je proizvodnja zelenega vodika drag proces, saj je za pridobitev 25 % vodika potrebnih 75 % energije, ima ta vrsta energije številne pozitivne vidike. Najboljša rešitev je lahko proizvodnja energije brez CO2 skupaj z razvojem zelenega vodika. Vetrno energijo bi bilo treba uporabiti za proizvodnjo zelenega vodika, EU pa bi morala več vlagati in povečati proizvodnjo vetrne energije ter jo shraniti za prihodnje potrebe. </w:t>
      </w:r>
    </w:p>
    <w:p>
      <w:pPr>
        <w:pStyle w:val="Normal"/>
        <w:rPr/>
      </w:pPr>
      <w:r>
        <w:rPr/>
        <w:t xml:space="preserve"> </w:t>
      </w:r>
    </w:p>
    <w:p>
      <w:pPr>
        <w:pStyle w:val="Normal"/>
        <w:rPr/>
      </w:pPr>
      <w:r>
        <w:rPr/>
        <w:t xml:space="preserve">Zeleni vodik je fleksibilen in ga je mogoče shraniti za uporabo, kadar je to potrebno. Ne povzroča onesnaževanja s CO2. </w:t>
      </w:r>
    </w:p>
    <w:p>
      <w:pPr>
        <w:pStyle w:val="Normal"/>
        <w:rPr/>
      </w:pPr>
      <w:r>
        <w:rPr/>
        <w:t xml:space="preserve"> </w:t>
      </w:r>
    </w:p>
    <w:p>
      <w:pPr>
        <w:pStyle w:val="Titre4"/>
        <w:numPr>
          <w:ilvl w:val="3"/>
          <w:numId w:val="2"/>
        </w:numPr>
        <w:rPr/>
      </w:pPr>
      <w:bookmarkStart w:id="169" w:name="__RefHeading___Toc297273_1346298689"/>
      <w:bookmarkEnd w:id="169"/>
      <w:r>
        <w:rPr/>
        <w:t xml:space="preserve">Podos 4.2 Podporne spremembe </w:t>
      </w:r>
    </w:p>
    <w:p>
      <w:pPr>
        <w:pStyle w:val="P68B1DB1Normal15"/>
        <w:rPr>
          <w:b/>
          <w:b/>
        </w:rPr>
      </w:pPr>
      <w:r>
        <w:rPr/>
        <w:t xml:space="preserve">32. Priporočamo, da EU vzpostavi sistem prisile in nagrajevanja za boj proti onesnaževanju, vključno z vodo, tlemi, zrakom in sevanjem. Onesnaževalcem je treba naložiti globe skupaj z obvezno podporo specializirane organizacije, ki je posebej zasnovana za pomoč subjektom pri odpravljanju onesnaževanja in obnovi ekosistema. Ta specializirana organizacija bi morala imeti vodilno vlogo pri preprečevanju in nadzoru ravni onesnaženja. </w:t>
      </w:r>
    </w:p>
    <w:p>
      <w:pPr>
        <w:pStyle w:val="Normal"/>
        <w:rPr/>
      </w:pPr>
      <w:r>
        <w:rPr/>
        <w:t xml:space="preserve"> </w:t>
      </w:r>
    </w:p>
    <w:p>
      <w:pPr>
        <w:pStyle w:val="Normal"/>
        <w:rPr/>
      </w:pPr>
      <w:r>
        <w:rPr/>
        <w:t xml:space="preserve">Ker je pomembno, da se osredotočimo na odgovornosti onesnaževalcev in spodbudimo subjekte k zmanjšanju onesnaževanja z usmerjanjem na ničelno onesnaževanje. Pomembno je imeti zdrav planet, saj je neposredno povezan z našim počutjem in našim prihodnjim obstojem. </w:t>
      </w:r>
    </w:p>
    <w:p>
      <w:pPr>
        <w:pStyle w:val="Normal"/>
        <w:rPr/>
      </w:pPr>
      <w:r>
        <w:rPr/>
        <w:t xml:space="preserve"> </w:t>
      </w:r>
    </w:p>
    <w:p>
      <w:pPr>
        <w:pStyle w:val="P68B1DB1Normal15"/>
        <w:rPr>
          <w:b/>
          <w:b/>
        </w:rPr>
      </w:pPr>
      <w:r>
        <w:rPr/>
        <w:t xml:space="preserve">33. Priporočamo, da EU vzpostavi posebno spletno stran/platformo, ki jo bo preverilo več strokovnjakov – z raznolikimi in redno posodobljenimi okoljskimi znanstvenimi informacijami –, ki bo lahko dostopna in pregledna za vse državljane. Ta spletna stran/platforma bo povezana s forumom, kjer lahko državljani in strokovnjaki sodelujejo. Priporočamo tudi začetek medijske kampanje za promocijo te spletne strani/platforme (npr. prek družbenih medijev, kot so YouTube, TikTok in LinkedIn). </w:t>
      </w:r>
    </w:p>
    <w:p>
      <w:pPr>
        <w:pStyle w:val="Normal"/>
        <w:rPr/>
      </w:pPr>
      <w:r>
        <w:rPr/>
        <w:t xml:space="preserve"> </w:t>
      </w:r>
    </w:p>
    <w:p>
      <w:pPr>
        <w:pStyle w:val="Normal"/>
        <w:rPr/>
      </w:pPr>
      <w:r>
        <w:rPr/>
        <w:t xml:space="preserve">Vsi državljani morajo imeti neodvisne vire informacij, ki temeljijo na znanstvenih dokazih, da bi razumeli izzive, povezane s podnebnimi spremembami (njegove posledice in ukrepe, ki jih je treba sprejeti, da bi jih obrnili), ter obravnavali lažne novice. Medijska kampanja bo povečala ozaveščenost o obstoju te platforme/spletne strani. Pomembno je tudi, da so informacije, ki jih zagotavlja spletna stran/platforma, razumljive vsem državljanom in da imajo dostop do izvornega gradiva za tiste, ki želijo to temo poglobiti. </w:t>
      </w:r>
    </w:p>
    <w:p>
      <w:pPr>
        <w:pStyle w:val="Normal"/>
        <w:rPr/>
      </w:pPr>
      <w:r>
        <w:rPr/>
        <w:t xml:space="preserve"> </w:t>
      </w:r>
    </w:p>
    <w:p>
      <w:pPr>
        <w:pStyle w:val="P68B1DB1Normal15"/>
        <w:rPr>
          <w:b/>
          <w:b/>
        </w:rPr>
      </w:pPr>
      <w:r>
        <w:rPr/>
        <w:t xml:space="preserve">34. Priporočamo, da EU zmanjša količino uvoženega blaga, ki ne izpolnjuje standardov okoljskega odtisa EU. </w:t>
      </w:r>
    </w:p>
    <w:p>
      <w:pPr>
        <w:pStyle w:val="Normal"/>
        <w:rPr/>
      </w:pPr>
      <w:r>
        <w:rPr/>
        <w:t xml:space="preserve"> </w:t>
      </w:r>
    </w:p>
    <w:p>
      <w:pPr>
        <w:pStyle w:val="Normal"/>
        <w:rPr/>
      </w:pPr>
      <w:r>
        <w:rPr/>
        <w:t xml:space="preserve">Pri tem zagotavljamo, da ima blago, uvoženo v EU, okolju prijaznejši odtis. Cilj je zmanjšati onesnaževanje na svetovni ravni. Prav tako je pomembno, da se standardi predstavijo državam, če želijo izvažati blago v EU. </w:t>
      </w:r>
    </w:p>
    <w:p>
      <w:pPr>
        <w:pStyle w:val="Normal"/>
        <w:rPr/>
      </w:pPr>
      <w:r>
        <w:rPr/>
        <w:t xml:space="preserve"> </w:t>
      </w:r>
    </w:p>
    <w:p>
      <w:pPr>
        <w:pStyle w:val="P68B1DB1Normal15"/>
        <w:rPr>
          <w:b/>
          <w:b/>
        </w:rPr>
      </w:pPr>
      <w:r>
        <w:rPr/>
        <w:t xml:space="preserve">35. Priporočamo, da EU spodbuja, spodbuja in olajšuje dialog o podnebnih spremembah med vsemi ravnmi odločanja, od zelo lokalnih (državljanov) do globalnih (nacionalnih, mednarodnih in medcelinskih), da bi obravnavali pomisleke vseh zainteresiranih strani. </w:t>
      </w:r>
    </w:p>
    <w:p>
      <w:pPr>
        <w:pStyle w:val="Normal"/>
        <w:rPr/>
      </w:pPr>
      <w:r>
        <w:rPr/>
        <w:t xml:space="preserve"> </w:t>
      </w:r>
    </w:p>
    <w:p>
      <w:pPr>
        <w:pStyle w:val="Normal"/>
        <w:rPr/>
      </w:pPr>
      <w:r>
        <w:rPr/>
        <w:t xml:space="preserve">Ker sta dialog in soglasje najboljši način za reševanje izzivov podnebnih sprememb: če se stranke medsebojno razumejo, obstaja večja pripravljenost, da se najde skupna podlaga. </w:t>
      </w:r>
    </w:p>
    <w:p>
      <w:pPr>
        <w:pStyle w:val="Normal"/>
        <w:rPr/>
      </w:pPr>
      <w:r>
        <w:rPr/>
        <w:t xml:space="preserve"> </w:t>
      </w:r>
    </w:p>
    <w:p>
      <w:pPr>
        <w:pStyle w:val="Titre4"/>
        <w:numPr>
          <w:ilvl w:val="3"/>
          <w:numId w:val="2"/>
        </w:numPr>
        <w:rPr/>
      </w:pPr>
      <w:bookmarkStart w:id="170" w:name="__RefHeading___Toc297275_1346298689"/>
      <w:bookmarkEnd w:id="170"/>
      <w:r>
        <w:rPr/>
        <w:t xml:space="preserve">Podos 4.3 Okoljsko prijazen prevoz </w:t>
      </w:r>
    </w:p>
    <w:p>
      <w:pPr>
        <w:pStyle w:val="Normal"/>
        <w:rPr/>
      </w:pPr>
      <w:r>
        <w:rPr>
          <w:b/>
        </w:rPr>
        <w:t>36. Sodišče priporoča, naj EU finančno podpre evropske države članice pri izboljšanju povezljivosti na podeželskih območjih. To zahteva razvoj evropskega javnega prometnega omrežja, ki bo temeljilo na dostopnih cenah (prednostnih cenah) in spodbudah za uporabo javnega prevoza. V ta namen bi bilo treba na podeželskih območjih razviti tudi internetno povezljivost v kratkem in realističnem časovnem okviru.</w:t>
      </w:r>
      <w:r>
        <w:rPr/>
        <w:t xml:space="preserve"> </w:t>
      </w:r>
    </w:p>
    <w:p>
      <w:pPr>
        <w:pStyle w:val="Normal"/>
        <w:rPr/>
      </w:pPr>
      <w:r>
        <w:rPr/>
        <w:t xml:space="preserve"> </w:t>
      </w:r>
    </w:p>
    <w:p>
      <w:pPr>
        <w:pStyle w:val="Normal"/>
        <w:rPr/>
      </w:pPr>
      <w:r>
        <w:rPr/>
        <w:t xml:space="preserve">To priporočilo podajamo, ker ni enakega dostopa do javnega prevoza in internetne povezljivosti med podeželskimi in mestnimi območji. Skupni evropski projekt bi se okrepil, saj bi vsi državljani menili, da imajo enake pravice. Krepitev omrežja javnega prevoza in internetne povezljivosti bi ljudi spodbudila k naselitvi na podeželskih območjih. Ta proces bi zmanjšal onesnaževanje, saj bi manj ljudi živelo v prenatrpanih mestih. </w:t>
      </w:r>
    </w:p>
    <w:p>
      <w:pPr>
        <w:pStyle w:val="Normal"/>
        <w:rPr/>
      </w:pPr>
      <w:r>
        <w:rPr/>
        <w:t xml:space="preserve"> </w:t>
      </w:r>
    </w:p>
    <w:p>
      <w:pPr>
        <w:pStyle w:val="P68B1DB1Normal15"/>
        <w:rPr>
          <w:b/>
          <w:b/>
        </w:rPr>
      </w:pPr>
      <w:r>
        <w:rPr/>
        <w:t xml:space="preserve">37. Priporočamo izboljšanje obstoječe prometne infrastrukture, ki je postala neuporabna ali jo je mogoče še izboljšati z ekološkega vidika (vzpostavitev električnih vlakov). Ta postopek je treba izvajati brez poseganja v okoljsko zaščitena območja. </w:t>
      </w:r>
    </w:p>
    <w:p>
      <w:pPr>
        <w:pStyle w:val="Normal"/>
        <w:rPr/>
      </w:pPr>
      <w:r>
        <w:rPr/>
        <w:t xml:space="preserve"> </w:t>
      </w:r>
    </w:p>
    <w:p>
      <w:pPr>
        <w:pStyle w:val="Normal"/>
        <w:rPr/>
      </w:pPr>
      <w:r>
        <w:rPr/>
        <w:t>Z izboljšanjem obstoječe infrastrukture bi se izognili porabi preveč virov in škodili pomembnim zavarovanim območjem za ohranjanje biotske raznovrstnosti. Povečanje železniške infrastrukture bi zmanjšalo emisije CO2 in</w:t>
      </w:r>
      <w:r>
        <w:rPr>
          <w:vertAlign w:val="subscript"/>
        </w:rPr>
        <w:t>spodbudilo</w:t>
      </w:r>
      <w:r>
        <w:rPr/>
        <w:t xml:space="preserve"> mobilnost ljudi iz mest na podeželje. </w:t>
      </w:r>
    </w:p>
    <w:p>
      <w:pPr>
        <w:pStyle w:val="Normal"/>
        <w:rPr/>
      </w:pPr>
      <w:r>
        <w:rPr/>
        <w:t xml:space="preserve"> </w:t>
      </w:r>
    </w:p>
    <w:p>
      <w:pPr>
        <w:pStyle w:val="P68B1DB1Normal15"/>
        <w:rPr>
          <w:b/>
          <w:b/>
        </w:rPr>
      </w:pPr>
      <w:r>
        <w:rPr/>
        <w:t xml:space="preserve">38. Priporočamo, da EU spodbuja nakup električnih vozil, ki izpolnjujejo dobre standarde življenjske dobe baterije. V ta namen bi EU lahko sprejela spodbude za vse države članice in izboljšala elektroenergetsko infrastrukturo. Hkrati bi morala EU vlagati v razvoj drugih čistih tehnologij, kot so biogoriva in vodik za vozila, katerih elektrifikacijo je težko doseči, kot so čolni in tovornjaki. </w:t>
      </w:r>
    </w:p>
    <w:p>
      <w:pPr>
        <w:pStyle w:val="Normal"/>
        <w:rPr/>
      </w:pPr>
      <w:r>
        <w:rPr/>
        <w:t xml:space="preserve"> </w:t>
      </w:r>
    </w:p>
    <w:p>
      <w:pPr>
        <w:pStyle w:val="Normal"/>
        <w:rPr/>
      </w:pPr>
      <w:r>
        <w:rPr/>
        <w:t xml:space="preserve">To priporočilo dajemo zato, ker je električna energija najhitrejši način za zmanjšanje emisij vozil z drugimi viri energije, kot so vodik in biogoriva. Najhitrejša, gospodarna in izvedljiva rešitev je električna energija, ki ji sledijo biogoriva. Dolgoročno bi moral zeleni vodik imeti dopolnilno vlogo pri pokrivanju načinov prevoza, ki jih ni mogoče elektrificirati. </w:t>
      </w:r>
    </w:p>
    <w:p>
      <w:pPr>
        <w:pStyle w:val="Normal"/>
        <w:rPr/>
      </w:pPr>
      <w:r>
        <w:rPr/>
        <w:t xml:space="preserve"> </w:t>
      </w:r>
    </w:p>
    <w:p>
      <w:pPr>
        <w:pStyle w:val="Titre3"/>
        <w:numPr>
          <w:ilvl w:val="2"/>
          <w:numId w:val="2"/>
        </w:numPr>
        <w:rPr/>
      </w:pPr>
      <w:bookmarkStart w:id="171" w:name="__RefHeading___Toc297277_1346298689"/>
      <w:bookmarkEnd w:id="171"/>
      <w:r>
        <w:rPr/>
        <w:t xml:space="preserve">Os 5 Nega za vse </w:t>
      </w:r>
    </w:p>
    <w:p>
      <w:pPr>
        <w:pStyle w:val="Titre4"/>
        <w:numPr>
          <w:ilvl w:val="3"/>
          <w:numId w:val="2"/>
        </w:numPr>
        <w:rPr/>
      </w:pPr>
      <w:bookmarkStart w:id="172" w:name="__RefHeading___Toc297279_1346298689"/>
      <w:bookmarkEnd w:id="172"/>
      <w:r>
        <w:rPr/>
        <w:t xml:space="preserve">Podos 5.1 Okrepitev sistema zdravstvenega varstva </w:t>
      </w:r>
    </w:p>
    <w:p>
      <w:pPr>
        <w:pStyle w:val="P68B1DB1Normal15"/>
        <w:rPr>
          <w:b/>
          <w:b/>
        </w:rPr>
      </w:pPr>
      <w:r>
        <w:rPr/>
        <w:t xml:space="preserve">39. Priporočamo, da Evropska unija zagotovi skupne zdravstvene standarde, hkrati pa se zavzema za dostojne minimalne plače, maksimalni delovni čas in enake standarde usposabljanja za enake kvalifikacije za zdravstvene delavce po vsej Evropski uniji. </w:t>
      </w:r>
    </w:p>
    <w:p>
      <w:pPr>
        <w:pStyle w:val="Normal"/>
        <w:rPr/>
      </w:pPr>
      <w:r>
        <w:rPr/>
        <w:t xml:space="preserve"> </w:t>
      </w:r>
    </w:p>
    <w:p>
      <w:pPr>
        <w:pStyle w:val="Normal"/>
        <w:rPr/>
      </w:pPr>
      <w:r>
        <w:rPr/>
        <w:t xml:space="preserve">Če nimamo skupnih standardov zdravstvenega varstva, plač in skupnega usposabljanja zdravstvenih delavcev, bi lahko razlike med državami članicami povzročile neuravnotežene razmere v Evropski uniji. Standardizacija zdravstvenega varstva bi lahko prispevala k močnejšemu, učinkovitejšemu in odpornejšemu sistemu (npr. kriza zaradi COVID-19 v zvezi s stabilnostjo naših sistemov). Prav tako bi olajšala izmenjavo znanja in informacij v sektorju zdravstvenih delavcev. </w:t>
      </w:r>
    </w:p>
    <w:p>
      <w:pPr>
        <w:pStyle w:val="Normal"/>
        <w:rPr/>
      </w:pPr>
      <w:r>
        <w:rPr/>
        <w:t xml:space="preserve"> </w:t>
      </w:r>
    </w:p>
    <w:p>
      <w:pPr>
        <w:pStyle w:val="P68B1DB1Normal15"/>
        <w:rPr>
          <w:b/>
          <w:b/>
        </w:rPr>
      </w:pPr>
      <w:r>
        <w:rPr/>
        <w:t xml:space="preserve">40. Priporočamo, da Evropska unija zagotovi, da bo zdravljenje po vsej EU enako kakovostno in po poštenih lokalnih stroških. To bi bilo mogoče zagotoviti, na primer z razširitvijo pristojnosti Evropske agencije za zdravila (EMA) ali ustanovitvijo nove evropske agencije za javna naročila, ki bi bila pristojna za pogajanja in pridobitev primernejših cen zdravil za vse države članice. Tveganje monopolov v farmacevtski industriji je treba čim bolj zmanjšati. </w:t>
      </w:r>
    </w:p>
    <w:p>
      <w:pPr>
        <w:pStyle w:val="Normal"/>
        <w:rPr/>
      </w:pPr>
      <w:r>
        <w:rPr/>
        <w:t xml:space="preserve"> </w:t>
      </w:r>
    </w:p>
    <w:p>
      <w:pPr>
        <w:pStyle w:val="Normal"/>
        <w:rPr/>
      </w:pPr>
      <w:r>
        <w:rPr/>
        <w:t xml:space="preserve">Enakost zdravstvenih določb in zdravljenja v EU zagotavlja enake zdravstvene pravice za vse evropske državljane. Povečana nabavna zmogljivost zagotavlja boljše nabavne pogoje. Vendar to ne bi smelo privesti do monopolnih struktur in lobiranja farmacevtskih izdelkov. Obvladovanje krize zaradi COVID-19 je dober primer skupnega upravljanja zdravja s strani Evropske unije kot celote. </w:t>
      </w:r>
    </w:p>
    <w:p>
      <w:pPr>
        <w:pStyle w:val="Normal"/>
        <w:rPr/>
      </w:pPr>
      <w:r>
        <w:rPr/>
        <w:t xml:space="preserve"> </w:t>
      </w:r>
    </w:p>
    <w:p>
      <w:pPr>
        <w:pStyle w:val="P68B1DB1Normal15"/>
        <w:rPr>
          <w:b/>
          <w:b/>
        </w:rPr>
      </w:pPr>
      <w:r>
        <w:rPr/>
        <w:t xml:space="preserve">41. Priporočamo vzpostavitev evropske zbirke podatkov o zdravstvenem varstvu, v kateri bi bile zdravstvene kartoteke dostopne v nujnih primerih ali v primeru bolezni. Udeležba bi morala biti neobvezna, varstvo osebnih podatkov pa bi moralo biti zagotovljeno. </w:t>
      </w:r>
    </w:p>
    <w:p>
      <w:pPr>
        <w:pStyle w:val="Normal"/>
        <w:rPr/>
      </w:pPr>
      <w:r>
        <w:rPr/>
        <w:t xml:space="preserve"> </w:t>
      </w:r>
    </w:p>
    <w:p>
      <w:pPr>
        <w:pStyle w:val="Normal"/>
        <w:rPr/>
      </w:pPr>
      <w:r>
        <w:rPr/>
        <w:t xml:space="preserve">Dostop do podatkov in uporaba podatkov omogočata hitro odzivanje v primerih, ko je ogroženo življenje. Piratstvo ali zloraba sta velika grožnja takšnemu evropskemu sistemu zdravstvene zbirke podatkov, zato je treba zaščititi podatke, sodelovanje pa je še vedno neobvezno in seveda preprečiti grožnje, povezane z varnostjo. </w:t>
      </w:r>
    </w:p>
    <w:p>
      <w:pPr>
        <w:pStyle w:val="Normal"/>
        <w:rPr/>
      </w:pPr>
      <w:r>
        <w:rPr/>
        <w:t xml:space="preserve"> </w:t>
      </w:r>
    </w:p>
    <w:p>
      <w:pPr>
        <w:pStyle w:val="P68B1DB1Normal15"/>
        <w:rPr>
          <w:b/>
          <w:b/>
        </w:rPr>
      </w:pPr>
      <w:r>
        <w:rPr/>
        <w:t xml:space="preserve">42. Priporočamo, da Evropska unija še naprej razvija in usklajuje obstoječe programe za raziskave in inovacije na področju zdravja, kot to velja v okviru obstoječega programa Obzorje Evropa. Rezultati študij bi morali biti prosto dostopni v vseh državah članicah. </w:t>
      </w:r>
    </w:p>
    <w:p>
      <w:pPr>
        <w:pStyle w:val="Normal"/>
        <w:rPr/>
      </w:pPr>
      <w:r>
        <w:rPr/>
        <w:t xml:space="preserve"> </w:t>
      </w:r>
    </w:p>
    <w:p>
      <w:pPr>
        <w:pStyle w:val="Normal"/>
        <w:rPr/>
      </w:pPr>
      <w:r>
        <w:rPr/>
        <w:t xml:space="preserve">Znanstveno sodelovanje na ravni EU bi lahko obogatilo znanstvene zmogljivosti in znanje posameznih raziskovalcev. Izmenjava znanja bi lahko na primer privedla do zgodnjega diagnosticiranja in boljšega zdravljenja za zmanjšanje resnih in smrtnih bolezni po vsej Evropi. Spodbujal bi tudi evropsko samozadostnost na področju zdravil in opreme. </w:t>
      </w:r>
    </w:p>
    <w:p>
      <w:pPr>
        <w:pStyle w:val="Normal"/>
        <w:rPr/>
      </w:pPr>
      <w:r>
        <w:rPr/>
        <w:t xml:space="preserve"> </w:t>
      </w:r>
    </w:p>
    <w:p>
      <w:pPr>
        <w:pStyle w:val="P68B1DB1Normal15"/>
        <w:rPr>
          <w:b/>
          <w:b/>
        </w:rPr>
      </w:pPr>
      <w:r>
        <w:rPr/>
        <w:t xml:space="preserve">43. Sodišče priporoča, naj EU poveča proračun za skupne zdravstvene raziskovalne in inovacijske projekte (brez zmanjšanja proračunskih sredstev za druge programe EU, povezane z zdravjem). To bi okrepilo tudi evropske znanstvene in raziskovalne ustanove kot celoto. </w:t>
      </w:r>
    </w:p>
    <w:p>
      <w:pPr>
        <w:pStyle w:val="Normal"/>
        <w:rPr/>
      </w:pPr>
      <w:r>
        <w:rPr/>
        <w:t xml:space="preserve"> </w:t>
      </w:r>
    </w:p>
    <w:p>
      <w:pPr>
        <w:pStyle w:val="Normal"/>
        <w:rPr/>
      </w:pPr>
      <w:r>
        <w:rPr/>
        <w:t xml:space="preserve">Zdravstvene raziskave in naložbe bodo dolgoročno okrepile preventivno medicino in zmanjšale stroške, povezane z zdravjem. Večje financiranje bi lahko preprečilo beg evropskih možganov v druge razvite države z višjimi proračuni za raziskave in razvoj za zdravje. Ta sredstva ne bi smela izvirati iz obstoječih finančnih sredstev za zdravstveno varstvo. </w:t>
      </w:r>
    </w:p>
    <w:p>
      <w:pPr>
        <w:pStyle w:val="Normal"/>
        <w:rPr/>
      </w:pPr>
      <w:r>
        <w:rPr/>
        <w:t xml:space="preserve"> </w:t>
      </w:r>
    </w:p>
    <w:p>
      <w:pPr>
        <w:pStyle w:val="Titre4"/>
        <w:numPr>
          <w:ilvl w:val="3"/>
          <w:numId w:val="2"/>
        </w:numPr>
        <w:rPr/>
      </w:pPr>
      <w:bookmarkStart w:id="173" w:name="__RefHeading___Toc297281_1346298689"/>
      <w:bookmarkEnd w:id="173"/>
      <w:r>
        <w:rPr/>
        <w:t xml:space="preserve">Podos 5.2 Širši pogled na zdravje </w:t>
      </w:r>
    </w:p>
    <w:p>
      <w:pPr>
        <w:pStyle w:val="P68B1DB1Normal15"/>
        <w:rPr>
          <w:b/>
          <w:b/>
        </w:rPr>
      </w:pPr>
      <w:r>
        <w:rPr/>
        <w:t xml:space="preserve">44. Priporočamo, da se v vseh državah članicah v istem tednu uvede teden zdravja kot pobuda EU, posvečena vsem zdravstvenim vprašanjem, s poudarkom na duševnem zdravju. V tem tednu bodo skupaj obravnavane in promovirane vse glavne teme na področju duševnega zdravja, pa tudi druge že obstoječe pobude, kot so pobude na področju duševnega zdravja v Evropi. </w:t>
      </w:r>
    </w:p>
    <w:p>
      <w:pPr>
        <w:pStyle w:val="Normal"/>
        <w:rPr/>
      </w:pPr>
      <w:r>
        <w:rPr/>
        <w:t xml:space="preserve"> </w:t>
      </w:r>
    </w:p>
    <w:p>
      <w:pPr>
        <w:pStyle w:val="Normal"/>
        <w:rPr/>
      </w:pPr>
      <w:r>
        <w:rPr/>
        <w:t xml:space="preserve">To priporočilo dajemo zato, ker se morajo vsi evropski državljani počutiti sprejete in vključene, zlasti če imajo težave z duševnim zdravjem. Poleg tega je treba standardizirati in izboljšati ozaveščenost o težavah z duševnim zdravjem ter preprečiti s tem povezane socialne težave, kot je diskriminacija. Ker so se težave z duševnim zdravjem zaradi pandemije povečale in se bodo verjetno nadaljevale, je ta pobuda še toliko pomembnejša. </w:t>
      </w:r>
    </w:p>
    <w:p>
      <w:pPr>
        <w:pStyle w:val="Normal"/>
        <w:rPr/>
      </w:pPr>
      <w:r>
        <w:rPr/>
        <w:t xml:space="preserve"> </w:t>
      </w:r>
    </w:p>
    <w:p>
      <w:pPr>
        <w:pStyle w:val="P68B1DB1Normal15"/>
        <w:rPr>
          <w:b/>
          <w:b/>
        </w:rPr>
      </w:pPr>
      <w:r>
        <w:rPr/>
        <w:t xml:space="preserve">45. Priporočamo, da se higienski izdelki žensk prenehajo šteti za luksuzno blago v smislu obdavčitve, saj so bistveni izdelki. Priporočamo tudi, da se hormonska kontracepcijska sredstva, ki se uporabljajo iz zdravstvenih razlogov, kot so fibromialgija in endometrioza, obdavčijo kot redno zdravljenje. Prav tako priporočamo, da Evropska unija spodbuja usklajevanje medicinske pomoči pri reproduktivnem zdravljenju za vse ženske (samohranilke ali poročene) v vseh državah članicah. </w:t>
      </w:r>
    </w:p>
    <w:p>
      <w:pPr>
        <w:pStyle w:val="Normal"/>
        <w:rPr/>
      </w:pPr>
      <w:r>
        <w:rPr/>
        <w:t xml:space="preserve"> </w:t>
      </w:r>
    </w:p>
    <w:p>
      <w:pPr>
        <w:pStyle w:val="Normal"/>
        <w:rPr/>
      </w:pPr>
      <w:r>
        <w:rPr/>
        <w:t xml:space="preserve">V nekaterih evropskih državah so higienski izdelki žensk obdavčeni kot luksuzno blago, kar je nepošteno. Nekatera hormonska kontracepcijska sredstva se uporabljajo v medicinske namene in jih je zato treba ustrezno obdavčiti. Ker imajo reproduktivne metode za ženske, kot sta in vitro oploditev in zamrzovanje jajc, različne pogoje za upravičenost v državah članicah, si mora Evropska unija prizadevati za njihovo uskladitev. </w:t>
      </w:r>
    </w:p>
    <w:p>
      <w:pPr>
        <w:pStyle w:val="Normal"/>
        <w:rPr/>
      </w:pPr>
      <w:r>
        <w:rPr/>
        <w:t xml:space="preserve"> </w:t>
      </w:r>
    </w:p>
    <w:p>
      <w:pPr>
        <w:pStyle w:val="P68B1DB1Normal15"/>
        <w:rPr>
          <w:b/>
          <w:b/>
        </w:rPr>
      </w:pPr>
      <w:r>
        <w:rPr/>
        <w:t xml:space="preserve">46. Priporočamo, da Evropska unija sprejme trdno stališče, da bi vse države članice spodbudila, da v svoje učne načrte po potrebi vključijo vprašanja v zvezi z duševnim zdravjem in spolno vzgojo. Da bi državam članicam pomagala pri sprejemanju teh vprašanj v šolskih učnih načrtih, bi morala Evropska unija razviti in dati na voljo standardni program za duševno zdravje in spolna vprašanja. </w:t>
      </w:r>
    </w:p>
    <w:p>
      <w:pPr>
        <w:pStyle w:val="Normal"/>
        <w:rPr/>
      </w:pPr>
      <w:r>
        <w:rPr/>
        <w:t xml:space="preserve"> </w:t>
      </w:r>
    </w:p>
    <w:p>
      <w:pPr>
        <w:pStyle w:val="Normal"/>
        <w:rPr/>
      </w:pPr>
      <w:r>
        <w:rPr/>
        <w:t xml:space="preserve">Treba je zmanjšati diskriminacijo in tabuje v zvezi s težavami z duševnim zdravjem. Izogibati se je treba tudi dezinformacijam in neznanstvenim pristopom. Poleg tega je spolna vzgoja bistvenega pomena za zdravo življenje in skupnost ter preprečuje težave, kot so najstniške nosečnosti. </w:t>
      </w:r>
    </w:p>
    <w:p>
      <w:pPr>
        <w:pStyle w:val="Normal"/>
        <w:rPr/>
      </w:pPr>
      <w:r>
        <w:rPr/>
        <w:t xml:space="preserve"> </w:t>
      </w:r>
    </w:p>
    <w:p>
      <w:pPr>
        <w:pStyle w:val="P68B1DB1Normal15"/>
        <w:rPr>
          <w:b/>
          <w:b/>
        </w:rPr>
      </w:pPr>
      <w:r>
        <w:rPr/>
        <w:t xml:space="preserve">47. Priporočamo, da Evropska unija razvije boljši komunikacijski sistem za vse svoje pobude na področju duševnega zdravja, in sicer portal o najboljših praksah na področju javnega zdravja v državah članicah in za vse državljane. Poslanci Evropskega parlamenta bi lahko te najboljše prakse predstavili drug drugemu, da bi jih bolje poznali v vseh državah članicah. </w:t>
      </w:r>
    </w:p>
    <w:p>
      <w:pPr>
        <w:pStyle w:val="Normal"/>
        <w:rPr/>
      </w:pPr>
      <w:r>
        <w:rPr/>
        <w:t xml:space="preserve"> </w:t>
      </w:r>
    </w:p>
    <w:p>
      <w:pPr>
        <w:pStyle w:val="Normal"/>
        <w:rPr/>
      </w:pPr>
      <w:r>
        <w:rPr/>
        <w:t xml:space="preserve">Državljani niso dobro obveščeni o pobudah EU in izmenjava najboljših praks nam omogoča, da se učimo drug od drugega. </w:t>
      </w:r>
    </w:p>
    <w:p>
      <w:pPr>
        <w:pStyle w:val="Normal"/>
        <w:rPr/>
      </w:pPr>
      <w:r>
        <w:rPr/>
        <w:t xml:space="preserve"> </w:t>
      </w:r>
    </w:p>
    <w:p>
      <w:pPr>
        <w:pStyle w:val="Titre4"/>
        <w:numPr>
          <w:ilvl w:val="3"/>
          <w:numId w:val="2"/>
        </w:numPr>
        <w:rPr/>
      </w:pPr>
      <w:bookmarkStart w:id="174" w:name="__RefHeading___Toc297283_1346298689"/>
      <w:bookmarkEnd w:id="174"/>
      <w:r>
        <w:rPr/>
        <w:t xml:space="preserve">Podos 5.3 Enakopraven dostop do zdravja za vse </w:t>
      </w:r>
    </w:p>
    <w:p>
      <w:pPr>
        <w:pStyle w:val="P68B1DB1Normal15"/>
        <w:rPr>
          <w:b/>
          <w:b/>
        </w:rPr>
      </w:pPr>
      <w:r>
        <w:rPr/>
        <w:t xml:space="preserve">48. Priporočamo, da EU določi in spodbuja minimalne standarde za kakovostno zobozdravstveno oskrbo, vključno s profilakso, za vse države članice EU. Otrokom, skupinam z nizkimi dohodki in drugim ranljivim skupinam je treba zagotoviti brezplačno zobozdravstveno oskrbo. EU bi morala v 15–20 letih zagotoviti, da bo zobozdravstvena oskrba dostopna vsem. </w:t>
      </w:r>
    </w:p>
    <w:p>
      <w:pPr>
        <w:pStyle w:val="Normal"/>
        <w:rPr/>
      </w:pPr>
      <w:r>
        <w:rPr/>
        <w:t xml:space="preserve"> </w:t>
      </w:r>
    </w:p>
    <w:p>
      <w:pPr>
        <w:pStyle w:val="Normal"/>
        <w:rPr/>
      </w:pPr>
      <w:r>
        <w:rPr/>
        <w:t xml:space="preserve">To priporočilo dajemo zato, ker zobozdravstvena oskrba trenutno ni dostopna mnogim ljudem, ki živijo v EU. Odsotnost zobozdravstvene oskrbe in zobozdravstvene profilakse škoduje njihovemu zdravju in življenjskim možnostim. EU bi morala najprej določiti minimalni standard za zobozdravstveno oskrbo in zahtevati brezplačno zobozdravstveno oskrbo za otroke in skupine z nizkimi dohodki. Na koncu bi morali imeti vsi pravico do kakovostne zobozdravstvene oskrbe. </w:t>
      </w:r>
    </w:p>
    <w:p>
      <w:pPr>
        <w:pStyle w:val="Normal"/>
        <w:rPr/>
      </w:pPr>
      <w:r>
        <w:rPr/>
        <w:t xml:space="preserve"> </w:t>
      </w:r>
    </w:p>
    <w:p>
      <w:pPr>
        <w:pStyle w:val="P68B1DB1Normal15"/>
        <w:rPr>
          <w:b/>
          <w:b/>
        </w:rPr>
      </w:pPr>
      <w:r>
        <w:rPr/>
        <w:t xml:space="preserve">49. Priporočamo, da se zdravje in zdravstveno varstvo vključita v pristojnosti, ki si jih delijo EU in njene države članice. Da bi vključili to novo deljeno pristojnost, je treba spremeniti člen 4 Pogodbe o delovanju Evropske unije (PDEU). </w:t>
      </w:r>
    </w:p>
    <w:p>
      <w:pPr>
        <w:pStyle w:val="Normal"/>
        <w:rPr/>
      </w:pPr>
      <w:r>
        <w:rPr/>
        <w:t xml:space="preserve"> </w:t>
      </w:r>
    </w:p>
    <w:p>
      <w:pPr>
        <w:pStyle w:val="Normal"/>
        <w:rPr/>
      </w:pPr>
      <w:r>
        <w:rPr/>
        <w:t xml:space="preserve">To priporočilo podajamo, ker Evropska unija trenutno nima zadostnih pooblastil za sprejemanje zakonodaje na področju zdravstvenega varstva. Pandemija COVID-19 je pokazala potrebo po večji prisotnosti EU v zdravstvenih politikah. Ta sprememba Pogodbe bo EU omogočila, da stori več za zagotovitev zdravstvenega varstva za vse državljane EU ter izdaja zavezujoče predpise in odločitve. </w:t>
      </w:r>
    </w:p>
    <w:p>
      <w:pPr>
        <w:pStyle w:val="Normal"/>
        <w:rPr/>
      </w:pPr>
      <w:r>
        <w:rPr/>
        <w:t xml:space="preserve"> </w:t>
      </w:r>
    </w:p>
    <w:p>
      <w:pPr>
        <w:pStyle w:val="P68B1DB1Normal15"/>
        <w:rPr>
          <w:b/>
          <w:b/>
        </w:rPr>
      </w:pPr>
      <w:r>
        <w:rPr/>
        <w:t xml:space="preserve">50. Priporočamo, da EU vsem državljanom EU ponudi brezplačne tečaje prve pomoči. EU bi lahko razmislila o tem, da bi ti tečaji postali obvezni za študente in na delovnem mestu (v javnem in zasebnem sektorju). Ti tečaji morajo biti tudi praktični, ponavljajoči se in prilagojeni starosti študentov. Na javnih mestih v vseh državah članicah EU bi moralo biti na voljo tudi minimalno število defibrilatorjev. </w:t>
      </w:r>
    </w:p>
    <w:p>
      <w:pPr>
        <w:pStyle w:val="Normal"/>
        <w:rPr/>
      </w:pPr>
      <w:r>
        <w:rPr/>
        <w:t xml:space="preserve"> </w:t>
      </w:r>
    </w:p>
    <w:p>
      <w:pPr>
        <w:pStyle w:val="Normal"/>
        <w:rPr/>
      </w:pPr>
      <w:r>
        <w:rPr/>
        <w:t xml:space="preserve">Priporočamo ga, ker veliko ljudi v Evropski uniji ni pripravljenih ukrepati, ko oseba potrebuje pomoč, in ker ne poznajo tehnik prve pomoči. Zato je veliko življenj izgubljenih. Na nekaterih javnih mestih defibrilator ni na voljo. </w:t>
      </w:r>
    </w:p>
    <w:p>
      <w:pPr>
        <w:pStyle w:val="Normal"/>
        <w:rPr/>
      </w:pPr>
      <w:r>
        <w:rPr/>
        <w:t xml:space="preserve"> </w:t>
      </w:r>
    </w:p>
    <w:p>
      <w:pPr>
        <w:pStyle w:val="P68B1DB1Normal15"/>
        <w:rPr>
          <w:b/>
          <w:b/>
        </w:rPr>
      </w:pPr>
      <w:r>
        <w:rPr/>
        <w:t xml:space="preserve">51. Evropski uniji priporočamo, da zagotovi, da zasebni izvajalci zdravstvenega varstva ne bodo neupravičeno izkoriščali javnih sredstev in ne bodo črpali sredstev iz javnih zdravstvenih sistemov. Evropska unija bi morala državam članicam dati trdna priporočila za povečanje sredstev za javno zdravstvo. </w:t>
      </w:r>
    </w:p>
    <w:p>
      <w:pPr>
        <w:pStyle w:val="Normal"/>
        <w:rPr/>
      </w:pPr>
      <w:r>
        <w:rPr/>
        <w:t xml:space="preserve"> </w:t>
      </w:r>
    </w:p>
    <w:p>
      <w:pPr>
        <w:pStyle w:val="Normal"/>
        <w:rPr/>
      </w:pPr>
      <w:r>
        <w:rPr/>
        <w:t xml:space="preserve">To priporočilo dajemo, ker so Evropska unija in njene države članice obvezane zagotoviti dostop do zdravstvenega varstva za vse svoje državljane. Poleg tega je za močnejši sistem javnega zdravja potrebna tudi boljša pripravljenost na prihodnje pandemije. </w:t>
      </w:r>
    </w:p>
    <w:p>
      <w:pPr>
        <w:pStyle w:val="Normal"/>
        <w:rPr/>
      </w:pPr>
      <w:r>
        <w:rPr/>
        <w:t xml:space="preserve"> </w:t>
      </w:r>
    </w:p>
    <w:p>
      <w:pPr>
        <w:pStyle w:val="Titre3"/>
        <w:numPr>
          <w:ilvl w:val="2"/>
          <w:numId w:val="2"/>
        </w:numPr>
        <w:rPr/>
      </w:pPr>
      <w:bookmarkStart w:id="175" w:name="__RefHeading___Toc297285_1346298689"/>
      <w:bookmarkEnd w:id="175"/>
      <w:r>
        <w:rPr/>
        <w:t xml:space="preserve">Priloga: DRUGA PRIPOROČILA, KI JIH JE KOMISIJA OBRAVNAVALA IN KI NISO BILA SPREJETA </w:t>
      </w:r>
    </w:p>
    <w:p>
      <w:pPr>
        <w:pStyle w:val="Titre4"/>
        <w:numPr>
          <w:ilvl w:val="3"/>
          <w:numId w:val="2"/>
        </w:numPr>
        <w:rPr/>
      </w:pPr>
      <w:bookmarkStart w:id="176" w:name="__RefHeading___Toc297287_1346298689"/>
      <w:bookmarkEnd w:id="176"/>
      <w:r>
        <w:rPr/>
        <w:t xml:space="preserve">Os 1: Boljši načini življenja </w:t>
      </w:r>
    </w:p>
    <w:p>
      <w:pPr>
        <w:pStyle w:val="Normal"/>
        <w:rPr/>
      </w:pPr>
      <w:r>
        <w:rPr/>
        <w:t xml:space="preserve">Podos 1.1 Zdravi življenjski slog </w:t>
      </w:r>
    </w:p>
    <w:p>
      <w:pPr>
        <w:pStyle w:val="P68B1DB1Normal15"/>
        <w:rPr>
          <w:b/>
          <w:b/>
        </w:rPr>
      </w:pPr>
      <w:r>
        <w:rPr/>
        <w:t xml:space="preserve">Priporočamo, da EU vsem državam članicam pošlje priporočilo o najboljših praksah za prepoved ali omejitev oglaševanja alkohola in tobaka v vseh oblikah medijev in za vse starostne skupine, pri čemer naj posebno pozornost nameni mlademu občinstvu. EU bi morala zagotoviti izvrševanje zakonov, ki omejujejo prodajo teh proizvodov mladoletnikom. Vse države članice bi morale s sankcijami zagotoviti izvajanje pravnih določb o kajenju na javnih mestih, zlasti v šolah, in ustvariti prostore, namenjene kadilcem. </w:t>
      </w:r>
    </w:p>
    <w:p>
      <w:pPr>
        <w:pStyle w:val="Normal"/>
        <w:rPr/>
      </w:pPr>
      <w:r>
        <w:rPr/>
        <w:t xml:space="preserve"> </w:t>
      </w:r>
    </w:p>
    <w:p>
      <w:pPr>
        <w:pStyle w:val="Normal"/>
        <w:rPr/>
      </w:pPr>
      <w:r>
        <w:rPr/>
        <w:t xml:space="preserve">Zdravju škodljivi življenjski slogi se ne morejo pojavljati v oglaševanju in bi morali biti manj vidni v javnem življenju. Ker sta alkohol in tobak med najpogosteje uporabljenimi škodljivimi snovmi, bo to priporočilo preprečilo njihovo zlorabo. </w:t>
      </w:r>
    </w:p>
    <w:p>
      <w:pPr>
        <w:pStyle w:val="Normal"/>
        <w:rPr/>
      </w:pPr>
      <w:r>
        <w:rPr/>
        <w:t xml:space="preserve"> </w:t>
      </w:r>
    </w:p>
    <w:p>
      <w:pPr>
        <w:pStyle w:val="P68B1DB1Normal15"/>
        <w:rPr>
          <w:b/>
          <w:b/>
        </w:rPr>
      </w:pPr>
      <w:r>
        <w:rPr/>
        <w:t xml:space="preserve">Priporočamo, da EU spodbuja države članice, naj v nacionalne šolske učne načrte vključijo tečaje za trajnostno, zdravo in okusno kuhanje. V ta namen lahko EU pripravi vodnike za zdravo kuhanje na spletu in v tiskani obliki. Mlade je treba doseči z aktivnim oglaševanjem v tradicionalnih in družbenih medijih. Prav tako bi morali izobraževati starše, da se naučijo, kako najbolje uporabiti hrano za zdrav življenjski slog. Raziskave na tem področju je treba spodbujati in bogatiti. </w:t>
      </w:r>
    </w:p>
    <w:p>
      <w:pPr>
        <w:pStyle w:val="Normal"/>
        <w:rPr/>
      </w:pPr>
      <w:r>
        <w:rPr/>
        <w:t xml:space="preserve"> </w:t>
      </w:r>
    </w:p>
    <w:p>
      <w:pPr>
        <w:pStyle w:val="Normal"/>
        <w:rPr/>
      </w:pPr>
      <w:r>
        <w:rPr/>
        <w:t xml:space="preserve">Organizacija pouka kuhanja in prehrane v šoli bi izboljšala zdravje mladih in odvračala od uživanja hitre hrane. Izobraževanje mladih bi jim omogočilo, da staršem pojasnijo, kaj so se naučili. Poleg tega bi izobraževanje staršev o zdravem načinu življenja omogočilo, da bi bili zgled svojim otrokom. </w:t>
      </w:r>
    </w:p>
    <w:p>
      <w:pPr>
        <w:pStyle w:val="Normal"/>
        <w:rPr/>
      </w:pPr>
      <w:r>
        <w:rPr/>
      </w:r>
    </w:p>
    <w:p>
      <w:pPr>
        <w:pStyle w:val="P68B1DB1Normal15"/>
        <w:rPr>
          <w:b/>
          <w:b/>
        </w:rPr>
      </w:pPr>
      <w:r>
        <w:rPr/>
        <w:t xml:space="preserve">Priporočamo, da se s konkretnimi primeri in celovito strategijo okrepi javna kampanja Evropske komisije za zdrav način življenja, zdrav življenjski slog4All in pozitiven učinek družbene dejavnosti. Opredeliti bi bilo treba informacijske kampanje za dobro strukturirane ciljne skupine in za vsako od teh skupin izbrati ustrezna komunikacijska sredstva. Poleg tega je pomembno vzpostaviti sisteme nagrajevanja in spodbud za spodbujanje pozitivnega vedenja. Kampanje bi morale vključevati vplivneže, znane osebnosti ali organe. Poudariti morajo dvojne koristi za zdravje, okolje in podnebje. Poleg tega bi morale biti v vseh državah članicah na voljo nepovratna sredstva za spodbujanje brezplačne javne športne infrastrukture. </w:t>
      </w:r>
    </w:p>
    <w:p>
      <w:pPr>
        <w:pStyle w:val="Normal"/>
        <w:rPr/>
      </w:pPr>
      <w:r>
        <w:rPr/>
        <w:t xml:space="preserve"> </w:t>
      </w:r>
    </w:p>
    <w:p>
      <w:pPr>
        <w:pStyle w:val="Normal"/>
        <w:rPr/>
      </w:pPr>
      <w:r>
        <w:rPr/>
        <w:t xml:space="preserve">Zdrav način življenja pozitivno vpliva na zdravstveni sistem, saj zmanjšuje zdravstvene težave. Fizično zdravje vpliva na duševno zdravje in srečo. Trenutne kampanje niso dovolj znane. So bolj učinkoviti in motivirani, ko so z njo povezane osebnosti in vplivneži. </w:t>
      </w:r>
    </w:p>
    <w:p>
      <w:pPr>
        <w:pStyle w:val="Normal"/>
        <w:rPr/>
      </w:pPr>
      <w:r>
        <w:rPr/>
        <w:t xml:space="preserve"> </w:t>
      </w:r>
    </w:p>
    <w:p>
      <w:pPr>
        <w:pStyle w:val="P68B1DB1Normal15"/>
        <w:rPr>
          <w:b/>
          <w:b/>
        </w:rPr>
      </w:pPr>
      <w:r>
        <w:rPr/>
        <w:t xml:space="preserve">Priporočamo informacijsko kampanjo o zdravem prehranjevanju in prehrani. EU bi morala spodbujati višjo obdavčitev mesa in sladkorja v državah članicah. Preučiti bi morala možnosti razlikovanja med zdravimi in škodljivimi živili ter zanje uporabiti diferenciran DDV. Priporočamo zelo jasne opozorilne signale na izdelke, ki so zelo škodljivi za zdravje (kot so tobačni izdelki). Poleg tega priporočamo vseevropski sistem ocenjevanja hranilne vrednosti, ki zagotavlja ustrezne informacije in kodo QR, ki potrošnikom omogoča sprejemanje bolj informiranih odločitev. Raziskati možnosti, da bi bila zdrava hrana cenejša od neželene hrane, in nadalje spodbujati kmete k proizvodnji zdravih izdelkov. </w:t>
      </w:r>
    </w:p>
    <w:p>
      <w:pPr>
        <w:pStyle w:val="Normal"/>
        <w:rPr/>
      </w:pPr>
      <w:r>
        <w:rPr/>
        <w:t xml:space="preserve"> </w:t>
      </w:r>
    </w:p>
    <w:p>
      <w:pPr>
        <w:pStyle w:val="Normal"/>
        <w:rPr/>
      </w:pPr>
      <w:r>
        <w:rPr/>
        <w:t xml:space="preserve">Zdrava prehrana je osnova zdravega življenja. Posredovati je treba tako na strani proizvajalca kot na strani potrošnika. Proizvodnja zdravih proizvodov ima tudi pozitivne učinke na okolje in lahko pomaga podpreti lokalne kmete. Če se proizvodnja zdrave hrane poveča, se cene znižajo in povpraševanje se poveča. </w:t>
      </w:r>
    </w:p>
    <w:p>
      <w:pPr>
        <w:pStyle w:val="Normal"/>
        <w:rPr/>
      </w:pPr>
      <w:r>
        <w:rPr/>
        <w:t xml:space="preserve"> </w:t>
      </w:r>
    </w:p>
    <w:p>
      <w:pPr>
        <w:pStyle w:val="Normal"/>
        <w:rPr/>
      </w:pPr>
      <w:r>
        <w:rPr/>
        <w:t xml:space="preserve">Podos 1.2 Okoljsko izobraževanje </w:t>
      </w:r>
    </w:p>
    <w:p>
      <w:pPr>
        <w:pStyle w:val="P68B1DB1Normal15"/>
        <w:rPr>
          <w:b/>
          <w:b/>
        </w:rPr>
      </w:pPr>
      <w:r>
        <w:rPr/>
        <w:t xml:space="preserve">Priporočamo, da EU vzpostavi mehanizem financiranja za spodbujanje vključevanja dolgoročnega okoljskega izobraževalnega programa v nacionalne izobraževalne sisteme za otroke v osnovnih in srednjih šolah. Ta mehanizem financiranja bi moral vključevati financiranje staršev, ki potrebujejo finančno pomoč. </w:t>
      </w:r>
    </w:p>
    <w:p>
      <w:pPr>
        <w:pStyle w:val="Normal"/>
        <w:rPr/>
      </w:pPr>
      <w:r>
        <w:rPr/>
        <w:t xml:space="preserve"> </w:t>
      </w:r>
    </w:p>
    <w:p>
      <w:pPr>
        <w:pStyle w:val="Normal"/>
        <w:rPr/>
      </w:pPr>
      <w:r>
        <w:rPr/>
        <w:t xml:space="preserve">Sedanji izobraževalni sistemi ne vsebujejo dovolj praktičnih elementov, ki bi olajšali neposredno in globoko interakcijo med otroki in okoljem. Obstoječi programi, zasnovani s kratkoročnega vidika, so heterogeni in ne spodbujajo potrebne spremembe odnosa. Starše bi bilo treba podpreti, da bi zagotovili, da imajo vsi otroci enake koristi od programa in da nobeden ni izključen iz finančnih razlogov. </w:t>
      </w:r>
    </w:p>
    <w:p>
      <w:pPr>
        <w:pStyle w:val="Normal"/>
        <w:rPr/>
      </w:pPr>
      <w:r>
        <w:rPr/>
        <w:t xml:space="preserve"> </w:t>
      </w:r>
    </w:p>
    <w:p>
      <w:pPr>
        <w:pStyle w:val="Titre4"/>
        <w:numPr>
          <w:ilvl w:val="3"/>
          <w:numId w:val="2"/>
        </w:numPr>
        <w:rPr/>
      </w:pPr>
      <w:bookmarkStart w:id="177" w:name="__RefHeading___Toc297289_1346298689"/>
      <w:bookmarkEnd w:id="177"/>
      <w:r>
        <w:rPr/>
        <w:t xml:space="preserve">Os 2: Varovanje okolja in zdravja </w:t>
      </w:r>
    </w:p>
    <w:p>
      <w:pPr>
        <w:pStyle w:val="Normal"/>
        <w:rPr/>
      </w:pPr>
      <w:r>
        <w:rPr/>
        <w:t xml:space="preserve">Podos 2.1 Zdravo naravno okolje </w:t>
      </w:r>
    </w:p>
    <w:p>
      <w:pPr>
        <w:pStyle w:val="P68B1DB1Normal15"/>
        <w:rPr>
          <w:b/>
          <w:b/>
        </w:rPr>
      </w:pPr>
      <w:r>
        <w:rPr/>
        <w:t xml:space="preserve">Priporočamo takojšnje izvajanje najvišjega možnega standarda kakovosti vode po vsej EU. Da bi prihranili vodo, ponujamo sistem nagrajevanja, ki temelji na cenah vode, da bi spodbudili in spodbudili manjšo porabo, na primer: 1) z vzpostavitvijo dinamičnega sistema, ki potrošnike odvrača od preseganja povprečne porabe vode (na primer 10-odstotno povečanje porabe vode vodi do 11-odstotnega povišanja cene), 2) z vzpostavitvijo tržnega sistema za kvote za vodo, ki jo onesnažujejo proizvodna podjetja, ki bi bila podobna trgu že obstoječih dovoljenj za ogljik. </w:t>
      </w:r>
    </w:p>
    <w:p>
      <w:pPr>
        <w:pStyle w:val="Normal"/>
        <w:rPr/>
      </w:pPr>
      <w:r>
        <w:rPr/>
        <w:t xml:space="preserve"> </w:t>
      </w:r>
    </w:p>
    <w:p>
      <w:pPr>
        <w:pStyle w:val="Normal"/>
        <w:rPr/>
      </w:pPr>
      <w:r>
        <w:rPr/>
        <w:t xml:space="preserve">To priporočilo je utemeljeno z dejstvom, da dvig cen spodbuja vse uporabnike k sprejemanju bolje informiranih odločitev. Glede na različne razmere v državah EU in za doseganje socialno pravičnega sistema lahko s sovlaganjem v infrastrukturo za oskrbo z vodo in raziskave podpremo revnejše ljudi pri njihovem upravljanju z vodo. </w:t>
      </w:r>
    </w:p>
    <w:p>
      <w:pPr>
        <w:pStyle w:val="Normal"/>
        <w:rPr/>
      </w:pPr>
      <w:r>
        <w:rPr/>
        <w:t xml:space="preserve"> </w:t>
      </w:r>
    </w:p>
    <w:p>
      <w:pPr>
        <w:pStyle w:val="Titre4"/>
        <w:numPr>
          <w:ilvl w:val="3"/>
          <w:numId w:val="2"/>
        </w:numPr>
        <w:rPr/>
      </w:pPr>
      <w:bookmarkStart w:id="178" w:name="__RefHeading___Toc297291_1346298689"/>
      <w:bookmarkEnd w:id="178"/>
      <w:r>
        <w:rPr/>
        <w:t xml:space="preserve">Os 3: preusmeritev našega gospodarstva in potrošnje </w:t>
      </w:r>
    </w:p>
    <w:p>
      <w:pPr>
        <w:pStyle w:val="Normal"/>
        <w:rPr/>
      </w:pPr>
      <w:r>
        <w:rPr/>
        <w:t xml:space="preserve">Podos 3.1 Urejanje prekomerne proizvodnje in prekomerne porabe </w:t>
      </w:r>
    </w:p>
    <w:p>
      <w:pPr>
        <w:pStyle w:val="P68B1DB1Normal15"/>
        <w:rPr>
          <w:b/>
          <w:b/>
        </w:rPr>
      </w:pPr>
      <w:r>
        <w:rPr/>
        <w:t xml:space="preserve">Priporočamo, da EU naloži globe podjetjem, ki odpravljajo neprodane izdelke, ki jih proizvaja prekomerna proizvodnja. </w:t>
      </w:r>
    </w:p>
    <w:p>
      <w:pPr>
        <w:pStyle w:val="Normal"/>
        <w:rPr/>
      </w:pPr>
      <w:r>
        <w:rPr/>
        <w:t xml:space="preserve"> </w:t>
      </w:r>
    </w:p>
    <w:p>
      <w:pPr>
        <w:pStyle w:val="Normal"/>
        <w:rPr/>
      </w:pPr>
      <w:r>
        <w:rPr/>
        <w:t xml:space="preserve">V nekaterih primerih podjetja menijo, da je bolj stroškovno učinkovito zavreči neprodano blago, kot pa ga reciklirati ali ponovno uporabiti. Zato je pomembno odvračati od prekomerne proizvodnje z naložitvijo glob, da ta praksa za proizvajalce ne bo več dobičkonosna. </w:t>
      </w:r>
    </w:p>
    <w:p>
      <w:pPr>
        <w:pStyle w:val="Normal"/>
        <w:rPr/>
      </w:pPr>
      <w:r>
        <w:rPr/>
        <w:t xml:space="preserve"> </w:t>
      </w:r>
    </w:p>
    <w:p>
      <w:pPr>
        <w:pStyle w:val="Normal"/>
        <w:rPr/>
      </w:pPr>
      <w:r>
        <w:rPr/>
        <w:t xml:space="preserve">Podos 3.2 Zmanjšanje odpadkov </w:t>
      </w:r>
    </w:p>
    <w:p>
      <w:pPr>
        <w:pStyle w:val="P68B1DB1Normal15"/>
        <w:rPr>
          <w:b/>
          <w:b/>
        </w:rPr>
      </w:pPr>
      <w:r>
        <w:rPr/>
        <w:t xml:space="preserve">Priporočamo, da EU oblikuje in izvaja politiko ravnanja z odpadki za gospodinjstva in državljane, pri čemer naj opozori na dejansko količino odpadkov, ki jih proizvedejo, ter jo dopolni s potrebnimi ukrepi za ozaveščanje državljanov o koristih zmanjšanja nastajanja odpadkov in selektivnega zbiranja odpadkov. Izvajati bi bilo treba tudi ukrepe za socialno prikrajšane družine (npr. mlade družine z otroki, starejše itd.), pri čemer je treba spoštovati načelo, da nihče ne sme biti zapostavljen. </w:t>
      </w:r>
    </w:p>
    <w:p>
      <w:pPr>
        <w:pStyle w:val="Normal"/>
        <w:rPr/>
      </w:pPr>
      <w:r>
        <w:rPr/>
        <w:t xml:space="preserve"> </w:t>
      </w:r>
    </w:p>
    <w:p>
      <w:pPr>
        <w:pStyle w:val="Normal"/>
        <w:rPr/>
      </w:pPr>
      <w:r>
        <w:rPr/>
        <w:t xml:space="preserve">Cilj takšne politike je razviti enoten pristop k ravnanju z odpadki v gospodinjstvih; prav tako olajšuje varstvo okolja z zmanjševanjem odpadkov, dodatno spodbuja krožno gospodarstvo in povečuje učinkovitost zbiranja odpadkov. Nazadnje, kar ni zanemarljivo, povečuje ozaveščenost državljanov in krepi občutek okoljske odgovornosti. </w:t>
      </w:r>
    </w:p>
    <w:p>
      <w:pPr>
        <w:pStyle w:val="Normal"/>
        <w:rPr/>
      </w:pPr>
      <w:r>
        <w:rPr/>
        <w:t xml:space="preserve"> </w:t>
      </w:r>
    </w:p>
    <w:p>
      <w:pPr>
        <w:pStyle w:val="P68B1DB1Normal15"/>
        <w:rPr>
          <w:b/>
          <w:b/>
        </w:rPr>
      </w:pPr>
      <w:r>
        <w:rPr/>
        <w:t xml:space="preserve">Priporočamo, da EU spodbuja svobodno konkurenco in zasebni sektor, naj dejavneje prispeva k ravnanju z odpadki, vključno z odpadno vodo, ter k dejavnostim recikliranja in predelave odpadkov. </w:t>
      </w:r>
    </w:p>
    <w:p>
      <w:pPr>
        <w:pStyle w:val="Normal"/>
        <w:rPr/>
      </w:pPr>
      <w:r>
        <w:rPr/>
        <w:t xml:space="preserve"> </w:t>
      </w:r>
    </w:p>
    <w:p>
      <w:pPr>
        <w:pStyle w:val="Normal"/>
        <w:rPr/>
      </w:pPr>
      <w:r>
        <w:rPr/>
        <w:t xml:space="preserve">EU je ustrezna raven za izvajanje tega priporočila, saj dopolnjuje okvirno direktivo o odpadkih in akcijski načrt za krožno gospodarstvo. Poleg tega bo izvajanje priporočila okrepilo inovativne rešitve za ravnanje z odpadki, izboljšalo kakovost ravnanja z odpadki in povečalo količino obdelanih odpadkov, saj bo v teh dejavnostih sodelovalo več podjetij. </w:t>
      </w:r>
    </w:p>
    <w:p>
      <w:pPr>
        <w:pStyle w:val="Normal"/>
        <w:rPr/>
      </w:pPr>
      <w:r>
        <w:rPr/>
        <w:t xml:space="preserve"> </w:t>
      </w:r>
    </w:p>
    <w:p>
      <w:pPr>
        <w:pStyle w:val="Normal"/>
        <w:rPr/>
      </w:pPr>
      <w:r>
        <w:rPr/>
        <w:t xml:space="preserve">Podos 3.3 Pravični izdelki, enak dostop in poštena potrošnja </w:t>
      </w:r>
    </w:p>
    <w:p>
      <w:pPr>
        <w:pStyle w:val="P68B1DB1Normal15"/>
        <w:rPr>
          <w:b/>
          <w:b/>
        </w:rPr>
      </w:pPr>
      <w:r>
        <w:rPr/>
        <w:t xml:space="preserve">Priporočamo, da se industrije preselijo v Evropsko unijo, da bi zagotovili visokokakovostne pravične izdelke in vplivali na podnebne težave. </w:t>
      </w:r>
    </w:p>
    <w:p>
      <w:pPr>
        <w:pStyle w:val="Normal"/>
        <w:rPr/>
      </w:pPr>
      <w:r>
        <w:rPr/>
        <w:t xml:space="preserve"> </w:t>
      </w:r>
    </w:p>
    <w:p>
      <w:pPr>
        <w:pStyle w:val="Normal"/>
        <w:rPr/>
      </w:pPr>
      <w:r>
        <w:rPr/>
        <w:t xml:space="preserve">Evropska unija ima znanje, ki ga je treba spodbujati na svojem trgu. </w:t>
      </w:r>
    </w:p>
    <w:p>
      <w:pPr>
        <w:pStyle w:val="Normal"/>
        <w:rPr/>
      </w:pPr>
      <w:r>
        <w:rPr/>
        <w:t xml:space="preserve">Zaradi selitve industrijskih panog zunaj EU, zlasti v Aziji, se nekatera strokovna znanja in spretnosti prav tako premestijo. To priporočilo vključuje poklicno usposabljanje evropskih delavcev. Poudarjamo, da se je treba izogniti selitvi med različnimi državami članicami, da bi se izognili nelojalni konkurenci. </w:t>
      </w:r>
    </w:p>
    <w:p>
      <w:pPr>
        <w:pStyle w:val="Normal"/>
        <w:rPr/>
      </w:pPr>
      <w:r>
        <w:rPr/>
        <w:t xml:space="preserve">Opazili smo, da velika selitev industrij po svetu vpliva na evropske industrije. Zato bo lokalna proizvodnja izboljšala zdravje državljanov in okolja. </w:t>
      </w:r>
    </w:p>
    <w:p>
      <w:pPr>
        <w:pStyle w:val="Normal"/>
        <w:rPr/>
      </w:pPr>
      <w:r>
        <w:rPr/>
      </w:r>
    </w:p>
    <w:p>
      <w:pPr>
        <w:pStyle w:val="Titre4"/>
        <w:numPr>
          <w:ilvl w:val="3"/>
          <w:numId w:val="2"/>
        </w:numPr>
        <w:rPr/>
      </w:pPr>
      <w:bookmarkStart w:id="179" w:name="__RefHeading___Toc297293_1346298689"/>
      <w:bookmarkEnd w:id="179"/>
      <w:r>
        <w:rPr/>
        <w:t xml:space="preserve">Os 4: na poti k trajnostni družbi </w:t>
      </w:r>
    </w:p>
    <w:p>
      <w:pPr>
        <w:pStyle w:val="Normal"/>
        <w:rPr/>
      </w:pPr>
      <w:r>
        <w:rPr/>
        <w:t xml:space="preserve">Podos 4.3 Okoljsko prijazen prevoz </w:t>
      </w:r>
    </w:p>
    <w:p>
      <w:pPr>
        <w:pStyle w:val="P68B1DB1Normal15"/>
        <w:rPr>
          <w:b/>
          <w:b/>
        </w:rPr>
      </w:pPr>
      <w:r>
        <w:rPr/>
        <w:t xml:space="preserve">Priporočamo, da se velika mesta kaznujejo ali subvencionirajo glede na okoljsko in onesnaženost javnega prevoza (električna vozila, zeleni javni prevoz, ustvarjanje območij za pešce, spodbujanje uporabe koles itd.). Zlasti bi bilo treba globe ali subvencije, ki se uporabljajo za lokalne organe v mestu, določiti na podlagi sprememb v zelenem prevozu v primerjavi z začetnimi razmerami v tem mestu. Evropska unija je tista, ki mora s svojo zakonodajo opredeliti kazalnike uspešnosti za ukrepe, povezane z onesnaževanjem, in določiti sorazmerno zmanjšanje. V zvezi s tem je treba upoštevati izhodišče vsakega mesta. </w:t>
      </w:r>
    </w:p>
    <w:p>
      <w:pPr>
        <w:pStyle w:val="Normal"/>
        <w:rPr/>
      </w:pPr>
      <w:r>
        <w:rPr/>
        <w:t xml:space="preserve"> </w:t>
      </w:r>
    </w:p>
    <w:p>
      <w:pPr>
        <w:pStyle w:val="Normal"/>
        <w:rPr/>
      </w:pPr>
      <w:r>
        <w:rPr/>
        <w:t xml:space="preserve">To priporočilo dajemo zato, ker so mesta prizadeta zaradi onesnaženosti zraka, ki je povzročila zdravstvene težave. Razvoj zelenega prevoza bi izboljšal življenje in zdravje ljudi ter zmanjšal učinek tople grede. Subvencije in sankcije so učinkoviti ukrepi za spodbujanje sprememb in olajšanje prilagajanja različnim razmeram v različnih mestih. </w:t>
      </w:r>
    </w:p>
    <w:p>
      <w:pPr>
        <w:pStyle w:val="Normal"/>
        <w:rPr/>
      </w:pPr>
      <w:r>
        <w:rPr/>
        <w:t xml:space="preserve"> </w:t>
      </w:r>
    </w:p>
    <w:p>
      <w:pPr>
        <w:pStyle w:val="P68B1DB1Normal15"/>
        <w:rPr>
          <w:b/>
          <w:b/>
        </w:rPr>
      </w:pPr>
      <w:r>
        <w:rPr/>
        <w:t xml:space="preserve">Priporočamo, da zakonodaja EU omeji in uredi uporabo letov na kratke razdalje in ladij za križarjenje. Ljudem je treba ponuditi okolju prijazne alternative za prevoz. Ena od takih alternativ bi morala biti standardizacija železnic, da bi povezali evropske prestolnice. Prav tako priporočamo, da EU zagotovi subvencije za okolju prijaznejši prevoz blaga, vključno z železniškim in ladijskim prevozom (za kratke vožnje). </w:t>
      </w:r>
    </w:p>
    <w:p>
      <w:pPr>
        <w:pStyle w:val="Normal"/>
        <w:rPr/>
      </w:pPr>
      <w:r>
        <w:rPr/>
        <w:t xml:space="preserve"> </w:t>
      </w:r>
    </w:p>
    <w:p>
      <w:pPr>
        <w:pStyle w:val="Normal"/>
        <w:rPr/>
      </w:pPr>
      <w:r>
        <w:rPr/>
        <w:t xml:space="preserve">To priporočilo dajemo, ker so potovanja na kratke razdalje prepogosta, onesnažujoča in enostavna za zamenjavo. Omejevanje ladij za križarjenje bi zmanjšalo onesnaževanje morja (velik okoljski problem) in negativne vplive na obalna mesta. Zato moramo vzpostaviti cenovno dostopnejše alternative za bolj onesnažujoče rešitve. Enotna tirna širina bi izboljšala železniške povezave med evropskimi prestolnicami. </w:t>
      </w:r>
    </w:p>
    <w:p>
      <w:pPr>
        <w:pStyle w:val="Normal"/>
        <w:rPr/>
      </w:pPr>
      <w:r>
        <w:rPr/>
        <w:t xml:space="preserve"> </w:t>
      </w:r>
    </w:p>
    <w:p>
      <w:pPr>
        <w:pStyle w:val="Titre4"/>
        <w:numPr>
          <w:ilvl w:val="3"/>
          <w:numId w:val="2"/>
        </w:numPr>
        <w:rPr/>
      </w:pPr>
      <w:bookmarkStart w:id="180" w:name="__RefHeading___Toc297295_1346298689"/>
      <w:bookmarkEnd w:id="180"/>
      <w:r>
        <w:rPr/>
        <w:t xml:space="preserve">Os 5: Skrb za vse </w:t>
      </w:r>
    </w:p>
    <w:p>
      <w:pPr>
        <w:pStyle w:val="Normal"/>
        <w:rPr/>
      </w:pPr>
      <w:r>
        <w:rPr/>
        <w:t xml:space="preserve">Podos 5.2 Širši pogled na zdravje </w:t>
      </w:r>
    </w:p>
    <w:p>
      <w:pPr>
        <w:pStyle w:val="Normal"/>
        <w:rPr>
          <w:b/>
          <w:b/>
        </w:rPr>
      </w:pPr>
      <w:r>
        <w:rPr>
          <w:b/>
        </w:rPr>
        <w:t>Priporočamo, da Evropska unija v skladu s svojo</w:t>
      </w:r>
      <w:r>
        <w:rPr>
          <w:b/>
        </w:rPr>
        <w:commentReference w:id="5"/>
      </w:r>
      <w:r>
        <w:rPr>
          <w:b/>
        </w:rPr>
        <w:t xml:space="preserve"> kampanjo HealthyLife4All spodbuja tudi pobude, kot so družabni športi, šolske športne dejavnosti, polletne olimpijske igre, odprte za vse starosti in vse športe [ne za profesionalce]. Priporočamo tudi razvoj brezplačne evropske športne aplikacije za spodbujanje kolektivnih športnih dejavnosti. Ta aplikacija bi morala pomagati ljudem, da se srečajo s športom. Poleg tega bi morale biti te pobude splošno znane in razširjene. </w:t>
      </w:r>
    </w:p>
    <w:p>
      <w:pPr>
        <w:pStyle w:val="Normal"/>
        <w:rPr/>
      </w:pPr>
      <w:r>
        <w:rPr/>
        <w:t xml:space="preserve"> </w:t>
      </w:r>
    </w:p>
    <w:p>
      <w:pPr>
        <w:pStyle w:val="Normal"/>
        <w:rPr/>
      </w:pPr>
      <w:r>
        <w:rPr/>
        <w:t xml:space="preserve">Za izboljšanje zdravja evropskega prebivalstva mora Evropska unija spodbujati šport in zdrav način življenja. Poleg tega se prebivalstvo zelo pogosto ne zaveda odnosa med športom in zdravim življenjskim slogom. Aplikacija je pomembna, saj so ljudje bolj pripravljeni na šport, če to počnejo skupaj.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Okrogla miza za evropske državljane 4: „EU v svetu/migracije“ </w:t>
      </w:r>
    </w:p>
    <w:p>
      <w:pPr>
        <w:pStyle w:val="Normal"/>
        <w:rPr/>
      </w:pPr>
      <w:r>
        <w:rPr/>
        <w:t xml:space="preserve">PRIPOROČILA, KI JIH JE SPREJELA KOMISIJA (PREDLOŽITI NA PLENARNEM ZASEDANJU) </w:t>
      </w:r>
    </w:p>
    <w:p>
      <w:pPr>
        <w:pStyle w:val="Normal"/>
        <w:rPr/>
      </w:pPr>
      <w:r>
        <w:rPr/>
      </w:r>
    </w:p>
    <w:p>
      <w:pPr>
        <w:pStyle w:val="Titre3"/>
        <w:numPr>
          <w:ilvl w:val="2"/>
          <w:numId w:val="2"/>
        </w:numPr>
        <w:rPr/>
      </w:pPr>
      <w:bookmarkStart w:id="182" w:name="__RefHeading___Toc297299_1346298689"/>
      <w:bookmarkEnd w:id="182"/>
      <w:r>
        <w:rPr/>
        <w:t xml:space="preserve">Os 1: Samozadostnost in stabilnost </w:t>
      </w:r>
    </w:p>
    <w:p>
      <w:pPr>
        <w:pStyle w:val="Titre4"/>
        <w:numPr>
          <w:ilvl w:val="3"/>
          <w:numId w:val="2"/>
        </w:numPr>
        <w:rPr/>
      </w:pPr>
      <w:bookmarkStart w:id="183" w:name="__RefHeading___Toc297301_1346298689"/>
      <w:bookmarkEnd w:id="183"/>
      <w:r>
        <w:rPr/>
        <w:t xml:space="preserve">Podos 1.1 – Avtonomija EU </w:t>
      </w:r>
    </w:p>
    <w:p>
      <w:pPr>
        <w:pStyle w:val="Normal"/>
        <w:rPr>
          <w:b/>
          <w:b/>
        </w:rPr>
      </w:pPr>
      <w:r>
        <w:rPr>
          <w:b/>
        </w:rPr>
        <w:t>1. Priporočamo, da se še naprej spodbujajo in finančno podpirajo strateški evropski proizvodni proizvodi (kot so kmetijski proizvodi, polprevodniki, medicinski izdelki ali inovativne digitalne in okoljske tehnologije), da bi bili na voljo in dostopni evropskim potrošnikom ter da bi čim bolj zmanjšali odvisnost od neevropskih dobaviteljev. Takšna podpora bi lahko vključevala strukturne in regionalne ukrepe, podporo za vzdrževanje industrij in dobavnih verig v Uniji,</w:t>
      </w:r>
      <w:r>
        <w:rPr>
          <w:b/>
        </w:rPr>
        <w:commentReference w:id="6"/>
      </w:r>
      <w:r>
        <w:rPr>
          <w:b/>
        </w:rPr>
        <w:t xml:space="preserve"> davčneolajšave, subvencije, aktivno politiko MSP ali izobraževalne programe za zaščito ustreznih znanj in spretnosti ter delovnih mest v Evropi. Kljub temu bi morala biti aktivna industrijska politika selektivna in osredotočena na inovativne proizvode ali proizvode, ki so bistveni za zagotavljanje osnovnih dobrin in storitev. </w:t>
      </w:r>
    </w:p>
    <w:p>
      <w:pPr>
        <w:pStyle w:val="Normal"/>
        <w:rPr/>
      </w:pPr>
      <w:r>
        <w:rPr/>
        <w:t xml:space="preserve"> </w:t>
      </w:r>
    </w:p>
    <w:p>
      <w:pPr>
        <w:pStyle w:val="Normal"/>
        <w:rPr/>
      </w:pPr>
      <w:r>
        <w:rPr/>
        <w:t xml:space="preserve">Te ukrepe priporočamo, ker je Evropa preveč odvisna od </w:t>
      </w:r>
      <w:commentRangeStart w:id="7"/>
      <w:r>
        <w:rPr/>
        <w:t>neevropskih dobaviteljev na ključnih</w:t>
      </w:r>
      <w:r>
        <w:rPr/>
      </w:r>
      <w:commentRangeEnd w:id="7"/>
      <w:r>
        <w:commentReference w:id="7"/>
      </w:r>
      <w:r>
        <w:rPr/>
        <w:t xml:space="preserve"> področjih, ki bi lahko povzročila diplomatske spore in povzročila pomanjkanje osnovnih proizvodov ali storitev ali strateškega pomena. Ker so proizvodni stroški v EU na splošno višji kot drugje po svetu, bo politika dejavnega spodbujanja in podpore za te proizvode Evropejcem omogočila nakup konkurenčnih evropskih proizvodov in se k temu spodbujala. Ta politika bo tudi okrepila evropsko konkurenčnost ter ohranila prihodnje industrije in delovna mesta v Evropi. Poleg tega bo večja regionalizacija proizvodnje zmanjšala stroške prevoza in preprečila degradacijo okolja. </w:t>
      </w:r>
    </w:p>
    <w:p>
      <w:pPr>
        <w:pStyle w:val="Normal"/>
        <w:rPr/>
      </w:pPr>
      <w:r>
        <w:rPr/>
        <w:t xml:space="preserve"> </w:t>
      </w:r>
    </w:p>
    <w:p>
      <w:pPr>
        <w:pStyle w:val="P68B1DB1Normal15"/>
        <w:rPr>
          <w:b/>
          <w:b/>
        </w:rPr>
      </w:pPr>
      <w:r>
        <w:rPr/>
        <w:t>2. Priporočamo, da EU zmanjša svojo odvisnost od uvoza nafte in plina. Za to bi bila potrebna dejavna podpora za projekte javnega prevoza in energetske učinkovitosti, evropsko železniško omrežje za visoke hitrosti za tovorni promet, razširitev oskrbe s čisto energijo in energijo iz obnovljivih virov (vključno s sončno in vetrno energijo) ter alternativne tehnologije (kot sta vodik ali energetska predelava odpadkov). Evropska unija bi morala spodbujati tudi spremembo miselnosti in opustitev osebnih avtomobilov v korist javnega prevoza, souporabe avtomobilov z električnimi vozili in kolesi.</w:t>
      </w:r>
    </w:p>
    <w:p>
      <w:pPr>
        <w:pStyle w:val="Normal"/>
        <w:rPr/>
      </w:pPr>
      <w:r>
        <w:rPr/>
      </w:r>
    </w:p>
    <w:p>
      <w:pPr>
        <w:pStyle w:val="Normal"/>
        <w:rPr/>
      </w:pPr>
      <w:r>
        <w:rPr/>
        <w:t>Te ukrepe priporočamo, ker ustvarjajo razmere, ki spodbujajo avtonomijo Evrope z zmanjšanjem njenih zunanjih odvisnosti in doseganjem ambicioznih ciljev za zmanjšanje podnebnih sprememb in emisij</w:t>
      </w:r>
      <w:r>
        <w:rPr>
          <w:vertAlign w:val="subscript"/>
        </w:rPr>
        <w:t>CO2</w:t>
      </w:r>
      <w:r>
        <w:rPr/>
        <w:t xml:space="preserve">. Poleg tega bodo Evropi omogočile, da postane pomemben akter na področju prihodnjih tehnologij, okrepi svoje gospodarstvo in ustvarja delovna mesta. </w:t>
      </w:r>
    </w:p>
    <w:p>
      <w:pPr>
        <w:pStyle w:val="Normal"/>
        <w:rPr/>
      </w:pPr>
      <w:r>
        <w:rPr/>
        <w:t xml:space="preserve"> </w:t>
      </w:r>
    </w:p>
    <w:p>
      <w:pPr>
        <w:pStyle w:val="P68B1DB1Normal15"/>
        <w:rPr>
          <w:b/>
          <w:b/>
        </w:rPr>
      </w:pPr>
      <w:r>
        <w:rPr/>
        <w:t xml:space="preserve">3. Priporočamo, da se na ravni EU sprejme zakon, ki bo zagotovil, da bodo vsi proizvodni in dobavni postopki EU ter uvoženo blago skladni z evropskimi standardi kakovosti, etike in trajnosti ter vsemi veljavnimi evropskimi standardi na področju človekovih pravic ter da bodo proizvodi, ki izpolnjujejo ta merila, certificirani. </w:t>
      </w:r>
    </w:p>
    <w:p>
      <w:pPr>
        <w:pStyle w:val="Normal"/>
        <w:rPr/>
      </w:pPr>
      <w:r>
        <w:rPr/>
        <w:t xml:space="preserve"> </w:t>
      </w:r>
    </w:p>
    <w:p>
      <w:pPr>
        <w:pStyle w:val="Normal"/>
        <w:rPr/>
      </w:pPr>
      <w:r>
        <w:rPr/>
        <w:t xml:space="preserve">Te ukrepe priporočamo, ker potrošnikom in trgovcem omogočajo enostaven dostop do informacij o izdelkih, ki jih kupujejo ali prodajajo. Če želite to narediti, se preprosto posvetujte s sistemom certificiranja. Certificiranje zmanjšuje tudi vrzel med poceni in dragimi izdelki, ki so na voljo na trgu. Poceni izdelki ne bodo izpolnjevali zahtevanih meril in se zato ne bodo mogli predstaviti kot kakovostni. Z izpolnjevanjem meril certificiranja bo okolje zaščiteno, varčevanje z viri in spodbujanje odgovorne porabe. </w:t>
      </w:r>
    </w:p>
    <w:p>
      <w:pPr>
        <w:pStyle w:val="Normal"/>
        <w:rPr/>
      </w:pPr>
      <w:r>
        <w:rPr/>
        <w:t xml:space="preserve"> </w:t>
      </w:r>
    </w:p>
    <w:p>
      <w:pPr>
        <w:pStyle w:val="P68B1DB1Normal15"/>
        <w:rPr>
          <w:b/>
          <w:b/>
        </w:rPr>
      </w:pPr>
      <w:r>
        <w:rPr/>
        <w:t xml:space="preserve">4. Priporočamo izvajanje evropskega programa za podporo malim lokalnim proizvajalcem v strateških sektorjih v vseh državah članicah. Ti proizvajalci bi imeli koristi od poklicnega usposabljanja, finančne podpore s subvencijami in (če so surovine na voljo v Uniji) spodbude za proizvodnjo bolj upravičenega blaga v škodo uvoza. </w:t>
      </w:r>
    </w:p>
    <w:p>
      <w:pPr>
        <w:pStyle w:val="Normal"/>
        <w:rPr/>
      </w:pPr>
      <w:r>
        <w:rPr/>
        <w:t xml:space="preserve"> </w:t>
      </w:r>
    </w:p>
    <w:p>
      <w:pPr>
        <w:pStyle w:val="Normal"/>
        <w:rPr/>
      </w:pPr>
      <w:r>
        <w:rPr/>
        <w:t xml:space="preserve">Priporočamo te ukrepe, ker lahko Unija s podporo proizvajalcem v strateških sektorjih v Uniji pridobi gospodarsko neodvisnost v teh sektorjih. To lahko le spodbudi krepitev celotnega proizvodnega procesa in s tem inovacije. To bo privedlo do bolj trajnostne proizvodnje surovin v EU, kar bo zmanjšalo stroške prevoza in zaščitilo okolje. </w:t>
      </w:r>
    </w:p>
    <w:p>
      <w:pPr>
        <w:pStyle w:val="Normal"/>
        <w:rPr/>
      </w:pPr>
      <w:r>
        <w:rPr/>
        <w:t xml:space="preserve"> </w:t>
      </w:r>
    </w:p>
    <w:p>
      <w:pPr>
        <w:pStyle w:val="P68B1DB1Normal15"/>
        <w:rPr>
          <w:b/>
          <w:b/>
        </w:rPr>
      </w:pPr>
      <w:r>
        <w:rPr/>
        <w:t xml:space="preserve">5. Priporočamo, da se izvajanje človekovih pravic na evropski ravni izboljša na naslednji način: ozaveščanje držav, ki ne spoštujejo, kolikor je to primerno, Evropske konvencije o človekovih pravicah (EKČP) ali Konvencije o varstvu človekovih pravic in temeljnih svoboščin; zagotoviti strogo spremljanje, ki ga usklajujeta Evropska unija in pregled stanja na področju pravosodja, v kolikšni meri se v različnih državah članicah spoštujejo človekove pravice, in zagotoviti njihovo dosledno spoštovanje z različnimi oblikami sankcij. </w:t>
      </w:r>
    </w:p>
    <w:p>
      <w:pPr>
        <w:pStyle w:val="Normal"/>
        <w:rPr/>
      </w:pPr>
      <w:r>
        <w:rPr/>
        <w:t xml:space="preserve"> </w:t>
      </w:r>
    </w:p>
    <w:p>
      <w:pPr>
        <w:pStyle w:val="Normal"/>
        <w:rPr/>
      </w:pPr>
      <w:r>
        <w:rPr/>
        <w:t xml:space="preserve">Priporočamo te ukrepe, ker so države članice že sprejele človekove pravice, ko so ratificirale Evropsko konvencijo o človekovih pravicah, vendar je zdaj treba izboljšati njihovo sprejemanje v vsaki državi članici, da bodo človekove pravice znane in dejavno uveljavljene v teh državah članicah. </w:t>
      </w:r>
    </w:p>
    <w:p>
      <w:pPr>
        <w:pStyle w:val="Normal"/>
        <w:rPr/>
      </w:pPr>
      <w:r>
        <w:rPr/>
        <w:t xml:space="preserve"> </w:t>
      </w:r>
    </w:p>
    <w:p>
      <w:pPr>
        <w:pStyle w:val="P68B1DB1Normal15"/>
        <w:rPr>
          <w:b/>
          <w:b/>
        </w:rPr>
      </w:pPr>
      <w:r>
        <w:rPr/>
        <w:t xml:space="preserve">6. Priporočamo, da se začne pregled in organizira intenzivna komunikacijska kampanja na evropski ravni, da bi zagotovili, da bodo evropski državljani bolje poznali EURES (mreža evropskih služb za zaposlovanje), portal EU o priseljevanju in evropsko orodje za profiliranje znanj in spretnosti za državljane tretjih držav, podjetja EU pa jih pogosteje uporabljajo za objavljanje in oglaševanje svojih ponudb za zaposlitev. </w:t>
      </w:r>
    </w:p>
    <w:p>
      <w:pPr>
        <w:pStyle w:val="Normal"/>
        <w:rPr/>
      </w:pPr>
      <w:r>
        <w:rPr/>
        <w:t xml:space="preserve"> </w:t>
      </w:r>
    </w:p>
    <w:p>
      <w:pPr>
        <w:pStyle w:val="Normal"/>
        <w:rPr/>
      </w:pPr>
      <w:r>
        <w:rPr/>
        <w:t xml:space="preserve">Priporočamo, da ne ustvarite nove spletne platforme za objavljanje ponudb za delovna mesta za mlade Evropejce. Na evropski ravni že obstaja več kot dovolj tovrstnih pobud. Menimo, da je za ozaveščanje o obstoječi delovni sili in zaposlitvenih možnostih na evropski ravni bolje izboljšati to, kar že obstaja. </w:t>
      </w:r>
    </w:p>
    <w:p>
      <w:pPr>
        <w:pStyle w:val="Normal"/>
        <w:rPr/>
      </w:pPr>
      <w:r>
        <w:rPr/>
        <w:t xml:space="preserve"> </w:t>
      </w:r>
    </w:p>
    <w:p>
      <w:pPr>
        <w:pStyle w:val="Titre4"/>
        <w:numPr>
          <w:ilvl w:val="3"/>
          <w:numId w:val="2"/>
        </w:numPr>
        <w:rPr/>
      </w:pPr>
      <w:bookmarkStart w:id="184" w:name="__RefHeading___Toc297303_1346298689"/>
      <w:bookmarkEnd w:id="184"/>
      <w:r>
        <w:rPr/>
        <w:t xml:space="preserve">Podos 1.2 – Meje </w:t>
      </w:r>
    </w:p>
    <w:p>
      <w:pPr>
        <w:pStyle w:val="P68B1DB1Normal15"/>
        <w:rPr>
          <w:b/>
          <w:b/>
        </w:rPr>
      </w:pPr>
      <w:r>
        <w:rPr/>
        <w:t xml:space="preserve">7. Priporočamo vzpostavitev mehanizma za migracijo delovne sile v EU, ki bo temeljil na dejanskih potrebah evropskih trgov dela. Obstajati bi moral enoten sistem za priznavanje poklicnih in akademskih diplom, ki obstajajo v Evropski uniji in tretjih državah. Za kvalificirane migrante bi bilo treba ponuditi poklicne kvalifikacije ter ponudbe za kulturno in jezikovno vključevanje. Prosilci za azil s pravimi kvalifikacijami bi morali imeti dostop do trga dela. Obstajati bi morala integrirana agencija, za katero bi lahko bila osnova evropska mreža zavodov za zaposlovanje. </w:t>
      </w:r>
    </w:p>
    <w:p>
      <w:pPr>
        <w:pStyle w:val="Normal"/>
        <w:rPr/>
      </w:pPr>
      <w:r>
        <w:rPr/>
        <w:t xml:space="preserve"> </w:t>
      </w:r>
    </w:p>
    <w:p>
      <w:pPr>
        <w:pStyle w:val="Normal"/>
        <w:rPr/>
      </w:pPr>
      <w:r>
        <w:rPr/>
        <w:t xml:space="preserve">Te ukrepe priporočamo, ker Evropa potrebuje kvalificirano delovno silo v nekaterih sektorjih, kjer povpraševanja delavcev EU ni mogoče v celoti pokriti. Trenutno ni dovolj izvedljivih načinov, da bi zakonito zaprosili za delovno dovoljenje v EU. Evropski sistem priznavanja poklicnih in akademskih diplom bo olajšal izpolnjevanje teh potreb ter poenostavil delovne migracije znotraj Unije in delovne migracije iz držav zunaj Unije. Tako bi bilo mogoče bolje zadovoljiti povpraševanje po delovni sili in bolje upravljati nezakonito priseljevanje. Odprtje mehanizma za delovno migracijo za prosilce za azil bi pospešilo njihovo vključevanje v evropska gospodarstva in družbe. </w:t>
      </w:r>
    </w:p>
    <w:p>
      <w:pPr>
        <w:pStyle w:val="Normal"/>
        <w:rPr/>
      </w:pPr>
      <w:r>
        <w:rPr/>
        <w:t xml:space="preserve"> </w:t>
      </w:r>
    </w:p>
    <w:p>
      <w:pPr>
        <w:pStyle w:val="P68B1DB1Normal15"/>
        <w:rPr>
          <w:b/>
          <w:b/>
        </w:rPr>
      </w:pPr>
      <w:r>
        <w:rPr/>
        <w:t xml:space="preserve">8. Priporočamo, da Evropska unija okrepi svojo zakonodajo, da bi agenciji Frontex zagotovila večjo moč in neodvisnost. Tako bo lahko posredovala v vseh državah članicah, da bi zagotovila zaščito vseh zunanjih meja Unije, vendar bi morala Unija izvajati revizije organizacijskih postopkov agencije Frontex, saj mora delovati pregledno, da bi se izognili kakršnim koli zlorabam. </w:t>
      </w:r>
    </w:p>
    <w:p>
      <w:pPr>
        <w:pStyle w:val="Normal"/>
        <w:rPr/>
      </w:pPr>
      <w:r>
        <w:rPr/>
        <w:t xml:space="preserve"> </w:t>
      </w:r>
    </w:p>
    <w:p>
      <w:pPr>
        <w:pStyle w:val="Normal"/>
        <w:rPr/>
      </w:pPr>
      <w:r>
        <w:rPr/>
        <w:t xml:space="preserve">Priporočamo te ukrepe, ker je po našem mnenju nesprejemljivo, da se agenciji Frontex zavrne dostop do meja, zlasti kadar gre za kršitev človekovih pravic. Želimo biti prepričani, da Frontex uporablja evropsko zakonodajo. Frontex mora biti predmet preverjanj in preverjanj, da bi se izognili kakršnemu koli neprimernemu ravnanju znotraj agencije. </w:t>
      </w:r>
    </w:p>
    <w:p>
      <w:pPr>
        <w:pStyle w:val="Normal"/>
        <w:rPr/>
      </w:pPr>
      <w:r>
        <w:rPr/>
        <w:t xml:space="preserve"> </w:t>
      </w:r>
    </w:p>
    <w:p>
      <w:pPr>
        <w:pStyle w:val="P68B1DB1Normal15"/>
        <w:rPr>
          <w:b/>
          <w:b/>
        </w:rPr>
      </w:pPr>
      <w:r>
        <w:rPr/>
        <w:t xml:space="preserve">9. Priporočamo, da Evropska unija, zlasti za ekonomske migrante, organizira možnost izbire državljanov v državi izvora (na podlagi njihovih dokazanih spretnosti, ozadja itd.), da bi določili, kdo bi lahko prišel na delo v EU glede na potrebe gospodarstva in prosta delovna mesta v državi gostiteljici. Ta merila za izbor morajo biti javna in dostopna vsem. V ta namen bi bilo treba ustanoviti Evropsko agencijo za priseljevanje (spletno). </w:t>
      </w:r>
    </w:p>
    <w:p>
      <w:pPr>
        <w:pStyle w:val="Normal"/>
        <w:rPr/>
      </w:pPr>
      <w:r>
        <w:rPr/>
        <w:t xml:space="preserve"> </w:t>
      </w:r>
    </w:p>
    <w:p>
      <w:pPr>
        <w:pStyle w:val="Normal"/>
        <w:rPr/>
      </w:pPr>
      <w:r>
        <w:rPr/>
        <w:t xml:space="preserve">Te ukrepe priporočamo, ker na ta način ne bi bilo več potrebe po nezakonitem prečkanju meja. Tok ljudi, ki vstopajo v EU, bi bil nadzorovan, kar bi zmanjšalo pritisk na mejah, hkrati pa olajšalo zadovoljevanje potreb po delovni sili v državah gostiteljicah. </w:t>
      </w:r>
    </w:p>
    <w:p>
      <w:pPr>
        <w:pStyle w:val="Normal"/>
        <w:rPr/>
      </w:pPr>
      <w:r>
        <w:rPr/>
        <w:t xml:space="preserve"> </w:t>
      </w:r>
    </w:p>
    <w:p>
      <w:pPr>
        <w:pStyle w:val="P68B1DB1Normal15"/>
        <w:rPr>
          <w:b/>
          <w:b/>
        </w:rPr>
      </w:pPr>
      <w:r>
        <w:rPr/>
        <w:t xml:space="preserve">10. Evropski uniji priporočamo, da zagotovi, da so politika in objekti za sprejem na vseh mejah enaki, spoštujejo človekove pravice ter zagotovijo varnost in zdravje vseh migrantov (vključno z na primer nosečnicami in otroki). </w:t>
      </w:r>
    </w:p>
    <w:p>
      <w:pPr>
        <w:pStyle w:val="Normal"/>
        <w:rPr/>
      </w:pPr>
      <w:r>
        <w:rPr/>
        <w:t xml:space="preserve"> </w:t>
      </w:r>
    </w:p>
    <w:p>
      <w:pPr>
        <w:pStyle w:val="Normal"/>
        <w:rPr/>
      </w:pPr>
      <w:r>
        <w:rPr/>
        <w:t xml:space="preserve">Te ukrepe priporočamo, ker pripisujemo velik pomen enaki obravnavi migrantov na vseh mejah. Zagotoviti želimo, da migranti ne ostanejo predolgo na mejah in da so države članice preobremenjene s tokom migrantov. Države članice morajo biti dobro opremljene za njihovo namestitev. </w:t>
      </w:r>
    </w:p>
    <w:p>
      <w:pPr>
        <w:pStyle w:val="Normal"/>
        <w:rPr/>
      </w:pPr>
      <w:r>
        <w:rPr/>
        <w:t xml:space="preserve"> </w:t>
      </w:r>
    </w:p>
    <w:p>
      <w:pPr>
        <w:pStyle w:val="Titre3"/>
        <w:numPr>
          <w:ilvl w:val="2"/>
          <w:numId w:val="2"/>
        </w:numPr>
        <w:rPr/>
      </w:pPr>
      <w:bookmarkStart w:id="185" w:name="__RefHeading___Toc297305_1346298689"/>
      <w:bookmarkEnd w:id="185"/>
      <w:r>
        <w:rPr/>
        <w:t xml:space="preserve">Os 2: EU kot mednarodna partnerica </w:t>
      </w:r>
    </w:p>
    <w:p>
      <w:pPr>
        <w:pStyle w:val="Titre4"/>
        <w:numPr>
          <w:ilvl w:val="3"/>
          <w:numId w:val="2"/>
        </w:numPr>
        <w:rPr/>
      </w:pPr>
      <w:bookmarkStart w:id="186" w:name="__RefHeading___Toc297307_1346298689"/>
      <w:bookmarkEnd w:id="186"/>
      <w:r>
        <w:rPr/>
        <w:t xml:space="preserve">Podos 2.1 – Trgovina in odnosi z etičnega vidika </w:t>
      </w:r>
    </w:p>
    <w:p>
      <w:pPr>
        <w:pStyle w:val="P68B1DB1Normal15"/>
        <w:rPr>
          <w:b/>
          <w:b/>
        </w:rPr>
      </w:pPr>
      <w:r>
        <w:rPr/>
        <w:t xml:space="preserve">11. Priporočamo, da EU uvede omejitve za uvoz izdelkov iz držav, ki omogočajo delo otrok. V ta namen bi bilo treba sestaviti črni seznam družb, ki bi se redno posodabljal v skladu z razvojem dogodkov. Prav tako priporočamo, da se otrokom, ki prenehajo delati, zagotovi postopen dostop do izobraževanja, pa tudi ozaveščanje potrošnikov o delu otrok z informacijami, ki jih uradno razširja Evropska unija, na primer s kampanjami ali pripovedovanjem zgodb. </w:t>
      </w:r>
    </w:p>
    <w:p>
      <w:pPr>
        <w:pStyle w:val="Normal"/>
        <w:rPr/>
      </w:pPr>
      <w:r>
        <w:rPr/>
        <w:t xml:space="preserve"> </w:t>
      </w:r>
    </w:p>
    <w:p>
      <w:pPr>
        <w:pStyle w:val="Normal"/>
        <w:rPr/>
      </w:pPr>
      <w:r>
        <w:rPr/>
        <w:t xml:space="preserve">Te ukrepe priporočamo, ker menimo, da obstaja povezava med pomanjkanjem šolanja in delom otrok. S tem priporočilom želimo povečati ozaveščenost potrošnikov in zmanjšati povpraševanje po izdelkih, ki jih izdelujejo otroci, tako da ta praksa izgine. </w:t>
      </w:r>
    </w:p>
    <w:p>
      <w:pPr>
        <w:pStyle w:val="Normal"/>
        <w:rPr/>
      </w:pPr>
      <w:r>
        <w:rPr/>
        <w:t xml:space="preserve"> </w:t>
      </w:r>
    </w:p>
    <w:p>
      <w:pPr>
        <w:pStyle w:val="P68B1DB1Normal15"/>
        <w:rPr>
          <w:b/>
          <w:b/>
        </w:rPr>
      </w:pPr>
      <w:r>
        <w:rPr/>
        <w:t xml:space="preserve">12. Priporočamo, da Evropska unija razvije partnerstva z državami v razvoju za podporo njihovi infrastrukturi in izmenjavo strokovnega znanja v zameno za vzajemno koristne trgovinske sporazume, ki bi jih spremljali pri prehodu na zelene vire energije. </w:t>
      </w:r>
    </w:p>
    <w:p>
      <w:pPr>
        <w:pStyle w:val="Normal"/>
        <w:rPr/>
      </w:pPr>
      <w:r>
        <w:rPr/>
        <w:t xml:space="preserve"> </w:t>
      </w:r>
    </w:p>
    <w:p>
      <w:pPr>
        <w:pStyle w:val="Normal"/>
        <w:rPr/>
      </w:pPr>
      <w:r>
        <w:rPr/>
        <w:t xml:space="preserve">Priporočamo te ukrepe za olajšanje prehoda držav v razvoju na obnovljive vire energije s trgovinskimi partnerstvi in diplomatskimi sporazumi. Evropska unija in države v razvoju bi tako razvile dobre dolgoročne odnose, ki bi prispevali k boju proti podnebnim spremembam. </w:t>
      </w:r>
    </w:p>
    <w:p>
      <w:pPr>
        <w:pStyle w:val="Normal"/>
        <w:rPr/>
      </w:pPr>
      <w:r>
        <w:rPr/>
        <w:t xml:space="preserve"> </w:t>
      </w:r>
    </w:p>
    <w:p>
      <w:pPr>
        <w:pStyle w:val="P68B1DB1Normal15"/>
        <w:rPr>
          <w:b/>
          <w:b/>
        </w:rPr>
      </w:pPr>
      <w:r>
        <w:rPr/>
        <w:t xml:space="preserve">13. Priporočamo, da Evropska unija uvede evropski kazalnik vpliva na okolje (ekoscore) na vse potrošniške izdelke. Ecoscore bi se izračunal na podlagi emisij iz proizvodnje in prevoza ter škodljivosti vsebine na podlagi seznama nevarnih proizvodov. Ecoscore bi moral upravljati in nadzorovati evropski organ. </w:t>
      </w:r>
    </w:p>
    <w:p>
      <w:pPr>
        <w:pStyle w:val="Normal"/>
        <w:rPr/>
      </w:pPr>
      <w:r>
        <w:rPr/>
        <w:t xml:space="preserve"> </w:t>
      </w:r>
    </w:p>
    <w:p>
      <w:pPr>
        <w:pStyle w:val="Normal"/>
        <w:rPr/>
      </w:pPr>
      <w:r>
        <w:rPr/>
        <w:t xml:space="preserve">Priporočamo te ukrepe, da bi se evropski potrošniki bolje zavedali okoljskega odtisa izdelkov, ki jih kupujejo. Ecoscore bi olajšal navedbo, v kolikšni meri proizvod spoštuje okolje v obsegu, ki je skupen po vsej Evropi. Ecoscore bi moral imeti kodo QR na hrbtni strani izdelka, da bi lahko dostopali do dodatnih informacij o njegovem okoljskem odtisu. </w:t>
      </w:r>
    </w:p>
    <w:p>
      <w:pPr>
        <w:pStyle w:val="Normal"/>
        <w:rPr/>
      </w:pPr>
      <w:r>
        <w:rPr/>
        <w:t xml:space="preserve"> </w:t>
      </w:r>
    </w:p>
    <w:p>
      <w:pPr>
        <w:pStyle w:val="Titre4"/>
        <w:numPr>
          <w:ilvl w:val="3"/>
          <w:numId w:val="2"/>
        </w:numPr>
        <w:rPr/>
      </w:pPr>
      <w:bookmarkStart w:id="187" w:name="__RefHeading___Toc297309_1346298689"/>
      <w:bookmarkEnd w:id="187"/>
      <w:r>
        <w:rPr/>
        <w:t xml:space="preserve">Podos 2.2 – Mednarodni podnebni ukrepi </w:t>
      </w:r>
    </w:p>
    <w:p>
      <w:pPr>
        <w:pStyle w:val="P68B1DB1Normal15"/>
        <w:rPr>
          <w:b/>
          <w:b/>
        </w:rPr>
      </w:pPr>
      <w:r>
        <w:rPr/>
        <w:t xml:space="preserve">14. Evropski uniji priporočamo, da sprejme strategijo, s katero bo bolj avtonomna pri proizvodnji energije. Evropski organ, ki združuje sedanje evropske energetske institucije, bi moral usklajevati razvoj obnovljivih virov energije v skladu s potrebami, zmogljivostmi in viri držav članic ob spoštovanju njihove suverenosti. Institucije bi spodbujale izmenjavo znanja med seboj za izvajanje te strategije. </w:t>
      </w:r>
    </w:p>
    <w:p>
      <w:pPr>
        <w:pStyle w:val="Normal"/>
        <w:rPr/>
      </w:pPr>
      <w:r>
        <w:rPr/>
        <w:t xml:space="preserve"> </w:t>
      </w:r>
    </w:p>
    <w:p>
      <w:pPr>
        <w:pStyle w:val="Normal"/>
        <w:rPr/>
      </w:pPr>
      <w:r>
        <w:rPr/>
        <w:t xml:space="preserve">Te ukrepe priporočamo, ker smo zaradi sedanje odvisnosti ranljivi v primeru političnih napetosti z državami, ki jih uvažamo. To se zdaj sooča s krizo pri oskrbi z električno energijo. Kljub temu bi moralo takšno usklajevanje spoštovati suverenost vsake države. </w:t>
      </w:r>
    </w:p>
    <w:p>
      <w:pPr>
        <w:pStyle w:val="Normal"/>
        <w:rPr/>
      </w:pPr>
      <w:r>
        <w:rPr/>
        <w:t xml:space="preserve"> </w:t>
      </w:r>
    </w:p>
    <w:p>
      <w:pPr>
        <w:pStyle w:val="P68B1DB1Normal15"/>
        <w:rPr>
          <w:b/>
          <w:b/>
        </w:rPr>
      </w:pPr>
      <w:r>
        <w:rPr/>
        <w:t xml:space="preserve">15. Priporočamo okrepitev okoljskih standardov za izvoz odpadkov znotraj in zunaj EU ter strožji nadzor in sankcije za zaustavitev nezakonitega izvoza. EU bi morala države članice spodbujati k nadaljnjemu recikliranju lastnih odpadkov in njihovi uporabi za proizvodnjo energije. </w:t>
      </w:r>
    </w:p>
    <w:p>
      <w:pPr>
        <w:pStyle w:val="Normal"/>
        <w:rPr/>
      </w:pPr>
      <w:r>
        <w:rPr/>
        <w:t xml:space="preserve"> </w:t>
      </w:r>
    </w:p>
    <w:p>
      <w:pPr>
        <w:pStyle w:val="Normal"/>
        <w:rPr/>
      </w:pPr>
      <w:r>
        <w:rPr/>
        <w:t xml:space="preserve">Priporočamo, da se s temi ukrepi odpravi okoljska škoda v državah, ki odlagajo svoje odpadke v škodo drugih držav, zlasti v primeru popolne neskladnosti z okoljskimi standardi. </w:t>
      </w:r>
    </w:p>
    <w:p>
      <w:pPr>
        <w:pStyle w:val="Normal"/>
        <w:rPr/>
      </w:pPr>
      <w:r>
        <w:rPr/>
        <w:t xml:space="preserve"> </w:t>
      </w:r>
    </w:p>
    <w:p>
      <w:pPr>
        <w:pStyle w:val="P68B1DB1Normal15"/>
        <w:rPr>
          <w:b/>
          <w:b/>
        </w:rPr>
      </w:pPr>
      <w:r>
        <w:rPr/>
        <w:t xml:space="preserve">16. Priporočamo, da EU odločneje spodbuja sedanji ekološki prehod s ciljem odprave embalaže, ki onesnažuje okolje. To bi bilo treba doseči s spodbujanjem zmanjšanja embalaže ali spodbujanjem okolju prijaznejše embalaže. Da bi se mala podjetja lahko prilagodila, bi morala prejeti podporo in prilagoditve. </w:t>
      </w:r>
    </w:p>
    <w:p>
      <w:pPr>
        <w:pStyle w:val="Normal"/>
        <w:rPr/>
      </w:pPr>
      <w:r>
        <w:rPr/>
        <w:t xml:space="preserve"> </w:t>
      </w:r>
    </w:p>
    <w:p>
      <w:pPr>
        <w:pStyle w:val="Normal"/>
        <w:rPr/>
      </w:pPr>
      <w:r>
        <w:rPr/>
        <w:t xml:space="preserve">Te ukrepe priporočamo, ker moramo zmanjšati uporabo naravnih virov, vključno s surovinami iz držav zunaj EU. Zmanjšati moramo tudi škodo, ki jo Evropejci povzročajo našemu planetu in njegovemu podnebju. Bistveno je, da se mala podjetja bolje podprejo, da se bodo lahko prilagajala, ne da bi jim bilo treba zvišati svoje cene. </w:t>
      </w:r>
    </w:p>
    <w:p>
      <w:pPr>
        <w:pStyle w:val="Normal"/>
        <w:rPr/>
      </w:pPr>
      <w:r>
        <w:rPr/>
        <w:t xml:space="preserve"> </w:t>
      </w:r>
    </w:p>
    <w:p>
      <w:pPr>
        <w:pStyle w:val="P68B1DB1Normal15"/>
        <w:rPr>
          <w:b/>
          <w:b/>
        </w:rPr>
      </w:pPr>
      <w:r>
        <w:rPr/>
        <w:t xml:space="preserve">17. Priporočamo, da države Evropske unije skupaj bolj resno preučijo vprašanje jedrske energije. Okrepiti bi bilo treba sodelovanje pri oceni uporabe jedrske energije in njene vloge pri prehodu Evrope na zeleno energijo. </w:t>
      </w:r>
    </w:p>
    <w:p>
      <w:pPr>
        <w:pStyle w:val="Normal"/>
        <w:rPr/>
      </w:pPr>
      <w:r>
        <w:rPr/>
        <w:t xml:space="preserve"> </w:t>
      </w:r>
    </w:p>
    <w:p>
      <w:pPr>
        <w:pStyle w:val="Normal"/>
        <w:rPr/>
      </w:pPr>
      <w:r>
        <w:rPr/>
        <w:t xml:space="preserve">Priporočamo te ukrepe, ker država ne more rešiti jedrskega vprašanja v osamitvi. V polovici držav članic je zdaj več kot 100 reaktorjev, v gradnji pa so novi reaktorji. Ker imamo skupno električno omrežje, nizkoogljična električna energija, ki jo proizvajajo, koristi vsem Evropejcem in povečuje energetsko avtonomijo naše celine. Poleg tega bi opustitev jedrskih odpadkov ali nesreča prizadela več držav. Ne glede na to, ali se o uporabi jedrske energije odloča ali ne, morajo Evropejci o tem razpravljati skupaj in opredeliti bolj usklajene strategije ob spoštovanju nacionalne suverenosti. </w:t>
      </w:r>
    </w:p>
    <w:p>
      <w:pPr>
        <w:pStyle w:val="Normal"/>
        <w:rPr/>
      </w:pPr>
      <w:r>
        <w:rPr/>
        <w:t xml:space="preserve"> </w:t>
      </w:r>
    </w:p>
    <w:p>
      <w:pPr>
        <w:pStyle w:val="Titre4"/>
        <w:numPr>
          <w:ilvl w:val="3"/>
          <w:numId w:val="2"/>
        </w:numPr>
        <w:rPr/>
      </w:pPr>
      <w:bookmarkStart w:id="188" w:name="__RefHeading___Toc297311_1346298689"/>
      <w:bookmarkEnd w:id="188"/>
      <w:r>
        <w:rPr/>
        <w:t xml:space="preserve">Podos 2.3 – Spodbujanje evropskih vrednot </w:t>
      </w:r>
    </w:p>
    <w:p>
      <w:pPr>
        <w:pStyle w:val="P68B1DB1Normal15"/>
        <w:rPr>
          <w:b/>
          <w:b/>
        </w:rPr>
      </w:pPr>
      <w:r>
        <w:rPr/>
        <w:t xml:space="preserve">18. EU bi morala biti bližje državljanom. Priporočamo, da EU vzpostavi in okrepi povezave z državljani in lokalnimi institucijami, kot so lokalne oblasti, šole in občine. Cilj je izboljšati preglednost, doseči državljane, jih bolje obveščati o konkretnih pobudah EU in bolje sporočati splošne informacije EU. </w:t>
      </w:r>
    </w:p>
    <w:p>
      <w:pPr>
        <w:pStyle w:val="Normal"/>
        <w:rPr/>
      </w:pPr>
      <w:r>
        <w:rPr/>
        <w:t xml:space="preserve"> </w:t>
      </w:r>
    </w:p>
    <w:p>
      <w:pPr>
        <w:pStyle w:val="Normal"/>
        <w:rPr/>
      </w:pPr>
      <w:r>
        <w:rPr/>
        <w:t xml:space="preserve">Te ukrepe priporočamo, ker trenutne informacije o EU niso dovolj dostopne vsem družbenim skupinam in ne vplivajo na navadne državljane. Pogosto so dolgočasni, težko razumljivi in neprijazni. Te razmere se morajo spremeniti, da bodo imeli državljani jasno vizijo o ukrepih in vlogi EU. Da bi pritegnili javni interes, morajo biti informacije, povezane z EU, lahko dostopne, motivirane, zanimive in napisane v skupnem jeziku. Tukaj so naši predlogi: organizacija obiskov evropskih politikov v šolah, radijske kampanje v obliki poddaj, pisem, časopisnih člankov, oglaševalskih avtobusov in družbenih medijev, lokalnih državljanskih skupščin in ustanovitev delovne skupine, ki bo posebej izboljšala komunikacijo EU. Ti ukrepi bodo državljanom omogočili, da pridobijo informacije o EU, ki jih nacionalni mediji ne filtrirajo. </w:t>
      </w:r>
    </w:p>
    <w:p>
      <w:pPr>
        <w:pStyle w:val="Normal"/>
        <w:rPr/>
      </w:pPr>
      <w:r>
        <w:rPr/>
        <w:t xml:space="preserve"> </w:t>
      </w:r>
    </w:p>
    <w:p>
      <w:pPr>
        <w:pStyle w:val="P68B1DB1Normal15"/>
        <w:rPr>
          <w:b/>
          <w:b/>
        </w:rPr>
      </w:pPr>
      <w:r>
        <w:rPr/>
        <w:t xml:space="preserve">19. Priporočamo večjo udeležbo državljanov v politikah EU. Predlagamo organizacijo dogodkov, ki vključujejo neposredno udeležbo državljanov po vzoru konference o prihodnosti Evrope. Organizirati bi jih bilo treba na nacionalni, lokalni in evropski ravni. EU bi morala opredeliti skladno strategijo in centralizirane smernice za te dogodke. </w:t>
      </w:r>
    </w:p>
    <w:p>
      <w:pPr>
        <w:pStyle w:val="Normal"/>
        <w:rPr/>
      </w:pPr>
      <w:r>
        <w:rPr/>
        <w:t xml:space="preserve"> </w:t>
      </w:r>
    </w:p>
    <w:p>
      <w:pPr>
        <w:pStyle w:val="Normal"/>
        <w:rPr/>
      </w:pPr>
      <w:r>
        <w:rPr/>
        <w:t xml:space="preserve">Te ukrepe priporočamo, ker bodo te vaje participativne demokracije zagotovile pravilne informacije o EU in izboljšale kakovost politik EU. Dogodke bi bilo treba organizirati tako, da bi spodbujali temeljne vrednote Unije – demokracijo in udeležbo državljanov. Ti dogodki bi politikom ponudili priložnost, da državljanom dokažejo, da jim je pomembno, da so državljani obveščeni o aktualnih dogodkih in da so povezani z njihovo opredelitvijo. Centralizirane smernice bodo zagotovile doslednost in doslednost nacionalnih in lokalnih konferenc. </w:t>
      </w:r>
    </w:p>
    <w:p>
      <w:pPr>
        <w:pStyle w:val="Normal"/>
        <w:rPr/>
      </w:pPr>
      <w:r>
        <w:rPr/>
        <w:t xml:space="preserve"> </w:t>
      </w:r>
    </w:p>
    <w:p>
      <w:pPr>
        <w:pStyle w:val="Titre3"/>
        <w:numPr>
          <w:ilvl w:val="2"/>
          <w:numId w:val="2"/>
        </w:numPr>
        <w:rPr/>
      </w:pPr>
      <w:bookmarkStart w:id="189" w:name="__RefHeading___Toc297313_1346298689"/>
      <w:bookmarkEnd w:id="189"/>
      <w:r>
        <w:rPr/>
        <w:t xml:space="preserve">Os 3: Močna EU v mirnem svetu </w:t>
      </w:r>
    </w:p>
    <w:p>
      <w:pPr>
        <w:pStyle w:val="Titre4"/>
        <w:numPr>
          <w:ilvl w:val="3"/>
          <w:numId w:val="2"/>
        </w:numPr>
        <w:rPr/>
      </w:pPr>
      <w:bookmarkStart w:id="190" w:name="__RefHeading___Toc297315_1346298689"/>
      <w:bookmarkEnd w:id="190"/>
      <w:r>
        <w:rPr/>
        <w:t xml:space="preserve">Podos 3.1 – Varnost in obramba </w:t>
      </w:r>
    </w:p>
    <w:p>
      <w:pPr>
        <w:pStyle w:val="P68B1DB1Normal15"/>
        <w:rPr>
          <w:b/>
          <w:b/>
        </w:rPr>
      </w:pPr>
      <w:r>
        <w:rPr/>
        <w:t xml:space="preserve">20. Priporočamo, da se prihodnje „skupne oborožene sile Evropske unije“ uporabljajo predvsem za obrambne namene. Vse agresivne vojaške akcije, ne glede na njihovo naravo, so izključene. V Evropi bi to zagotovilo sredstva za zagotavljanje pomoči v primeru krize, zlasti v primeru naravne nesreče. Zunaj evropskih meja bi to omogočilo razporeditev virov na ozemlja z izjemnimi okoliščinami, izključno v okviru pravnega mandata Varnostnega sveta ZN in s tem v skladu z mednarodnim pravom. </w:t>
      </w:r>
    </w:p>
    <w:p>
      <w:pPr>
        <w:pStyle w:val="Normal"/>
        <w:rPr/>
      </w:pPr>
      <w:r>
        <w:rPr/>
        <w:t xml:space="preserve"> </w:t>
      </w:r>
    </w:p>
    <w:p>
      <w:pPr>
        <w:pStyle w:val="Normal"/>
        <w:rPr/>
      </w:pPr>
      <w:r>
        <w:rPr/>
        <w:t xml:space="preserve">Če bi se to izvajalo, bi Evropsko unijo lahko obravnavali kot verodostojnega, odgovornega, močnega in miroljubnega partnerja na mednarodnem prizorišču. Zato bi morala njena okrepljena zmogljivost za odzivanje na krizne razmere doma in v tujini zaščititi svoje temeljne vrednote. </w:t>
      </w:r>
    </w:p>
    <w:p>
      <w:pPr>
        <w:pStyle w:val="Normal"/>
        <w:rPr/>
      </w:pPr>
      <w:r>
        <w:rPr/>
        <w:t xml:space="preserve"> </w:t>
      </w:r>
    </w:p>
    <w:p>
      <w:pPr>
        <w:pStyle w:val="Titre4"/>
        <w:numPr>
          <w:ilvl w:val="3"/>
          <w:numId w:val="2"/>
        </w:numPr>
        <w:rPr/>
      </w:pPr>
      <w:bookmarkStart w:id="191" w:name="__RefHeading___Toc297317_1346298689"/>
      <w:bookmarkEnd w:id="191"/>
      <w:r>
        <w:rPr/>
        <w:t xml:space="preserve">Podos 3.2 – odločanje in zunanja politika EU </w:t>
      </w:r>
    </w:p>
    <w:p>
      <w:pPr>
        <w:pStyle w:val="P68B1DB1Normal15"/>
        <w:rPr>
          <w:b/>
          <w:b/>
        </w:rPr>
      </w:pPr>
      <w:r>
        <w:rPr/>
        <w:t xml:space="preserve">21. Priporočamo, da se vsa področja, na katerih se odločitve sprejemajo soglasno, zdaj sprejemajo s kvalificirano večino. Edina izjema bi morala biti sprejem novih držav članic v Unijo in sprememba temeljnih načel Unije iz člena 2 Lizbonske pogodbe in Listine Evropske unije o temeljnih pravicah. </w:t>
      </w:r>
    </w:p>
    <w:p>
      <w:pPr>
        <w:pStyle w:val="Normal"/>
        <w:rPr/>
      </w:pPr>
      <w:r>
        <w:rPr/>
        <w:t xml:space="preserve"> </w:t>
      </w:r>
    </w:p>
    <w:p>
      <w:pPr>
        <w:pStyle w:val="Normal"/>
        <w:rPr/>
      </w:pPr>
      <w:r>
        <w:rPr/>
        <w:t xml:space="preserve">To bi okrepilo položaj EU v svetu, saj bi predstavljalo enotno fronto v odnosu do tretjih držav in olajšalo njeno splošno zmogljivost odzivanja, vključno z odzivanjem na krize. </w:t>
      </w:r>
    </w:p>
    <w:p>
      <w:pPr>
        <w:pStyle w:val="Normal"/>
        <w:rPr/>
      </w:pPr>
      <w:r>
        <w:rPr/>
        <w:t xml:space="preserve"> </w:t>
      </w:r>
    </w:p>
    <w:p>
      <w:pPr>
        <w:pStyle w:val="P68B1DB1Normal15"/>
        <w:rPr>
          <w:b/>
          <w:b/>
        </w:rPr>
      </w:pPr>
      <w:r>
        <w:rPr/>
        <w:t xml:space="preserve">22. Priporočamo, da Evropska unija okrepi svoje zmogljivosti za nalaganje sankcij državam članicam, vladam, subjektom, skupinam ali organizacijam ter posameznikom, ki ne spoštujejo njenih temeljnih načel, sporazumov in zakonov. Nujno je, da se sankcije, ki že obstajajo, hitro izvedejo in učinkovito upoštevajo. Sankcije, naložene tretjim državam, bi morale biti sorazmerne z ukrepi, ki so jih sprožile, biti učinkovite in se morajo uporabljati pravočasno. </w:t>
      </w:r>
    </w:p>
    <w:p>
      <w:pPr>
        <w:pStyle w:val="Normal"/>
        <w:rPr/>
      </w:pPr>
      <w:r>
        <w:rPr/>
        <w:t xml:space="preserve"> </w:t>
      </w:r>
    </w:p>
    <w:p>
      <w:pPr>
        <w:pStyle w:val="Normal"/>
        <w:rPr/>
      </w:pPr>
      <w:r>
        <w:rPr/>
        <w:t xml:space="preserve">Da bi bila EU verodostojna in zanesljiva, mora naložiti sankcije tistim, ki kršijo njena načela. Take sankcije bi bilo treba uporabljati učinkovito in hitro ter bi morale biti predmet nadzora. </w:t>
      </w:r>
    </w:p>
    <w:p>
      <w:pPr>
        <w:pStyle w:val="Normal"/>
        <w:rPr/>
      </w:pPr>
      <w:r>
        <w:rPr/>
        <w:t xml:space="preserve"> </w:t>
      </w:r>
    </w:p>
    <w:p>
      <w:pPr>
        <w:pStyle w:val="Titre4"/>
        <w:numPr>
          <w:ilvl w:val="3"/>
          <w:numId w:val="2"/>
        </w:numPr>
        <w:rPr/>
      </w:pPr>
      <w:bookmarkStart w:id="192" w:name="__RefHeading___Toc297319_1346298689"/>
      <w:bookmarkEnd w:id="192"/>
      <w:r>
        <w:rPr/>
        <w:t xml:space="preserve">Podos 3.3 – sosednje države in širitev </w:t>
      </w:r>
    </w:p>
    <w:p>
      <w:pPr>
        <w:pStyle w:val="P68B1DB1Normal15"/>
        <w:rPr>
          <w:b/>
          <w:b/>
        </w:rPr>
      </w:pPr>
      <w:r>
        <w:rPr/>
        <w:t xml:space="preserve">23. Priporočamo, da Evropska unija nameni poseben proračun za razvoj izobraževalnih programov, namenjenih delovanju EU in njenim vrednotam. Ti programi bodo nato na voljo državam članicam, če jih bodo želele vključiti v svoje šolske učne načrte (osnovno in srednješolsko izobraževanje ter univerze). Poleg tega bi lahko študentom, ki želijo študirati v drugi evropski državi v okviru programa Erasmus, ponudili poseben tečaj o EU in njegovem delovanju. Študenti, ki izberejo ta tečaj, bi imeli prednost pri uporabi teh programov Erasmus. </w:t>
      </w:r>
    </w:p>
    <w:p>
      <w:pPr>
        <w:pStyle w:val="Normal"/>
        <w:rPr/>
      </w:pPr>
      <w:r>
        <w:rPr/>
        <w:t xml:space="preserve"> </w:t>
      </w:r>
    </w:p>
    <w:p>
      <w:pPr>
        <w:pStyle w:val="Normal"/>
        <w:rPr/>
      </w:pPr>
      <w:r>
        <w:rPr/>
        <w:t xml:space="preserve">Priporočamo te ukrepe, da bi povečali občutek pripadnosti EU. Na ta način se bodo državljani bolje identificirali z Unijo in posredovali njene vrednote. Poleg tega bodo ti ukrepi izboljšali preglednost delovanja EU in koristi njenega sodelovanja ter boj proti protievropskim gibanjem. Ti ukrepi bi morali države članice odvračati od izstopa iz EU. </w:t>
      </w:r>
    </w:p>
    <w:p>
      <w:pPr>
        <w:pStyle w:val="Normal"/>
        <w:rPr/>
      </w:pPr>
      <w:r>
        <w:rPr/>
        <w:t xml:space="preserve"> </w:t>
      </w:r>
    </w:p>
    <w:p>
      <w:pPr>
        <w:pStyle w:val="P68B1DB1Normal15"/>
        <w:rPr>
          <w:b/>
          <w:b/>
        </w:rPr>
      </w:pPr>
      <w:r>
        <w:rPr/>
        <w:t xml:space="preserve">24. Priporočamo, da EU v svojih odnosih z drugimi državami močneje izkoristi svojo politično in gospodarsko težo, da bi preprečila, da bi bile nekatere države članice izpostavljene dvostranskemu gospodarskemu, političnemu in socialnemu pritisku. </w:t>
      </w:r>
    </w:p>
    <w:p>
      <w:pPr>
        <w:pStyle w:val="Normal"/>
        <w:rPr/>
      </w:pPr>
      <w:r>
        <w:rPr/>
        <w:t xml:space="preserve"> </w:t>
      </w:r>
    </w:p>
    <w:p>
      <w:pPr>
        <w:pStyle w:val="Normal"/>
        <w:rPr/>
      </w:pPr>
      <w:r>
        <w:rPr/>
        <w:t xml:space="preserve">Te ukrepe priporočamo iz treh razlogov. Najprej bodo okrepili občutek enotnosti v EU. Drugič, enostranski odziv bo jasen, odločen in hiter odziv, da se prepreči vsak poskus tretjih držav, da bi ustrahovale ali zatirale države članice EU. Poleg tega bodo okrepile varnost Unije in zagotovile, da se nobena država članica ne bo počutila zapuščeno ali prezrto. Dvostranski odzivi ločujejo EU in so slabost, ki jo tretje države uporabljajo proti nam. </w:t>
      </w:r>
    </w:p>
    <w:p>
      <w:pPr>
        <w:pStyle w:val="Normal"/>
        <w:rPr/>
      </w:pPr>
      <w:r>
        <w:rPr/>
        <w:t xml:space="preserve"> </w:t>
      </w:r>
    </w:p>
    <w:p>
      <w:pPr>
        <w:pStyle w:val="P68B1DB1Normal15"/>
        <w:rPr>
          <w:b/>
          <w:b/>
        </w:rPr>
      </w:pPr>
      <w:r>
        <w:rPr/>
        <w:t xml:space="preserve">25. „Priporočamo, da Unija izboljša svojo komunikacijsko strategijo“. Po eni strani bi morala EU povečati svojo prepoznavnost na družbenih omrežjih in dejavno promovirati njeno vsebino. Po drugi strani pa bi morala še naprej vsako leto organizirati konference, kot je konferenca o prihodnosti Evrope. Priporočamo tudi, da še naprej spodbuja inovacije s spodbujanjem dostopnega evropskega socialnega omrežja. </w:t>
      </w:r>
    </w:p>
    <w:p>
      <w:pPr>
        <w:pStyle w:val="Normal"/>
        <w:rPr/>
      </w:pPr>
      <w:r>
        <w:rPr/>
        <w:t xml:space="preserve"> </w:t>
      </w:r>
    </w:p>
    <w:p>
      <w:pPr>
        <w:pStyle w:val="Normal"/>
        <w:rPr/>
      </w:pPr>
      <w:r>
        <w:rPr/>
        <w:t xml:space="preserve">Ti predlogi ne bi dosegli le mladih, temveč bi tudi povečali zanimanje in udeležbo evropskih državljanov s privlačnejšim in učinkovitejšim komunikacijskim orodjem. Organizacija dogodkov, kot je konferenca o prihodnosti Evrope, bi morala državljanom omogočiti večjo vključenost v postopek odločanja in zagotoviti, da se njihov glas sliši. </w:t>
      </w:r>
    </w:p>
    <w:p>
      <w:pPr>
        <w:pStyle w:val="Normal"/>
        <w:rPr/>
      </w:pPr>
      <w:r>
        <w:rPr/>
        <w:t xml:space="preserve"> </w:t>
      </w:r>
    </w:p>
    <w:p>
      <w:pPr>
        <w:pStyle w:val="P68B1DB1Normal15"/>
        <w:rPr>
          <w:b/>
          <w:b/>
        </w:rPr>
      </w:pPr>
      <w:r>
        <w:rPr/>
        <w:t xml:space="preserve">26. Priporočamo, da države članice sprejmejo trdno vizijo in skupno strategijo za uskladitev in utrditev evropske identitete in enotnosti pred nadaljnjim širjenjem Unije. </w:t>
      </w:r>
    </w:p>
    <w:p>
      <w:pPr>
        <w:pStyle w:val="Normal"/>
        <w:rPr/>
      </w:pPr>
      <w:r>
        <w:rPr/>
        <w:t xml:space="preserve"> </w:t>
      </w:r>
    </w:p>
    <w:p>
      <w:pPr>
        <w:pStyle w:val="Normal"/>
        <w:rPr/>
      </w:pPr>
      <w:r>
        <w:rPr/>
        <w:t xml:space="preserve">Menimo, da je bistveno okrepiti EU in odnose med državami članicami, preden se razmisli o vključevanju drugih držav. Bolj ko so države članice v EU, bolj zapleten je postopek odločanja; zato je pomembno pregledati soglasno glasovanje v postopkih odločanja. </w:t>
      </w:r>
    </w:p>
    <w:p>
      <w:pPr>
        <w:pStyle w:val="Normal"/>
        <w:rPr/>
      </w:pPr>
      <w:r>
        <w:rPr/>
        <w:t xml:space="preserve"> </w:t>
      </w:r>
    </w:p>
    <w:p>
      <w:pPr>
        <w:pStyle w:val="Titre3"/>
        <w:numPr>
          <w:ilvl w:val="2"/>
          <w:numId w:val="2"/>
        </w:numPr>
        <w:rPr/>
      </w:pPr>
      <w:bookmarkStart w:id="193" w:name="__RefHeading___Toc297321_1346298689"/>
      <w:bookmarkEnd w:id="193"/>
      <w:r>
        <w:rPr/>
        <w:t xml:space="preserve">Os 4: Migracije s človeškega vidika </w:t>
      </w:r>
    </w:p>
    <w:p>
      <w:pPr>
        <w:pStyle w:val="Titre4"/>
        <w:numPr>
          <w:ilvl w:val="3"/>
          <w:numId w:val="2"/>
        </w:numPr>
        <w:rPr/>
      </w:pPr>
      <w:bookmarkStart w:id="194" w:name="__RefHeading___Toc297323_1346298689"/>
      <w:bookmarkEnd w:id="194"/>
      <w:r>
        <w:rPr/>
        <w:t xml:space="preserve">Podos 4.1 – Odpravljanje vzrokov za izseljevanje </w:t>
      </w:r>
    </w:p>
    <w:p>
      <w:pPr>
        <w:pStyle w:val="P68B1DB1Normal15"/>
        <w:rPr>
          <w:b/>
          <w:b/>
        </w:rPr>
      </w:pPr>
      <w:r>
        <w:rPr/>
        <w:t xml:space="preserve">27. Priporočamo, da Evropska unija dejavno sodeluje pri gospodarskem razvoju tretjih držav in držav, iz katerih izvirajo največji tokovi migrantov. EU bi morala s pomočjo ustreznih organov (lokalnih nevladnih organizacij in lokalnih politikov, strokovnih delavcev na terenu itd.) poiskati načine za mirno in učinkovito posredovanje v državah, iz katerih izvirajo največji tokovi migrantov in ki so se dogovorile o načinih sodelovanja. Ti ukrepi bi morali imeti oprijemljive in merljive učinke, ki bi jih bilo treba jasno poudariti, da bi lahko evropski državljani razumeli politiko razvojne pomoči Unije. Zato bi morali ukrepi razvojne pomoči EU postati vidnejši. </w:t>
      </w:r>
    </w:p>
    <w:p>
      <w:pPr>
        <w:pStyle w:val="Normal"/>
        <w:rPr/>
      </w:pPr>
      <w:r>
        <w:rPr/>
        <w:t xml:space="preserve"> </w:t>
      </w:r>
    </w:p>
    <w:p>
      <w:pPr>
        <w:pStyle w:val="Normal"/>
        <w:rPr/>
      </w:pPr>
      <w:r>
        <w:rPr/>
        <w:t xml:space="preserve">Čeprav si EU prizadeva za mednarodni razvoj, mora še naprej ukrepati ter vlagati v preglednost in prepoznavnost svoje politike na tem področju. </w:t>
      </w:r>
    </w:p>
    <w:p>
      <w:pPr>
        <w:pStyle w:val="Normal"/>
        <w:rPr/>
      </w:pPr>
      <w:r>
        <w:rPr/>
        <w:t xml:space="preserve"> </w:t>
      </w:r>
    </w:p>
    <w:p>
      <w:pPr>
        <w:pStyle w:val="P68B1DB1Normal15"/>
        <w:rPr>
          <w:b/>
          <w:b/>
        </w:rPr>
      </w:pPr>
      <w:r>
        <w:rPr/>
        <w:t xml:space="preserve">28. Priporočamo vzpostavitev skupnega evropskega okvira za usklajevanje delovnih pogojev po vsej Uniji (minimalna plača, delovni čas itd.). EU bi si morala prizadevati za oblikovanje skupnih osnovnih delovnih standardov, da bi državljanom preprečila odhod iz svoje države, da bi si poiskali boljše delovne pogoje drugje. V okviru teh standardov bi morala EU okrepiti vlogo sindikatov na nadnacionalni ravni in s tem priznati, da so notranje ekonomske migracije (migracije državljanov EU) resen problem. </w:t>
      </w:r>
    </w:p>
    <w:p>
      <w:pPr>
        <w:pStyle w:val="Normal"/>
        <w:rPr/>
      </w:pPr>
      <w:r>
        <w:rPr/>
        <w:t xml:space="preserve"> </w:t>
      </w:r>
    </w:p>
    <w:p>
      <w:pPr>
        <w:pStyle w:val="Normal"/>
        <w:rPr/>
      </w:pPr>
      <w:r>
        <w:rPr/>
        <w:t xml:space="preserve">To priporočilo izhaja iz ugotovitve, da veliko število ljudi v EU seli iz ekonomskih razlogov zaradi razlik v delovnih pogojih med državami članicami. Ta beg možganov je treba preprečiti, da bi države članice ohranile svoje talente in delovno silo. Podpiramo prosto gibanje državljanov, vendar menimo, da je migracija državljanov EU med različnimi državami članicami, kadar to ni zaželeno, posledica gospodarskih razlogov. Zato je pomembno, da se vzpostavi skupni okvir za delo. </w:t>
      </w:r>
    </w:p>
    <w:p>
      <w:pPr>
        <w:pStyle w:val="Normal"/>
        <w:rPr/>
      </w:pPr>
      <w:r>
        <w:rPr/>
        <w:t xml:space="preserve"> </w:t>
      </w:r>
    </w:p>
    <w:p>
      <w:pPr>
        <w:pStyle w:val="Titre4"/>
        <w:numPr>
          <w:ilvl w:val="3"/>
          <w:numId w:val="2"/>
        </w:numPr>
        <w:rPr/>
      </w:pPr>
      <w:bookmarkStart w:id="195" w:name="__RefHeading___Toc297325_1346298689"/>
      <w:bookmarkEnd w:id="195"/>
      <w:r>
        <w:rPr/>
        <w:t xml:space="preserve">Podos 4.2 – Človeški vidiki </w:t>
      </w:r>
    </w:p>
    <w:p>
      <w:pPr>
        <w:pStyle w:val="P68B1DB1Normal15"/>
        <w:rPr>
          <w:b/>
          <w:b/>
        </w:rPr>
      </w:pPr>
      <w:r>
        <w:rPr/>
        <w:t xml:space="preserve">29. Priporočamo izvajanje skupne migracijske politike, ki temelji na načelu solidarnosti. Želimo, da se osredotočimo na begunsko problematiko. Skupni postopek za vse države članice EU bi moral temeljiti na najučinkovitejših praksah v vseh državah EU. Ta postopek bi morali proaktivno izvajati nacionalni organi in uprava EU. </w:t>
      </w:r>
    </w:p>
    <w:p>
      <w:pPr>
        <w:pStyle w:val="Normal"/>
        <w:rPr/>
      </w:pPr>
      <w:r>
        <w:rPr/>
        <w:t xml:space="preserve"> </w:t>
      </w:r>
    </w:p>
    <w:p>
      <w:pPr>
        <w:pStyle w:val="Normal"/>
        <w:rPr/>
      </w:pPr>
      <w:r>
        <w:rPr/>
        <w:t xml:space="preserve">Problem beguncev vpliva na vse države članice. Trenutno imajo te države preveč različne prakse, kar negativno vpliva na begunce in državljane EU. Zato je treba sprejeti skladen in dosleden pristop. </w:t>
      </w:r>
    </w:p>
    <w:p>
      <w:pPr>
        <w:pStyle w:val="Normal"/>
        <w:rPr/>
      </w:pPr>
      <w:r>
        <w:rPr/>
        <w:t xml:space="preserve"> </w:t>
      </w:r>
    </w:p>
    <w:p>
      <w:pPr>
        <w:pStyle w:val="P68B1DB1Normal15"/>
        <w:rPr>
          <w:b/>
          <w:b/>
        </w:rPr>
      </w:pPr>
      <w:r>
        <w:rPr/>
        <w:t xml:space="preserve">30. Priporočamo, da EU okrepi svoja prizadevanja za obveščanje in izobraževanje državljanov držav članic o vprašanjih, povezanih z migracijami. To bi bilo treba doseči s čim prejšnjim izobraževanjem otrok od začetka osnovne šole o temah, kot sta migracija in vključevanje. Če bi to zgodnje izobraževanje združili z dejavnostmi nevladnih organizacij in mladinskih organizacij ter z obsežnimi medijskimi kampanjami, bi lahko v celoti dosegli svoj cilj. Poleg tega se lahko uporabijo številni komunikacijski mediji: med drugim letaki, televizija in družbena omrežja. </w:t>
      </w:r>
    </w:p>
    <w:p>
      <w:pPr>
        <w:pStyle w:val="Normal"/>
        <w:rPr/>
      </w:pPr>
      <w:r>
        <w:rPr/>
        <w:t xml:space="preserve"> </w:t>
      </w:r>
    </w:p>
    <w:p>
      <w:pPr>
        <w:pStyle w:val="Normal"/>
        <w:rPr/>
      </w:pPr>
      <w:r>
        <w:rPr/>
        <w:t xml:space="preserve">Pomembno je pokazati, da imajo migracije tudi številne pozitivne vidike, kot je dodatna delovna sila. Poudariti želimo pomen ozaveščanja o obeh procesih, da bi državljani razumeli razloge in posledice migracij, da bi odpravili stigmatizacijo, ki izhaja iz dojemanja migranta. </w:t>
      </w:r>
    </w:p>
    <w:p>
      <w:pPr>
        <w:pStyle w:val="Normal"/>
        <w:rPr/>
      </w:pPr>
      <w:r>
        <w:rPr/>
        <w:t xml:space="preserve"> </w:t>
      </w:r>
    </w:p>
    <w:p>
      <w:pPr>
        <w:pStyle w:val="Titre4"/>
        <w:numPr>
          <w:ilvl w:val="3"/>
          <w:numId w:val="2"/>
        </w:numPr>
        <w:rPr/>
      </w:pPr>
      <w:bookmarkStart w:id="196" w:name="__RefHeading___Toc297327_1346298689"/>
      <w:bookmarkEnd w:id="196"/>
      <w:r>
        <w:rPr/>
        <w:t xml:space="preserve">Podos 4.3 – Meje </w:t>
      </w:r>
    </w:p>
    <w:p>
      <w:pPr>
        <w:pStyle w:val="P68B1DB1Normal15"/>
        <w:rPr>
          <w:b/>
          <w:b/>
        </w:rPr>
      </w:pPr>
      <w:r>
        <w:rPr/>
        <w:t xml:space="preserve">31. Priporočamo, da se Direktiva 2013/33/EU o minimalnih standardih za sprejem prosilcev za azil v državah članicah nadomesti z obvezno uredbo EU, ki se bo enotno uporabljala v vseh državah članicah. Prednost je treba dati izboljšanju sprejemnih in nastanitvenih zmogljivosti. Sodišče priporoča ustanovitev posebnega organa EU za spremljanje izvajanja Uredbe. </w:t>
      </w:r>
    </w:p>
    <w:p>
      <w:pPr>
        <w:pStyle w:val="Normal"/>
        <w:rPr/>
      </w:pPr>
      <w:r>
        <w:rPr/>
        <w:t xml:space="preserve"> </w:t>
      </w:r>
    </w:p>
    <w:p>
      <w:pPr>
        <w:pStyle w:val="Normal"/>
        <w:rPr/>
      </w:pPr>
      <w:r>
        <w:rPr/>
        <w:t xml:space="preserve">Direktiva se dejansko ne izvaja enotno v vseh državah članicah. Izogibati se moramo ponavljanju pogojev, ki so bili opaženi v begunskem taborišču Moria. Zato bi bilo treba izvajati priporočeno uredbo in vanjo vključiti obvezne sankcije. Organ za spremljanje mora biti robusten in zanesljiv. </w:t>
      </w:r>
    </w:p>
    <w:p>
      <w:pPr>
        <w:pStyle w:val="Normal"/>
        <w:rPr/>
      </w:pPr>
      <w:r>
        <w:rPr/>
        <w:t xml:space="preserve"> </w:t>
      </w:r>
    </w:p>
    <w:p>
      <w:pPr>
        <w:pStyle w:val="P68B1DB1Normal15"/>
        <w:rPr>
          <w:b/>
          <w:b/>
        </w:rPr>
      </w:pPr>
      <w:r>
        <w:rPr/>
        <w:t xml:space="preserve">32. Priporočamo, da EU zagotovi, da se vsi prosilci za azil in begunci med obravnavo njihove prošnje za prebivanje udeležijo jezikovnih tečajev in tečajev vključevanja. Tečaji morajo biti obvezni, brezplačni in vključevati osebno pomoč pri začetnem vključevanju. Začeti bi morali v dveh tednih od vložitve prošnje za prebivanje. Vzpostaviti bi bilo treba tudi mehanizme spodbud in sankcij. </w:t>
      </w:r>
    </w:p>
    <w:p>
      <w:pPr>
        <w:pStyle w:val="Normal"/>
        <w:rPr/>
      </w:pPr>
      <w:r>
        <w:rPr/>
        <w:t xml:space="preserve"> </w:t>
      </w:r>
    </w:p>
    <w:p>
      <w:pPr>
        <w:pStyle w:val="Normal"/>
        <w:rPr/>
      </w:pPr>
      <w:r>
        <w:rPr/>
        <w:t xml:space="preserve">Učenje jezika in razumevanje kulture, zgodovine in etike države prihoda je bistven korak v integraciji. Dolžina zamude pred začetkom začetnega procesa vključevanja negativno vpliva na socialno asimilacijo migrantov. Mehanizmi sankcij lahko pomagajo ugotoviti pripravljenost migrantov za vključevanje. </w:t>
      </w:r>
    </w:p>
    <w:p>
      <w:pPr>
        <w:pStyle w:val="Normal"/>
        <w:rPr/>
      </w:pPr>
      <w:r>
        <w:rPr/>
        <w:t xml:space="preserve"> </w:t>
      </w:r>
    </w:p>
    <w:p>
      <w:pPr>
        <w:pStyle w:val="Titre3"/>
        <w:numPr>
          <w:ilvl w:val="2"/>
          <w:numId w:val="2"/>
        </w:numPr>
        <w:rPr/>
      </w:pPr>
      <w:bookmarkStart w:id="197" w:name="__RefHeading___Toc297329_1346298689"/>
      <w:bookmarkEnd w:id="197"/>
      <w:r>
        <w:rPr/>
        <w:t xml:space="preserve">Os 5: Odgovornost in solidarnost v EU </w:t>
      </w:r>
    </w:p>
    <w:p>
      <w:pPr>
        <w:pStyle w:val="Titre4"/>
        <w:numPr>
          <w:ilvl w:val="3"/>
          <w:numId w:val="2"/>
        </w:numPr>
        <w:rPr/>
      </w:pPr>
      <w:bookmarkStart w:id="198" w:name="__RefHeading___Toc297331_1346298689"/>
      <w:bookmarkEnd w:id="198"/>
      <w:r>
        <w:rPr/>
        <w:t xml:space="preserve">Podos 5.1 – Distribucija migrantov </w:t>
      </w:r>
    </w:p>
    <w:p>
      <w:pPr>
        <w:pStyle w:val="P68B1DB1Normal15"/>
        <w:rPr>
          <w:b/>
          <w:b/>
        </w:rPr>
      </w:pPr>
      <w:r>
        <w:rPr/>
        <w:t xml:space="preserve">33. Priporočamo, da se dublinski sistem nadomesti s pravno zavezujočo pogodbo, da se zagotovi poštena, uravnotežena in sorazmerna porazdelitev prosilcev za azil v EU na podlagi solidarnosti in pravičnosti. Trenutno morajo begunci zaprositi za azil v prvi državi članici prihoda. Ta sprememba sistema mora biti čim hitrejša. Predlog Evropske komisije za nov pakt EU o migracijah in azilu iz leta 2020 je dober začetek in bi moral imeti pravno obliko, saj zagotavlja kvote za porazdelitev beguncev med državami članicami EU. </w:t>
      </w:r>
    </w:p>
    <w:p>
      <w:pPr>
        <w:pStyle w:val="Normal"/>
        <w:rPr/>
      </w:pPr>
      <w:r>
        <w:rPr/>
        <w:t xml:space="preserve"> </w:t>
      </w:r>
    </w:p>
    <w:p>
      <w:pPr>
        <w:pStyle w:val="Normal"/>
        <w:rPr/>
      </w:pPr>
      <w:r>
        <w:rPr/>
        <w:t xml:space="preserve">To priporočamo, ker sedanji dublinski sistem ne spoštuje načel solidarnosti in pravičnosti. Državam članicam, ki so blizu zunanjih meja EU, nalaga veliko breme, ki ga prosilci za azil prečkajo, da vstopijo na njeno ozemlje. Vse države članice morajo prevzeti odgovornost za upravljanje tokov beguncev v EU. EU je skupnost skupnih vrednot in mora ustrezno ukrepati. </w:t>
      </w:r>
    </w:p>
    <w:p>
      <w:pPr>
        <w:pStyle w:val="Normal"/>
        <w:rPr/>
      </w:pPr>
      <w:r>
        <w:rPr/>
        <w:t xml:space="preserve"> </w:t>
      </w:r>
    </w:p>
    <w:p>
      <w:pPr>
        <w:pStyle w:val="P68B1DB1Normal15"/>
        <w:rPr>
          <w:b/>
          <w:b/>
        </w:rPr>
      </w:pPr>
      <w:r>
        <w:rPr/>
        <w:t xml:space="preserve">34. Sodišče priporoča, naj EU svojim državam članicam pomaga pri hitrejši obravnavi prošenj za azil v skladu s skupnimi standardi. Poleg tega bi bilo treba beguncem zagotoviti humanitarna stanovanja. Da bi raztovorili države prihoda in da bi lahko njihove prošnje za azil obravnavali drugje, priporočamo, da se begunci po prvem prihodu v EU hitro in učinkovito premestijo v različne države članice. V ta namen sta potrebni finančna podpora EU in organizacijska podpora Agencije EU za azil. Osebe, katerih prošnja za azil je bila zavrnjena, je treba učinkovito vrniti v njihovo izvorno državo, če se šteje, da je njihova izvorna država varna. </w:t>
      </w:r>
    </w:p>
    <w:p>
      <w:pPr>
        <w:pStyle w:val="Normal"/>
        <w:rPr/>
      </w:pPr>
      <w:r>
        <w:rPr/>
        <w:t xml:space="preserve"> </w:t>
      </w:r>
    </w:p>
    <w:p>
      <w:pPr>
        <w:pStyle w:val="Normal"/>
        <w:rPr/>
      </w:pPr>
      <w:r>
        <w:rPr/>
        <w:t xml:space="preserve">To priporočamo, ker azilni postopki trenutno trajajo predolgo in se lahko med državami članicami razlikujejo. S pospešitvijo azilnih postopkov begunci porabijo manj časa za čakanje na končno odločitev v začasnih nastanitvenih objektih. Prosilce za azil je mogoče hitreje vključiti. </w:t>
      </w:r>
    </w:p>
    <w:p>
      <w:pPr>
        <w:pStyle w:val="Normal"/>
        <w:rPr/>
      </w:pPr>
      <w:r>
        <w:rPr/>
        <w:t xml:space="preserve"> </w:t>
      </w:r>
    </w:p>
    <w:p>
      <w:pPr>
        <w:pStyle w:val="P68B1DB1Normal15"/>
        <w:rPr>
          <w:b/>
          <w:b/>
        </w:rPr>
      </w:pPr>
      <w:r>
        <w:rPr/>
        <w:t xml:space="preserve">35. Sodišče priporoča močno finančno, logistično in operativno podporo EU za upravljanje prvega sprejema, kar bi lahko privedlo do vključevanja ali repatriacije migrantov brez urejenega statusa. Upravičenci do te podpore so mejne države EU, ki nosijo breme pritoka migracij. </w:t>
      </w:r>
    </w:p>
    <w:p>
      <w:pPr>
        <w:pStyle w:val="Normal"/>
        <w:rPr/>
      </w:pPr>
      <w:r>
        <w:rPr/>
        <w:t xml:space="preserve"> </w:t>
      </w:r>
    </w:p>
    <w:p>
      <w:pPr>
        <w:pStyle w:val="Normal"/>
        <w:rPr/>
      </w:pPr>
      <w:r>
        <w:rPr/>
        <w:t xml:space="preserve">Zaradi svoje geografske lege je pritok migrantov najbolj prizadel nekatere </w:t>
      </w:r>
      <w:commentRangeStart w:id="8"/>
      <w:r>
        <w:rPr/>
        <w:t>države</w:t>
      </w:r>
      <w:r>
        <w:rPr/>
      </w:r>
      <w:commentRangeEnd w:id="8"/>
      <w:r>
        <w:commentReference w:id="8"/>
      </w:r>
      <w:r>
        <w:rPr/>
        <w:t xml:space="preserve"> članice. </w:t>
      </w:r>
    </w:p>
    <w:p>
      <w:pPr>
        <w:pStyle w:val="Normal"/>
        <w:rPr/>
      </w:pPr>
      <w:r>
        <w:rPr/>
        <w:t xml:space="preserve"> </w:t>
      </w:r>
    </w:p>
    <w:p>
      <w:pPr>
        <w:pStyle w:val="P68B1DB1Normal15"/>
        <w:rPr>
          <w:b/>
          <w:b/>
        </w:rPr>
      </w:pPr>
      <w:r>
        <w:rPr/>
        <w:t xml:space="preserve">36. Priporočamo okrepitev mandata Agencije EU za azil, da bi dosegli pravično porazdelitev prosilcev za azil med državami članicami. Da bi to dosegli, bi bilo treba upoštevati potrebe takih prosilcev za azil ter logistične in gospodarske zmogljivosti držav članic ter njihove potrebe na trgu dela. </w:t>
      </w:r>
    </w:p>
    <w:p>
      <w:pPr>
        <w:pStyle w:val="Normal"/>
        <w:rPr/>
      </w:pPr>
      <w:r>
        <w:rPr/>
        <w:t xml:space="preserve"> </w:t>
      </w:r>
    </w:p>
    <w:p>
      <w:pPr>
        <w:pStyle w:val="Normal"/>
        <w:rPr/>
      </w:pPr>
      <w:r>
        <w:rPr/>
        <w:t xml:space="preserve">Usklajena in centralizirana porazdelitev prosilcev za azil, za katero države članice in njihovi državljani menijo, da je poštena, preprečuje kaotične razmere in socialne napetosti ter krepi solidarnost med državami članicami. </w:t>
      </w:r>
    </w:p>
    <w:p>
      <w:pPr>
        <w:pStyle w:val="Normal"/>
        <w:rPr/>
      </w:pPr>
      <w:r>
        <w:rPr/>
        <w:t xml:space="preserve"> </w:t>
      </w:r>
    </w:p>
    <w:p>
      <w:pPr>
        <w:pStyle w:val="Titre4"/>
        <w:numPr>
          <w:ilvl w:val="3"/>
          <w:numId w:val="2"/>
        </w:numPr>
        <w:rPr/>
      </w:pPr>
      <w:bookmarkStart w:id="199" w:name="__RefHeading___Toc297333_1346298689"/>
      <w:bookmarkEnd w:id="199"/>
      <w:r>
        <w:rPr/>
        <w:t xml:space="preserve">Podos 5.2 – Skupni pristop k azilu </w:t>
      </w:r>
    </w:p>
    <w:p>
      <w:pPr>
        <w:pStyle w:val="P68B1DB1Normal15"/>
        <w:rPr>
          <w:b/>
          <w:b/>
        </w:rPr>
      </w:pPr>
      <w:r>
        <w:rPr/>
        <w:t xml:space="preserve">37. Priporočamo ustanovitev celovite evropske institucije ali okrepitev Agencije EU za azil, da bo lahko obravnavala prošnje za azil za celotno Evropsko unijo in delovala na podlagi enotnih standardov. Agencija bi morala biti odgovorna tudi za pravično porazdelitev beguncev. Opredeliti bi morala tudi varne in nevarne izvorne države ter biti odgovorna za vračanje prosilcev za azil, katerih prošnje so bile zavrnjene. </w:t>
      </w:r>
    </w:p>
    <w:p>
      <w:pPr>
        <w:pStyle w:val="Normal"/>
        <w:rPr/>
      </w:pPr>
      <w:r>
        <w:rPr/>
        <w:t xml:space="preserve"> </w:t>
      </w:r>
    </w:p>
    <w:p>
      <w:pPr>
        <w:pStyle w:val="Normal"/>
        <w:rPr/>
      </w:pPr>
      <w:r>
        <w:rPr/>
        <w:t xml:space="preserve">Za sedanjo azilno politiko so značilne nejasne odgovornosti in različni standardi med državami članicami EU. Zato obravnavanje azilnih postopkov v različnih državah članicah ni enako. Poleg tega ima Agencija Evropske unije za azil trenutno le vplivno moč. Državam članicam lahko svetuje le o vprašanjih azila. </w:t>
      </w:r>
    </w:p>
    <w:p>
      <w:pPr>
        <w:pStyle w:val="Normal"/>
        <w:rPr/>
      </w:pPr>
      <w:r>
        <w:rPr/>
        <w:t xml:space="preserve"> </w:t>
      </w:r>
    </w:p>
    <w:p>
      <w:pPr>
        <w:pStyle w:val="P68B1DB1Normal15"/>
        <w:rPr>
          <w:b/>
          <w:b/>
        </w:rPr>
      </w:pPr>
      <w:r>
        <w:rPr/>
        <w:t xml:space="preserve">38. Priporočamo, da se nemudoma ustanovijo specializirani azilni centri za mladoletnike brez spremstva v vseh državah članicah EU. Cilj je čim prej sprejeti in poskrbeti za mladoletnike v skladu z njihovimi posebnimi potrebami. </w:t>
      </w:r>
    </w:p>
    <w:p>
      <w:pPr>
        <w:pStyle w:val="Normal"/>
        <w:rPr/>
      </w:pPr>
      <w:r>
        <w:rPr/>
        <w:t xml:space="preserve"> </w:t>
      </w:r>
    </w:p>
    <w:p>
      <w:pPr>
        <w:pStyle w:val="Normal"/>
        <w:rPr/>
      </w:pPr>
      <w:r>
        <w:rPr/>
        <w:t xml:space="preserve">To priporočilo dajemo zato, ker: </w:t>
      </w:r>
    </w:p>
    <w:p>
      <w:pPr>
        <w:pStyle w:val="Normal"/>
        <w:rPr/>
      </w:pPr>
      <w:r>
        <w:rPr/>
        <w:t xml:space="preserve">1) Mnogi mladoletniki so verjetno travmatizirani (ker prihajajo s konfliktnih območij); </w:t>
      </w:r>
    </w:p>
    <w:p>
      <w:pPr>
        <w:pStyle w:val="Normal"/>
        <w:rPr/>
      </w:pPr>
      <w:r>
        <w:rPr/>
        <w:t xml:space="preserve">2) Različni otroci imajo različne potrebe (odvisno od starosti, zdravja itd.); </w:t>
      </w:r>
    </w:p>
    <w:p>
      <w:pPr>
        <w:pStyle w:val="Normal"/>
        <w:rPr/>
      </w:pPr>
      <w:r>
        <w:rPr/>
        <w:t xml:space="preserve">(3) če bi se izvajala, bi zagotovila, da ranljivi in travmatizirani mladoletniki v najkrajšem možnem času prejmejo vso potrebno oskrbo; </w:t>
      </w:r>
    </w:p>
    <w:p>
      <w:pPr>
        <w:pStyle w:val="Normal"/>
        <w:rPr/>
      </w:pPr>
      <w:r>
        <w:rPr/>
        <w:t xml:space="preserve">4) ti mladoletniki so prihodnji evropski državljani in bi zato morali, če bodo ustrezno obravnavani, pozitivno prispevati k prihodnosti Evrope. </w:t>
      </w:r>
    </w:p>
    <w:p>
      <w:pPr>
        <w:pStyle w:val="Normal"/>
        <w:rPr/>
      </w:pPr>
      <w:r>
        <w:rPr/>
        <w:t xml:space="preserve"> </w:t>
      </w:r>
    </w:p>
    <w:p>
      <w:pPr>
        <w:pStyle w:val="P68B1DB1Normal15"/>
        <w:rPr>
          <w:b/>
          <w:b/>
        </w:rPr>
      </w:pPr>
      <w:r>
        <w:rPr/>
        <w:t xml:space="preserve">39. Priporočamo vzpostavitev skupnega, hitrega in preglednega sistema za obravnavo prošenj za azil. Ta postopek bi moral določati minimalne standarde in se uporabljati na enak način v vseh državah članicah. </w:t>
      </w:r>
    </w:p>
    <w:p>
      <w:pPr>
        <w:pStyle w:val="Normal"/>
        <w:rPr/>
      </w:pPr>
      <w:r>
        <w:rPr/>
        <w:t xml:space="preserve"> </w:t>
      </w:r>
    </w:p>
    <w:p>
      <w:pPr>
        <w:pStyle w:val="Normal"/>
        <w:rPr/>
      </w:pPr>
      <w:r>
        <w:rPr/>
        <w:t xml:space="preserve">To priporočilo dajemo zato, ker: </w:t>
      </w:r>
    </w:p>
    <w:p>
      <w:pPr>
        <w:pStyle w:val="Normal"/>
        <w:rPr/>
      </w:pPr>
      <w:r>
        <w:rPr/>
        <w:t xml:space="preserve">(1) če bi se to priporočilo izvajalo, bi bila obravnava prošenj za azil hitrejša in preglednejša; </w:t>
      </w:r>
    </w:p>
    <w:p>
      <w:pPr>
        <w:pStyle w:val="Normal"/>
        <w:rPr/>
      </w:pPr>
      <w:r>
        <w:rPr/>
        <w:t xml:space="preserve">2) počasnost sedanjih postopkov vodi v nezakonitost in kriminal; </w:t>
      </w:r>
    </w:p>
    <w:p>
      <w:pPr>
        <w:pStyle w:val="Normal"/>
        <w:rPr/>
      </w:pPr>
      <w:r>
        <w:rPr/>
        <w:t xml:space="preserve">3) minimalni standardi, predvideni v našem priporočilu, bi morali vključevati spoštovanje človekovih pravic, zdravja in izobraževalnih potreb prosilcev za azil; </w:t>
      </w:r>
    </w:p>
    <w:p>
      <w:pPr>
        <w:pStyle w:val="Normal"/>
        <w:rPr/>
      </w:pPr>
      <w:r>
        <w:rPr/>
        <w:t xml:space="preserve">4) izvajanje tega priporočila bi omogočilo boljši dostop do zaposlitve in samozadostnost, kar bi omogočilo pozitiven prispevek k evropski družbi; za prosilce za azil, katerih poklicni status je urejen, je manj verjetno, da bodo zlorabljeni v svojem delovnem okolju; to bi lahko samo spodbudilo vključevanje vseh vpletenih; </w:t>
      </w:r>
    </w:p>
    <w:p>
      <w:pPr>
        <w:pStyle w:val="Normal"/>
        <w:rPr/>
      </w:pPr>
      <w:r>
        <w:rPr/>
        <w:t xml:space="preserve">5) podaljšano bivanje v azilnih centrih negativno vpliva na duševno zdravje in dobro počutje stanovalcev. </w:t>
      </w:r>
    </w:p>
    <w:p>
      <w:pPr>
        <w:pStyle w:val="Normal"/>
        <w:rPr/>
      </w:pPr>
      <w:r>
        <w:rPr/>
        <w:t xml:space="preserve"> </w:t>
      </w:r>
    </w:p>
    <w:p>
      <w:pPr>
        <w:pStyle w:val="P68B1DB1Normal15"/>
        <w:rPr>
          <w:b/>
          <w:b/>
        </w:rPr>
      </w:pPr>
      <w:r>
        <w:rPr/>
        <w:t xml:space="preserve">40. Močno priporočamo celovit pregled vseh sporazumov in zakonodaje, ki urejajo azil in priseljevanje v Evropi. Priporočamo, da sprejmemo pristop za vso Evropo. </w:t>
      </w:r>
    </w:p>
    <w:p>
      <w:pPr>
        <w:pStyle w:val="Normal"/>
        <w:rPr/>
      </w:pPr>
      <w:r>
        <w:rPr/>
        <w:t xml:space="preserve"> </w:t>
      </w:r>
    </w:p>
    <w:p>
      <w:pPr>
        <w:pStyle w:val="Normal"/>
        <w:rPr/>
      </w:pPr>
      <w:r>
        <w:rPr/>
        <w:t xml:space="preserve">To priporočilo dajemo zato, ker: </w:t>
      </w:r>
    </w:p>
    <w:p>
      <w:pPr>
        <w:pStyle w:val="Normal"/>
        <w:rPr/>
      </w:pPr>
      <w:r>
        <w:rPr/>
        <w:t xml:space="preserve">1) od leta 2015 se vsi veljavni sporazumi ne uporabljajo, nepraktični in neprimerni; </w:t>
      </w:r>
    </w:p>
    <w:p>
      <w:pPr>
        <w:pStyle w:val="Normal"/>
        <w:rPr/>
      </w:pPr>
      <w:r>
        <w:rPr/>
        <w:t xml:space="preserve">2) EU bi bilo treba obravnavati kot glavno „agencijo“, ki nadzoruje vse druge agencije in nevladne organizacije, katerih naloga je neposredno obravnavati vprašanja azila; </w:t>
      </w:r>
    </w:p>
    <w:p>
      <w:pPr>
        <w:pStyle w:val="Normal"/>
        <w:rPr/>
      </w:pPr>
      <w:r>
        <w:rPr/>
        <w:t xml:space="preserve">(3) države članice, ki so zaradi tega najbolj prizadete, so tiste, ki se večinoma same s težavo spopadajo; izbira „à la carte“ nekaterih držav članic ne daje podobe enotnosti; </w:t>
      </w:r>
    </w:p>
    <w:p>
      <w:pPr>
        <w:pStyle w:val="Normal"/>
        <w:rPr/>
      </w:pPr>
      <w:r>
        <w:rPr/>
        <w:t xml:space="preserve">4) nova ciljno usmerjena zakonodaja bi izboljšala prihodnost vseh prosilcev za azil in okrepila enotnost Evrope; </w:t>
      </w:r>
    </w:p>
    <w:p>
      <w:pPr>
        <w:pStyle w:val="Normal"/>
        <w:rPr/>
      </w:pPr>
      <w:r>
        <w:rPr/>
        <w:t xml:space="preserve">5) pomanjkljivosti sedanje zakonodaje povzročajo konflikte in neusklajenost po vsej Evropi ter povzročajo večjo nestrpnost evropskih državljanov do migrantov. </w:t>
      </w:r>
    </w:p>
    <w:p>
      <w:pPr>
        <w:pStyle w:val="Normal"/>
        <w:rPr/>
      </w:pPr>
      <w:r>
        <w:rPr/>
        <w:t>6) strožja in ustrezna zakonodaja bi zmanjšala kazniva dejanja in zlorabe sedanjega azilnega sistema.</w:t>
      </w:r>
    </w:p>
    <w:p>
      <w:pPr>
        <w:pStyle w:val="Normal"/>
        <w:rPr/>
      </w:pPr>
      <w:r>
        <w:rPr/>
        <w:t xml:space="preserve"> </w:t>
      </w:r>
    </w:p>
    <w:p>
      <w:pPr>
        <w:pStyle w:val="Titre3"/>
        <w:numPr>
          <w:ilvl w:val="2"/>
          <w:numId w:val="2"/>
        </w:numPr>
        <w:rPr/>
      </w:pPr>
      <w:bookmarkStart w:id="200" w:name="__RefHeading___Toc297335_1346298689"/>
      <w:bookmarkEnd w:id="200"/>
      <w:r>
        <w:rPr/>
        <w:t xml:space="preserve">Priloga: DRUGA PRIPOROČILA, KI JIH JE KOMISIJA OBRAVNAVALA, VENDAR NISO BILA SPREJETA </w:t>
      </w:r>
    </w:p>
    <w:p>
      <w:pPr>
        <w:pStyle w:val="Titre4"/>
        <w:numPr>
          <w:ilvl w:val="3"/>
          <w:numId w:val="2"/>
        </w:numPr>
        <w:rPr/>
      </w:pPr>
      <w:bookmarkStart w:id="201" w:name="__RefHeading___Toc297337_1346298689"/>
      <w:bookmarkEnd w:id="201"/>
      <w:r>
        <w:rPr/>
        <w:t xml:space="preserve">Os 1: Samozadostnost in stabilnost </w:t>
      </w:r>
    </w:p>
    <w:p>
      <w:pPr>
        <w:pStyle w:val="Normal"/>
        <w:rPr/>
      </w:pPr>
      <w:r>
        <w:rPr/>
        <w:t xml:space="preserve">Podos 1.1 – Avtonomija EU </w:t>
      </w:r>
    </w:p>
    <w:p>
      <w:pPr>
        <w:pStyle w:val="P68B1DB1Normal15"/>
        <w:rPr>
          <w:b/>
          <w:b/>
        </w:rPr>
      </w:pPr>
      <w:r>
        <w:rPr/>
        <w:t xml:space="preserve">Na zahtevo držav v razvoju priporočamo, da se intervencijski programi za gospodarski razvoj razvijejo na podlagi partnerstev, prilagojenih potrebam vsake države in/ali na podlagi trgovinskih sporazumov. Za to je treba najprej oceniti gospodarski potencial zadevnih držav, nato pa jim zagotoviti potrebno gospodarsko podporo in poklicno usposabljanje. </w:t>
      </w:r>
    </w:p>
    <w:p>
      <w:pPr>
        <w:pStyle w:val="Normal"/>
        <w:rPr/>
      </w:pPr>
      <w:r>
        <w:rPr/>
        <w:t xml:space="preserve">To bi privedlo do večje industrijske neodvisnosti in izboljšalo splošne razmere na področju migracij z ustvarjanjem delovnih mest; to bi privedlo tudi do boljših trgovinskih sporazumov v državah v razvoju. </w:t>
      </w:r>
    </w:p>
    <w:p>
      <w:pPr>
        <w:pStyle w:val="Normal"/>
        <w:rPr/>
      </w:pPr>
      <w:r>
        <w:rPr/>
        <w:t xml:space="preserve"> </w:t>
      </w:r>
    </w:p>
    <w:p>
      <w:pPr>
        <w:pStyle w:val="Titre4"/>
        <w:numPr>
          <w:ilvl w:val="3"/>
          <w:numId w:val="2"/>
        </w:numPr>
        <w:rPr/>
      </w:pPr>
      <w:bookmarkStart w:id="202" w:name="__RefHeading___Toc297339_1346298689"/>
      <w:bookmarkEnd w:id="202"/>
      <w:r>
        <w:rPr/>
        <w:t xml:space="preserve">Os 2: EU kot mednarodna partnerica </w:t>
      </w:r>
    </w:p>
    <w:p>
      <w:pPr>
        <w:pStyle w:val="Normal"/>
        <w:rPr/>
      </w:pPr>
      <w:r>
        <w:rPr/>
        <w:t xml:space="preserve">Podos 2.1 – Etična perspektiva trgovinskih odnosov </w:t>
      </w:r>
    </w:p>
    <w:p>
      <w:pPr>
        <w:pStyle w:val="P68B1DB1Normal15"/>
        <w:rPr>
          <w:b/>
          <w:b/>
        </w:rPr>
      </w:pPr>
      <w:r>
        <w:rPr/>
        <w:t xml:space="preserve">Sodišče priporoča, naj EU uvede pravila, ki od podjetij zahtevajo, da revidirajo svojo dobavno verigo in redno predložijo celovito revizijsko poročilo, ter določbe o nagrajevanju ali omejevanju uvoza na podlagi etičnih meril. Podjetja bi morala predložiti notranje in/ali zunanje revizijsko poročilo na podlagi svoje velikosti. </w:t>
      </w:r>
    </w:p>
    <w:p>
      <w:pPr>
        <w:pStyle w:val="Normal"/>
        <w:rPr/>
      </w:pPr>
      <w:r>
        <w:rPr/>
        <w:t xml:space="preserve"> </w:t>
      </w:r>
    </w:p>
    <w:p>
      <w:pPr>
        <w:pStyle w:val="Normal"/>
        <w:rPr/>
      </w:pPr>
      <w:r>
        <w:rPr/>
        <w:t xml:space="preserve">Treba je razviti etični vidik trgovine z EU. To je mogoče doseči s spremljanjem poslovnih dejavnosti v mednarodnih dobavnih verigah in spodbujanjem podjetij, da ravnajo v skladu z etičnimi merili, kot so nevarni izdelki, delavske pravice in pogoji, delo otrok in varstvo okolja. To priporočilo se ne bi uporabljalo za spletne izdelke, ki jih neposredno kupi potrošnik. </w:t>
      </w:r>
    </w:p>
    <w:p>
      <w:pPr>
        <w:pStyle w:val="Normal"/>
        <w:rPr/>
      </w:pPr>
      <w:r>
        <w:rPr/>
        <w:t xml:space="preserve"> </w:t>
      </w:r>
    </w:p>
    <w:p>
      <w:pPr>
        <w:pStyle w:val="Titre4"/>
        <w:numPr>
          <w:ilvl w:val="3"/>
          <w:numId w:val="2"/>
        </w:numPr>
        <w:rPr/>
      </w:pPr>
      <w:bookmarkStart w:id="203" w:name="__RefHeading___Toc297341_1346298689"/>
      <w:bookmarkEnd w:id="203"/>
      <w:r>
        <w:rPr/>
        <w:t xml:space="preserve">Os 3: Močna EU v mirnem svetu </w:t>
      </w:r>
    </w:p>
    <w:p>
      <w:pPr>
        <w:pStyle w:val="Normal"/>
        <w:rPr/>
      </w:pPr>
      <w:r>
        <w:rPr/>
        <w:t xml:space="preserve">Podos 3.1 – Varnost in obramba </w:t>
      </w:r>
    </w:p>
    <w:p>
      <w:pPr>
        <w:pStyle w:val="P68B1DB1Normal15"/>
        <w:rPr>
          <w:b/>
          <w:b/>
        </w:rPr>
      </w:pPr>
      <w:r>
        <w:rPr/>
        <w:t xml:space="preserve">Priporočamo, da se ponovno razmisli o sedanji evropski varnostni strukturi, da bi ta postala učinkovitejša in učinkovitejša nadnacionalna struktura z večjimi zmogljivostmi, da bi oblikovali skupno vojsko Evropske unije. V ta namen bi bilo treba nacionalne oborožene sile postopoma združiti in preoblikovati. Cilj je, da bo združitev vojaških zmogljivosti po vsej Evropski uniji dolgoročno spodbujala tudi evropsko povezovanje. Za vzpostavitev skupne vojske EU bi bil potreben tudi nov sporazum o sodelovanju z državami članicami EU in neevropskimi članicami Nata. </w:t>
      </w:r>
    </w:p>
    <w:p>
      <w:pPr>
        <w:pStyle w:val="Normal"/>
        <w:rPr/>
      </w:pPr>
      <w:r>
        <w:rPr/>
        <w:t xml:space="preserve"> </w:t>
      </w:r>
    </w:p>
    <w:p>
      <w:pPr>
        <w:pStyle w:val="Normal"/>
        <w:rPr/>
      </w:pPr>
      <w:r>
        <w:rPr/>
        <w:t xml:space="preserve">Če se bo to priporočilo izvajalo, menimo, da bodo vojaške strukture v Evropski uniji postale stroškovno učinkovitejše ter da se bodo lahko bolje odzvale in ukrepale, ko bo to potrebno. Ta celostni pristop bi okrepil sposobnost EU za odločno in usklajeno ukrepanje v kritičnih razmerah. </w:t>
      </w:r>
    </w:p>
    <w:p>
      <w:pPr>
        <w:pStyle w:val="Normal"/>
        <w:rPr/>
      </w:pPr>
      <w:r>
        <w:rPr/>
        <w:t xml:space="preserve"> </w:t>
      </w:r>
    </w:p>
    <w:p>
      <w:pPr>
        <w:pStyle w:val="Titre4"/>
        <w:numPr>
          <w:ilvl w:val="3"/>
          <w:numId w:val="2"/>
        </w:numPr>
        <w:rPr/>
      </w:pPr>
      <w:bookmarkStart w:id="204" w:name="__RefHeading___Toc297343_1346298689"/>
      <w:bookmarkEnd w:id="204"/>
      <w:r>
        <w:rPr/>
        <w:t xml:space="preserve">Os 4: Izseljevanje s človeškega vidika </w:t>
      </w:r>
    </w:p>
    <w:p>
      <w:pPr>
        <w:pStyle w:val="Normal"/>
        <w:rPr/>
      </w:pPr>
      <w:r>
        <w:rPr/>
        <w:t xml:space="preserve">Podos 4.1 – Odpravljanje vzrokov za izseljevanje </w:t>
      </w:r>
    </w:p>
    <w:p>
      <w:pPr>
        <w:pStyle w:val="P68B1DB1Normal15"/>
        <w:rPr>
          <w:b/>
          <w:b/>
        </w:rPr>
      </w:pPr>
      <w:r>
        <w:rPr/>
        <w:t xml:space="preserve">Priporočamo, da EU vzpostavi protokol ukrepanja v okviru priprav na naslednjo migracijsko krizo, tj. podnebne begunce. V skladu s tem protokolom mora EU razširiti opredelitev beguncev in prosilcev za azil, da bi vključevala tudi tiste, ki so jih prizadele podnebne spremembe. Ker bo država izvora številnih migrantov postala nenaseljiva, mora protokol zagotoviti tudi nove uporabe na območjih, ki so jih prizadele podnebne spremembe, da bi podprli tiste, ki so zapustili ta območja. Poplavljena območja bi lahko na primer uporabili za ustvarjanje polj vetrnih elektrarn. </w:t>
      </w:r>
    </w:p>
    <w:p>
      <w:pPr>
        <w:pStyle w:val="Normal"/>
        <w:rPr/>
      </w:pPr>
      <w:r>
        <w:rPr/>
        <w:t xml:space="preserve"> </w:t>
      </w:r>
    </w:p>
    <w:p>
      <w:pPr>
        <w:pStyle w:val="Normal"/>
        <w:rPr/>
      </w:pPr>
      <w:r>
        <w:rPr/>
        <w:t xml:space="preserve">To priporočilo dajemo zato, ker smo vsi odgovorni za podnebno krizo. Zato imamo odgovornost do tistih, ki so najbolj prizadeti. Tudi če nimamo niti napovedi niti konkretnih podatkov o prihodnjih beguncih, bodo podnebne spremembe nedvomno vplivale na milijone ljudi. </w:t>
      </w:r>
    </w:p>
    <w:p>
      <w:pPr>
        <w:pStyle w:val="Normal"/>
        <w:rPr/>
      </w:pPr>
      <w:r>
        <w:rPr/>
        <w:t xml:space="preserve"> </w:t>
      </w:r>
    </w:p>
    <w:p>
      <w:pPr>
        <w:pStyle w:val="Normal"/>
        <w:rPr/>
      </w:pPr>
      <w:r>
        <w:rPr/>
        <w:t xml:space="preserve">Podos 4.2 – Človeški vidiki </w:t>
      </w:r>
    </w:p>
    <w:p>
      <w:pPr>
        <w:pStyle w:val="P68B1DB1Normal15"/>
        <w:rPr>
          <w:b/>
          <w:b/>
        </w:rPr>
      </w:pPr>
      <w:r>
        <w:rPr/>
        <w:t xml:space="preserve">Priporočamo, da se nemudoma okrepijo in financirajo zakonite in humanitarne ceste ter prevozna sredstva, da se lahko begunci z kriznih območij preselijo na organiziran način. Organ, ustanovljen posebej za ta namen, bi moral vzpostaviti in urejati poseben varnostni sistem za evropske steze. Ta agencija mora biti ustanovljena v skladu z zakonodajnim postopkom in imeti posebna pooblastila, določena v njenem poslovniku. </w:t>
      </w:r>
    </w:p>
    <w:p>
      <w:pPr>
        <w:pStyle w:val="Normal"/>
        <w:rPr/>
      </w:pPr>
      <w:r>
        <w:rPr/>
        <w:t xml:space="preserve"> </w:t>
      </w:r>
    </w:p>
    <w:p>
      <w:pPr>
        <w:pStyle w:val="Normal"/>
        <w:rPr/>
      </w:pPr>
      <w:r>
        <w:rPr/>
        <w:t xml:space="preserve">Trgovina z ljudmi in tihotapljenje migrantov sta resni vprašanji, ki ju je treba obravnavati. Naše priporočilo bi zagotovo zmanjšalo te pomisleke. </w:t>
      </w:r>
    </w:p>
    <w:p>
      <w:pPr>
        <w:pStyle w:val="Normal"/>
        <w:rPr/>
      </w:pPr>
      <w:r>
        <w:rPr/>
        <w:t xml:space="preserve"> </w:t>
      </w:r>
    </w:p>
    <w:p>
      <w:pPr>
        <w:pStyle w:val="Normal"/>
        <w:rPr/>
      </w:pPr>
      <w:r>
        <w:rPr/>
        <w:t xml:space="preserve">Podos 4.3 – Meje </w:t>
      </w:r>
    </w:p>
    <w:p>
      <w:pPr>
        <w:pStyle w:val="P68B1DB1Normal15"/>
        <w:rPr>
          <w:b/>
          <w:b/>
        </w:rPr>
      </w:pPr>
      <w:r>
        <w:rPr/>
        <w:t xml:space="preserve">Priporočamo, da evropska direktiva zagotovi, da vsako življenjsko območje v vsaki državi članici nima več kot 30 % prebivalcev tretjih držav. Ta cilj naj bi bil dosežen do leta 2030, države članice EU pa morajo prejeti podporo za izvajanje tega cilja. </w:t>
      </w:r>
    </w:p>
    <w:p>
      <w:pPr>
        <w:pStyle w:val="Normal"/>
        <w:rPr/>
      </w:pPr>
      <w:r>
        <w:rPr/>
        <w:t xml:space="preserve"> </w:t>
      </w:r>
    </w:p>
    <w:p>
      <w:pPr>
        <w:pStyle w:val="Normal"/>
        <w:rPr/>
      </w:pPr>
      <w:r>
        <w:rPr/>
        <w:t xml:space="preserve">To priporočilo pripravljamo zato, ker bo pravičnejša geografska porazdelitev privedla do boljšega sprejemanja migrantov s strani lokalnega prebivalstva in jim tako omogočila boljše vključevanje. Ta odstotek temelji na nedavnem političnem dogovoru na Danskem. </w:t>
      </w:r>
      <w:r>
        <w:br w:type="page"/>
      </w:r>
    </w:p>
    <w:p>
      <w:pPr>
        <w:pStyle w:val="Titre1"/>
        <w:numPr>
          <w:ilvl w:val="0"/>
          <w:numId w:val="2"/>
        </w:numPr>
        <w:rPr/>
      </w:pPr>
      <w:bookmarkStart w:id="205" w:name="__RefHeading___Toc297345_1346298689"/>
      <w:bookmarkEnd w:id="205"/>
      <w:r>
        <w:rPr/>
        <w:t xml:space="preserve">II A – Nacionalni odbori: Belgija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Slika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32" descr=""/>
                    <pic:cNvPicPr>
                      <a:picLocks noChangeAspect="1" noChangeArrowheads="1"/>
                    </pic:cNvPicPr>
                  </pic:nvPicPr>
                  <pic:blipFill>
                    <a:blip r:embed="rId83"/>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Tukaj lahko najdemo vsa priporočila 50 državljanov državljanske okrogle mize, ki je bila organizirana pod pokroviteljstvom podpredsednika vlade in ministrice za zunanje in evropske zadeve Sophie Wilmès kot prispevek belgijske zvezne vlade h konferenci o prihodnosti Evrope. Tema tega foruma je bila „Kako državljane bolj vključiti v evropsko demokracijo“. Čeprav se dobro zaveda, da ima konferenca širši obseg kot samo zadeve EU, je v tej razpravi pojasnjeno, zakaj se EU in njene institucije tako izrecno sklicujejo na EU. Kjer je to primerno, se navede sklicevanje na Evropo na splošno.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Da bi se upoštevali vsi prispevki državljanov, so v tem poročilu predstavljena vsa priporočila, vključno s tistimi, pri katerih na končnem glasovanju o vseh priporočilih ni bila dosežena navadna večina. Jasno so prepoznavni zaradi odstotka </w:t>
      </w:r>
      <w:r>
        <w:rPr>
          <w:b/>
          <w:color w:val="FF0000"/>
        </w:rPr>
        <w:t>v rdečem in krepkem tisku.</w:t>
      </w:r>
      <w:r>
        <w:rPr>
          <w:color w:val="000000"/>
        </w:rPr>
        <w:t xml:space="preserve"> Poleg tega si nekatera priporočila nasprotujejo in celo v zaključnih razpravah so državljani o njih ostali nedokončani. Ta priporočila so prepoznavna, ker so v </w:t>
      </w:r>
      <w:r>
        <w:rPr>
          <w:i/>
          <w:color w:val="000000"/>
        </w:rPr>
        <w:t>poševnem tisku.</w:t>
      </w:r>
      <w:r>
        <w:rPr>
          <w:color w:val="000000"/>
        </w:rPr>
        <w:t xml:space="preserve"> Za eno samo priporočilo je bil oddelek tako jasen, da se je glasovanje končalo z </w:t>
      </w:r>
      <w:r>
        <w:rPr>
          <w:i/>
          <w:color w:val="000000"/>
        </w:rPr>
        <w:t xml:space="preserve">ex-aequo, </w:t>
      </w:r>
      <w:r>
        <w:rPr>
          <w:color w:val="000000"/>
        </w:rPr>
        <w:t xml:space="preserve">to je označeno z </w:t>
      </w:r>
      <w:r>
        <w:rPr>
          <w:b/>
          <w:color w:val="FF9900"/>
        </w:rPr>
        <w:t>oranžno in krepko</w:t>
      </w:r>
      <w:r>
        <w:rPr>
          <w:color w:val="000000"/>
        </w:rPr>
        <w:t xml:space="preserve">. Državljani se strinjajo, da so se mnenja o teh priporočilih razlikovala. Zato predlagajo, naj bodo organi CoFE in institucije EU pozorni pri izvajanju teh priporočil, saj obstaja oblika delitve, ki temelji na glasovanju. </w:t>
      </w:r>
    </w:p>
    <w:p>
      <w:pPr>
        <w:pStyle w:val="Normal"/>
        <w:rPr/>
      </w:pPr>
      <w:r>
        <w:rPr/>
      </w:r>
      <w:r>
        <w:br w:type="page"/>
      </w:r>
    </w:p>
    <w:p>
      <w:pPr>
        <w:pStyle w:val="Normal"/>
        <w:rPr/>
      </w:pPr>
      <w:r>
        <w:rPr/>
        <w:t>1. Komunikacija</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Težave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Priporočila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Podprto z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Sporočilo o EU je nezadovoljivo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Predlagamo, da se vključijo tečaji o Evropski uniji od tretje stopnje osnovne šole. Cilj je doseči vse državljane in izboljšati poznavanje Evropske unije.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Evropska unija in zlasti Komisija bi morala ministrstvom za izobraževanje različnih držav članic dati na voljo izobraževalno gradivo o delovanju Evrope. Te sestave bi morale poleg pojasnitve delovanja, sestave in pristojnosti institucij zagotoviti tudi kratek pregled zgodovine evropskega povezovanja. Posebno pozornost bi bilo treba nameniti uporabi jasnega in razumljivega, dostopnega jezika ter izobraževalnih orodij, kot so dokumentarni filmi, posnetki ali šolski televizijski programi, v vseh 24 jezikih.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Evropski projekt ostaja tuj za državljane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Predlagamo, da evropske institucije v svojem sporočilu zagotovijo, da bodo bolje pojasnile, kaj spada na področje pristojnosti EU, pa tudi, kaj ni v njeni pristojnosti.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Evropska unija bi morala v svoje sporočilo vključiti znane primere iz vsakdanjega življenja Evropejcev. Ta pojasnila bi bilo treba posredovati v državah članicah prek sporazumov med evropskimi institucijami in nacionalnimi javnimi televizijskimi kanali, da bi dosegli široko občinstvo.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Poleg tega bi bilo treba državljane držav članic redno obveščati, na primer prek video posnetkov, o vlogi Evropske unije v drugih državah članicah. Prednosti in slabosti Evrope bi bilo zato bolje obravnavati v razpravah o prihodnosti Evrope.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Da bi okrepili evropsko identiteto, predlagamo redno opozarjanje in omogočanje dostopa do informacij o tem, kakšno bi bilo življenje Evropejcev brez EU in njenih konkretnih dosežkov.</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Predlagamo tudi, da bo dan Evrope (9. maj) evropski državni praznik za vse državljane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Priporočamo, da evropske institucije še več pozornosti namenijo poenostavitvi, razumevanju in dostopnosti informacij o prednostnih temah, ki se obravnavajo na evropski ravni</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Priporočamo, da Evropska unija pripravi </w:t>
            </w:r>
            <w:commentRangeStart w:id="10"/>
            <w:r>
              <w:rPr/>
              <w:t>pregled stanja, ki bo za vsako državo</w:t>
            </w:r>
            <w:r>
              <w:rPr/>
            </w:r>
            <w:commentRangeEnd w:id="10"/>
            <w:r>
              <w:commentReference w:id="10"/>
            </w:r>
            <w:r>
              <w:rPr/>
              <w:t xml:space="preserve"> prikazal sredstva, ki jih je EU dodelila za vsako prednostno temo. Vse take informacije bi morale biti dostopne na spletni strani Evropske unije.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Priporočamo, da Evropska unija jasno predstavi tekoče zakonodajno delo. Vse take informacije bi morale biti dostopne na spletni strani Evropske unije.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Želimo, da bi bile evropske institucije bolj dostopne </w:t>
            </w:r>
            <w:commentRangeStart w:id="11"/>
            <w:r>
              <w:rPr/>
              <w:t>Evropejcem</w:t>
            </w:r>
            <w:r>
              <w:rPr/>
            </w:r>
            <w:commentRangeEnd w:id="11"/>
            <w:r>
              <w:commentReference w:id="11"/>
            </w:r>
            <w:r>
              <w:rPr/>
              <w:t>. Olajšati bi bilo treba njihovo sodelovanje v razpravah na zasedanjih Evropskega parlamenta.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Priporočamo, da se udeležba v programu Erasmus razširi na vse študente, ne glede na njihovo izobraževalno pot (poklicna tehnologija, izmenjava). Vsi bi morali imeti možnost sodelovanja v evropskih izmenjavah.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Priporočamo, da se delovno aktivnemu prebivalstvu omogoči uporaba evropskih programov izmenjav, ne glede na sektor dejavnosti, tudi za lokalna podjetja. Vsi bi morali imeti možnost sodelovanja v evropskih izmenjavah.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Priporočamo oblikovanje tečajev evropskega državljanstva za vse evropske državljane.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Zakonodaja EU se v državah članicah ne uporablja enako.</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Priporočamo, da Evropska unija bolje uporablja zakonodajo, ki se neposredno uporablja v državah članicah. To bi zmanjšalo nacionalne razlike pri izvajanju zakonodaje EU, kar slabi evropski projekt. To bi okrepilo tudi najpomembnejše evropske dosežke, kot so notranji trg, evro in schengensko območje.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Evropska demokracija je ogrožena.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Priporočamo, da se mora sporočilo EU o evropski demokraciji neusmiljeno in nedvoumno spomniti, kaj v Evropi pomeni za Evropejce.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Vrednote in načela Pogodb Evropske unije, ki so jih države članice podpisale ob pristopu, so nepovratne. Njihovo zaščito je treba še naprej zagotavljati.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Varstvo vrednot in načel Pogodb zagotavlja Evropsko sodišče in</w:t>
            </w:r>
            <w:r>
              <w:rPr/>
              <w:commentReference w:id="12"/>
            </w:r>
            <w:r>
              <w:rPr/>
              <w:t xml:space="preserve"> ga države članice ne morejo izpodbijati.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Informacije o EU niso lahko dostopne in težko razumljive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Priporočamo okrepitev preverjanja informacij o evropskih vprašanjih. Te informacije, ki jih razširjajo in preverjajo institucije, morajo biti zlahka dostopne evropski javnosti in nacionalnim medijem vsake države članice.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Nacionalni mediji pogosto izražajo negativno podobo 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EU mora biti bolj prisotna tudi v vsakdanjem življenju Evropejcev, in sicer z bolj proaktivnim komuniciranjem. (Npr. s sponzorstvom kulturnih dogodkov, ki združujejo državljane in so ponosni, da so državljani EU. Poročevalci in čajniki bi Evropejcem omogočili tudi dostop do</w:t>
            </w:r>
            <w:r>
              <w:rPr/>
              <w:commentReference w:id="13"/>
            </w:r>
            <w:r>
              <w:rPr/>
              <w:t xml:space="preserve"> kontekstualnih informacij o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Državljani ne poznajo tistih, ki jih zastopajo v Evropskem parlamentu.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Priporočamo, da so poslanci bolj znani v svojih matičnih državah, zlasti zunaj volilnih obdobij. Biti morajo bolj dostopni. Razlogi za njihovo glasovanje v Evropskem parlamentu morajo biti evropskim državljanom lažje dostopni prek spletne strani Evropske unije.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Priporočamo, da nacionalne politične stranke zagotovijo pomladitev kandidatov na listah, predstavljenih na volitvah v Evropski parlament. Takšen mandat se ne bi smel obravnavati kot nagrada za dobre in lojalne storitve, opravljene v nacionalni politiki.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Sporočilo EU je preveč enotno; ne upošteva raznolikosti prebivalstva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Da bi dosegli dovolj široko in raznoliko občinstvo, priporočamo, da EU z vključujočim komuniciranjem iz faze zasnove upošteva stopnjo izobrazbe zadevnih oseb in njihovo morebitno invalidnost. Poleg tega priporočamo, da se v posredovanje tega sporočila vključijo tudi posamezniki in organizacije (učitelji, sosedski agenti, CPAS, civilna družba).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Da bi dosegli delovno silo, priporočamo, da se več vlaga v uporabo obstoječih komunikacijskih kanalov za redno zagotavljanje ustreznih informacij o EU, na primer z obrazložitvenimi programi. Poleg tega priporočamo, da se zanesejo na ambasadorje (posameznike in organizacije), ki spodbujajo projekt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Da bi dosegli mlade in študente, priporočamo, da se poleg obstoječih kanalov, kot so izobraževanje in ustrezna mladinska gibanja, pozove ambasadorje, zlasti za vplivneže, ki lahko dosežejo mlade prek družbenih medijev. Še eno priporočilo bi bilo, da bi organizirali vseevropski natečaj za ustvarjanje risanke, ki bi privlačil mlade in jim pošiljal evropska sporočila.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Za starejše priporočamo uporabo enakih kanalov, kot so na voljo za delovno silo. Poleg tega priporočamo iskanje pravega ravnovesja med digitalno in nedigitalno komunikacijo (pisni tisk, radio, dogodki iz oči v oči), da bi zadovoljili potrebe vseh, vključno s tistimi, ki so v digitalnem okolju manj udobni, in tistimi, ki so v družbi manj mobilni.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Priporočamo, da se EU prek tečajev vključevanja, ki že obstajajo v številnih državah članicah, zaveže, da bo vključila „nove Evropejce“ (osebe, ki v enem ali drugem postopku zakonitega priseljevanja prebivajo v EU), in jih lahko seznani z drugimi tradicionalnimi kanali, prek katerih EU komunicira. Priporočamo tudi, da se da prostor lokalnemu asociativnemu svetu.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Priporočamo tudi, da se EU odpravi na ulice z vključujočo komunikacijo. Lahko bi se na primer uporabili (digitalni) panoji, prav tako pa tudi nova komunikacijska sredstva, kot so QR kode in tradicionalna sredstva.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Druga priporočila bi bila, da bi EU naredila bolj vizualno (z majhnimi filmi ali infografikami), ustanovila evropsko športno gibanje, ki bi ustvarilo povezavo/občutek pripadnosti in da bi bila evropska himna bolj znana.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Dezinformacije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Težave</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Priporočila</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Podprto z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Tveganje napačnih informacij je vedno bolj prisotno v medijih</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Priporočamo, da se na jasen in dostopen način revidira model financiranja medijev ter obvezna objava virov prihodkov. Model financiranja medijev jih spodbuja k senzacionalizmu in s tem k objavljanju informacij iz konteksta in jih spreminja v dezinformacije.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Priporočamo obvezno navajanje virov s strani medijev, tako da navedemo povezave za njihovo preverjanje. V nasprotnem primeru je treba informacije označiti kot nepreverjene.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Priporočamo, da je evropski regulator za boj proti dezinformacijam (glej točko 2) odgovoren tudi za akreditacijo organizacij za preverjanje informacij („preverjevalci dejstev“).</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Priporočamo, da se v vsaki državi članici ustanovi neodvisni organ, pristojen za preverjanje medijske nevtralnosti. Ta organ bi morala financirati in spremljati Evropska unija.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Priporočamo razširjanje informacij o URL-jih uradnih spletišč EU, da bi državljanom zagotovili informacije o izvoru informacij.</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Mnogi državljani dvomijo v medijsko nevtralnost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Priporočamo ustanovitev evropskega regulatorja za boj proti dezinformacijam. Naloga tega regulativnega organa bi bila zlasti določiti merila za oznako nevtralnosti in po potrebi vzpostaviti sistem sankcij ali spodbud, povezanih s spoštovanjem standardov nevtralnosti. Namesto tega bi lahko razmislili o spoštovanju etične listine. Znak bi podelil neodvisni nacionalni organ in bi upošteval ukrepe, ki so jih mediji sprejeli za boj proti dezinformacijam.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Priporočamo vzpostavitev evropske dežurne telefonske številke, ki bi državljanom omogočala, da prijavijo dezinformacije v zvezi z evropskimi (političnimi in gospodarskimi) pristojnostmi.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Državljani se ne zavedajo tveganj napačnih informacij, ki so jim izpostavljeni.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Priporočamo, da morajo platforme objavljati jasne in razumljive informacije o tveganjih dezinformacij, ki so jim izpostavljeni njihovi uporabniki. Te informacije je treba samodejno sporočiti takoj po odprtju računa.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Priporočamo obvezno usposabljanje za uporabo medijev že od zgodnjega otroštva in prilagojeno različnim stopnjam izobraževalnega sistema.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Priporočamo, da Evropska unija sproži ponavljajoče se kampanje o dezinformacijah. Te kampanje je mogoče identificirati z logotipom ali maskoto. Evropska unija bi lahko družabna omrežja prisilila, da jih posredujejo z razširjanjem točk.</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Sredstva za boj proti dezinformacijam niso zadostna.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Priporočamo objavo v preprostem in razumljivem jeziku o algoritmih, ki organizirajo sporočila, ki jih prejmejo uporabniki platforme.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Priporočamo, da lahko uporabniki enostavno onemogočijo vedenjske algoritme, ki povečujejo pristranskost. Preučila bi se lahko tudi obveznost, da se uporabnikom zagotovi dostop do drugih virov, ki zagovarjajo različna stališča o isti temi.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Priporočamo, da Evropska unija podpre vzpostavitev platforme družbenih medijev, ki bo izpolnjevala lastne standarde glede nevtralnosti in boja proti dezinformacijam. Druga možnost je, da se z novimi funkcijami doda večjezična platforma, ki je bila vzpostavljena v podporo konferenci o prihodnosti Evrope.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Paneli občanov</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Težave</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Priporočila</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Podprto z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Težave pri zagotavljanju reprezentativnosti državljanske komisije. Na koncu je vpleten le majhen del prebivalstva.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Priporočamo spremljanje, kaj kaže najnovejše znanstveno delo na področju posvetovalne demokracije v smislu vzorčenja, razvoja in znanstvenega potrjevanja izbirne metode, da se zagotovi najboljša možna reprezentativnost.</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Priporočamo, da je za mizo dovolj ljudi, da se zagotovi raznolikost mnenj in profilov, vključno z – vendar ne le – ljudmi, ki so neposredno povezani s to temo.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Priporočamo, da se v merila, ki urejajo vzorčenje, doda merilo starševstva (tj. ali ima oseba otroke?), poleg bolj tradicionalnih meril, kot so spol, starost, kraj prebivališča ali stopnja izobrazbe.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Priporočamo, da se določijo kvote glede na geografsko območje, kar pomeni, da mora biti evropska državljanska žirija sestavljena iz X oseb po evropskem geografskem območju (ki ga je treba določiti), tako da bo ta odbor resnično mogoče opredeliti kot evropsko in smiselno premišljeno.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Priporočamo, da se registri prebivalstva (ali njihovi enakovredni registri, odvisno od države) uporabijo kot osnovne podatkovne zbirke žrebanja, da bi vsem dali enake možnosti, da bi bili lahko izbrani, in da bi spodbudili zanimanje za temo znotraj prebivalstva.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Priporočamo, da udeleženci prejmejo nadomestilo, da ovrednotijo svojo naložbo in pritegnejo ljudi, ki ne bi sodelovali, če ne bi bili plačani.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Priporočamo obveščanje – precej minimalno: niti preveč informacij niti preveč zapletenih informacij – prvi udeleženci s predstavitvami strokovnjakov, da bi zagotovili, da se tudi ljudje brez predhodnega znanja počutijo udobno v razpravah.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Priporočamo, da se o temi državljanskega foruma vnaprej obvesti, da bodo ljudje vedeli, katero temo se zavezujejo k razpravi.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Priporočamo, da od državljanov ne zahtevamo sodelovanja.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Težave pri organizaciji okrogle mize na evropski ravni.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Priporočamo, da se seje evropske državljanske okrogle mize organizirajo v hibridni obliki (predstavni/dvojni). Sodelujejo lahko tudi ljudje, ki se ne morejo fizično gibati.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Priporočamo, da Evropska unija zaradi lažjega dostopa in organizacije organizacijo državljanskih okroglih miz (o evropskih temah) prenese na različne ravni oblasti na nacionalni ravni.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Priporočamo, da se za vsako okroglo mizo, organizirano na evropski ravni, izbere ena sama tema. To bo vsem udeležencem omogočilo, da razpravljajo o isti temi, ne glede na to, od kod prihajajo v Evropi.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Izognite se plošči </w:t>
              <w:br/>
              <w:t>državljani niso preusmerjeni za druge namene kot za tiste, ki so bili prijavljeni.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Priporočamo, da lahko vsak državljan predloži temo v razpravo in da ta pravica ni pridržana političnemu svetu ali svetu lobistov.</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Priporočamo, da se pravica do pobude podeli Evropskemu parlamentu, da Evropski parlament opredeli temo, o kateri se bo razpravljalo, in nato sprejme besedila, potrebna za spremljanje priporočil, ki izhajajo iz posvetovanj.</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Težave pri odločanju, kako najbolje organizirati postopek za najboljšo zastopanost državljanov.</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Priporočamo, da se poleg parlamenta ustanovi stalni odbor državljanov, ki bo opravljal posebne naloge. Redno se bo obnavljal. To bi omogočilo dolgoročno združevanje državljanov in vzelo potreben čas za razprave. Čas omogoča odtenke razprav in konsenza. Poleg tega stalne okrogle mize razpravljajo o temah, ki jih je izbrala stalna okrogla miza. Predlagamo, da sledimo modelu nemško govoreče skupnosti.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Priporočamo, da se ustanovi samo ena ali več nestalnih evropskih državljanskih okroglih miz, ki bi se sestajale in razpravljale o določeni temi le za določen čas.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Priporočamo, da ne organiziramo evropskih državljanskih forumov o nujnih vprašanjih, saj je za zagotovitev kakovosti razprav potrebnih dovolj časa.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Državljani, ki sodelujejo v pobudah participativne demokracije, kot so državljanske okrogle mize, prepogosto ne prejemajo povratnih informacij o spremljanju njihovega dela, bodisi kratkoročnega niti dolgoročnega.</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Priporočamo, da državljanom posredujemo povratne informacije o nadaljnjih ukrepih na podlagi priporočil, izdanih po okroglih mizah evropskih državljanov. Če priporočila niso upoštevana, morajo vključene evropske institucije navesti razloge za svojo odločitev (npr. nepristojnost). V ta namen priporočamo pisanje rednih povzetkov skozi celoten postopek po panelu.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Priporočamo organizacijo okroglih miz državljanov, tudi z otroki od zgodnjega otroštva (npr. 10–16 let), da bi povečali ozaveščenost o udeležbi in razpravi. To je mogoče organizirati v šolah.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Referendumi</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Težave</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Priporočila</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Podprto z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Priporočamo, da se na evropski ravni izvedejo referendumi o evropskih zadevah.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Kultura referenduma se med državami članicami zelo razlikuje.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Priporočamo, da se naroči raziskava o tem, kako ustvariti skupno referendumsko kulturo v Evropi.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Priporočamo raziskavo (s strani neodvisnih strokovnjakov) o nujnosti in možnosti izvedbe referenduma o določeni temi na evropski ravni.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Oblikovanje vprašanja, postavljenega na referendumu, ima lahko negativen učinek, prav tako pa lahko tudi možnost, da odgovorimo le z „da“ ali „ne“, kar pogosto polarizira razprave in družbe.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Priporočamo ustanovitev znanstvenega odbora, ki bo razmislil o tem, kako postaviti vprašanja, ki bi bila predmet evropskega referenduma, na kar najbolj objektiven način.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Priporočamo, da se postavijo vprašanja z več izbirami, ki presegajo preprosto alternativo med „da“ in „ne“, da bi se odtenek ali celo pripisal pogojem „da“ in „ne“ (tj. „da, če“, „ne, če“).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Priporočamo, da se beli glasovi ne upoštevajo pri izračunu večine (preprosta večina ali absolutna večina). Še vedno mora biti dovolj glasov (upoštevati je treba sklepčnost).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Izbira predmeta je tudi občutljiva.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Priporočamo, da vprašanje, postavljeno na evropskem referendumu, spada na področje uporabe katere koli evropske teme, ki spada v pristojnost Evropske unije.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Priporočamo, da se izključijo teme, ki bi lahko povzročile konflikte med državami članicami.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Priporočamo, da se lahko postavijo tudi tehnična in težka vprašanja z jasnim besedilom, saj imajo ljudje možnost, da so dovolj obveščeni.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 ni demokratično orodje, če se lahko samo politični svet odloči, da ga bo organiziral.</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Priporočamo, da ima Evropski parlament pravico do pobude za izvedbo</w:t>
            </w:r>
            <w:r>
              <w:rPr/>
              <w:commentReference w:id="14"/>
            </w:r>
            <w:r>
              <w:rPr/>
              <w:t xml:space="preserve"> evropskih referendumov in da mora biti nato sposoben uresničiti svoj izid (Evropska komisija in Svet bi morala slediti brez možnosti blokiranja).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Priporočamo, da lahko pobudo pripravijo tudi državljani sami (npr. z upoštevanjem pravil, podobnih tistim, ki veljajo za evropsko državljansko pobudo).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Priporočamo, da bi morala biti praktična organizacija evropskega referenduma nevtralna.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Posvetovalni ali zavezujoči vidik referenduma mora biti </w:t>
              <w:br/>
              <w:t>jasno definiran.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Priporočamo, da je izid evropskega referenduma zavezujoč le, če so izpolnjeni določeni pogoji glede udeležbe.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Priporočamo, da so rezultati referenduma zavezujoči le, če se doseže določena večina (51/49, 70/30). Ti pogoji se določijo pred vsakim referendumom.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Priporočamo, da je izid evropskega referenduma zavezujoč, če pobudo njene organizacije sprejmejo državljani (ki bi v ta namen uspeli zbrati več podpisov), vendar kaže na to, ali je pobudo sprejela politična institucija.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Priporočamo, da bi bil izid evropskega referenduma zavezujoč le za določene zadeve, ne pa tudi za tiste, za katere bi bile lahko posledice glasovanja zelo resne.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Prebivalstvo je pogosto slabo obveščeno, preden je pozvano k glasovanju na referendumu. Hkrati je ključnega pomena nadzor nad posredovanimi informacijami, da bi se izognili škodljivim vplivom (notranjim ali tujim) na glasovanje.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Priporočamo, da je javnost pred vsakim evropskim referendumom jasno obveščena o vplivu glasovanja na njihovo vsakdanje življenje, in sicer z brošurami, kot je to storjeno v Švici, in/ali informativnimi sestanki.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Priporočamo, da se za vsak evropski referendum ustanovi znanstveni odbor, ki bo zagotavljal nevtralnost posredovanih informacij.</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Čeprav referendum poziva celotno prebivalstvo k neposrednemu glasovanju (za razliko od državljanskega panela), vedno obstaja določen odsoten, bolj ali manj pomemben.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Priporočamo, da je udeležba na glasovanju na evropskem referendumu obvezna.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Priporočamo, da je glasovanje na evropskem referendumu prostovoljno.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Za zmanjšanje odsotnosti priporočamo, da se poleg glasovanja v papirni obliki (ali poleg drugih načinov glasovanja, kot je glasovanje po pošti) dovoli elektronsko glasovanje. Elektronsko glasovanje je še posebej zanimivo za ljudi, ki gredo na počitnice, prav tako pa spodbuja ljudi, ki jih manj zanima glasovanje, ker prisile potovanja ni več.</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Državljani, ki sodelujejo v pobudah za participativno demokracijo, kot so referendumi, se prepogosto</w:t>
            </w:r>
            <w:r>
              <w:rPr/>
              <w:commentReference w:id="15"/>
            </w:r>
            <w:r>
              <w:rPr/>
              <w:t xml:space="preserve"> ne vrnejo na nadaljnje ukrepanje po njihovem glasovanju, bodisi kratkoročno niti dolgoročno.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Priporočamo, da državljanom posredujemo povratne informacije o nadaljnjih ukrepih, ki so jih državljani sprejeli na evropskem referendumu (ali 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Obstoječa orodja</w:t>
      </w:r>
    </w:p>
    <w:p>
      <w:pPr>
        <w:pStyle w:val="Normal"/>
        <w:rPr/>
      </w:pPr>
      <w:r>
        <w:rPr/>
        <w:t>5.1. Evropske volitve.</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Težave</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Priporočila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Podprto z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V različnih državah članicah obstajajo razlike v predpisih.</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Predlagamo obvezno volilno udeležbo za Evropski parlament, vendar z zadostnimi informacijami, da bodo državljani razumeli razloge za to.</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Naše priporočilo je, da se volilna pravila za Evropski parlament čim bolj upoštevajo v vseh državah, vključno z najnižjo starostjo.</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Merila glede starosti, izvora in spola poslancev Evropskega parlamenta niso dovolj raznolika.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Predlagamo, naj bodo poslanci vseh starosti in okolij.</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Predlagamo, da se poslanci Evropskega parlamenta namerno odločijo za evropsko kariero in ne samo zato, ker so na koncu svoje kariere.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Predlagamo, da se odločimo za uravnoteženo porazdelitev po spolu, na primer z izmenično zastopanostjo spolov v volilnih imenikih</w:t>
            </w:r>
            <w:r>
              <w:rPr/>
              <w:commentReference w:id="16"/>
            </w:r>
            <w:r>
              <w:rPr/>
              <w:t>. EU mora določiti ta merila in preveriti, ali so izpolnjena v sestavi kvot. Če kandidat zavrne svoj mandat, ga zamenja naslednji kandidat po prednostnem vrstnem redu in z istim spolom.</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Priporočamo, da kandidati na evropskih listah izpolnijo svoj mandat, če so izvoljeni.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Glasujemo za Evropski parlament in nimamo besede v sestavi odbora.</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Predlagamo spremembo pogodbe, v skladu s katero lahko največja stranka v Evropskem parlamentu imenuje predsednika Evropske komisije.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Priporočamo, da bo sestava Evropske komisije v skladu z nekaterimi osnovnimi pravili bolj pregledna, da bo sestava odražala glas državljanov in da bo državljan vedel, kako je potekal izbor.</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O kandidatih ni veliko informacij, o njih in njihovem programu ne vemo veliko, pa tudi o političnih delih, ki jih bodo predstavljali v Evropskem parlamentu.</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Predlagamo, da se evropski kandidati bolj konkretno predstavijo s svojimi cilji in programi prek različnih kanalov (sporočilo).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Evropski varuh človekovih pravic</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Težave</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Priporočila</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Podprto z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Spletna stran v jezikih, ki niso angleščina, vsebuje samo informacije v angleščini na prvih dveh straneh. To ustvarja oviro za državljane, ki ne obvladajo angleščine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Predlagamo, da se informacije na domači strani objavijo v jeziku vsakega državljana in objavijo, če jih ni mogoče prevesti, novice v angleščini drugje na spletnem mestu.</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Varuh človekovih pravic ni stranka v kazni in odškodnini za pritožnika.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Predlagamo, da se varuh človekovih pravic vključi v postopek iskanja in izvajanja rešitve/sankcije/nadomestila ter naj se o zadevi izreče.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Rok je včasih zelo dolg za potrditev registracije na spletnem mestu (potrditev e-pošte) Včasih traja 24 ur in ruši državljana, ki se preseli na nekaj drugega.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Predlagamo uvedbo sistema takojšnjega potrjevanja.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Ko vložimo pritožbo, se postavi vprašanje: ste uporabili vse možne postopke? Državljan ne pozna vedno vseh postopkov in ne more odgovoriti na vprašanje.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Predlagamo, da se vključi povezava na preprosto predstavitev/razlaga drugih postopkov.</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Spletišče varuha človekovih pravic je dobro narejeno, vendar nima jasne evropske podobe, zato se državljanom postavljajo vprašanja (ali sem na pravi spletni strani, ali je verodostojna?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Predlagamo, da se pregleda grafična listina spomeniškega območja in jo bolj uskladimo z grafično listino EU (prvi nasvet: dvignite evropsko zastavo na vrh strani). Ob prvem kliku mora biti jasno, da je državljan na spletni strani varuha človekovih pravic institucij.</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Javno posvetovanje</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Težave</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Priporočila</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Podprto z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Spletna stran posvetovanja se je spremenila in državljan je na prvi stopnji poslan na zastarelo spletno stran. Poiskati morate naslov novega spletnega mesta.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Predlagamo, da se staro spletno mesto izbriše in se najprej sklicuje na novo spletno mesto.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Časovni načrt (angleščina) in mnenja (jezik urednika državljanov) posvetovanja niso prevedena v jezik bralca državljanov.</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Močno priporočamo, da se časovni načrt prevede v jezik državljanov. Zemljevid v angleščini blokira vsakega državljana, ki ne obvlada</w:t>
            </w:r>
            <w:commentRangeStart w:id="19"/>
            <w:r>
              <w:rPr/>
              <w:t>angleščine</w:t>
            </w:r>
            <w:r>
              <w:rPr/>
            </w:r>
            <w:commentRangeEnd w:id="19"/>
            <w:r>
              <w:commentReference w:id="19"/>
            </w:r>
            <w:r>
              <w:rPr/>
              <w:t xml:space="preserve"> v svoji udeležbi.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Predlagamo, da pri vsakem pregledu postavite zavihek/icon „avtomatiziran prevod“, ki se poveže z odprtokodnim prevajalnikom, kot sta </w:t>
            </w:r>
            <w:commentRangeStart w:id="20"/>
            <w:r>
              <w:rPr/>
              <w:t>Google Translate ali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Naročiti se morate na nadaljnje spremljanje posvetovanja.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Predlagamo, da se sledenje procesa samodejno pošlje vsakomur, ki se je odzval, z možnostjo odjave.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Ne vemo, ali število mnenj v določenem smislu vpliva na komisijo ali pa se podobna mnenja obravnavajo kot eno mnenje (ponderiranje ali ne). Če število mnenj v nekem smislu šteje, smo zaskrbljeni zaradi teže lobistov/aktivistov/velikih podjetij v posvetovanjih in dejansko ukrepov, ki jih je EU sprejela v odnosu do državljanov in združevalnega sveta.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Priporočamo, da na spletnem mestu objavite jasne informacije o tem.</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Če ima število mnenj v eni smeri vpliv, priporočamo vzpostavitev sistema, ki bo omogočal filtriranje lobistov/aktivistov/velikih podjetij itd., da ne bi imeli nesorazmerne teže.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Priporočamo ustvarjanje programske opreme za umetno inteligenco, ki uvršča različne ocene in šteje nasprotne ali ugodne ocene.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Predlagamo organizacijo relejev med državljani in združenji (vojaki): imeti mesta, kjer bi državljani lahko prišli in dali svoja mnenja, v obliki „evropskih hiš“, ki bi lahko pripomogla k razširjanju mnenj državljanov na evropsko raven. Ta mesta bi bilo treba vzpostaviti na različnih lokacijah na lokalni ravni in jih premestiti.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Obrazec za obvestilo ni jasen: obstaja odprto vprašanje in vprašalnik. Kakšna je vloga vsakega dokumenta, kaj je treba izpolniti?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Pojasnite te informacije na spletnem mestu.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Obstaja preveč ravni znanja, ko gre za orodja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Predlagamo ustanovitev odpremnega centra, ki bo omogočal, da se zahtevki naslovijo na pristojno raven oblasti.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Evropska državljanska pobuda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Težave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Priporočila</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Podprto z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Državljani, ki nimajo interneta, so težje dosegljivi.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Predlagamo, da lahko lokalne oblasti ali knjižnice, ki so neodvisne od vlade, sodelujejo pri razširjanju te pobude in zbiranju podpisov. Tako elektronsko kot na papirju. EU bi morala oceniti to mrežo po državah in jo dati na voljo pobudnikom.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Število držav, ki morajo sodelovati, je premajhno, da bi imele zadostno podporo.</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Za večjo podporo predlogu predlagamo povečanje števila držav, iz katerih se zbirajo podpisi, na 13 držav. Število podpisov je treba spoštovati sorazmerno s številom prebivalcev.</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Stroški in prizadevanja za zbiranje podpisov so visoki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Predlagamo, da se te pobude podprejo s sredstvi EU.</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Predlagamo ustanovitev organa, ki bo olajšal usklajevanje med različnimi državami.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Postopek je za državljane zapleten.</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Predlagamo ustanovitev službe za pomoč državljanom, ki bo državljanom pomagala dokončati postopek.</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Izid državljanske pobude je nejasen.</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Predlagamo, da se Evropsko komisijo zaveže, da bo razpravljala o nadaljnjih ukrepih v zvezi s predlogom in jih obravnavala, in ne le, da bo odgovorila in potrdila prejem. Če se Komisija odloči, da ne bo ukrepala v zvezi s predlogom, ga mora utemeljiti.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Predlagamo, da se ob prejemu evropske državljanske pobude organizira posvetovanje z državljani, da se jih zaprosi za mnenje, preden ga odbor spremlja. To bi preprečilo, da bi imeli samo ekstremna mnenja/glasovanja za pobudo in mnenje ljudi, ki niso podpisali. Poleg tega bo predlog, če bodo vsi državljani izrazili svoje mnenje, imel večji pomen na ravni EU in njegovem spremljanju.</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Pravica do peticije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Težave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Priporočila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Podprto z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Evropska komisija ima končno odločitev, ni gotovosti o izidu</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Predlagamo, da odbor upošteva priporočilo Evropskega parlamenta.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Glede postopka in motivacije za odločitev je premalo transparentnosti.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Predlagamo, da osebo, ki je vložila peticijo, redno obveščamo o napredku in odločitvah. Končni sklep je treba tudi obrazložiti.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Državljani težko dokažejo potrebo po novi zakonodaji.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Naše priporočilo je, da je treba peticijo uporabiti tudi kot orodje za dokazovanje potrebe po novi zakonodaji.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Nacionalni odbori: Francija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Okvir 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Ta dokument je povzetek poročila o prispevku državljanov h konferenci o prihodnosti Evrope, ki jo je organizirala Francija. Celotna različica poročila v francoščini je na voljo na naslednji povezavi: </w:t>
                            </w:r>
                          </w:p>
                          <w:p>
                            <w:pPr>
                              <w:pStyle w:val="Contenudecadre"/>
                              <w:spacing w:before="57" w:after="57"/>
                              <w:rPr/>
                            </w:pPr>
                            <w:hyperlink r:id="rId84">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Okvir 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Ta dokument je povzetek poročila o prispevku državljanov h konferenci o prihodnosti Evrope, ki jo je organizirala Francija. Celotna različica poročila v francoščini je na voljo na naslednji povezavi: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Slika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33" descr=""/>
                    <pic:cNvPicPr>
                      <a:picLocks noChangeAspect="1" noChangeArrowheads="1"/>
                    </pic:cNvPicPr>
                  </pic:nvPicPr>
                  <pic:blipFill>
                    <a:blip r:embed="rId86"/>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Slika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ika 38" descr=""/>
                    <pic:cNvPicPr>
                      <a:picLocks noChangeAspect="1" noChangeArrowheads="1"/>
                    </pic:cNvPicPr>
                  </pic:nvPicPr>
                  <pic:blipFill>
                    <a:blip r:embed="rId87"/>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Slika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37" descr=""/>
                    <pic:cNvPicPr>
                      <a:picLocks noChangeAspect="1" noChangeArrowheads="1"/>
                    </pic:cNvPicPr>
                  </pic:nvPicPr>
                  <pic:blipFill>
                    <a:blip r:embed="rId88"/>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Slika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36" descr=""/>
                    <pic:cNvPicPr>
                      <a:picLocks noChangeAspect="1" noChangeArrowheads="1"/>
                    </pic:cNvPicPr>
                  </pic:nvPicPr>
                  <pic:blipFill>
                    <a:blip r:embed="rId89"/>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Slika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ka 34" descr=""/>
                    <pic:cNvPicPr>
                      <a:picLocks noChangeAspect="1" noChangeArrowheads="1"/>
                    </pic:cNvPicPr>
                  </pic:nvPicPr>
                  <pic:blipFill>
                    <a:blip r:embed="rId90"/>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Slika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35" descr=""/>
                    <pic:cNvPicPr>
                      <a:picLocks noChangeAspect="1" noChangeArrowheads="1"/>
                    </pic:cNvPicPr>
                  </pic:nvPicPr>
                  <pic:blipFill>
                    <a:blip r:embed="rId91"/>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Povzetek</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Uvod </w:t>
      </w:r>
    </w:p>
    <w:p>
      <w:pPr>
        <w:pStyle w:val="P68B1DB1Normal19"/>
        <w:widowControl w:val="false"/>
        <w:spacing w:lineRule="auto" w:line="240" w:before="156" w:after="0"/>
        <w:ind w:left="0" w:right="0" w:hanging="0"/>
        <w:jc w:val="both"/>
        <w:rPr/>
      </w:pPr>
      <w:r>
        <w:rPr/>
        <w:t xml:space="preserve">Konferenca o prihodnosti Evrope je brez primere državljanska udeležba, katere namen je posvetovanje z državljani 27 držav članic Evropske unije, da bi jih postavili v središče odločitev, ki bodo sprejete v prihodnjih letih in desetletjih. Državljani EU so zato pozvani, naj izrazijo svoje mnenje ter predlagajo spremembe in konkretne načine ukrepanja, ki bodo Evropi omogočili, da si zastavi nove ambicije in se spopade s svetovnimi izzivi, s katerimi se danes sooča. </w:t>
      </w:r>
    </w:p>
    <w:p>
      <w:pPr>
        <w:pStyle w:val="P68B1DB1Normal19"/>
        <w:widowControl w:val="false"/>
        <w:spacing w:lineRule="auto" w:line="240" w:before="156" w:after="0"/>
        <w:ind w:left="0" w:right="0" w:hanging="0"/>
        <w:jc w:val="both"/>
        <w:rPr/>
      </w:pPr>
      <w:r>
        <w:rPr/>
        <w:t xml:space="preserve">Francoska vlada podpira pobude trojke predsedstev Konference o prihodnosti Evrope, zlasti s spodbujanjem državljanov, da pomembno prispevajo k spletni platformi in organizirajo dogodke po vsej državi. </w:t>
      </w:r>
    </w:p>
    <w:p>
      <w:pPr>
        <w:pStyle w:val="P68B1DB1Normal19"/>
        <w:widowControl w:val="false"/>
        <w:spacing w:lineRule="auto" w:line="240" w:before="156" w:after="0"/>
        <w:ind w:left="0" w:right="0" w:hanging="0"/>
        <w:jc w:val="left"/>
        <w:rPr/>
      </w:pPr>
      <w:r>
        <w:rPr/>
        <w:t xml:space="preserve">Vzporedno s temi evropskimi pobudami je vlada želela izvesti participativno dejavnost na nacionalni ravni. </w:t>
      </w:r>
    </w:p>
    <w:p>
      <w:pPr>
        <w:pStyle w:val="P68B1DB1Normal19"/>
        <w:widowControl w:val="false"/>
        <w:spacing w:lineRule="auto" w:line="240" w:before="156" w:after="0"/>
        <w:ind w:left="0" w:right="0" w:hanging="0"/>
        <w:jc w:val="both"/>
        <w:rPr/>
      </w:pPr>
      <w:r>
        <w:rPr/>
        <w:t xml:space="preserve">Ministrstvo za Evropo in zunanje zadeve (MEAE) je s podporo ministrstva za odnose s parlamentom in državljansko udeležbo (MRPCC) ter strokovnim znanjem Medministrskega centra za sodelovanje državljanov (ICPC) organiziralo državljansko vajo, ki je temeljila na močni metodološki pristranskosti (glej spodaj „Metodološke zaveze in pristranskosti“). Združenje MEAE se je oprlo na konzorcij dobaviteljev, ki so ga sestavljali Roland Berger, Wavestone, Missions Publiques in Harris Interactive. Regionalne prefekture so končno odigrale ključno vlogo pri organizaciji 18 konferenc po vsej državi. </w:t>
      </w:r>
    </w:p>
    <w:p>
      <w:pPr>
        <w:pStyle w:val="P68B1DB1Normal19"/>
        <w:widowControl w:val="false"/>
        <w:spacing w:lineRule="auto" w:line="240" w:before="156" w:after="0"/>
        <w:ind w:left="0" w:right="0" w:hanging="0"/>
        <w:jc w:val="both"/>
        <w:rPr/>
      </w:pPr>
      <w:r>
        <w:rPr/>
        <w:t xml:space="preserve">V okviru tega posvetovanja je bilo udeležencem postavljeno eno vprašanje: </w:t>
      </w:r>
      <w:r>
        <w:rPr>
          <w:b/>
          <w:i/>
        </w:rPr>
        <w:t>Kakšne spremembe si kot francoski državljani želite za Evropo?</w:t>
      </w:r>
      <w:r>
        <w:rPr/>
        <w:t xml:space="preserve"> (Glej Prilogo IV „Mandat za sodelovanje“). </w:t>
      </w:r>
    </w:p>
    <w:p>
      <w:pPr>
        <w:pStyle w:val="P68B1DB1Normal19"/>
        <w:widowControl w:val="false"/>
        <w:spacing w:lineRule="auto" w:line="240" w:before="156" w:after="0"/>
        <w:ind w:left="0" w:right="0" w:hanging="0"/>
        <w:jc w:val="both"/>
        <w:rPr/>
      </w:pPr>
      <w:r>
        <w:rPr/>
        <w:t xml:space="preserve">Ta nacionalna vaja je potekala v obliki 18 regionalnih konferenc v 13 metropolitanskih regijah in petih francoskih ultramorskih regijah, ki so potekale ob treh vikendih septembra in oktobra 2021 in so se v vsaki od njih zbrale od 30 do 50 državljanov, ki so se pobrali po žrebu (skupaj 746). Sinteza teh 18 regionalnih okroglih miz je bila nato izvedena na nacionalni konferenci, ki je potekala od 15. do 17. oktobra 2021 na Ekonomsko-socialnem in okoljskem svetu (EESO v Parizu) in na kateri se je med udeleženci regionalnih konferenc zbralo 98 prostovoljnih državljanov. </w:t>
      </w:r>
    </w:p>
    <w:p>
      <w:pPr>
        <w:pStyle w:val="P68B1DB1Normal19"/>
        <w:widowControl w:val="false"/>
        <w:spacing w:lineRule="auto" w:line="240" w:before="156" w:after="0"/>
        <w:ind w:left="0" w:right="0" w:hanging="0"/>
        <w:jc w:val="both"/>
        <w:rPr/>
      </w:pPr>
      <w:r>
        <w:rPr/>
        <w:t xml:space="preserve">Da bi poudarili besede mladih Francozov pred evropskim letom mladih 2022, je ministrstvo za Evropo in zunanje zadeve v partnerstvu z Make.org poleg tega organiziralo spletno posvetovanje z naslovom </w:t>
      </w:r>
      <w:r>
        <w:rPr>
          <w:i/>
        </w:rPr>
        <w:t>Speak to Youth</w:t>
      </w:r>
      <w:r>
        <w:rPr/>
        <w:t xml:space="preserve">. Več kot 50 000 mladih, starih od 15 do 35 let, je izrazilo svoje zamisli in prednostne naloge za Evropo leta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V tem poročilu so predstavljeni glavni rezultati obeh posvetovanj, ki jih je izvedla vlada.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Metodologija posvetovanja </w:t>
      </w:r>
    </w:p>
    <w:p>
      <w:pPr>
        <w:pStyle w:val="P68B1DB1Normal19"/>
        <w:widowControl w:val="false"/>
        <w:spacing w:lineRule="auto" w:line="240" w:before="156" w:after="0"/>
        <w:ind w:left="0" w:right="0" w:hanging="0"/>
        <w:jc w:val="both"/>
        <w:rPr/>
      </w:pPr>
      <w:r>
        <w:rPr/>
        <w:t xml:space="preserve">Zaposlovanje državljanov, ki so sodelovali na regionalnih konferencah, je združilo naključni izbor udeležencev z naključnim žrebom njihovih telefonskih številk in ciljno usmerjen izbor profilov, da bi se dosegla komisija, ki bi bila reprezentativna za raznolikost vsakega ozemlja. </w:t>
      </w:r>
    </w:p>
    <w:p>
      <w:pPr>
        <w:pStyle w:val="P68B1DB1Normal19"/>
        <w:widowControl w:val="false"/>
        <w:spacing w:lineRule="auto" w:line="240" w:before="156" w:after="0"/>
        <w:ind w:left="0" w:right="0" w:hanging="0"/>
        <w:jc w:val="both"/>
        <w:rPr/>
      </w:pPr>
      <w:r>
        <w:rPr/>
        <w:t xml:space="preserve">Na regionalnih okroglih mizah so udeleženci govorili z izmeničnim delovnim časom v skupinah, in sicer po razpredelnici 6 do 8 državljanov, ki jih je spremljal povezovalec in predstavitveni čas na plenarnem zasedanju. Strokovnjaki so bili med razmislekom prisotni, da bi odgovorili na vprašanja državljanov in pojasnili, hkrati pa ohranili nevtralnost. </w:t>
      </w:r>
    </w:p>
    <w:p>
      <w:pPr>
        <w:pStyle w:val="P68B1DB1Normal19"/>
        <w:widowControl w:val="false"/>
        <w:spacing w:lineRule="auto" w:line="240" w:before="156" w:after="0"/>
        <w:ind w:left="0" w:right="0" w:hanging="0"/>
        <w:jc w:val="both"/>
        <w:rPr/>
      </w:pPr>
      <w:r>
        <w:rPr/>
        <w:t xml:space="preserve">Državljani so bili najprej povabljeni, da razpravljajo o svojem trenutnem dojemanju Evrope. Nato so izrazili </w:t>
      </w:r>
      <w:r>
        <w:rPr>
          <w:b/>
        </w:rPr>
        <w:t>željo po Evropi leta 2035</w:t>
      </w:r>
      <w:r>
        <w:rPr/>
        <w:t xml:space="preserve"> kot skupini in nato na plenarnem zasedanju. Na podlagi teh razprav je bilo mogoče opredeliti od 3 do 8 želja po regijah. Za vsako od teh želja so državljani nato oblikovali </w:t>
      </w:r>
      <w:r>
        <w:rPr>
          <w:b/>
        </w:rPr>
        <w:t>spremembe</w:t>
      </w:r>
      <w:r>
        <w:rPr/>
        <w:t xml:space="preserve">, ki so bile po njihovem mnenju potrebne, da bi dosegli želeno Evropo, in jih nato ponazorili s konkretnimi predlogi, ki jih je treba izvesti. Ta proces je privedel do skupno 515 sprememb in 1 301 konkretnih predlogov na nacionalni ravni. </w:t>
      </w:r>
    </w:p>
    <w:p>
      <w:pPr>
        <w:pStyle w:val="P68B1DB1Normal19"/>
        <w:widowControl w:val="false"/>
        <w:spacing w:lineRule="auto" w:line="240" w:before="156" w:after="0"/>
        <w:ind w:left="0" w:right="0" w:hanging="0"/>
        <w:jc w:val="left"/>
        <w:rPr/>
      </w:pPr>
      <w:r>
        <w:rPr/>
        <w:t xml:space="preserve">Na vsaki regionalni konferenci je bilo pripravljeno regionalno zbirno poročilo, ki je bilo vsem udeležencem poslano pred nacionalno konferenco. </w:t>
      </w:r>
    </w:p>
    <w:p>
      <w:pPr>
        <w:pStyle w:val="P68B1DB1Normal19"/>
        <w:widowControl w:val="false"/>
        <w:spacing w:lineRule="auto" w:line="240" w:before="156" w:after="0"/>
        <w:ind w:left="0" w:right="0" w:hanging="0"/>
        <w:jc w:val="both"/>
        <w:rPr/>
      </w:pPr>
      <w:r>
        <w:rPr/>
        <w:t xml:space="preserve">Na nacionalni zbirni konferenci se je med udeleženci 18 regionalnih konferenc zbralo 98 naključno izbranih državljanov. Da bi zagotovili raznolikost nacionalne okrogle mize, je bilo med prostovoljci regionalnih konferenc v celinski Franciji in Reunionu z žrebom izbranih 6 državljanov, štirje državljani pa so se udeležili ultramorskih konferenc ob spoštovanju paritete in raznolikosti starosti v vsakem regionalnem žrebanju (glej Prilogo II). </w:t>
      </w:r>
    </w:p>
    <w:p>
      <w:pPr>
        <w:pStyle w:val="Normal"/>
        <w:widowControl w:val="false"/>
        <w:spacing w:lineRule="auto" w:line="240" w:before="156" w:after="0"/>
        <w:ind w:left="0" w:right="0" w:hanging="0"/>
        <w:jc w:val="both"/>
        <w:rPr/>
      </w:pPr>
      <w:r>
        <w:rPr>
          <w:rFonts w:ascii="Times New Roman" w:hAnsi="Times New Roman"/>
          <w:color w:val="000000"/>
          <w:sz w:val="24"/>
        </w:rPr>
        <w:t>V okviru priprav na nacionalno konferenco je bilo analiziranih in usklajenih 515 sprememb, opredeljenih na regionalnih konferencah, ko se je njihov osnovni namen pojavil podoben ali blizu, da bi sestavljali 14 skupin</w:t>
      </w:r>
      <w:r>
        <w:rPr>
          <w:rFonts w:ascii="Times New Roman" w:hAnsi="Times New Roman"/>
          <w:b/>
          <w:color w:val="000000"/>
          <w:sz w:val="24"/>
        </w:rPr>
        <w:t xml:space="preserve"> </w:t>
      </w:r>
      <w:r>
        <w:rPr>
          <w:rFonts w:ascii="Times New Roman" w:hAnsi="Times New Roman"/>
          <w:color w:val="000000"/>
          <w:sz w:val="24"/>
        </w:rPr>
        <w:t>sprememb, ki odražajo skupno željo po Evropi (glej del 6). Teh 14 evropskih želja je služilo kot podlaga za delo 98 udeležencev nacionalne konference, katere naloga je bila obogatiti opravljeno delo v regijah in se soočiti z željami Evrope, spremembami in predlogi s pomočjo dvajsetih strokovnjakov, da bi prišli do seznama prednostnih sprememb. Vsaka skupina je končno izbrala tri ključne spremembe, od</w:t>
      </w:r>
      <w:r>
        <w:rPr>
          <w:rFonts w:ascii="Times New Roman" w:hAnsi="Times New Roman"/>
          <w:b/>
          <w:color w:val="000000"/>
          <w:sz w:val="24"/>
        </w:rPr>
        <w:t xml:space="preserve"> </w:t>
      </w:r>
      <w:r>
        <w:rPr>
          <w:rFonts w:ascii="Times New Roman" w:hAnsi="Times New Roman"/>
          <w:color w:val="000000"/>
          <w:sz w:val="24"/>
        </w:rPr>
        <w:t xml:space="preserve">katerih je prvo glasovalo vseh 98 državljanov, s čimer je bila določena končna razvrstitev 14 prednostnih sprememb. Zbirno poročilo utrjuje vse delo te konference. </w:t>
      </w:r>
      <w:r>
        <w:br w:type="page"/>
      </w:r>
    </w:p>
    <w:p>
      <w:pPr>
        <w:pStyle w:val="P68B1DB1Normal19"/>
        <w:spacing w:lineRule="auto" w:line="240" w:before="156" w:after="0"/>
        <w:ind w:left="0" w:right="0" w:hanging="0"/>
        <w:rPr/>
      </w:pPr>
      <w:r>
        <w:rPr/>
        <w:t xml:space="preserve">Spletno posvetovanje „Parole aux Jeunes“, ki je potekalo v partnerstvu z družbo Make.org, je potekalo od maja do julija 2021. Sodelovalo je več kot 50.000 udeležencev in oddalo skoraj 3.000 predlogov za Evropo. Na podlagi vseh odzivov mladih državljanov je bilo ugotovljenih 35 pomembnih idej, od katerih jih je bilo 22 splošno priznanih, 13 pa jih je bilo predmet polemik med udeleženci (glej 11. del). </w:t>
      </w:r>
    </w:p>
    <w:p>
      <w:pPr>
        <w:pStyle w:val="P68B1DB1Normal19"/>
        <w:widowControl w:val="false"/>
        <w:spacing w:lineRule="auto" w:line="240" w:before="156" w:after="0"/>
        <w:ind w:left="0" w:right="0" w:hanging="0"/>
        <w:jc w:val="left"/>
        <w:rPr/>
      </w:pPr>
      <w:r>
        <w:rPr>
          <w:u w:val="single"/>
        </w:rPr>
        <w:t>Izstopna točka in dolžnost takoj</w:t>
      </w:r>
      <w:r>
        <w:rPr/>
        <w:t xml:space="preserve"> </w:t>
      </w:r>
    </w:p>
    <w:p>
      <w:pPr>
        <w:pStyle w:val="P68B1DB1Normal19"/>
        <w:widowControl w:val="false"/>
        <w:spacing w:lineRule="auto" w:line="240" w:before="156" w:after="0"/>
        <w:ind w:left="0" w:right="0" w:hanging="0"/>
        <w:jc w:val="both"/>
        <w:rPr/>
      </w:pPr>
      <w:r>
        <w:rPr/>
        <w:t xml:space="preserve">To poročilo bodo državljani 29. novembra 2021 predložili vladi v navzočnosti francoskih izvoljenih članov plenarne skupščine konference o prihodnosti Evrope. Predstavljen bo trojki predsedstev Konference med francoskim predsedovanjem Svetu Evropske unije (PFUE). </w:t>
      </w:r>
    </w:p>
    <w:p>
      <w:pPr>
        <w:pStyle w:val="P68B1DB1Normal19"/>
        <w:widowControl w:val="false"/>
        <w:spacing w:lineRule="auto" w:line="240" w:before="156" w:after="0"/>
        <w:ind w:left="0" w:right="0" w:hanging="0"/>
        <w:jc w:val="both"/>
        <w:rPr/>
      </w:pPr>
      <w:r>
        <w:rPr/>
        <w:t xml:space="preserve">Ob koncu nacionalne zbirne konference v EESO je bil za izpolnitev visokih pričakovanj državljanov, ki so bila oblikovana z žrebom, ustanovljen odbor za spremljanje državljanov, ki vključuje pravico udeležencev do nadaljnjega spremljanja. Ta odbor, ki ga sestavlja 15 članov – 14 predstavnikov regionalnih konferenc in predstavnik posvetovanja „Parole aux Jeunes“, bo moral obveščati državljane o prihodnosti njihovih predlogov. Na vsaki seji plenarne skupščine konference bo eden ali eden od članov nadzornega odbora sodeloval kot predstavnik francoske vaje, da bi poudaril predloge iz tega poročila, hkrati pa oblikoval skupno stališče z vsemi zastopanimi evropskimi državljani. </w:t>
      </w:r>
    </w:p>
    <w:p>
      <w:pPr>
        <w:pStyle w:val="P68B1DB1Normal19"/>
        <w:widowControl w:val="false"/>
        <w:spacing w:lineRule="auto" w:line="240" w:before="156" w:after="0"/>
        <w:ind w:left="0" w:right="0" w:hanging="0"/>
        <w:jc w:val="both"/>
        <w:rPr/>
      </w:pPr>
      <w:r>
        <w:rPr/>
        <w:t xml:space="preserve">Vsi dokumenti francoskega posvetovanja bodo javni in vsem dostopni na platformi za udeležbo državljanov francoske države: mandat za sodelovanje, regionalni povzetki, nacionalna sinteza, poročilo garanta in končno poročilo.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Okvir 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Pregled francoskega prispevka h konferenci o prihodnosti Evrope</w:t>
                            </w:r>
                          </w:p>
                          <w:p>
                            <w:pPr>
                              <w:pStyle w:val="Contenudecadre"/>
                              <w:rPr>
                                <w:color w:val="auto"/>
                              </w:rPr>
                            </w:pPr>
                            <w:r>
                              <w:rPr>
                                <w:color w:val="auto"/>
                              </w:rPr>
                            </w:r>
                          </w:p>
                          <w:p>
                            <w:pPr>
                              <w:pStyle w:val="Contenudecadre"/>
                              <w:rPr>
                                <w:color w:val="auto"/>
                              </w:rPr>
                            </w:pPr>
                            <w:r>
                              <w:rPr>
                                <w:color w:val="auto"/>
                              </w:rPr>
                              <w:t>Državljani, ki so bili izbrani z žrebom, so morali odgovoriti na vprašanje: „Kakšne spremembe si kot francoski državljani želite za Evropo?“</w:t>
                            </w:r>
                          </w:p>
                          <w:p>
                            <w:pPr>
                              <w:pStyle w:val="Contenudecadre"/>
                              <w:rPr>
                                <w:color w:val="auto"/>
                              </w:rPr>
                            </w:pPr>
                            <w:r>
                              <w:rPr>
                                <w:color w:val="auto"/>
                              </w:rPr>
                            </w:r>
                          </w:p>
                          <w:p>
                            <w:pPr>
                              <w:pStyle w:val="Contenudecadre"/>
                              <w:rPr>
                                <w:color w:val="auto"/>
                              </w:rPr>
                            </w:pPr>
                            <w:r>
                              <w:rPr>
                                <w:color w:val="auto"/>
                              </w:rPr>
                              <w:t xml:space="preserve">Top 10 prednostnih sprememb za Evropo leta 2035 </w:t>
                            </w:r>
                          </w:p>
                          <w:p>
                            <w:pPr>
                              <w:pStyle w:val="Contenudecadre"/>
                              <w:rPr>
                                <w:color w:val="auto"/>
                              </w:rPr>
                            </w:pPr>
                            <w:r>
                              <w:rPr>
                                <w:color w:val="auto"/>
                              </w:rPr>
                            </w:r>
                          </w:p>
                          <w:p>
                            <w:pPr>
                              <w:pStyle w:val="Contenudecadre"/>
                              <w:rPr>
                                <w:color w:val="auto"/>
                              </w:rPr>
                            </w:pPr>
                            <w:r>
                              <w:rPr>
                                <w:color w:val="auto"/>
                              </w:rPr>
                              <w:t xml:space="preserve">1. Razviti </w:t>
                            </w:r>
                            <w:r>
                              <w:rPr>
                                <w:b/>
                                <w:color w:val="auto"/>
                              </w:rPr>
                              <w:t>energijo treznost</w:t>
                            </w:r>
                            <w:r>
                              <w:rPr>
                                <w:color w:val="auto"/>
                              </w:rPr>
                              <w:t>, da porabijo manj, tako da ustavi odvečno</w:t>
                            </w:r>
                          </w:p>
                          <w:p>
                            <w:pPr>
                              <w:pStyle w:val="Contenudecadre"/>
                              <w:rPr>
                                <w:b w:val="false"/>
                                <w:b w:val="false"/>
                                <w:color w:val="auto"/>
                              </w:rPr>
                            </w:pPr>
                            <w:r>
                              <w:rPr>
                                <w:b w:val="false"/>
                                <w:color w:val="auto"/>
                              </w:rPr>
                            </w:r>
                          </w:p>
                          <w:p>
                            <w:pPr>
                              <w:pStyle w:val="Contenudecadre"/>
                              <w:rPr>
                                <w:color w:val="auto"/>
                              </w:rPr>
                            </w:pPr>
                            <w:r>
                              <w:rPr>
                                <w:color w:val="auto"/>
                              </w:rPr>
                              <w:t>2. Krepitev</w:t>
                            </w:r>
                            <w:r>
                              <w:rPr>
                                <w:b/>
                                <w:color w:val="auto"/>
                              </w:rPr>
                              <w:t>skupne obrambe in varnosti</w:t>
                            </w:r>
                            <w:r>
                              <w:rPr>
                                <w:color w:val="auto"/>
                              </w:rPr>
                              <w:t>Evropske unije</w:t>
                            </w:r>
                          </w:p>
                          <w:p>
                            <w:pPr>
                              <w:pStyle w:val="Contenudecadre"/>
                              <w:rPr>
                                <w:b w:val="false"/>
                                <w:b w:val="false"/>
                                <w:color w:val="auto"/>
                              </w:rPr>
                            </w:pPr>
                            <w:r>
                              <w:rPr>
                                <w:b w:val="false"/>
                                <w:color w:val="auto"/>
                              </w:rPr>
                            </w:r>
                          </w:p>
                          <w:p>
                            <w:pPr>
                              <w:pStyle w:val="Contenudecadre"/>
                              <w:rPr>
                                <w:color w:val="auto"/>
                              </w:rPr>
                            </w:pPr>
                            <w:r>
                              <w:rPr>
                                <w:color w:val="auto"/>
                              </w:rPr>
                              <w:t xml:space="preserve">3. Spodbujanje </w:t>
                            </w:r>
                            <w:r>
                              <w:rPr>
                                <w:b/>
                                <w:color w:val="auto"/>
                              </w:rPr>
                              <w:t>kolektivne gospodarske uspešnosti</w:t>
                            </w:r>
                            <w:r>
                              <w:rPr>
                                <w:color w:val="auto"/>
                              </w:rPr>
                              <w:t xml:space="preserve"> s pomočjo avtonomne, konkurenčne in cenjene industrije s strani EU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Krepitev vloge državljanov</w:t>
                            </w:r>
                            <w:r>
                              <w:rPr>
                                <w:color w:val="auto"/>
                              </w:rPr>
                              <w:t xml:space="preserve"> na več ravneh: sodelovanje, odločanje, nadzor</w:t>
                            </w:r>
                          </w:p>
                          <w:p>
                            <w:pPr>
                              <w:pStyle w:val="Contenudecadre"/>
                              <w:rPr>
                                <w:b w:val="false"/>
                                <w:b w:val="false"/>
                                <w:color w:val="auto"/>
                              </w:rPr>
                            </w:pPr>
                            <w:r>
                              <w:rPr>
                                <w:b w:val="false"/>
                                <w:color w:val="auto"/>
                              </w:rPr>
                            </w:r>
                          </w:p>
                          <w:p>
                            <w:pPr>
                              <w:pStyle w:val="Contenudecadre"/>
                              <w:rPr>
                                <w:color w:val="auto"/>
                              </w:rPr>
                            </w:pPr>
                            <w:r>
                              <w:rPr>
                                <w:color w:val="auto"/>
                              </w:rPr>
                              <w:t xml:space="preserve">5. Prehod na </w:t>
                            </w:r>
                            <w:r>
                              <w:rPr>
                                <w:b/>
                                <w:color w:val="auto"/>
                              </w:rPr>
                              <w:t>federacijo evropskih držav</w:t>
                            </w:r>
                            <w:r>
                              <w:rPr>
                                <w:color w:val="auto"/>
                              </w:rPr>
                              <w:t xml:space="preserve"> z močnimi pristojnostmi na področjih skupnega interesa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Ponudba </w:t>
                            </w:r>
                            <w:r>
                              <w:rPr>
                                <w:b/>
                                <w:color w:val="auto"/>
                              </w:rPr>
                              <w:t>programov vseživljenjske izmenjave</w:t>
                            </w:r>
                          </w:p>
                        </w:txbxContent>
                      </wps:txbx>
                      <wps:bodyPr lIns="54000" rIns="54000" tIns="54000" bIns="54000">
                        <a:noAutofit/>
                      </wps:bodyPr>
                    </wps:wsp>
                  </a:graphicData>
                </a:graphic>
              </wp:anchor>
            </w:drawing>
          </mc:Choice>
          <mc:Fallback>
            <w:pict>
              <v:rect id="shape_0" ID="Okvir 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Pregled francoskega prispevka h konferenci o prihodnosti Evrope</w:t>
                      </w:r>
                    </w:p>
                    <w:p>
                      <w:pPr>
                        <w:pStyle w:val="Contenudecadre"/>
                        <w:rPr>
                          <w:color w:val="auto"/>
                        </w:rPr>
                      </w:pPr>
                      <w:r>
                        <w:rPr>
                          <w:color w:val="auto"/>
                        </w:rPr>
                      </w:r>
                    </w:p>
                    <w:p>
                      <w:pPr>
                        <w:pStyle w:val="Contenudecadre"/>
                        <w:rPr>
                          <w:color w:val="auto"/>
                        </w:rPr>
                      </w:pPr>
                      <w:r>
                        <w:rPr>
                          <w:color w:val="auto"/>
                        </w:rPr>
                        <w:t>Državljani, ki so bili izbrani z žrebom, so morali odgovoriti na vprašanje: „Kakšne spremembe si kot francoski državljani želite za Evropo?“</w:t>
                      </w:r>
                    </w:p>
                    <w:p>
                      <w:pPr>
                        <w:pStyle w:val="Contenudecadre"/>
                        <w:rPr>
                          <w:color w:val="auto"/>
                        </w:rPr>
                      </w:pPr>
                      <w:r>
                        <w:rPr>
                          <w:color w:val="auto"/>
                        </w:rPr>
                      </w:r>
                    </w:p>
                    <w:p>
                      <w:pPr>
                        <w:pStyle w:val="Contenudecadre"/>
                        <w:rPr>
                          <w:color w:val="auto"/>
                        </w:rPr>
                      </w:pPr>
                      <w:r>
                        <w:rPr>
                          <w:color w:val="auto"/>
                        </w:rPr>
                        <w:t xml:space="preserve">Top 10 prednostnih sprememb za Evropo leta 2035 </w:t>
                      </w:r>
                    </w:p>
                    <w:p>
                      <w:pPr>
                        <w:pStyle w:val="Contenudecadre"/>
                        <w:rPr>
                          <w:color w:val="auto"/>
                        </w:rPr>
                      </w:pPr>
                      <w:r>
                        <w:rPr>
                          <w:color w:val="auto"/>
                        </w:rPr>
                      </w:r>
                    </w:p>
                    <w:p>
                      <w:pPr>
                        <w:pStyle w:val="Contenudecadre"/>
                        <w:rPr>
                          <w:color w:val="auto"/>
                        </w:rPr>
                      </w:pPr>
                      <w:r>
                        <w:rPr>
                          <w:color w:val="auto"/>
                        </w:rPr>
                        <w:t xml:space="preserve">1. Razviti </w:t>
                      </w:r>
                      <w:r>
                        <w:rPr>
                          <w:b/>
                          <w:color w:val="auto"/>
                        </w:rPr>
                        <w:t>energijo treznost</w:t>
                      </w:r>
                      <w:r>
                        <w:rPr>
                          <w:color w:val="auto"/>
                        </w:rPr>
                        <w:t>, da porabijo manj, tako da ustavi odvečno</w:t>
                      </w:r>
                    </w:p>
                    <w:p>
                      <w:pPr>
                        <w:pStyle w:val="Contenudecadre"/>
                        <w:rPr>
                          <w:b w:val="false"/>
                          <w:b w:val="false"/>
                          <w:color w:val="auto"/>
                        </w:rPr>
                      </w:pPr>
                      <w:r>
                        <w:rPr>
                          <w:b w:val="false"/>
                          <w:color w:val="auto"/>
                        </w:rPr>
                      </w:r>
                    </w:p>
                    <w:p>
                      <w:pPr>
                        <w:pStyle w:val="Contenudecadre"/>
                        <w:rPr>
                          <w:color w:val="auto"/>
                        </w:rPr>
                      </w:pPr>
                      <w:r>
                        <w:rPr>
                          <w:color w:val="auto"/>
                        </w:rPr>
                        <w:t>2. Krepitev</w:t>
                      </w:r>
                      <w:r>
                        <w:rPr>
                          <w:b/>
                          <w:color w:val="auto"/>
                        </w:rPr>
                        <w:t>skupne obrambe in varnosti</w:t>
                      </w:r>
                      <w:r>
                        <w:rPr>
                          <w:color w:val="auto"/>
                        </w:rPr>
                        <w:t>Evropske unije</w:t>
                      </w:r>
                    </w:p>
                    <w:p>
                      <w:pPr>
                        <w:pStyle w:val="Contenudecadre"/>
                        <w:rPr>
                          <w:b w:val="false"/>
                          <w:b w:val="false"/>
                          <w:color w:val="auto"/>
                        </w:rPr>
                      </w:pPr>
                      <w:r>
                        <w:rPr>
                          <w:b w:val="false"/>
                          <w:color w:val="auto"/>
                        </w:rPr>
                      </w:r>
                    </w:p>
                    <w:p>
                      <w:pPr>
                        <w:pStyle w:val="Contenudecadre"/>
                        <w:rPr>
                          <w:color w:val="auto"/>
                        </w:rPr>
                      </w:pPr>
                      <w:r>
                        <w:rPr>
                          <w:color w:val="auto"/>
                        </w:rPr>
                        <w:t xml:space="preserve">3. Spodbujanje </w:t>
                      </w:r>
                      <w:r>
                        <w:rPr>
                          <w:b/>
                          <w:color w:val="auto"/>
                        </w:rPr>
                        <w:t>kolektivne gospodarske uspešnosti</w:t>
                      </w:r>
                      <w:r>
                        <w:rPr>
                          <w:color w:val="auto"/>
                        </w:rPr>
                        <w:t xml:space="preserve"> s pomočjo avtonomne, konkurenčne in cenjene industrije s strani EU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Krepitev vloge državljanov</w:t>
                      </w:r>
                      <w:r>
                        <w:rPr>
                          <w:color w:val="auto"/>
                        </w:rPr>
                        <w:t xml:space="preserve"> na več ravneh: sodelovanje, odločanje, nadzor</w:t>
                      </w:r>
                    </w:p>
                    <w:p>
                      <w:pPr>
                        <w:pStyle w:val="Contenudecadre"/>
                        <w:rPr>
                          <w:b w:val="false"/>
                          <w:b w:val="false"/>
                          <w:color w:val="auto"/>
                        </w:rPr>
                      </w:pPr>
                      <w:r>
                        <w:rPr>
                          <w:b w:val="false"/>
                          <w:color w:val="auto"/>
                        </w:rPr>
                      </w:r>
                    </w:p>
                    <w:p>
                      <w:pPr>
                        <w:pStyle w:val="Contenudecadre"/>
                        <w:rPr>
                          <w:color w:val="auto"/>
                        </w:rPr>
                      </w:pPr>
                      <w:r>
                        <w:rPr>
                          <w:color w:val="auto"/>
                        </w:rPr>
                        <w:t xml:space="preserve">5. Prehod na </w:t>
                      </w:r>
                      <w:r>
                        <w:rPr>
                          <w:b/>
                          <w:color w:val="auto"/>
                        </w:rPr>
                        <w:t>federacijo evropskih držav</w:t>
                      </w:r>
                      <w:r>
                        <w:rPr>
                          <w:color w:val="auto"/>
                        </w:rPr>
                        <w:t xml:space="preserve"> z močnimi pristojnostmi na področjih skupnega interesa</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Ponudba </w:t>
                      </w:r>
                      <w:r>
                        <w:rPr>
                          <w:b/>
                          <w:color w:val="auto"/>
                        </w:rPr>
                        <w:t>programov vseživljenjske izmenjave</w:t>
                      </w:r>
                    </w:p>
                  </w:txbxContent>
                </v:textbox>
              </v:rect>
            </w:pict>
          </mc:Fallback>
        </mc:AlternateContent>
      </w:r>
      <w:r>
        <w:rPr/>
        <w:t>Predstavitev glavnih rezultatov</w:t>
      </w:r>
    </w:p>
    <w:p>
      <w:pPr>
        <w:pStyle w:val="P68B1DB1Normal24"/>
        <w:rPr>
          <w:b w:val="false"/>
          <w:b w:val="false"/>
          <w:sz w:val="22"/>
        </w:rPr>
      </w:pPr>
      <w:r>
        <w:rPr/>
        <w:t xml:space="preserve"> </w:t>
      </w:r>
      <w:r>
        <w:rPr/>
        <w:t>(izvirnik je bil v obliki ilustracije)</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Slika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39" descr=""/>
                    <pic:cNvPicPr>
                      <a:picLocks noChangeAspect="1" noChangeArrowheads="1"/>
                    </pic:cNvPicPr>
                  </pic:nvPicPr>
                  <pic:blipFill>
                    <a:blip r:embed="rId92"/>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Vir: Spremembe, ki so prejele največ glasov na nacionalni konferenci o prihodnosti Evrope (15.–17. oktober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Slika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ika 40" descr=""/>
                    <pic:cNvPicPr>
                      <a:picLocks noChangeAspect="1" noChangeArrowheads="1"/>
                    </pic:cNvPicPr>
                  </pic:nvPicPr>
                  <pic:blipFill>
                    <a:blip r:embed="rId93"/>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Okvir 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Spletno posvetovanje „Besede za mlade“</w:t>
                            </w:r>
                          </w:p>
                          <w:p>
                            <w:pPr>
                              <w:pStyle w:val="Contenudecadre"/>
                              <w:rPr>
                                <w:color w:val="auto"/>
                              </w:rPr>
                            </w:pPr>
                            <w:r>
                              <w:rPr>
                                <w:color w:val="auto"/>
                              </w:rPr>
                              <w:t>Državni sekretar za evropske zadeve je 9. maja 2021 začel posvetovanje z besedo mladim, ki ga je med majem in julijem 2021 izvedel Make.org.</w:t>
                            </w:r>
                          </w:p>
                          <w:p>
                            <w:pPr>
                              <w:pStyle w:val="Contenudecadre"/>
                              <w:rPr>
                                <w:color w:val="auto"/>
                              </w:rPr>
                            </w:pPr>
                            <w:r>
                              <w:rPr>
                                <w:color w:val="auto"/>
                              </w:rPr>
                              <w:t>50 000 mladih, starih od 15 do 30 let, je odgovorilo na vprašanje: „Kakšne so vaše prednostne naloge za jutrišnjo Evropo?“, pri čemer je bilo predloženih 2918 predlogov.</w:t>
                            </w:r>
                          </w:p>
                          <w:p>
                            <w:pPr>
                              <w:pStyle w:val="Contenudecadre"/>
                              <w:spacing w:before="57" w:after="57"/>
                              <w:rPr>
                                <w:color w:val="auto"/>
                              </w:rPr>
                            </w:pPr>
                            <w:r>
                              <w:rPr>
                                <w:color w:val="auto"/>
                              </w:rPr>
                              <w:t>Zamisli, ki so jih v okviru tega spletnega posvetovanja podprli francoski mladi, so del prispevka državljanov h konferenci o prihodnosti Evrope (glej podrobnosti v delu 2 tega poročila).</w:t>
                            </w:r>
                          </w:p>
                        </w:txbxContent>
                      </wps:txbx>
                      <wps:bodyPr lIns="54000" rIns="54000" tIns="54000" bIns="54000">
                        <a:noAutofit/>
                      </wps:bodyPr>
                    </wps:wsp>
                  </a:graphicData>
                </a:graphic>
              </wp:anchor>
            </w:drawing>
          </mc:Choice>
          <mc:Fallback>
            <w:pict>
              <v:rect id="shape_0" ID="Okvir 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Spletno posvetovanje „Besede za mlade“</w:t>
                      </w:r>
                    </w:p>
                    <w:p>
                      <w:pPr>
                        <w:pStyle w:val="Contenudecadre"/>
                        <w:rPr>
                          <w:color w:val="auto"/>
                        </w:rPr>
                      </w:pPr>
                      <w:r>
                        <w:rPr>
                          <w:color w:val="auto"/>
                        </w:rPr>
                        <w:t>Državni sekretar za evropske zadeve je 9. maja 2021 začel posvetovanje z besedo mladim, ki ga je med majem in julijem 2021 izvedel Make.org.</w:t>
                      </w:r>
                    </w:p>
                    <w:p>
                      <w:pPr>
                        <w:pStyle w:val="Contenudecadre"/>
                        <w:rPr>
                          <w:color w:val="auto"/>
                        </w:rPr>
                      </w:pPr>
                      <w:r>
                        <w:rPr>
                          <w:color w:val="auto"/>
                        </w:rPr>
                        <w:t>50 000 mladih, starih od 15 do 30 let, je odgovorilo na vprašanje: „Kakšne so vaše prednostne naloge za jutrišnjo Evropo?“, pri čemer je bilo predloženih 2918 predlogov.</w:t>
                      </w:r>
                    </w:p>
                    <w:p>
                      <w:pPr>
                        <w:pStyle w:val="Contenudecadre"/>
                        <w:spacing w:before="57" w:after="57"/>
                        <w:rPr>
                          <w:color w:val="auto"/>
                        </w:rPr>
                      </w:pPr>
                      <w:r>
                        <w:rPr>
                          <w:color w:val="auto"/>
                        </w:rPr>
                        <w:t>Zamisli, ki so jih v okviru tega spletnega posvetovanja podprli francoski mladi, so del prispevka državljanov h konferenci o prihodnosti Evrope (glej podrobnosti v delu 2 tega poročila).</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Okvir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Izmenjava evropskih kultur s </w:t>
                            </w:r>
                            <w:r>
                              <w:rPr>
                                <w:b/>
                                <w:color w:val="auto"/>
                              </w:rPr>
                              <w:t>poenotenjem dogodkov in dogodkov</w:t>
                            </w:r>
                          </w:p>
                          <w:p>
                            <w:pPr>
                              <w:pStyle w:val="Contenudecadre"/>
                              <w:rPr>
                                <w:b w:val="false"/>
                                <w:b w:val="false"/>
                                <w:color w:val="auto"/>
                              </w:rPr>
                            </w:pPr>
                            <w:r>
                              <w:rPr>
                                <w:b w:val="false"/>
                                <w:color w:val="auto"/>
                              </w:rPr>
                            </w:r>
                          </w:p>
                          <w:p>
                            <w:pPr>
                              <w:pStyle w:val="Contenudecadre"/>
                              <w:rPr>
                                <w:color w:val="auto"/>
                              </w:rPr>
                            </w:pPr>
                            <w:r>
                              <w:rPr>
                                <w:color w:val="auto"/>
                              </w:rPr>
                              <w:t xml:space="preserve">8. Usklajevanje </w:t>
                            </w:r>
                            <w:r>
                              <w:rPr>
                                <w:b/>
                                <w:color w:val="auto"/>
                              </w:rPr>
                              <w:t>zdravja</w:t>
                            </w:r>
                            <w:r>
                              <w:rPr>
                                <w:color w:val="auto"/>
                              </w:rPr>
                              <w:t xml:space="preserve"> in njegovo dostopnost vsem Evropejcem prek skupne zdravstvene politike</w:t>
                            </w:r>
                          </w:p>
                          <w:p>
                            <w:pPr>
                              <w:pStyle w:val="Contenudecadre"/>
                              <w:rPr>
                                <w:b w:val="false"/>
                                <w:b w:val="false"/>
                                <w:color w:val="auto"/>
                              </w:rPr>
                            </w:pPr>
                            <w:r>
                              <w:rPr>
                                <w:b w:val="false"/>
                                <w:color w:val="auto"/>
                              </w:rPr>
                            </w:r>
                          </w:p>
                          <w:p>
                            <w:pPr>
                              <w:pStyle w:val="Contenudecadre"/>
                              <w:rPr>
                                <w:color w:val="auto"/>
                              </w:rPr>
                            </w:pPr>
                            <w:r>
                              <w:rPr>
                                <w:color w:val="auto"/>
                              </w:rPr>
                              <w:t xml:space="preserve">9. Razvoj in usmerjanje </w:t>
                            </w:r>
                            <w:r>
                              <w:rPr>
                                <w:b/>
                                <w:color w:val="auto"/>
                              </w:rPr>
                              <w:t>strateških kanalov</w:t>
                            </w:r>
                            <w:r>
                              <w:rPr>
                                <w:color w:val="auto"/>
                              </w:rPr>
                              <w:t xml:space="preserve"> na evropski ravni za zagotavljanje naše suverenosti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Izboljšati </w:t>
                            </w:r>
                            <w:r>
                              <w:rPr>
                                <w:b/>
                                <w:color w:val="auto"/>
                              </w:rPr>
                              <w:t>varstvo okolja in ekosistemov</w:t>
                            </w:r>
                            <w:r>
                              <w:rPr>
                                <w:color w:val="auto"/>
                              </w:rPr>
                              <w:t xml:space="preserve"> ter ustvariti </w:t>
                            </w:r>
                            <w:r>
                              <w:rPr>
                                <w:b/>
                                <w:color w:val="auto"/>
                              </w:rPr>
                              <w:t>zavarovana območja</w:t>
                            </w:r>
                            <w:r>
                              <w:rPr>
                                <w:color w:val="auto"/>
                              </w:rPr>
                              <w:t xml:space="preserve"> v osrčju mestnih, primestnih in podeželskih območij</w:t>
                            </w:r>
                          </w:p>
                        </w:txbxContent>
                      </wps:txbx>
                      <wps:bodyPr lIns="54000" rIns="54000" tIns="54000" bIns="54000">
                        <a:noAutofit/>
                      </wps:bodyPr>
                    </wps:wsp>
                  </a:graphicData>
                </a:graphic>
              </wp:anchor>
            </w:drawing>
          </mc:Choice>
          <mc:Fallback>
            <w:pict>
              <v:rect id="shape_0" ID="Okvir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Izmenjava evropskih kultur s </w:t>
                      </w:r>
                      <w:r>
                        <w:rPr>
                          <w:b/>
                          <w:color w:val="auto"/>
                        </w:rPr>
                        <w:t>poenotenjem dogodkov in dogodkov</w:t>
                      </w:r>
                    </w:p>
                    <w:p>
                      <w:pPr>
                        <w:pStyle w:val="Contenudecadre"/>
                        <w:rPr>
                          <w:b w:val="false"/>
                          <w:b w:val="false"/>
                          <w:color w:val="auto"/>
                        </w:rPr>
                      </w:pPr>
                      <w:r>
                        <w:rPr>
                          <w:b w:val="false"/>
                          <w:color w:val="auto"/>
                        </w:rPr>
                      </w:r>
                    </w:p>
                    <w:p>
                      <w:pPr>
                        <w:pStyle w:val="Contenudecadre"/>
                        <w:rPr>
                          <w:color w:val="auto"/>
                        </w:rPr>
                      </w:pPr>
                      <w:r>
                        <w:rPr>
                          <w:color w:val="auto"/>
                        </w:rPr>
                        <w:t xml:space="preserve">8. Usklajevanje </w:t>
                      </w:r>
                      <w:r>
                        <w:rPr>
                          <w:b/>
                          <w:color w:val="auto"/>
                        </w:rPr>
                        <w:t>zdravja</w:t>
                      </w:r>
                      <w:r>
                        <w:rPr>
                          <w:color w:val="auto"/>
                        </w:rPr>
                        <w:t xml:space="preserve"> in njegovo dostopnost vsem Evropejcem prek skupne zdravstvene politike</w:t>
                      </w:r>
                    </w:p>
                    <w:p>
                      <w:pPr>
                        <w:pStyle w:val="Contenudecadre"/>
                        <w:rPr>
                          <w:b w:val="false"/>
                          <w:b w:val="false"/>
                          <w:color w:val="auto"/>
                        </w:rPr>
                      </w:pPr>
                      <w:r>
                        <w:rPr>
                          <w:b w:val="false"/>
                          <w:color w:val="auto"/>
                        </w:rPr>
                      </w:r>
                    </w:p>
                    <w:p>
                      <w:pPr>
                        <w:pStyle w:val="Contenudecadre"/>
                        <w:rPr>
                          <w:color w:val="auto"/>
                        </w:rPr>
                      </w:pPr>
                      <w:r>
                        <w:rPr>
                          <w:color w:val="auto"/>
                        </w:rPr>
                        <w:t xml:space="preserve">9. Razvoj in usmerjanje </w:t>
                      </w:r>
                      <w:r>
                        <w:rPr>
                          <w:b/>
                          <w:color w:val="auto"/>
                        </w:rPr>
                        <w:t>strateških kanalov</w:t>
                      </w:r>
                      <w:r>
                        <w:rPr>
                          <w:color w:val="auto"/>
                        </w:rPr>
                        <w:t xml:space="preserve"> na evropski ravni za zagotavljanje naše suverenosti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Izboljšati </w:t>
                      </w:r>
                      <w:r>
                        <w:rPr>
                          <w:b/>
                          <w:color w:val="auto"/>
                        </w:rPr>
                        <w:t>varstvo okolja in ekosistemov</w:t>
                      </w:r>
                      <w:r>
                        <w:rPr>
                          <w:color w:val="auto"/>
                        </w:rPr>
                        <w:t xml:space="preserve"> ter ustvariti </w:t>
                      </w:r>
                      <w:r>
                        <w:rPr>
                          <w:b/>
                          <w:color w:val="auto"/>
                        </w:rPr>
                        <w:t>zavarovana območja</w:t>
                      </w:r>
                      <w:r>
                        <w:rPr>
                          <w:color w:val="auto"/>
                        </w:rPr>
                        <w:t xml:space="preserve"> v osrčju mestnih, primestnih in podeželskih območij</w:t>
                      </w:r>
                    </w:p>
                  </w:txbxContent>
                </v:textbox>
              </v:rect>
            </w:pict>
          </mc:Fallback>
        </mc:AlternateContent>
      </w:r>
    </w:p>
    <w:p>
      <w:pPr>
        <w:pStyle w:val="Titre2"/>
        <w:numPr>
          <w:ilvl w:val="1"/>
          <w:numId w:val="2"/>
        </w:numPr>
        <w:rPr/>
      </w:pPr>
      <w:bookmarkStart w:id="209" w:name="__RefHeading___Toc300452_1346298689"/>
      <w:bookmarkEnd w:id="209"/>
      <w:r>
        <w:rPr/>
        <w:t>Predstavitev okroglih miz regionalnih konferenc</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Obrazec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4"/>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Raznolika okrogla miza 746 državljanov</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Pregled udeležencev 18 regionalnih konferenc</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Kmetovalci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Obrtniki – Trgovci – Voditelji podjetij</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Višji vodstveni delavci – svobodni poklici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Vmesni poklici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Zaposleni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Delavci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Upokojenci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Drugi neaktivni</w:t>
                              </w:r>
                            </w:p>
                          </w:txbxContent>
                        </wps:txbx>
                        <wps:bodyPr lIns="90000" rIns="90000" tIns="45000" bIns="45000">
                          <a:noAutofit/>
                        </wps:bodyPr>
                      </wps:wsp>
                    </wpg:wgp>
                  </a:graphicData>
                </a:graphic>
              </wp:anchor>
            </w:drawing>
          </mc:Choice>
          <mc:Fallback>
            <w:pict>
              <v:group id="shape_0" alt="Obrazec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4"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Raznolika okrogla miza 746 državljanov</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Pregled udeležencev 18 regionalnih konferenc</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Kmetovalci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Obrtniki – Trgovci – Voditelji podjetij</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Višji vodstveni delavci – svobodni poklici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Vmesni poklici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Zaposleni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Delavci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Upokojenci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Drugi neaktivni</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Obrazec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5"/>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Konference o prihodnosti Evrope po vsej Franciji</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regionalnih konferenc, 13 v metropoli in 5 v tujini</w:t>
                              </w:r>
                            </w:p>
                          </w:txbxContent>
                        </wps:txbx>
                        <wps:bodyPr lIns="90000" rIns="90000" tIns="45000" bIns="45000">
                          <a:noAutofit/>
                        </wps:bodyPr>
                      </wps:wsp>
                    </wpg:wgp>
                  </a:graphicData>
                </a:graphic>
              </wp:anchor>
            </w:drawing>
          </mc:Choice>
          <mc:Fallback>
            <w:pict>
              <v:group id="shape_0" alt="Obrazec2" style="position:absolute;margin-left:0pt;margin-top:2.85pt;width:462.45pt;height:650.75pt" coordorigin="0,57" coordsize="9249,13015">
                <v:shape id="shape_0" stroked="f" style="position:absolute;left:1;top:1652;width:9247;height:11419" type="shapetype_75">
                  <v:imagedata r:id="rId95"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Konference o prihodnosti Evrope po vsej Franciji</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regionalnih konferenc, 13 v metropoli in 5 v tujini</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Oblika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6"/>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Zaveze države</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Transparentnost</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Dolžnosti takoj</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Nevtralnost</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Metodološka pristranskost</w:t>
                              </w:r>
                            </w:p>
                          </w:txbxContent>
                        </wps:txbx>
                        <wps:bodyPr lIns="90000" rIns="90000" tIns="45000" bIns="45000">
                          <a:noAutofit/>
                        </wps:bodyPr>
                      </wps:wsp>
                      <pic:pic xmlns:pic="http://schemas.openxmlformats.org/drawingml/2006/picture">
                        <pic:nvPicPr>
                          <pic:cNvPr id="3" name="" descr=""/>
                          <pic:cNvPicPr/>
                        </pic:nvPicPr>
                        <pic:blipFill>
                          <a:blip r:embed="rId97"/>
                          <a:stretch/>
                        </pic:blipFill>
                        <pic:spPr>
                          <a:xfrm>
                            <a:off x="1105560" y="2401560"/>
                            <a:ext cx="4354200" cy="5891040"/>
                          </a:xfrm>
                          <a:prstGeom prst="rect">
                            <a:avLst/>
                          </a:prstGeom>
                          <a:ln>
                            <a:noFill/>
                          </a:ln>
                        </pic:spPr>
                      </pic:pic>
                    </wpg:wgp>
                  </a:graphicData>
                </a:graphic>
              </wp:anchor>
            </w:drawing>
          </mc:Choice>
          <mc:Fallback>
            <w:pict>
              <v:group id="shape_0" alt="Oblika3" style="position:absolute;margin-left:13.85pt;margin-top:35.45pt;width:455.3pt;height:668.3pt" coordorigin="277,709" coordsize="9106,13366">
                <v:shape id="shape_0" stroked="f" style="position:absolute;left:277;top:709;width:9105;height:13365" type="shapetype_75">
                  <v:imagedata r:id="rId96"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Zaveze države</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Transparentnost</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Dolžnosti takoj</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Nevtralnost</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Metodološka pristranskost</w:t>
                        </w:r>
                      </w:p>
                    </w:txbxContent>
                  </v:textbox>
                  <w10:wrap type="square"/>
                  <v:fill o:detectmouseclick="t" on="false"/>
                  <v:stroke color="#3465a4" joinstyle="round" endcap="flat"/>
                </v:rect>
                <v:shape id="shape_0" stroked="f" style="position:absolute;left:2018;top:4491;width:6856;height:9276" type="shapetype_75">
                  <v:imagedata r:id="rId97" o:detectmouseclick="t"/>
                  <w10:wrap type="none"/>
                  <v:stroke color="#3465a4" joinstyle="round" endcap="flat"/>
                </v:shape>
              </v:group>
            </w:pict>
          </mc:Fallback>
        </mc:AlternateContent>
      </w:r>
      <w:r>
        <w:rPr/>
        <w:t xml:space="preserve">Metodološke zaveze in pristranskosti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Državne zaveze glede participativne demokracije </w:t>
      </w:r>
    </w:p>
    <w:p>
      <w:pPr>
        <w:pStyle w:val="P68B1DB1Normal19"/>
        <w:widowControl w:val="false"/>
        <w:spacing w:lineRule="auto" w:line="240" w:before="0" w:after="0"/>
        <w:ind w:left="0" w:right="0" w:hanging="0"/>
        <w:jc w:val="left"/>
        <w:rPr/>
      </w:pPr>
      <w:r>
        <w:rPr/>
        <w:t>Francoski del konference o prihodnosti Evrope je del zavez države k participativni demokraciji, ki temeljijo na treh načelih:</w:t>
      </w:r>
      <w:r>
        <w:rPr>
          <w:b/>
        </w:rPr>
        <w:t xml:space="preserve"> preglednost, nevtralnost in dolžnost</w:t>
      </w:r>
      <w:r>
        <w:rPr/>
        <w:t xml:space="preserve">. </w:t>
      </w:r>
    </w:p>
    <w:p>
      <w:pPr>
        <w:pStyle w:val="P68B1DB1Normal19"/>
        <w:widowControl w:val="false"/>
        <w:spacing w:lineRule="auto" w:line="240" w:before="0" w:after="0"/>
        <w:ind w:left="0" w:right="0" w:hanging="0"/>
        <w:jc w:val="both"/>
        <w:rPr/>
      </w:pPr>
      <w:r>
        <w:rPr/>
        <w:t xml:space="preserve">S participativnim pristopom se organizator zavezuje k spoštovanju stroge metodologije. Način udeležbe državljanov mora državljanom omogočiti, da sodelujejo v najboljših možnih pogojih ter svobodno in utemeljeno izrazijo svoja stališča.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Transparentnost </w:t>
      </w:r>
    </w:p>
    <w:p>
      <w:pPr>
        <w:pStyle w:val="P68B1DB1Normal19"/>
        <w:widowControl w:val="false"/>
        <w:spacing w:lineRule="auto" w:line="240" w:before="0" w:after="0"/>
        <w:ind w:left="0" w:right="0" w:hanging="0"/>
        <w:jc w:val="left"/>
        <w:rPr/>
      </w:pPr>
      <w:r>
        <w:rPr/>
        <w:t xml:space="preserve">Organizacijska skupina konference se zavezuje, da bo državljanom zagotovila dostop do vseh informacij o posvetovanju: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Okvir, v katerem poteka posvetovanje; •</w:t>
      </w:r>
      <w:r>
        <w:rPr/>
        <w:t xml:space="preserve"> </w:t>
      </w:r>
      <w:r>
        <w:rPr>
          <w:rFonts w:ascii="Times New Roman" w:hAnsi="Times New Roman"/>
        </w:rPr>
        <w:t xml:space="preserve">Zaveze, sprejete do državljanov;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Namen posvetovanja;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Rezultate posvetovanja. </w:t>
      </w:r>
    </w:p>
    <w:p>
      <w:pPr>
        <w:pStyle w:val="Normal"/>
        <w:widowControl w:val="false"/>
        <w:spacing w:lineRule="auto" w:line="240" w:before="0" w:after="0"/>
        <w:ind w:left="0" w:right="0" w:hanging="0"/>
        <w:jc w:val="both"/>
        <w:rPr/>
      </w:pPr>
      <w:r>
        <w:rPr>
          <w:rFonts w:ascii="Times New Roman" w:hAnsi="Times New Roman"/>
          <w:color w:val="000000"/>
          <w:sz w:val="24"/>
        </w:rPr>
        <w:t>Metodologija konference o prihodnosti Evrope je bila tako vzpostavljena s stalnim ciljem zagotavljanja preglednosti za državljane. Jasno so bili določeni metodologija za zaposlovanje naključno izbranih državljanov, metodološka pristranskost in obravnavanje govora državljanov. Udeleženci so ob koncu konference po elektronski pošti prejeli tudi povzetek svoje regionalne konference. Poleg tega bodo vsi delovni in izstopni dokumenti objavljeni ob koncu programa na platformi za državljansko udeležbo države</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Nevtralnost </w:t>
      </w:r>
    </w:p>
    <w:p>
      <w:pPr>
        <w:pStyle w:val="P68B1DB1Normal19"/>
        <w:widowControl w:val="false"/>
        <w:spacing w:lineRule="auto" w:line="240" w:before="0" w:after="0"/>
        <w:ind w:left="0" w:right="0" w:hanging="0"/>
        <w:jc w:val="both"/>
        <w:rPr/>
      </w:pPr>
      <w:r>
        <w:rPr/>
        <w:t xml:space="preserve">Med posvetovanjem mora organizacijska skupina zagotoviti, da ostane nevtralna pri omogočanju izmenjav in pripravi povzetkov, v katerih so predstavljeni rezultati. Zainteresirane strani v sistemu – spodbujevalci, posredniki, strokovnjaki – ne bi smeli izražati svojih stališč ali si prizadevati za subjektivno usmerjanje razprave. </w:t>
      </w:r>
    </w:p>
    <w:p>
      <w:pPr>
        <w:pStyle w:val="P68B1DB1Normal19"/>
        <w:widowControl w:val="false"/>
        <w:spacing w:lineRule="auto" w:line="240" w:before="0" w:after="0"/>
        <w:ind w:left="0" w:right="0" w:hanging="0"/>
        <w:jc w:val="both"/>
        <w:rPr/>
      </w:pPr>
      <w:r>
        <w:rPr/>
        <w:t xml:space="preserve">Cilj nevtralnosti se je uresničeval v vseh fazah posvetovanja, pri čemer je bil zlasti zagotovljen nepristranski izbor udeležencev, popolna svoboda v razpravah in pomanjkanje vpliva sponzorja ali zainteresiranih strani na govor državljanov. Ta zahteva po nevtralnosti se je uresničila z objektivnim in preglednim postopkom zaposlovanja udeležencev, koherentnimi metodološkimi pristranskostmi (nazadnje strokovno znanje, pomanjkanje tematskega oblikovanja razprav) in posebnim poudarkom na položaju različnih govornikov (posrednikov, posrednikov, strokovnjakov). Končno, organizacijska ekipa se je prepričala, da ceni vse besede in ne filtrira predlogov državljanov. </w:t>
      </w:r>
    </w:p>
    <w:p>
      <w:pPr>
        <w:pStyle w:val="P68B1DB1Normal19"/>
        <w:widowControl w:val="false"/>
        <w:spacing w:lineRule="auto" w:line="240" w:before="0" w:after="0"/>
        <w:ind w:left="0" w:right="0" w:hanging="0"/>
        <w:jc w:val="both"/>
        <w:rPr/>
      </w:pPr>
      <w:r>
        <w:rPr>
          <w:b/>
        </w:rPr>
        <w:t>Kolegij treh garantov</w:t>
      </w:r>
      <w:r>
        <w:rPr/>
        <w:t xml:space="preserve">, ki ga imenujeta predsednika državnega zbora in Evropskega parlamenta ter vlada, je prav tako zagotovil, da so vsa mnenja izražena in upoštevana.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Dolžnosti takoj </w:t>
      </w:r>
    </w:p>
    <w:p>
      <w:pPr>
        <w:pStyle w:val="P68B1DB1Normal19"/>
        <w:widowControl w:val="false"/>
        <w:spacing w:lineRule="auto" w:line="240" w:before="0" w:after="0"/>
        <w:ind w:left="0" w:right="0" w:hanging="0"/>
        <w:jc w:val="both"/>
        <w:rPr/>
      </w:pPr>
      <w:r>
        <w:rPr/>
        <w:t xml:space="preserve">Državljani, ne glede na to, ali so sodelovali v posvetovanju ali ne, imajo pravico, da so obveščeni o tem, kaj je bilo izbrano o njihovih predlogih in mnenjih, ki so jih pripravili, in iz katerih razlogov. To se imenuje </w:t>
      </w:r>
      <w:r>
        <w:rPr>
          <w:b/>
        </w:rPr>
        <w:t>dolžnost takoj</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Medresorski center za sodelovanje državljanov (ICPC) in medresorski direktorat za javno preobrazbo (DITP) sta ga opredelila kot zavezo javnega nosilca odločanja, da državljanom zagotovi jasen in čitljiv odgovor na izid posvetovanja. Konkretno je dolžnost nadaljnjega ukrepanja vrniti državljanom, da jim pojasnijo, kako se njihovi prispevki upoštevajo in kako vplivajo na odločanje in prakso uprave.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Vlada je to nalogo prevzela kot nadaljevanje konference o prihodnosti Evrope in napovedala ambiciozen mehanizem spremljanja po nacionalni konferenci, opisani v naslednjem delu tega poročila (glej </w:t>
      </w:r>
      <w:r>
        <w:rPr>
          <w:i/>
        </w:rPr>
        <w:t>metodološke pogodbenice)</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Metodološke stranke </w:t>
      </w:r>
    </w:p>
    <w:p>
      <w:pPr>
        <w:pStyle w:val="P68B1DB1Normal19"/>
        <w:widowControl w:val="false"/>
        <w:spacing w:lineRule="auto" w:line="240" w:before="0" w:after="0"/>
        <w:ind w:left="0" w:right="0" w:hanging="0"/>
        <w:jc w:val="both"/>
        <w:rPr/>
      </w:pPr>
      <w:r>
        <w:rPr/>
        <w:t xml:space="preserve">Te tri zaveze države so se odražale v metodologiji posvetovanja v obliki </w:t>
      </w:r>
      <w:r>
        <w:rPr>
          <w:b/>
        </w:rPr>
        <w:t>sedmih močnih metodoloških pristranskosti</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Teritorializacija in bližina</w:t>
      </w:r>
    </w:p>
    <w:p>
      <w:pPr>
        <w:pStyle w:val="P68B1DB1Normal24"/>
        <w:widowControl w:val="false"/>
        <w:spacing w:lineRule="auto" w:line="240" w:before="0" w:after="0"/>
        <w:ind w:left="0" w:right="0" w:hanging="0"/>
        <w:jc w:val="both"/>
        <w:rPr/>
      </w:pPr>
      <w:r>
        <w:rPr/>
        <w:t xml:space="preserve">Nacionalna komponenta konference o prihodnosti Evrope je bila v obliki 18 regionalnih konferenc v 13 metropolitanskih regijah in petih francoskih ultramorskih regijah, ki jim je sledila nacionalna konferenca v Parizu. S to izbiro organiziranja okroglih miz na lokalni ravni je </w:t>
      </w:r>
      <w:r>
        <w:rPr>
          <w:b/>
        </w:rPr>
        <w:t>bila želja po čim tesnejšem sodelovanju z državljani</w:t>
      </w:r>
      <w:r>
        <w:rPr/>
        <w:t xml:space="preserve">. Ta pristranskost je tudi obogatila posvetovanje s tem, da je pokazala smer soglasja in nestrinjanja med ozemlji o različnih temah.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Raznolikost profilov državljanov in uporaba žrebanja</w:t>
      </w:r>
    </w:p>
    <w:p>
      <w:pPr>
        <w:pStyle w:val="P68B1DB1Normal24"/>
        <w:widowControl w:val="false"/>
        <w:spacing w:lineRule="auto" w:line="240" w:before="0" w:after="0"/>
        <w:ind w:left="0" w:right="0" w:hanging="0"/>
        <w:jc w:val="both"/>
        <w:rPr/>
      </w:pPr>
      <w:r>
        <w:rPr/>
        <w:t xml:space="preserve">Pred procesom je bil določen cilj zaposlovanja 50 državljanov na regionalno konferenco, z izjemo ultramorskih konferenc Martinik, Mayotte, Guadeloupe in Gvajana s 30 do 40 državljani in konferenco Grand Est, na kateri je bilo prisotnih tudi 5 nemških državljanov s treh obmejnih deželnih dežel. Z </w:t>
      </w:r>
      <w:r>
        <w:rPr>
          <w:b/>
        </w:rPr>
        <w:t>naključno generacijo</w:t>
      </w:r>
      <w:r>
        <w:rPr/>
        <w:t xml:space="preserve"> telefonskih številk je bilo mogoče zbrati veliko državljanov, ki so bili povabljeni k sodelovanju na regionalnih konferencah. </w:t>
      </w:r>
    </w:p>
    <w:p>
      <w:pPr>
        <w:pStyle w:val="P68B1DB1Normal24"/>
        <w:widowControl w:val="false"/>
        <w:spacing w:lineRule="auto" w:line="240" w:before="0" w:after="0"/>
        <w:ind w:left="0" w:right="0" w:hanging="0"/>
        <w:jc w:val="both"/>
        <w:rPr/>
      </w:pPr>
      <w:r>
        <w:rPr/>
        <w:t xml:space="preserve">Da bi bili upravičeni, morajo biti državljani z žrebom starejši od 18 let in biti francoski ali stalni rezidenti v rednem položaju. Vsaka regionalna okrogla miza državljanov je morala biti </w:t>
      </w:r>
      <w:r>
        <w:rPr>
          <w:b/>
        </w:rPr>
        <w:t>reprezentativna za raznolikost regionalnega prebivalstva</w:t>
      </w:r>
      <w:r>
        <w:rPr/>
        <w:t xml:space="preserve">in združevati </w:t>
      </w:r>
      <w:r>
        <w:rPr>
          <w:b/>
        </w:rPr>
        <w:t>različna stališča o Evropi</w:t>
      </w:r>
      <w:r>
        <w:rPr/>
        <w:t xml:space="preserve">. Natančna metodologija za zaposlovanje z žrebom je določena v Prilogi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Preglednost pristopa</w:t>
      </w:r>
    </w:p>
    <w:p>
      <w:pPr>
        <w:pStyle w:val="P68B1DB1Normal24"/>
        <w:widowControl w:val="false"/>
        <w:spacing w:lineRule="auto" w:line="240" w:before="0" w:after="0"/>
        <w:ind w:left="0" w:right="0" w:hanging="0"/>
        <w:jc w:val="both"/>
        <w:rPr/>
      </w:pPr>
      <w:r>
        <w:rPr>
          <w:b/>
        </w:rPr>
        <w:t>Kolegij treh garantov</w:t>
      </w:r>
      <w:r>
        <w:rPr/>
        <w:t xml:space="preserve">, ki so ga imenovali državni sekretar za evropske zadeve, predsednik narodne skupščine in predsednik Evropskega parlamenta, je spremljal celoten postopek, da bi zagotovil njegovo nevtralnost in rednost. Garanti imajo zlasti: spremljala iskrenost zaposlovanja državljanov z žrebom, pripravila priporočila za izbor strokovnjakov in zagotovila, da so razprave dobro organizirane. Po koncu postopka bodo garanti javno objavili svoje mnenje o posvetovanju. Ta dokument bo objavljen na platformi za sodelovanje državljanov. </w:t>
      </w:r>
    </w:p>
    <w:p>
      <w:pPr>
        <w:pStyle w:val="P68B1DB1Normal24"/>
        <w:widowControl w:val="false"/>
        <w:spacing w:lineRule="auto" w:line="240" w:before="0" w:after="0"/>
        <w:ind w:left="0" w:right="0" w:hanging="0"/>
        <w:jc w:val="both"/>
        <w:rPr/>
      </w:pPr>
      <w:r>
        <w:rPr/>
        <w:t xml:space="preserve">Objavljen bo tudi na platformi za državljansko udeležbo države: povzetki osemnajstih regionalnih konferenc, povzetek vseh sprememb, izraženih na regionalnih konferencah, povzetek nacionalne konference in končno poročilo, predloženo vladi.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Odprta razprava brez vsiljene teme</w:t>
      </w:r>
    </w:p>
    <w:p>
      <w:pPr>
        <w:pStyle w:val="P68B1DB1Normal24"/>
        <w:widowControl w:val="false"/>
        <w:spacing w:lineRule="auto" w:line="240" w:before="215" w:after="0"/>
        <w:ind w:left="1" w:right="0" w:hanging="0"/>
        <w:jc w:val="left"/>
        <w:rPr/>
      </w:pPr>
      <w:r>
        <w:rPr/>
        <w:t xml:space="preserve">V okviru tega nacionalnega posvetovanja je bilo za sodelujoče državljane oblikovano enotno vprašanje: „ </w:t>
      </w:r>
      <w:r>
        <w:rPr>
          <w:i/>
        </w:rPr>
        <w:t>Kakšne spremembe si kot francoski državljani želite za Evropo?</w:t>
      </w:r>
      <w:r>
        <w:rPr/>
        <w:t xml:space="preserve">“ </w:t>
      </w:r>
    </w:p>
    <w:p>
      <w:pPr>
        <w:pStyle w:val="P68B1DB1Normal24"/>
        <w:widowControl w:val="false"/>
        <w:spacing w:lineRule="auto" w:line="240" w:before="235" w:after="0"/>
        <w:ind w:left="1" w:right="0" w:hanging="0"/>
        <w:jc w:val="both"/>
        <w:rPr/>
      </w:pPr>
      <w:r>
        <w:rPr/>
        <w:t xml:space="preserve">Z razvojem in metodologijo so lahko državljani sami določili program želenih sprememb, ne da bi bili omejeni z določeno temo ali predhodnim normativnim okvirjem. </w:t>
      </w:r>
    </w:p>
    <w:p>
      <w:pPr>
        <w:pStyle w:val="Normal"/>
        <w:widowControl w:val="false"/>
        <w:spacing w:lineRule="auto" w:line="240" w:before="233" w:after="0"/>
        <w:ind w:left="1" w:right="1" w:hanging="0"/>
        <w:jc w:val="both"/>
        <w:rPr/>
      </w:pPr>
      <w:r>
        <w:rPr>
          <w:rFonts w:ascii="Times New Roman" w:hAnsi="Times New Roman"/>
          <w:color w:val="000000"/>
        </w:rPr>
        <w:t>Cilj je bil državljanom regionalnih konferenc omogočiti popolno svobodo pri temah, ki jih želijo obravnavati. Ministrstvo za Evropo in zunanje zadeve za nacionalni del konference o prihodnosti Evrope se je tako odločilo, da bo razvilo dopolnilni pristop k evropski vaji, ki temelji na devetih temah: podnebne spremembe in okolje; zdravje; močnejše gospodarstvo, socialna pravičnost in zaposlovanje; EU v svetu; vrednote in pravice, pravna država, varnost; digitalna preobrazba; Evropska demokracija; migracije; izobraževanje, kultura, mladina in šport; druge ideje</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Teme izmenjav regionalnih konferenc so tako opredelili državljani sami in ne sponzor vaje.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Obratno strokovno znanje</w:t>
      </w:r>
    </w:p>
    <w:p>
      <w:pPr>
        <w:pStyle w:val="P68B1DB1Normal24"/>
        <w:widowControl w:val="false"/>
        <w:spacing w:lineRule="auto" w:line="240" w:before="218" w:after="0"/>
        <w:ind w:left="1" w:right="0" w:hanging="0"/>
        <w:jc w:val="left"/>
        <w:rPr/>
      </w:pPr>
      <w:r>
        <w:rPr/>
        <w:t xml:space="preserve">Da bi čim manj vplivali na udeležence v procesu prepoznavanja njihovih želja po Evropi, </w:t>
      </w:r>
      <w:r>
        <w:rPr>
          <w:b/>
        </w:rPr>
        <w:t>je bila sprejeta odločitev, da ne zagotovimo predhodnih informacij ali strokovnega znanja</w:t>
      </w:r>
      <w:r>
        <w:rPr/>
        <w:t xml:space="preserve"> (npr. o sedanjem projektu Evropske unije, njenih pristojnostih ali delovanju institucij), ampak da začnemo z vprašanji samih državljanov. Ta metodološka pristranskost temelji na načelu </w:t>
      </w:r>
      <w:r>
        <w:rPr>
          <w:i/>
        </w:rPr>
        <w:t>obratnega strokovnega znanja</w:t>
      </w:r>
      <w:r>
        <w:rPr/>
        <w:t xml:space="preserve">, v skladu s katerim </w:t>
      </w:r>
      <w:r>
        <w:rPr>
          <w:b/>
        </w:rPr>
        <w:t>kolektivni razmislek</w:t>
      </w:r>
      <w:r>
        <w:rPr/>
        <w:t xml:space="preserve"> temelji na izkušnjah in mnenjih državljanov, ki nato zaslišijo strokovnjake, da bi podprli svoje razprave in utrdili svoje delovne hipoteze. </w:t>
      </w:r>
    </w:p>
    <w:p>
      <w:pPr>
        <w:pStyle w:val="P68B1DB1Normal24"/>
        <w:widowControl w:val="false"/>
        <w:spacing w:lineRule="auto" w:line="240" w:before="232" w:after="0"/>
        <w:ind w:left="0" w:right="0" w:hanging="0"/>
        <w:jc w:val="both"/>
        <w:rPr/>
      </w:pPr>
      <w:r>
        <w:rPr/>
        <w:t xml:space="preserve">Za dosego tega cilja so bili v različnih regijah (v povprečju trije), zlasti iz akademskih krogov in informacijskih centrov Europe Direct na zadevnih ozemljih, mobilizirani </w:t>
      </w:r>
      <w:r>
        <w:rPr>
          <w:b/>
        </w:rPr>
        <w:t>strokovnjaki</w:t>
      </w:r>
      <w:r>
        <w:rPr/>
        <w:t xml:space="preserve">. Prisotni so bili v soboto in nedeljo, da bi odgovarjali na vprašanja državljanov, govorili pa so le na njihovo zahtevo. Dosegljivi so bili tudi </w:t>
      </w:r>
      <w:r>
        <w:rPr>
          <w:b/>
        </w:rPr>
        <w:t>preverjevalci dejstev</w:t>
      </w:r>
      <w:r>
        <w:rPr>
          <w:i/>
        </w:rPr>
        <w:t>,</w:t>
      </w:r>
      <w:r>
        <w:rPr/>
        <w:t xml:space="preserve">da bi lahko hitro preverili dejanska vprašanja, ki so jih obravnavali državljani. </w:t>
      </w:r>
    </w:p>
    <w:p>
      <w:pPr>
        <w:pStyle w:val="P68B1DB1Normal24"/>
        <w:widowControl w:val="false"/>
        <w:spacing w:lineRule="auto" w:line="240" w:before="235" w:after="0"/>
        <w:ind w:left="0" w:right="1" w:hanging="0"/>
        <w:jc w:val="both"/>
        <w:rPr/>
      </w:pPr>
      <w:r>
        <w:rPr/>
        <w:t xml:space="preserve">Na nacionalni zbirni konferenci v EESO se je delovnih skupin udeležilo 19 strokovnjakov na visoki ravni iz akademskih krogov, možganskih trustov in diplomatskih enot. Ti strokovnjaki so med vikendom spremljali skupino, kar jim je omogočilo poglobitev sprememb, izraženih v regijah.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Kolegialnost in agilno upravljanje</w:t>
      </w:r>
    </w:p>
    <w:p>
      <w:pPr>
        <w:pStyle w:val="P68B1DB1Normal24"/>
        <w:widowControl w:val="false"/>
        <w:spacing w:lineRule="auto" w:line="240" w:before="212" w:after="0"/>
        <w:ind w:left="0" w:right="0" w:hanging="0"/>
        <w:jc w:val="left"/>
        <w:rPr/>
      </w:pPr>
      <w:r>
        <w:rPr/>
        <w:t xml:space="preserve">Celoten proces je </w:t>
      </w:r>
      <w:r>
        <w:rPr>
          <w:b/>
        </w:rPr>
        <w:t>skupaj zgradilo</w:t>
      </w:r>
      <w:r>
        <w:rPr/>
        <w:t xml:space="preserve"> Ministrstvo za Evropo in zunanje zadeve (MEAE). </w:t>
      </w:r>
    </w:p>
    <w:p>
      <w:pPr>
        <w:pStyle w:val="P68B1DB1Normal24"/>
        <w:widowControl w:val="false"/>
        <w:spacing w:lineRule="auto" w:line="240"/>
        <w:ind w:left="0" w:right="4" w:hanging="0"/>
        <w:jc w:val="both"/>
        <w:rPr/>
      </w:pPr>
      <w:r>
        <w:rPr/>
        <w:t xml:space="preserve">s podporo participativne strategije Medministrskega centra za sodelovanje državljanov (ICPC) Medministrske direkcije za javno preobrazbo (DITP) ter ministrstva za parlamentarne odnose in sodelovanje državljanov (MRPC). Program je izvajal dobaviteljski konzorcij, ki so ga sestavljali Roland Berger, Wavestone, Missions Publiques in Harris Interactive, za usmerjanje procesa, animacijo konferenc, pripravo občanov ter pripravo poročil in povzetkov v sodelovanju z regionalnimi prefekturami za lokalno organizacijo regionalnih konferenc. </w:t>
      </w:r>
    </w:p>
    <w:p>
      <w:pPr>
        <w:pStyle w:val="P68B1DB1Normal24"/>
        <w:widowControl w:val="false"/>
        <w:spacing w:lineRule="auto" w:line="240" w:before="232" w:after="0"/>
        <w:ind w:left="0" w:right="4" w:hanging="0"/>
        <w:jc w:val="left"/>
        <w:rPr/>
      </w:pPr>
      <w:r>
        <w:rPr>
          <w:b/>
        </w:rPr>
        <w:t>Posebno upravljanje</w:t>
      </w:r>
      <w:r>
        <w:rPr/>
        <w:t xml:space="preserve"> je bilo vzpostavljeno v okviru projektne skupine, ki ji predseduje MEAE in združuje CPIC, MRPC in dobaviteljski konzorcij.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Dolžnost spremljanja in povezovanja z evropsko vajo</w:t>
      </w:r>
    </w:p>
    <w:p>
      <w:pPr>
        <w:pStyle w:val="P68B1DB1Normal19"/>
        <w:widowControl w:val="false"/>
        <w:spacing w:lineRule="auto" w:line="240" w:before="211" w:after="0"/>
        <w:ind w:left="0" w:right="0" w:hanging="0"/>
        <w:jc w:val="left"/>
        <w:rPr/>
      </w:pPr>
      <w:r>
        <w:rPr/>
        <w:t xml:space="preserve">Na nacionalni konferenci je bilo napovedanih več </w:t>
      </w:r>
      <w:r>
        <w:rPr>
          <w:b/>
        </w:rPr>
        <w:t>elementov dolžnosti spremljanja</w:t>
      </w:r>
      <w:r>
        <w:rPr/>
        <w:t xml:space="preserve"> francoskih institucij po izvedbi konference o prihodnosti Evrope: </w:t>
      </w:r>
    </w:p>
    <w:p>
      <w:pPr>
        <w:pStyle w:val="P68B1DB1Normal34"/>
        <w:widowControl w:val="false"/>
        <w:spacing w:lineRule="auto" w:line="240" w:before="333" w:after="0"/>
        <w:ind w:left="720" w:right="0" w:hanging="359"/>
        <w:jc w:val="both"/>
        <w:rPr/>
      </w:pPr>
      <w:r>
        <w:rPr>
          <w:rFonts w:ascii="Calibri" w:hAnsi="Calibri"/>
        </w:rPr>
        <w:t>Zagotovitev</w:t>
      </w:r>
      <w:r>
        <w:rPr/>
        <w:t xml:space="preserve"> </w:t>
      </w:r>
      <w:r>
        <w:rPr>
          <w:rFonts w:ascii="Times New Roman" w:hAnsi="Times New Roman"/>
          <w:b/>
        </w:rPr>
        <w:t>vseh informacij o</w:t>
      </w:r>
      <w:r>
        <w:rPr>
          <w:rFonts w:ascii="Times New Roman" w:hAnsi="Times New Roman"/>
        </w:rPr>
        <w:t xml:space="preserve"> pristopu, tega dokumenta in zbirnih poročil regionalnih in nacionalnih konferenc na pregleden in dostopen način na novi platformi za udeležbo državljanov, ki se je začela ob vrnitvi vladi; </w:t>
      </w:r>
    </w:p>
    <w:p>
      <w:pPr>
        <w:pStyle w:val="P68B1DB1Normal34"/>
        <w:widowControl w:val="false"/>
        <w:spacing w:lineRule="auto" w:line="240" w:before="90" w:after="0"/>
        <w:ind w:left="360" w:right="0" w:hanging="0"/>
        <w:jc w:val="left"/>
        <w:rPr/>
      </w:pPr>
      <w:r>
        <w:rPr>
          <w:rFonts w:ascii="Calibri" w:hAnsi="Calibri"/>
        </w:rPr>
        <w:t>Organizacija</w:t>
      </w:r>
      <w:r>
        <w:rPr/>
        <w:t xml:space="preserve"> </w:t>
      </w:r>
      <w:r>
        <w:rPr>
          <w:rFonts w:ascii="Times New Roman" w:hAnsi="Times New Roman"/>
        </w:rPr>
        <w:t xml:space="preserve"> </w:t>
      </w:r>
      <w:r>
        <w:rPr>
          <w:rFonts w:ascii="Times New Roman" w:hAnsi="Times New Roman"/>
          <w:b/>
        </w:rPr>
        <w:t>dogodka za vrnitev vladi</w:t>
      </w:r>
      <w:r>
        <w:rPr>
          <w:rFonts w:ascii="Times New Roman" w:hAnsi="Times New Roman"/>
        </w:rPr>
        <w:t xml:space="preserve"> končnega poročila o nacionalni komponenti konference o prihodnosti Evrope novembra 2021;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Ustanovitev </w:t>
      </w:r>
      <w:r>
        <w:rPr>
          <w:rFonts w:ascii="Times New Roman" w:hAnsi="Times New Roman"/>
          <w:b/>
        </w:rPr>
        <w:t>odbora za spremljanje državljanov, ki</w:t>
      </w:r>
      <w:r>
        <w:rPr>
          <w:rFonts w:ascii="Times New Roman" w:hAnsi="Times New Roman"/>
        </w:rPr>
        <w:t xml:space="preserve"> bo zagotovil, da bo izid postopka v skladu z danimi predlogi. Odbor bo sestavljalo 15 državljanov, od tega 14 udeležencev regionalnih konferenc in en udeleženec posvetovanja „Besede </w:t>
      </w:r>
      <w:r>
        <w:rPr>
          <w:rFonts w:ascii="Times New Roman" w:hAnsi="Times New Roman"/>
          <w:i/>
        </w:rPr>
        <w:t>za mlade“</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Francoski prispevek za konferenco o prihodnosti Evrope za evropske institucije</w:t>
      </w:r>
      <w:r>
        <w:rPr>
          <w:rFonts w:ascii="Times New Roman" w:hAnsi="Times New Roman"/>
        </w:rPr>
        <w:t xml:space="preserve"> januarja 2022; </w:t>
      </w:r>
    </w:p>
    <w:p>
      <w:pPr>
        <w:pStyle w:val="P68B1DB1Normal19"/>
        <w:widowControl w:val="false"/>
        <w:spacing w:lineRule="auto" w:line="240" w:before="87" w:after="0"/>
        <w:ind w:left="0" w:right="0" w:hanging="0"/>
        <w:jc w:val="left"/>
        <w:rPr/>
      </w:pPr>
      <w:r>
        <w:rPr/>
        <w:t xml:space="preserve">Predlogi francoskih državljanov bodo vključeni v skupni razmislek držav članic in evropskih institucij. Kot država, ki predseduje Svetu Evropske unije v prvi polovici leta 2022, bo morala Francija izraziti glas svojih državljanov, hkrati pa si bo prizadevala za oblikovanje skupnega stališča na ravni celotne celine.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Prvi del: predstavitev rezultatov regionalnih konferenc o prihodnosti Evrope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Na vsaki od 18 regionalnih konferenc so državljani izrazili željo po Evropi leta 2035 posamezno in nato kot skupina. V vsaki regiji se je pojavilo od 3 do 8 skupin želja, kar je privedlo do </w:t>
      </w:r>
      <w:r>
        <w:rPr>
          <w:b/>
        </w:rPr>
        <w:t>101 Evrope, ki si jo želi po vsej Franciji</w:t>
      </w:r>
      <w:r>
        <w:rPr/>
        <w:t xml:space="preserve">. Državljani so nato oblikovali spremembe, za katere menijo, da so potrebne za dosego želene Evrope, in jih nato ponazorili s konkretnimi ukrepi. Ta proces je povzročil skupno </w:t>
      </w:r>
      <w:r>
        <w:rPr>
          <w:b/>
        </w:rPr>
        <w:t>515 sprememb</w:t>
      </w:r>
      <w:r>
        <w:rPr/>
        <w:t xml:space="preserve"> in 1.301 </w:t>
      </w:r>
      <w:r>
        <w:rPr>
          <w:b/>
        </w:rPr>
        <w:t xml:space="preserve">konkretnih ukrepov po vsej </w:t>
      </w:r>
      <w:r>
        <w:rPr/>
        <w:t xml:space="preserve">Franciji.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V tednih, ki so ločili regionalne konference in nacionalno konferenco, je projektna skupina izvedla skupino 515 sprememb v skladne skupine. Vse spremembe, izražene v regijah, so bile predmet leksikološke analize in zaključene, ko se je njihova osnovna namera zdela podobna ali blizu, da bi se ustanovile delovne skupine nacionalnih konferenc s skupno željo za Evropo. Nazadnje </w:t>
      </w:r>
      <w:r>
        <w:rPr>
          <w:b/>
        </w:rPr>
        <w:t>so bile spremembe, ugotovljene v regijah, združene v 14 različnih evropskih želja</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Obrazec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8"/>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Želje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Evropo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Spremembe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za dosego želene Evrope</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Konkretni predlogi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izvajanje teh sprememb</w:t>
                              </w:r>
                            </w:p>
                          </w:txbxContent>
                        </wps:txbx>
                        <wps:bodyPr lIns="90000" rIns="90000" tIns="45000" bIns="45000">
                          <a:noAutofit/>
                        </wps:bodyPr>
                      </wps:wsp>
                    </wpg:wgp>
                  </a:graphicData>
                </a:graphic>
              </wp:anchor>
            </w:drawing>
          </mc:Choice>
          <mc:Fallback>
            <w:pict>
              <v:group id="shape_0" alt="Obrazec11" style="position:absolute;margin-left:34.4pt;margin-top:7.25pt;width:453.95pt;height:103.85pt" coordorigin="688,145" coordsize="9079,2077">
                <v:shape id="shape_0" stroked="f" style="position:absolute;left:688;top:145;width:9078;height:1696" type="shapetype_75">
                  <v:imagedata r:id="rId98"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Želje</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Evropo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Spremembe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za dosego želene Evrope</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Konkretni predlogi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za izvajanje teh sprememb</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Vprašanje občanom</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Kakšna je vaša želja po Evropi leta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Katere spremembe so potrebne za dosego želene Evrope?</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Katere konkretne predloge bi predlagali za izvedbo teh sprememb?</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Izid regionalnih konferenc</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želja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Spremembe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konkretni predlogi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Naročilo 515 regionalnih sprememb v 14 doslednih željah organizacijske ekipe</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Razvrščanje, določanje prednostnih nalog in podrobnosti o spremembah s strani udeležencev med nacionalno konferenco</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Izid nacionalne konference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želja</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Spremembe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Ključni koraki izvajanja in merila uspešnosti za vsako spremembo</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Razvrstitev 14 želja Evrope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Ob koncu vsake regionalne konference so sodelujoči državljani glasovali za podporo spremembam, ki so jih opredelile različne delovne skupine.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Okvir 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Razvrstitev želja Evrope po stopnji priljubljenosti </w:t>
                            </w:r>
                          </w:p>
                        </w:txbxContent>
                      </wps:txbx>
                      <wps:bodyPr lIns="0" rIns="0" tIns="0" bIns="0">
                        <a:noAutofit/>
                      </wps:bodyPr>
                    </wps:wsp>
                  </a:graphicData>
                </a:graphic>
              </wp:anchor>
            </w:drawing>
          </mc:Choice>
          <mc:Fallback>
            <w:pict>
              <v:rect id="shape_0" ID="Okvir 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Razvrstitev želja Evrope po stopnji priljubljenosti </w:t>
                      </w:r>
                    </w:p>
                  </w:txbxContent>
                </v:textbox>
              </v:rect>
            </w:pict>
          </mc:Fallback>
        </mc:AlternateContent>
      </w:r>
      <w:r>
        <w:rPr>
          <w:rFonts w:ascii="Times New Roman" w:hAnsi="Times New Roman"/>
          <w:color w:val="000000"/>
          <w:sz w:val="24"/>
        </w:rPr>
        <w:t>Na podlagi skupin, ki so bile izvedene pred nacionalno sintezo konference, je mogoče – zahvaljujoč glasovanju o spremembah v vsaki regiji – določiti želje Evrope, ki je bila najbolj priljubljena med državljani. Zato so</w:t>
      </w:r>
      <w:r>
        <w:rPr>
          <w:rFonts w:ascii="Times New Roman" w:hAnsi="Times New Roman"/>
          <w:i/>
          <w:color w:val="000000"/>
          <w:sz w:val="24"/>
        </w:rPr>
        <w:t xml:space="preserve"> </w:t>
      </w:r>
      <w:r>
        <w:rPr>
          <w:rFonts w:ascii="Times New Roman" w:hAnsi="Times New Roman"/>
          <w:color w:val="000000"/>
          <w:sz w:val="24"/>
        </w:rPr>
        <w:t xml:space="preserve">bile dobrodošle želje </w:t>
      </w:r>
      <w:r>
        <w:rPr>
          <w:rFonts w:ascii="Times New Roman" w:hAnsi="Times New Roman"/>
          <w:i/>
          <w:color w:val="000000"/>
          <w:sz w:val="24"/>
        </w:rPr>
        <w:t>„Evropa, ki postavlja izobraževanje v ospredje“</w:t>
      </w:r>
      <w:r>
        <w:rPr>
          <w:rFonts w:ascii="Times New Roman" w:hAnsi="Times New Roman"/>
          <w:color w:val="000000"/>
          <w:sz w:val="24"/>
        </w:rPr>
        <w:t xml:space="preserve"> in </w:t>
      </w:r>
      <w:r>
        <w:rPr>
          <w:rFonts w:ascii="Times New Roman" w:hAnsi="Times New Roman"/>
          <w:i/>
          <w:color w:val="000000"/>
          <w:sz w:val="24"/>
        </w:rPr>
        <w:t>„bližja in dostopna Evropa</w:t>
      </w:r>
      <w:r>
        <w:rPr>
          <w:rFonts w:ascii="Times New Roman" w:hAnsi="Times New Roman"/>
          <w:color w:val="000000"/>
          <w:sz w:val="24"/>
        </w:rPr>
        <w:t xml:space="preserve">“, s spremembami, ki jih je na regionalnih konferencah v povprečju podprlo 56 % državljanov.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Obrazec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99"/>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Katere spremembe bi si želeli, da bi bile izvedene?</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Evropa, ki postavlja izobraževanje v ospredje</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Bližja in dostopna Evropa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Evropa s skupnimi kulturami in identitetami</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Evropa, zavezana podnebnim in okoljskim izzivom</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Enotnejša Evropa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Solidarnost Evropa, ki varuje</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Evropa, ki zagotavlja spoštovanje temeljnih pravic</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Konkurenčna in inovativna Evropa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Evropa, ki spodbuja trajnostni razvoj</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Bolj demokratična Evropa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Evropa z učinkovitejšim upravljanjem</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Evropa, ki brani svoje interese</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Močna Evropa v svetu</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Evropa, v kateri prevladujejo interesi vsake države</w:t>
                              </w:r>
                            </w:p>
                          </w:txbxContent>
                        </wps:txbx>
                        <wps:bodyPr lIns="90000" rIns="90000" tIns="45000" bIns="45000">
                          <a:noAutofit/>
                        </wps:bodyPr>
                      </wps:wsp>
                    </wpg:wgp>
                  </a:graphicData>
                </a:graphic>
              </wp:anchor>
            </w:drawing>
          </mc:Choice>
          <mc:Fallback>
            <w:pict>
              <v:group id="shape_0" alt="Obrazec4" style="position:absolute;margin-left:21.5pt;margin-top:39.85pt;width:354.75pt;height:494.75pt" coordorigin="430,797" coordsize="7095,9895">
                <v:shape id="shape_0" stroked="f" style="position:absolute;left:4005;top:1727;width:3121;height:8964" type="shapetype_75">
                  <v:imagedata r:id="rId99"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Katere spremembe bi si želeli, da bi bile izvedene?</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Evropa, ki postavlja izobraževanje v ospredje</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Bližja in dostopna Evropa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Evropa s skupnimi kulturami in identitetami</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Evropa, zavezana podnebnim in okoljskim izzivom</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Enotnejša Evropa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Solidarnost Evropa, ki varuje</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Evropa, ki zagotavlja spoštovanje temeljnih pravic</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Konkurenčna in inovativna Evropa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Evropa, ki spodbuja trajnostni razvoj</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Bolj demokratična Evropa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Evropa z učinkovitejšim upravljanjem</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Evropa, ki brani svoje interese</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Močna Evropa v svetu</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Evropa, v kateri prevladujejo interesi vsake države</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Predstavitev 14 prednostnih sprememb, ki izhajajo iz nacionalne konference </w:t>
      </w:r>
    </w:p>
    <w:p>
      <w:pPr>
        <w:pStyle w:val="P68B1DB1Normal19"/>
        <w:widowControl w:val="false"/>
        <w:spacing w:lineRule="exact" w:line="388" w:before="322" w:after="0"/>
        <w:ind w:left="0" w:right="0" w:hanging="0"/>
        <w:jc w:val="left"/>
        <w:rPr/>
      </w:pPr>
      <w:r>
        <w:rPr/>
        <w:t xml:space="preserve">Na Nacionalni zbirni konferenci je 100 sodelujočih državljanov delalo v eni od 14 uveljavljenih skupin želja. Ob koncu dela je vsaka skupina izbrala svojo željo, da </w:t>
      </w:r>
      <w:r>
        <w:rPr>
          <w:b/>
        </w:rPr>
        <w:t>bi Evropa do leta 2035 uvedla prednostno spremembo</w:t>
      </w:r>
      <w:r>
        <w:rPr/>
        <w:t xml:space="preserve">. Teh 14 prednostnih sprememb je bilo nato predlaganih za glasovanje 100 državljanov na zadnji dan nacionalne konference. Izid glasovanja je naveden spodaj, v padajočem vrstnem redu glede na število glasov, pridobljenih za vsako spremembo. </w:t>
      </w:r>
    </w:p>
    <w:p>
      <w:pPr>
        <w:pStyle w:val="P68B1DB1Normal19"/>
        <w:widowControl w:val="false"/>
        <w:spacing w:lineRule="exact" w:line="413" w:before="332" w:after="0"/>
        <w:ind w:left="0" w:right="708" w:hanging="0"/>
        <w:jc w:val="left"/>
        <w:rPr/>
      </w:pPr>
      <w:r>
        <w:rPr/>
        <w:t xml:space="preserve">Sprememba, ki je dobila največ glasov od 100 državljanov nacionalne konference, je „ </w:t>
      </w:r>
      <w:r>
        <w:rPr>
          <w:i/>
        </w:rPr>
        <w:t>Razviti energetsko treznost, da bi porabili manj z zaustavitvijo odvečnega“</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ključnih sprememb za Evropo v letu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Razviti energijo treznost, da porabijo manj off odvečne</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Krepitev skupne obrambe in varnosti Evropske unije</w:t>
      </w:r>
    </w:p>
    <w:p>
      <w:pPr>
        <w:pStyle w:val="P68B1DB1Normal41"/>
        <w:widowControl w:val="false"/>
        <w:spacing w:lineRule="auto" w:line="240" w:before="193" w:after="0"/>
        <w:ind w:left="324" w:right="0" w:hanging="0"/>
        <w:jc w:val="left"/>
        <w:rPr/>
      </w:pPr>
      <w:r>
        <w:rPr>
          <w:color w:val="000000"/>
        </w:rPr>
        <w:t>(3)</w:t>
      </w:r>
      <w:r>
        <w:rPr>
          <w:color w:val="FFFFFF"/>
        </w:rPr>
        <w:t xml:space="preserve"> </w:t>
      </w:r>
      <w:r>
        <w:rPr>
          <w:color w:val="000000"/>
        </w:rPr>
        <w:t>Spodbujanje kolektivne gospodarske uspešnosti s pomočjo avtonomne, konkurenčne in cenjene industrije Evropske unije</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Ustanovitev državljanske oblasti na več ravneh: sodelovanje, odločanje, nadzor</w:t>
      </w:r>
    </w:p>
    <w:p>
      <w:pPr>
        <w:pStyle w:val="P68B1DB1Normal41"/>
        <w:widowControl w:val="false"/>
        <w:spacing w:lineRule="auto" w:line="240" w:before="193" w:after="0"/>
        <w:ind w:left="324" w:right="695" w:hanging="0"/>
        <w:jc w:val="left"/>
        <w:rPr/>
      </w:pPr>
      <w:r>
        <w:rPr>
          <w:color w:val="000000"/>
        </w:rPr>
        <w:t>(5)</w:t>
      </w:r>
      <w:r>
        <w:rPr>
          <w:color w:val="FFFFFF"/>
        </w:rPr>
        <w:t xml:space="preserve"> </w:t>
      </w:r>
      <w:r>
        <w:rPr>
          <w:color w:val="000000"/>
        </w:rPr>
        <w:t>Zveza evropskih držav z močnimi pristojnostmi na področjih skupnega interesa</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Predlagamo programe vseživljenjske izmenjave</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Izmenjava evropskih kultur s poenotenjem dogodkov in dogodkov</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Usklajevanje zdravja in njegovo dostopnost vsem Evropejcem prek skupne zdravstvene politike</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Razvoj in pilotiranje strateških kanalov na evropski ravni za zagotovitev naše suverenosti</w:t>
      </w:r>
    </w:p>
    <w:p>
      <w:pPr>
        <w:pStyle w:val="P68B1DB1Normal41"/>
        <w:widowControl w:val="false"/>
        <w:spacing w:lineRule="auto" w:line="240" w:before="193" w:after="0"/>
        <w:ind w:left="324" w:right="0" w:hanging="0"/>
        <w:jc w:val="left"/>
        <w:rPr/>
      </w:pPr>
      <w:r>
        <w:rPr>
          <w:color w:val="FFFFFF"/>
        </w:rPr>
        <w:t>10</w:t>
      </w:r>
      <w:r>
        <w:rPr>
          <w:color w:val="000000"/>
        </w:rPr>
        <w:t>(10)Izboljšanje varstva okolja in ekosistemov ter oblikovanje zavarovanih območij v osrčju mestnih, primestnih in podeželskih območij</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Ustanovitev evropskih relejev na ozemljih za poslušanje in svetovanje državljanom</w:t>
      </w:r>
    </w:p>
    <w:p>
      <w:pPr>
        <w:pStyle w:val="P68B1DB1Normal41"/>
        <w:widowControl w:val="false"/>
        <w:spacing w:lineRule="auto" w:line="240" w:before="193" w:after="0"/>
        <w:ind w:left="283" w:right="643" w:hanging="0"/>
        <w:jc w:val="left"/>
        <w:rPr/>
      </w:pPr>
      <w:r>
        <w:rPr>
          <w:color w:val="000000"/>
        </w:rPr>
        <w:t>12 ( 12)Poenotiti način izvolitve Evropskega parlamenta za sedemindvajset držav in izboljšati bližino državljanov z zamenjavo sedanjega glasovanja z enkratnim glasovanjem na regionalni ravni</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Opredelitev skupne politike za izboljšanje sprejema ter socialnega in poklicnega vključevanja migrantov (vključno z migranti brez urejenega statusa)</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Ohraniti posebnosti (oznake na živilih, obrtna proizvodnja, tradicije) različnih evropskih regij, da bi se izognili enotnemu načinu življenja ter zagotovili sledljivost in kakovost proizvodov</w:t>
      </w:r>
    </w:p>
    <w:p>
      <w:pPr>
        <w:pStyle w:val="Normal"/>
        <w:spacing w:lineRule="auto" w:line="240"/>
        <w:rPr/>
      </w:pPr>
      <w:r>
        <w:rPr/>
      </w:r>
    </w:p>
    <w:p>
      <w:pPr>
        <w:pStyle w:val="Normal"/>
        <w:rPr/>
      </w:pPr>
      <w:r>
        <w:rPr/>
        <w:t xml:space="preserve">Za vsako prednostno spremembo so državljani zadevne skupine opredelili spremembe, predlagali konkretne ukrepe za njeno izvajanje in navedli merila za uspeh do leta 2035. </w:t>
      </w:r>
    </w:p>
    <w:p>
      <w:pPr>
        <w:pStyle w:val="Normal"/>
        <w:rPr/>
      </w:pPr>
      <w:r>
        <w:rPr/>
      </w:r>
      <w:r>
        <w:br w:type="page"/>
      </w:r>
    </w:p>
    <w:p>
      <w:pPr>
        <w:pStyle w:val="P68B1DB1Normal42"/>
        <w:widowControl w:val="false"/>
        <w:spacing w:lineRule="auto" w:line="240" w:before="237" w:after="0"/>
        <w:ind w:left="0" w:right="0" w:hanging="0"/>
        <w:jc w:val="left"/>
        <w:rPr/>
      </w:pPr>
      <w:r>
        <w:rPr/>
        <w:t xml:space="preserve">Sprememba 1 – Razviti energijo treznost, da porabijo manj, tako da ustavi odvečno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Evropa, zavezana podnebnim in okoljskim izzivom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6" w:after="0"/>
        <w:ind w:left="0" w:right="0" w:hanging="0"/>
        <w:jc w:val="left"/>
        <w:rPr/>
      </w:pPr>
      <w:r>
        <w:rPr>
          <w:i/>
          <w:color w:val="000000"/>
        </w:rPr>
        <w:t>Ključne besede: Razvoj obnovljivih virov energije, zmanjšanje porabe energije</w:t>
      </w:r>
      <w:r>
        <w:rPr>
          <w:b/>
          <w:color w:val="273375"/>
        </w:rPr>
        <w:t xml:space="preserve"> </w:t>
      </w:r>
    </w:p>
    <w:p>
      <w:pPr>
        <w:pStyle w:val="P68B1DB1Normal19"/>
        <w:widowControl w:val="false"/>
        <w:spacing w:lineRule="auto" w:line="240" w:before="248" w:after="0"/>
        <w:ind w:left="0" w:right="9" w:hanging="0"/>
        <w:jc w:val="both"/>
        <w:rPr/>
      </w:pPr>
      <w:r>
        <w:rPr/>
        <w:t xml:space="preserve">Namen te spremembe je spodbuditi zmanjšanje porabe energije v Evropi in razvoj obnovljivih virov energije. Prednostno razvrščanje državljanov izraža njihovo željo, da bi Evropo in njene prebivalce vključili v </w:t>
      </w:r>
      <w:r>
        <w:rPr>
          <w:b/>
        </w:rPr>
        <w:t>odločen pristop k</w:t>
      </w:r>
      <w:r>
        <w:rPr/>
        <w:t xml:space="preserve"> podnebnim in okoljskim izzivom.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237" w:after="0"/>
        <w:ind w:left="0" w:right="9" w:hanging="0"/>
        <w:jc w:val="both"/>
        <w:rPr/>
      </w:pPr>
      <w:r>
        <w:rPr/>
        <w:t xml:space="preserve">Ta sprememba se odraža v razvoju </w:t>
      </w:r>
      <w:r>
        <w:rPr>
          <w:b/>
        </w:rPr>
        <w:t>ambicioznih raziskovalnih programov</w:t>
      </w:r>
      <w:r>
        <w:rPr/>
        <w:t xml:space="preserve"> o obnovljivih virih energije in </w:t>
      </w:r>
      <w:r>
        <w:rPr>
          <w:b/>
        </w:rPr>
        <w:t>uporabi evropskih investicijskih skladov</w:t>
      </w:r>
      <w:r>
        <w:rPr/>
        <w:t xml:space="preserve"> z neposredno udeležbo v podjetjih v sektorju. </w:t>
      </w:r>
    </w:p>
    <w:p>
      <w:pPr>
        <w:pStyle w:val="P68B1DB1Normal19"/>
        <w:widowControl w:val="false"/>
        <w:spacing w:lineRule="auto" w:line="240" w:before="326" w:after="0"/>
        <w:ind w:left="0" w:right="9" w:hanging="0"/>
        <w:jc w:val="both"/>
        <w:rPr/>
      </w:pPr>
      <w:r>
        <w:rPr/>
        <w:t xml:space="preserve">Za državljane bi bila ta sprememba uspešna, če bi uvedli </w:t>
      </w:r>
      <w:r>
        <w:rPr>
          <w:b/>
        </w:rPr>
        <w:t>zavezujoče cilje glede porabe energije</w:t>
      </w:r>
      <w:r>
        <w:rPr/>
        <w:t xml:space="preserve"> in</w:t>
      </w:r>
      <w:r>
        <w:rPr>
          <w:b/>
        </w:rPr>
        <w:t>ključne kazalnike treznosti</w:t>
      </w:r>
      <w:r>
        <w:rPr/>
        <w:t xml:space="preserve">, kot je zmanjšanje evropskega voznega parka ali porabe mesa. Cilj je tudi, da se </w:t>
      </w:r>
      <w:r>
        <w:rPr>
          <w:b/>
        </w:rPr>
        <w:t>ob upoštevanju nihanj v porabi podjetij in spoštovanju zaupnosti njihovih podatkov uspešno določijo potrošniške kvote</w:t>
      </w:r>
      <w:r>
        <w:rPr/>
        <w:t xml:space="preserve"> po sektorjih. </w:t>
      </w:r>
    </w:p>
    <w:p>
      <w:pPr>
        <w:pStyle w:val="Normal"/>
        <w:spacing w:lineRule="auto" w:line="240"/>
        <w:rPr/>
      </w:pPr>
      <w:r>
        <w:rPr/>
      </w:r>
    </w:p>
    <w:p>
      <w:pPr>
        <w:pStyle w:val="P68B1DB1Normal42"/>
        <w:spacing w:lineRule="auto" w:line="240"/>
        <w:rPr/>
      </w:pPr>
      <w:r>
        <w:rPr/>
        <w:t xml:space="preserve">Sprememba 2 – Krepitev skupne obrambe in varnosti Evropske unije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Močna Evropa v svetu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8" w:after="0"/>
        <w:ind w:left="0" w:right="0" w:hanging="0"/>
        <w:jc w:val="left"/>
        <w:rPr/>
      </w:pPr>
      <w:r>
        <w:rPr>
          <w:i/>
          <w:color w:val="000000"/>
        </w:rPr>
        <w:t>Ključne besede: Evropska vojska, strateška avtonomija</w:t>
      </w:r>
      <w:r>
        <w:rPr>
          <w:b/>
          <w:color w:val="273375"/>
        </w:rPr>
        <w:t xml:space="preserve"> </w:t>
      </w:r>
    </w:p>
    <w:p>
      <w:pPr>
        <w:pStyle w:val="P68B1DB1Normal19"/>
        <w:widowControl w:val="false"/>
        <w:spacing w:lineRule="auto" w:line="240" w:before="201" w:after="0"/>
        <w:ind w:left="0" w:right="10" w:hanging="0"/>
        <w:jc w:val="left"/>
        <w:rPr/>
      </w:pPr>
      <w:r>
        <w:rPr/>
        <w:t>Ta sprememba je odgovor na soglasno voljo državljanov, da dosežejo</w:t>
      </w:r>
      <w:r>
        <w:rPr>
          <w:b/>
        </w:rPr>
        <w:t>avtonomijo</w:t>
      </w:r>
      <w:r>
        <w:rPr/>
        <w:t xml:space="preserve"> na področju obrambe in varnosti v Evropi, da ne bi bili odvisni od tujih sil.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198" w:after="0"/>
        <w:ind w:left="0" w:right="10" w:hanging="0"/>
        <w:jc w:val="left"/>
        <w:rPr/>
      </w:pPr>
      <w:r>
        <w:rPr/>
        <w:t>Uspeh te spremembe bi v prvi vrsti privedel do imenovanja</w:t>
      </w:r>
      <w:r>
        <w:rPr>
          <w:b/>
        </w:rPr>
        <w:t xml:space="preserve"> evropskega komisarja</w:t>
      </w:r>
      <w:r>
        <w:rPr/>
        <w:t xml:space="preserve"> za obrambo in varnost. </w:t>
      </w:r>
    </w:p>
    <w:p>
      <w:pPr>
        <w:pStyle w:val="P68B1DB1Normal19"/>
        <w:widowControl w:val="false"/>
        <w:spacing w:lineRule="auto" w:line="240" w:before="203" w:after="0"/>
        <w:ind w:left="0" w:right="10" w:hanging="0"/>
        <w:jc w:val="both"/>
        <w:rPr/>
      </w:pPr>
      <w:r>
        <w:rPr/>
        <w:t>V obrambnih zadevah bi vzpostavitev</w:t>
      </w:r>
      <w:r>
        <w:rPr>
          <w:b/>
        </w:rPr>
        <w:t xml:space="preserve"> stalne, odzivne in projicirane vojske</w:t>
      </w:r>
      <w:r>
        <w:rPr/>
        <w:t xml:space="preserve"> po vsem svetu Evropi omogočila, da zaščiti svoje meje in po potrebi posreduje na zahtevo tretjih držav. </w:t>
      </w:r>
    </w:p>
    <w:p>
      <w:pPr>
        <w:pStyle w:val="P68B1DB1Normal19"/>
        <w:widowControl w:val="false"/>
        <w:spacing w:lineRule="auto" w:line="240" w:before="206" w:after="0"/>
        <w:ind w:left="0" w:right="10" w:hanging="0"/>
        <w:jc w:val="both"/>
        <w:rPr/>
      </w:pPr>
      <w:r>
        <w:rPr/>
        <w:t xml:space="preserve">Kar zadeva varnost, bi morala Evropa v očeh svojih državljanov zagotoviti </w:t>
      </w:r>
      <w:r>
        <w:rPr>
          <w:b/>
        </w:rPr>
        <w:t>varnost oskrbe in zaščititi svoje</w:t>
      </w:r>
      <w:r>
        <w:rPr/>
        <w:t xml:space="preserve"> </w:t>
      </w:r>
      <w:r>
        <w:rPr>
          <w:b/>
        </w:rPr>
        <w:t>strateške raziskave</w:t>
      </w:r>
      <w:r>
        <w:rPr/>
        <w:t xml:space="preserve"> v prednostnih sektorjih, kot so vesolje, kibernetska varnost, zdravstveni sektor in okolje. Boljša </w:t>
      </w:r>
      <w:r>
        <w:rPr>
          <w:b/>
        </w:rPr>
        <w:t>zaščita zunanjih meja</w:t>
      </w:r>
      <w:r>
        <w:rPr/>
        <w:t xml:space="preserve"> bi morala prispevati tudi k preprečevanju nezakonitega priseljevanja in trgovine z ljudmi. </w:t>
      </w:r>
    </w:p>
    <w:p>
      <w:pPr>
        <w:pStyle w:val="Normal"/>
        <w:spacing w:lineRule="auto" w:line="240"/>
        <w:rPr/>
      </w:pPr>
      <w:r>
        <w:rPr/>
      </w:r>
    </w:p>
    <w:p>
      <w:pPr>
        <w:pStyle w:val="P68B1DB1Normal42"/>
        <w:spacing w:lineRule="auto" w:line="240"/>
        <w:rPr/>
      </w:pPr>
      <w:r>
        <w:rPr/>
        <w:t xml:space="preserve">Sprememba 3 – Spodbujanje kolektivne gospodarske uspešnosti s pomočjo avtonomne, konkurenčne in cenjene industrije s strani Evropske unije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Evropa, ki brani svoje interese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Kaj pomeni ta sprememba?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Ključne besede: </w:t>
      </w:r>
    </w:p>
    <w:p>
      <w:pPr>
        <w:pStyle w:val="P68B1DB1Normal7"/>
        <w:widowControl w:val="false"/>
        <w:spacing w:lineRule="auto" w:line="240"/>
        <w:ind w:left="0" w:right="10" w:hanging="0"/>
        <w:jc w:val="left"/>
        <w:rPr/>
      </w:pPr>
      <w:r>
        <w:rPr>
          <w:i/>
          <w:color w:val="000000"/>
        </w:rPr>
        <w:t>Evropski preferenciali, zaščita znanja in izkušenj, razvoj evropskih prvakov</w:t>
      </w:r>
      <w:r>
        <w:rPr>
          <w:b/>
          <w:color w:val="273375"/>
        </w:rPr>
        <w:t xml:space="preserve"> </w:t>
      </w:r>
    </w:p>
    <w:p>
      <w:pPr>
        <w:pStyle w:val="P68B1DB1Normal19"/>
        <w:widowControl w:val="false"/>
        <w:spacing w:lineRule="auto" w:line="240" w:before="321" w:after="0"/>
        <w:ind w:left="0" w:right="10" w:hanging="0"/>
        <w:jc w:val="both"/>
        <w:rPr/>
      </w:pPr>
      <w:r>
        <w:rPr/>
        <w:t xml:space="preserve">Namen te spremembe je doseči tri cilje: okrepiti politiko „ </w:t>
      </w:r>
      <w:r>
        <w:rPr>
          <w:b/>
        </w:rPr>
        <w:t>evropskih</w:t>
      </w:r>
      <w:r>
        <w:rPr/>
        <w:t xml:space="preserve"> </w:t>
      </w:r>
      <w:r>
        <w:rPr>
          <w:b/>
        </w:rPr>
        <w:t>preferenc“</w:t>
      </w:r>
      <w:r>
        <w:rPr/>
        <w:t xml:space="preserve"> v Uniji, zagotoviti </w:t>
      </w:r>
      <w:r>
        <w:rPr>
          <w:b/>
        </w:rPr>
        <w:t>zaščito osnovnih dobrin ter znanja in izkušenj ter</w:t>
      </w:r>
      <w:r>
        <w:rPr/>
        <w:t xml:space="preserve"> ustvariti </w:t>
      </w:r>
      <w:r>
        <w:rPr>
          <w:b/>
        </w:rPr>
        <w:t>„evropske prvake“.</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316" w:after="0"/>
        <w:ind w:left="0" w:right="10" w:hanging="0"/>
        <w:jc w:val="both"/>
        <w:rPr/>
      </w:pPr>
      <w:r>
        <w:rPr/>
        <w:t xml:space="preserve">Doseganje teh ciljev zahteva predvsem izvajanje </w:t>
      </w:r>
      <w:r>
        <w:rPr>
          <w:b/>
        </w:rPr>
        <w:t>politike „evropske prednostne obravnave“</w:t>
      </w:r>
      <w:r>
        <w:rPr/>
        <w:t xml:space="preserve"> v okviru javnih razpisov in uvedbo </w:t>
      </w:r>
      <w:r>
        <w:rPr>
          <w:b/>
        </w:rPr>
        <w:t>davka na ogljik</w:t>
      </w:r>
      <w:r>
        <w:rPr/>
        <w:t xml:space="preserve"> na uvoz. </w:t>
      </w:r>
    </w:p>
    <w:p>
      <w:pPr>
        <w:pStyle w:val="P68B1DB1Normal19"/>
        <w:widowControl w:val="false"/>
        <w:spacing w:lineRule="auto" w:line="240" w:before="332" w:after="0"/>
        <w:ind w:left="0" w:right="10" w:hanging="0"/>
        <w:jc w:val="left"/>
        <w:rPr/>
      </w:pPr>
      <w:r>
        <w:rPr/>
        <w:t xml:space="preserve">Zaščita strokovnega znanja in izkušenj bi povzročila večji nadzor nad tujimi odkupi in naložbami ter razvoj pomoči za </w:t>
      </w:r>
      <w:r>
        <w:rPr>
          <w:b/>
        </w:rPr>
        <w:t>premestitev</w:t>
      </w:r>
      <w:r>
        <w:rPr/>
        <w:t xml:space="preserve">. </w:t>
      </w:r>
    </w:p>
    <w:p>
      <w:pPr>
        <w:pStyle w:val="P68B1DB1Normal19"/>
        <w:widowControl w:val="false"/>
        <w:spacing w:lineRule="auto" w:line="240" w:before="323" w:after="0"/>
        <w:ind w:left="0" w:right="10" w:hanging="0"/>
        <w:jc w:val="both"/>
        <w:rPr/>
      </w:pPr>
      <w:r>
        <w:rPr/>
        <w:t xml:space="preserve">Nazadnje, oblikovanje „evropskih prvakov“ vključuje spodbujanje evropskih </w:t>
      </w:r>
      <w:r>
        <w:rPr>
          <w:b/>
        </w:rPr>
        <w:t>industrijskih zavezništev</w:t>
      </w:r>
      <w:r>
        <w:rPr/>
        <w:t xml:space="preserve"> v strateških sektorjih in spodbujanje javnih naložb tveganega kapitala. </w:t>
      </w:r>
    </w:p>
    <w:p>
      <w:pPr>
        <w:pStyle w:val="P68B1DB1Normal45"/>
        <w:widowControl w:val="false"/>
        <w:spacing w:lineRule="auto" w:line="240" w:before="333" w:after="0"/>
        <w:ind w:left="0" w:right="13" w:hanging="0"/>
        <w:jc w:val="both"/>
        <w:rPr>
          <w:sz w:val="20"/>
        </w:rPr>
      </w:pPr>
      <w:r>
        <w:rPr/>
        <w:t xml:space="preserve">Uspeh te spremembe se za državljane uresničuje z razvojem evropskih industrijskih zavezništev v ključnih sektorjih, povečanjem števila selitev podjetij in izboljšanjem trgovinske bilance.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Sprememba 4 – krepitev moči državljanov na več ravneh: sodelovanje, odločanje, nadzor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Bolj demokratična Evropa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84" w:after="0"/>
        <w:ind w:left="0" w:right="10" w:hanging="0"/>
        <w:jc w:val="left"/>
        <w:rPr/>
      </w:pPr>
      <w:r>
        <w:rPr>
          <w:i/>
          <w:color w:val="000000"/>
        </w:rPr>
        <w:t>Ključne besede: povečanje volilne udeležbe, evropski barometer zadovoljstva, posplošitev posvetovanj z državljani</w:t>
      </w:r>
      <w:r>
        <w:rPr>
          <w:b/>
          <w:color w:val="273375"/>
        </w:rPr>
        <w:t xml:space="preserve"> </w:t>
      </w:r>
    </w:p>
    <w:p>
      <w:pPr>
        <w:pStyle w:val="P68B1DB1Normal19"/>
        <w:widowControl w:val="false"/>
        <w:spacing w:lineRule="auto" w:line="240" w:before="324" w:after="0"/>
        <w:ind w:left="0" w:right="10" w:hanging="0"/>
        <w:jc w:val="both"/>
        <w:rPr/>
      </w:pPr>
      <w:r>
        <w:rPr/>
        <w:t xml:space="preserve">S to spremembo državljani predlagajo razvoj „ </w:t>
      </w:r>
      <w:r>
        <w:rPr>
          <w:i/>
        </w:rPr>
        <w:t xml:space="preserve">popolne izkušnje državljanov“ </w:t>
      </w:r>
      <w:r>
        <w:rPr/>
        <w:t>za</w:t>
      </w:r>
      <w:r>
        <w:rPr>
          <w:i/>
        </w:rPr>
        <w:t xml:space="preserve"> </w:t>
      </w:r>
      <w:r>
        <w:rPr/>
        <w:t xml:space="preserve">Evropejce, s čimer bi povečali njihovo </w:t>
      </w:r>
      <w:r>
        <w:rPr>
          <w:b/>
        </w:rPr>
        <w:t>vključenost</w:t>
      </w:r>
      <w:r>
        <w:rPr/>
        <w:t xml:space="preserve"> v vse faze postopka odločanja. Odraža pripravljenost državljanov, da </w:t>
      </w:r>
      <w:r>
        <w:rPr>
          <w:b/>
        </w:rPr>
        <w:t>izrazijo svoje mnenje</w:t>
      </w:r>
      <w:r>
        <w:rPr/>
        <w:t xml:space="preserve"> in vplivajo na javne politike, ki vplivajo na njihovo vsakdanje življenje.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Kateri so ključni koraki in merila uspešnosti? </w:t>
      </w:r>
    </w:p>
    <w:p>
      <w:pPr>
        <w:pStyle w:val="P68B1DB1Normal24"/>
        <w:widowControl w:val="false"/>
        <w:spacing w:lineRule="auto" w:line="240" w:before="323" w:after="0"/>
        <w:ind w:left="0" w:right="13" w:hanging="0"/>
        <w:jc w:val="both"/>
        <w:rPr/>
      </w:pPr>
      <w:r>
        <w:rPr/>
        <w:t>To je predvsem naloga državljanov, da razvijejo in vzdržujejo pobude za udeležbo državljanov</w:t>
      </w:r>
      <w:r>
        <w:rPr>
          <w:b/>
        </w:rPr>
        <w:t xml:space="preserve">. </w:t>
      </w:r>
      <w:r>
        <w:rPr/>
        <w:t xml:space="preserve">V ta namen bi bilo mogoče izvesti več vzvodov: ustanovitev </w:t>
      </w:r>
      <w:r>
        <w:rPr>
          <w:b/>
        </w:rPr>
        <w:t>stalne posvetovalne zbornice</w:t>
      </w:r>
      <w:r>
        <w:rPr/>
        <w:t xml:space="preserve">, registracija </w:t>
      </w:r>
      <w:r>
        <w:rPr>
          <w:b/>
        </w:rPr>
        <w:t>pristojnosti državljanov</w:t>
      </w:r>
      <w:r>
        <w:rPr/>
        <w:t xml:space="preserve"> v evropskih pogodbah ali uvedba </w:t>
      </w:r>
      <w:r>
        <w:rPr>
          <w:b/>
        </w:rPr>
        <w:t>znaka</w:t>
      </w:r>
      <w:r>
        <w:rPr/>
        <w:t xml:space="preserve">, ki potrjuje zakone, o katerih se je posvetovalo z državljani. </w:t>
      </w:r>
    </w:p>
    <w:p>
      <w:pPr>
        <w:pStyle w:val="P68B1DB1Normal19"/>
        <w:widowControl w:val="false"/>
        <w:spacing w:lineRule="auto" w:line="240" w:before="230" w:after="0"/>
        <w:ind w:left="0" w:right="10" w:hanging="0"/>
        <w:jc w:val="both"/>
        <w:rPr/>
      </w:pPr>
      <w:r>
        <w:rPr/>
        <w:t xml:space="preserve">Uspeh te spremembe bi se odražal v porastu kazalnikov, kot so </w:t>
      </w:r>
      <w:r>
        <w:rPr>
          <w:b/>
        </w:rPr>
        <w:t>volilna udeležba, zanimanje</w:t>
      </w:r>
      <w:r>
        <w:rPr/>
        <w:t xml:space="preserve"> in </w:t>
      </w:r>
      <w:r>
        <w:rPr>
          <w:b/>
        </w:rPr>
        <w:t>zaupanje</w:t>
      </w:r>
      <w:r>
        <w:rPr/>
        <w:t xml:space="preserve"> v Evropski uniji ter </w:t>
      </w:r>
      <w:r>
        <w:rPr>
          <w:b/>
        </w:rPr>
        <w:t>prisotnost evropskih spletnih strani</w:t>
      </w:r>
      <w:r>
        <w:rPr/>
        <w:t xml:space="preserve">. Povečanje števila odločitev, sprejetih po posvetovanju z državljani, in povečana uporaba </w:t>
      </w:r>
      <w:r>
        <w:rPr>
          <w:b/>
        </w:rPr>
        <w:t>evropskih državljanskih pobud</w:t>
      </w:r>
      <w:r>
        <w:rPr/>
        <w:t xml:space="preserve">sta prav tako pokazatelja uspeha.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Sprememba 5 – Za zvezo evropskih držav z močnimi pristojnostmi na področjih skupnega interesa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Enotnejša Evropa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6" w:after="0"/>
        <w:ind w:left="0" w:right="0" w:hanging="0"/>
        <w:jc w:val="left"/>
        <w:rPr/>
      </w:pPr>
      <w:r>
        <w:rPr>
          <w:i/>
          <w:color w:val="000000"/>
        </w:rPr>
        <w:t>Ključne besede: institucionalno združevanje, novoizvoljeni predsednik, krepitev pristojnosti EU</w:t>
      </w:r>
      <w:r>
        <w:rPr>
          <w:b/>
          <w:color w:val="273375"/>
        </w:rPr>
        <w:t xml:space="preserve"> </w:t>
      </w:r>
    </w:p>
    <w:p>
      <w:pPr>
        <w:pStyle w:val="P68B1DB1Normal19"/>
        <w:widowControl w:val="false"/>
        <w:spacing w:lineRule="auto" w:line="240" w:before="244" w:after="0"/>
        <w:ind w:left="0" w:right="10" w:hanging="0"/>
        <w:jc w:val="both"/>
        <w:rPr/>
      </w:pPr>
      <w:r>
        <w:rPr/>
        <w:t>Ta sprememba odraža željo državljanov po</w:t>
      </w:r>
      <w:r>
        <w:rPr>
          <w:b/>
        </w:rPr>
        <w:t>poenotenju</w:t>
      </w:r>
      <w:r>
        <w:rPr/>
        <w:t xml:space="preserve"> evropskih političnih institucij. Prikazani model je zveza držav, katere cilj je </w:t>
      </w:r>
      <w:r>
        <w:rPr>
          <w:b/>
        </w:rPr>
        <w:t>okrepiti deljene ali izključne pristojnosti</w:t>
      </w:r>
      <w:r>
        <w:rPr/>
        <w:t xml:space="preserve"> Evropske unije, ne da bi se približali zvezni državi.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Kateri so ključni mejniki in merila uspešnosti? </w:t>
      </w:r>
    </w:p>
    <w:p>
      <w:pPr>
        <w:pStyle w:val="P68B1DB1Normal19"/>
        <w:widowControl w:val="false"/>
        <w:spacing w:lineRule="auto" w:line="240" w:before="239" w:after="0"/>
        <w:ind w:left="0" w:right="10" w:hanging="0"/>
        <w:jc w:val="both"/>
        <w:rPr/>
      </w:pPr>
      <w:r>
        <w:rPr/>
        <w:t xml:space="preserve">Na notranji ravni bi ta sprememba lahko vključevala razvoj </w:t>
      </w:r>
      <w:r>
        <w:rPr>
          <w:b/>
        </w:rPr>
        <w:t>udeležbe državljanov, ustanovitev evropskih ministrstev v državah članicah</w:t>
      </w:r>
      <w:r>
        <w:rPr/>
        <w:t xml:space="preserve"> in dolgoročno</w:t>
      </w:r>
      <w:r>
        <w:rPr>
          <w:b/>
        </w:rPr>
        <w:t xml:space="preserve">izvolitev </w:t>
      </w:r>
      <w:r>
        <w:rPr/>
        <w:t xml:space="preserve">predsednika Evropske komisije </w:t>
      </w:r>
      <w:r>
        <w:rPr>
          <w:b/>
        </w:rPr>
        <w:t>s splošnimi volitvami</w:t>
      </w:r>
      <w:r>
        <w:rPr/>
        <w:t xml:space="preserve">. </w:t>
      </w:r>
    </w:p>
    <w:p>
      <w:pPr>
        <w:pStyle w:val="P68B1DB1Normal19"/>
        <w:widowControl w:val="false"/>
        <w:spacing w:lineRule="auto" w:line="240" w:before="327" w:after="0"/>
        <w:ind w:left="0" w:right="10" w:hanging="0"/>
        <w:jc w:val="left"/>
        <w:rPr/>
      </w:pPr>
      <w:r>
        <w:rPr/>
        <w:t xml:space="preserve">Navzven bi se krepitev evropskega glasu v tujini pretvorila v </w:t>
      </w:r>
      <w:r>
        <w:rPr>
          <w:b/>
        </w:rPr>
        <w:t xml:space="preserve">inkarnacijo </w:t>
      </w:r>
      <w:r>
        <w:rPr/>
        <w:t>prek</w:t>
      </w:r>
      <w:r>
        <w:rPr>
          <w:b/>
        </w:rPr>
        <w:t xml:space="preserve"> edinstvenega predstavnika</w:t>
      </w:r>
      <w:r>
        <w:rPr/>
        <w:t xml:space="preserve"> </w:t>
      </w:r>
      <w:r>
        <w:rPr>
          <w:b/>
        </w:rPr>
        <w:t>Evrope</w:t>
      </w:r>
      <w:r>
        <w:rPr/>
        <w:t xml:space="preserve"> na mednarodnem prizorišču. </w:t>
      </w:r>
    </w:p>
    <w:p>
      <w:pPr>
        <w:pStyle w:val="P68B1DB1Normal24"/>
        <w:widowControl w:val="false"/>
        <w:spacing w:lineRule="auto" w:line="240" w:before="324" w:after="0"/>
        <w:ind w:left="0" w:right="15" w:hanging="0"/>
        <w:jc w:val="left"/>
        <w:rPr/>
      </w:pPr>
      <w:r>
        <w:rPr/>
        <w:t xml:space="preserve">Ta zveza držav bi imela koristi tudi od povečanega </w:t>
      </w:r>
      <w:r>
        <w:rPr>
          <w:b/>
        </w:rPr>
        <w:t>evropskega proračuna</w:t>
      </w:r>
      <w:r>
        <w:rPr/>
        <w:t xml:space="preserve"> z ambicijo, da doseže 10 % BDP (v primerjavi s trenutno 2 %).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Sprememba 6 – Predlagamo programe vseživljenjske izmenjave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Želja povezane Evrope: Evropa, ki postavlja izobraževanje v ospredje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Kaj pomeni ta sprememba?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Ključne besede: šolske izmenjave, Erasmus </w:t>
      </w:r>
    </w:p>
    <w:p>
      <w:pPr>
        <w:pStyle w:val="P68B1DB1Normal19"/>
        <w:widowControl w:val="false"/>
        <w:spacing w:lineRule="auto" w:line="240" w:before="330" w:after="0"/>
        <w:ind w:left="0" w:right="0" w:hanging="0"/>
        <w:jc w:val="both"/>
        <w:rPr/>
      </w:pPr>
      <w:r>
        <w:rPr/>
        <w:t xml:space="preserve">Ta sprememba, ki je splošno priznana, odraža pomen srečanj in izkušenj v tujini za državljane kot močan vrelec evropskega razpoloženja. Cilj je prehod </w:t>
      </w:r>
      <w:r>
        <w:rPr>
          <w:i/>
        </w:rPr>
        <w:t>„od akademskega znanja k živemu</w:t>
      </w:r>
      <w:r>
        <w:rPr>
          <w:b/>
          <w:i/>
        </w:rPr>
        <w:t>, izkušenemu in občutljivemu pristopu k</w:t>
      </w:r>
      <w:r>
        <w:rPr>
          <w:i/>
        </w:rPr>
        <w:t>Evropi</w:t>
      </w:r>
      <w:r>
        <w:rPr/>
        <w:t xml:space="preserve">“ in razumevanje izobraževanja v širšem smislu kot </w:t>
      </w:r>
      <w:r>
        <w:rPr>
          <w:b/>
        </w:rPr>
        <w:t xml:space="preserve">vseživljenjskega učenja.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Kateri so ključni koraki in merila uspešnosti? </w:t>
      </w:r>
    </w:p>
    <w:p>
      <w:pPr>
        <w:pStyle w:val="P68B1DB1Normal24"/>
        <w:widowControl w:val="false"/>
        <w:spacing w:lineRule="auto" w:line="240" w:before="317" w:after="0"/>
        <w:ind w:left="0" w:right="4" w:hanging="0"/>
        <w:jc w:val="both"/>
        <w:rPr/>
      </w:pPr>
      <w:r>
        <w:rPr/>
        <w:t xml:space="preserve">Uspeh takšne spremembe je predvsem posledica uvedbe </w:t>
      </w:r>
      <w:r>
        <w:rPr>
          <w:b/>
        </w:rPr>
        <w:t>razširjene ponudbe za mobilnost,</w:t>
      </w:r>
      <w:r>
        <w:rPr/>
        <w:t xml:space="preserve"> med drugim tudi šolskih izmenjav, tesnega medinstitucionalnega sodelovanja, potovanj in poklicne mobilnosti. Za državljane mora biti ta ponudba dostopna vsem, zlasti tistim z nizkimi viri ali invalidi. Program Erasmus bi lahko na primer zajemal vse Evropejce brez starostnih omejitev ali omejitev virov. Ti programi morajo biti zasnovani tako </w:t>
      </w:r>
      <w:r>
        <w:rPr>
          <w:b/>
        </w:rPr>
        <w:t>raznoliki, vključujoči</w:t>
      </w:r>
      <w:r>
        <w:rPr>
          <w:b/>
          <w:sz w:val="20"/>
        </w:rPr>
        <w:t xml:space="preserve"> </w:t>
      </w:r>
      <w:r>
        <w:rPr>
          <w:b/>
        </w:rPr>
        <w:t>in dostopni</w:t>
      </w:r>
      <w:r>
        <w:rPr/>
        <w:t xml:space="preserve"> s poenostavljenimi upravnimi postopki. </w:t>
      </w:r>
    </w:p>
    <w:p>
      <w:pPr>
        <w:pStyle w:val="P68B1DB1Normal24"/>
        <w:widowControl w:val="false"/>
        <w:spacing w:lineRule="auto" w:line="240" w:before="232" w:after="0"/>
        <w:ind w:left="0" w:right="3" w:hanging="0"/>
        <w:jc w:val="both"/>
        <w:rPr/>
      </w:pPr>
      <w:r>
        <w:rPr/>
        <w:t xml:space="preserve">Poleg mobilnosti je bil omenjen tudi </w:t>
      </w:r>
      <w:r>
        <w:rPr>
          <w:b/>
        </w:rPr>
        <w:t>pomen razvoja mostov med izobraževalnimi sistemi</w:t>
      </w:r>
      <w:r>
        <w:rPr/>
        <w:t xml:space="preserve"> (enakovrednost diplom itd.) in povečanja privlačnosti Evrope, da se prepreči uhajanje talentov v tujino.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Sprememba 7 – delitev evropskih kultur s poenotenjem dogodkov in dogodkov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Evropa s skupnimi kulturami in identitetami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Kaj pomeni ta sprememba?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Ključne besede: Evropski festival, evropski javni praznik, Svetovna razstava Evrope </w:t>
      </w:r>
    </w:p>
    <w:p>
      <w:pPr>
        <w:pStyle w:val="P68B1DB1Normal19"/>
        <w:widowControl w:val="false"/>
        <w:spacing w:lineRule="auto" w:line="240" w:before="246" w:after="0"/>
        <w:ind w:left="0" w:right="10" w:hanging="0"/>
        <w:jc w:val="left"/>
        <w:rPr/>
      </w:pPr>
      <w:r>
        <w:rPr/>
        <w:t xml:space="preserve">Namen te spremembe je </w:t>
      </w:r>
      <w:r>
        <w:rPr>
          <w:b/>
        </w:rPr>
        <w:t>ustvariti in živeti evropski duh</w:t>
      </w:r>
      <w:r>
        <w:rPr/>
        <w:t xml:space="preserve"> s skupnimi izkušnjami, dogodki in prazničnimi dogodki.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239" w:after="0"/>
        <w:ind w:left="0" w:right="10" w:hanging="0"/>
        <w:jc w:val="both"/>
        <w:rPr/>
      </w:pPr>
      <w:r>
        <w:rPr/>
        <w:t xml:space="preserve">Dogodki, ki so si jih zamislili državljani, naj bi bili </w:t>
      </w:r>
      <w:r>
        <w:rPr>
          <w:b/>
        </w:rPr>
        <w:t>zabavni, združevalni in priljubljeni</w:t>
      </w:r>
      <w:r>
        <w:rPr/>
        <w:t xml:space="preserve">, da bi jih delilo največje število. V ta namen bi morali vključiti </w:t>
      </w:r>
      <w:r>
        <w:rPr>
          <w:b/>
        </w:rPr>
        <w:t>vse občinstvo</w:t>
      </w:r>
      <w:r>
        <w:rPr/>
        <w:t xml:space="preserve"> (vključno z otroki, šolskim občinstvom, mladimi in študenti Erasmus) in potekati v </w:t>
      </w:r>
      <w:r>
        <w:rPr>
          <w:b/>
        </w:rPr>
        <w:t>različnih krajih</w:t>
      </w:r>
      <w:r>
        <w:rPr/>
        <w:t xml:space="preserve"> (upokojitvene hiše, šole, javne uprave, zapori itd.). </w:t>
      </w:r>
    </w:p>
    <w:p>
      <w:pPr>
        <w:pStyle w:val="P68B1DB1Normal24"/>
        <w:widowControl w:val="false"/>
        <w:spacing w:lineRule="auto" w:line="240" w:before="327" w:after="0"/>
        <w:ind w:left="0" w:right="13" w:hanging="0"/>
        <w:jc w:val="both"/>
        <w:rPr/>
      </w:pPr>
      <w:r>
        <w:rPr/>
        <w:t xml:space="preserve">Za združitev Evropejcev sta bila predvidena zlasti dva dogodka: </w:t>
      </w:r>
      <w:r>
        <w:rPr>
          <w:b/>
        </w:rPr>
        <w:t>univerzalna razstava Evrope</w:t>
      </w:r>
      <w:r>
        <w:rPr/>
        <w:t xml:space="preserve">, ki bi omogočila zastopanje vseh držav članic, in </w:t>
      </w:r>
      <w:r>
        <w:rPr>
          <w:b/>
        </w:rPr>
        <w:t>prenovitev dneva Evrope 9.</w:t>
      </w:r>
      <w:r>
        <w:rPr/>
        <w:t xml:space="preserve">maja, ki bi vključevala zlasti izobraževalni dogodek, </w:t>
      </w:r>
      <w:r>
        <w:rPr>
          <w:i/>
        </w:rPr>
        <w:t>da „ne pozabimo miru, povezanega z Evropo in njenimi vrednotami</w:t>
      </w:r>
      <w:r>
        <w:rPr/>
        <w:t xml:space="preserve">“. Hkrati bi se lahko evropski predstavniki srečali s šolarji na celini v svojih šolah, da bi okrepili bližino in razumevanje Evrope med državljani že od zgodnjega otroštva.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Sprememba 8 – Usklajevanje zdravja in omogočanje njegove dostopnosti vsem Evropejcem prek skupne zdravstvene politike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Solidarnost Evropa, ki varuje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86" w:after="0"/>
        <w:ind w:left="0" w:right="10" w:hanging="0"/>
        <w:jc w:val="left"/>
        <w:rPr/>
      </w:pPr>
      <w:r>
        <w:rPr>
          <w:i/>
          <w:color w:val="000000"/>
        </w:rPr>
        <w:t>Ključne besede: splošno zdravstveno varstvo, usklajevanje oskrbe, zdravje kot temeljna pravica</w:t>
      </w:r>
      <w:r>
        <w:rPr>
          <w:b/>
          <w:color w:val="273375"/>
        </w:rPr>
        <w:t xml:space="preserve"> </w:t>
      </w:r>
    </w:p>
    <w:p>
      <w:pPr>
        <w:pStyle w:val="P68B1DB1Normal19"/>
        <w:widowControl w:val="false"/>
        <w:spacing w:lineRule="auto" w:line="240" w:before="248" w:after="0"/>
        <w:ind w:left="0" w:right="10" w:hanging="0"/>
        <w:jc w:val="both"/>
        <w:rPr/>
      </w:pPr>
      <w:r>
        <w:rPr/>
        <w:t xml:space="preserve">Da bi vsem Evropejcem zagotovili dostop do zdravja in se odzvali </w:t>
      </w:r>
      <w:r>
        <w:rPr>
          <w:i/>
        </w:rPr>
        <w:t>na „potrebo po zaščiti in solidarnosti“</w:t>
      </w:r>
      <w:r>
        <w:rPr/>
        <w:t xml:space="preserve">, je bil soglasno predlagan </w:t>
      </w:r>
      <w:r>
        <w:rPr>
          <w:b/>
        </w:rPr>
        <w:t>nadnacionalni zdravstveni sistem</w:t>
      </w:r>
      <w:r>
        <w:rPr/>
        <w:t xml:space="preserve">. Temeljilo bi na pravičnem financiranju med državami članicami in temeljilo na najboljših sistemih EU. Takšna sprememba odraža pripravljenost državljanov, da vidijo, da Evropa prevzame dejavnejšo vlogo pri zaščiti njenih prebivalcev, zlasti na področju zdravja, kjer se doslej ukrepi štejejo za preveč plašne.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239" w:after="0"/>
        <w:ind w:left="0" w:right="10" w:hanging="0"/>
        <w:jc w:val="both"/>
        <w:rPr/>
      </w:pPr>
      <w:r>
        <w:rPr/>
        <w:t xml:space="preserve">Za izvajanje te spremembe je večina potrdila načelo </w:t>
      </w:r>
      <w:r>
        <w:rPr>
          <w:b/>
        </w:rPr>
        <w:t>splošne evropske socialne varnosti</w:t>
      </w:r>
      <w:r>
        <w:rPr/>
        <w:t xml:space="preserve">. Vendar o načinu izvajanja tega sistema ni bilo mogoče določiti. Medtem ko nekateri zagovarjajo </w:t>
      </w:r>
      <w:r>
        <w:rPr>
          <w:i/>
        </w:rPr>
        <w:t xml:space="preserve">„centralizacijo podatkov, ki [evropskim] zdravstvenim delavcem omogočajo dostop do celotne bolnikove zdravstvene anamneze“, </w:t>
      </w:r>
      <w:r>
        <w:rPr/>
        <w:t>drugi menijo</w:t>
      </w:r>
      <w:r>
        <w:rPr>
          <w:i/>
        </w:rPr>
        <w:t>, da je ta ukrep „dodaten odvzem prostosti in sistem nadzora“.</w:t>
      </w:r>
      <w:r>
        <w:rPr/>
        <w:t xml:space="preserve"> </w:t>
      </w:r>
    </w:p>
    <w:p>
      <w:pPr>
        <w:pStyle w:val="P68B1DB1Normal24"/>
        <w:widowControl w:val="false"/>
        <w:spacing w:lineRule="auto" w:line="240" w:before="329" w:after="0"/>
        <w:ind w:left="0" w:right="14" w:hanging="0"/>
        <w:jc w:val="both"/>
        <w:rPr/>
      </w:pPr>
      <w:r>
        <w:rPr>
          <w:b/>
        </w:rPr>
        <w:t xml:space="preserve">Preglednost </w:t>
      </w:r>
      <w:r>
        <w:rPr/>
        <w:t>in</w:t>
      </w:r>
      <w:r>
        <w:rPr>
          <w:b/>
        </w:rPr>
        <w:t>uskladitev regulativnih zahtev po vsej</w:t>
      </w:r>
      <w:r>
        <w:rPr/>
        <w:t xml:space="preserve"> celini ter </w:t>
      </w:r>
      <w:r>
        <w:rPr>
          <w:b/>
        </w:rPr>
        <w:t>evropski zdravstveni načrt so bili kljub</w:t>
      </w:r>
      <w:r>
        <w:rPr/>
        <w:t xml:space="preserve"> temu opredeljeni kot predpogoji za vsako pomembno preobrazbo.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Sprememba 9 – Razvoj in vodenje strateških kanalov na evropski ravni za zagotovitev naše suverenosti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Konkurenčna in inovativna Evropa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86" w:after="0"/>
        <w:ind w:left="0" w:right="9" w:hanging="0"/>
        <w:jc w:val="left"/>
        <w:rPr/>
      </w:pPr>
      <w:r>
        <w:rPr>
          <w:i/>
          <w:color w:val="000000"/>
        </w:rPr>
        <w:t>Ključne besede: razvoj evropskih prvakov, nadzor nad tujimi naložbami, digitalna avtonomija in energija</w:t>
      </w:r>
      <w:r>
        <w:rPr>
          <w:b/>
          <w:color w:val="273375"/>
        </w:rPr>
        <w:t xml:space="preserve"> </w:t>
      </w:r>
    </w:p>
    <w:p>
      <w:pPr>
        <w:pStyle w:val="P68B1DB1Normal19"/>
        <w:widowControl w:val="false"/>
        <w:spacing w:lineRule="auto" w:line="240" w:before="248" w:after="0"/>
        <w:ind w:left="0" w:right="9" w:hanging="0"/>
        <w:jc w:val="both"/>
        <w:rPr/>
      </w:pPr>
      <w:r>
        <w:rPr/>
        <w:t xml:space="preserve">Poskusno izvajanje strateških sektorjev, kot so zdravje, hrana, energetika, digitalna tehnologija, obramba, promet in novi materiali na evropski ravni, je odgovor na </w:t>
      </w:r>
      <w:r>
        <w:rPr>
          <w:b/>
        </w:rPr>
        <w:t>potrebo po suverenosti</w:t>
      </w:r>
      <w:r>
        <w:rPr/>
        <w:t>, ki so jo opredelili državljani. To bi omejilo konkurenco med evropskimi podjetji, spodbudilo</w:t>
      </w:r>
      <w:r>
        <w:rPr>
          <w:b/>
        </w:rPr>
        <w:t>nastanek kontinentalnih prvakov</w:t>
      </w:r>
      <w:r>
        <w:rPr/>
        <w:t xml:space="preserve"> in </w:t>
      </w:r>
      <w:r>
        <w:rPr>
          <w:b/>
        </w:rPr>
        <w:t>ponovno industrializiralo Evropo</w:t>
      </w:r>
      <w:r>
        <w:rPr/>
        <w:t xml:space="preserve"> z evropskimi preferencami.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237" w:after="0"/>
        <w:ind w:left="0" w:right="9" w:hanging="0"/>
        <w:jc w:val="both"/>
        <w:rPr/>
      </w:pPr>
      <w:r>
        <w:rPr/>
        <w:t xml:space="preserve">Za dosego te suverenosti bi lahko bil </w:t>
      </w:r>
      <w:r>
        <w:rPr>
          <w:b/>
        </w:rPr>
        <w:t>evropski organ</w:t>
      </w:r>
      <w:r>
        <w:rPr/>
        <w:t xml:space="preserve"> zadolžen za vodenje teh sektorjev z izdajanjem dovoljenj za odkup evropskih podjetij s strani tujih konkurentov in zagotavljanjem, da uvoženi proizvodi izpolnjujejo enake standarde kot proizvodnja EU. Srednjeročno bi moralo biti na </w:t>
      </w:r>
      <w:r>
        <w:rPr>
          <w:b/>
        </w:rPr>
        <w:t>celini proizvedenih</w:t>
      </w:r>
      <w:r>
        <w:rPr/>
        <w:t xml:space="preserve"> </w:t>
      </w:r>
      <w:r>
        <w:rPr>
          <w:b/>
        </w:rPr>
        <w:t xml:space="preserve"> 30 % do 50 %</w:t>
      </w:r>
      <w:r>
        <w:rPr/>
        <w:t xml:space="preserve"> evropske potrošnje v teh strateških sektorjih, dolgoročno pa do </w:t>
      </w:r>
      <w:r>
        <w:rPr>
          <w:b/>
        </w:rPr>
        <w:t>70 %</w:t>
      </w:r>
      <w:r>
        <w:rPr/>
        <w:t>. Izpolnjevanje teh meril bi zagotovilo</w:t>
      </w:r>
      <w:r>
        <w:rPr>
          <w:b/>
        </w:rPr>
        <w:t>samozadostnost</w:t>
      </w:r>
      <w:r>
        <w:rPr/>
        <w:t xml:space="preserve"> ter</w:t>
      </w:r>
      <w:r>
        <w:rPr>
          <w:b/>
        </w:rPr>
        <w:t xml:space="preserve"> vpliv</w:t>
      </w:r>
      <w:r>
        <w:rPr/>
        <w:t>in celo</w:t>
      </w:r>
      <w:r>
        <w:rPr>
          <w:b/>
        </w:rPr>
        <w:t xml:space="preserve">izvoz </w:t>
      </w:r>
      <w:r>
        <w:rPr/>
        <w:t xml:space="preserve">evropskega industrijskega modela. </w:t>
      </w:r>
    </w:p>
    <w:p>
      <w:pPr>
        <w:pStyle w:val="Normal"/>
        <w:spacing w:lineRule="auto" w:line="240"/>
        <w:rPr/>
      </w:pPr>
      <w:r>
        <w:rPr/>
      </w:r>
    </w:p>
    <w:p>
      <w:pPr>
        <w:pStyle w:val="P68B1DB1Normal42"/>
        <w:spacing w:lineRule="auto" w:line="240"/>
        <w:rPr/>
      </w:pPr>
      <w:r>
        <w:rPr/>
        <w:t xml:space="preserve">Sprememba 10 – Izboljšanje varstva okolja in ekosistemov ter ustvarjanje zavarovanih območij v osrčju mestnih, primestnih in podeželskih območij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Evropa, ki spodbuja trajnostni razvoj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8" w:after="0"/>
        <w:ind w:left="0" w:right="0" w:hanging="0"/>
        <w:jc w:val="left"/>
        <w:rPr/>
      </w:pPr>
      <w:r>
        <w:rPr>
          <w:i/>
          <w:color w:val="000000"/>
        </w:rPr>
        <w:t>Ključne besede: okolju prijaznejša urbanizacija, spoštovanje in varstvo tal</w:t>
      </w:r>
      <w:r>
        <w:rPr>
          <w:b/>
          <w:color w:val="273375"/>
        </w:rPr>
        <w:t xml:space="preserve"> </w:t>
      </w:r>
    </w:p>
    <w:p>
      <w:pPr>
        <w:pStyle w:val="P68B1DB1Normal19"/>
        <w:widowControl w:val="false"/>
        <w:spacing w:lineRule="auto" w:line="240" w:before="321" w:after="0"/>
        <w:ind w:left="0" w:right="9" w:hanging="0"/>
        <w:jc w:val="both"/>
        <w:rPr/>
      </w:pPr>
      <w:r>
        <w:rPr/>
        <w:t xml:space="preserve">Cilj je </w:t>
      </w:r>
      <w:r>
        <w:rPr>
          <w:b/>
        </w:rPr>
        <w:t>omejiti negativni vpliv urbanizacije na tla</w:t>
      </w:r>
      <w:r>
        <w:rPr/>
        <w:t xml:space="preserve">. Močni ukrepi bi </w:t>
      </w:r>
      <w:r>
        <w:rPr>
          <w:b/>
        </w:rPr>
        <w:t xml:space="preserve">omejili nesreče, povezane z </w:t>
      </w:r>
      <w:r>
        <w:rPr/>
        <w:t>uničevanjem tal, kot so zemeljski plazovi</w:t>
      </w:r>
      <w:r>
        <w:rPr>
          <w:b/>
        </w:rPr>
        <w:t>, in izboljšali kakovost življenja na mestnih območjih</w:t>
      </w:r>
      <w:r>
        <w:rPr/>
        <w:t xml:space="preserve">, zlasti s sajenjem dreves.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318" w:after="0"/>
        <w:ind w:left="0" w:right="9" w:hanging="0"/>
        <w:jc w:val="both"/>
        <w:rPr/>
      </w:pPr>
      <w:r>
        <w:rPr/>
        <w:t xml:space="preserve">Predlagano je bilo ukrepanje na dveh ravneh: prvič, </w:t>
      </w:r>
      <w:r>
        <w:rPr>
          <w:b/>
        </w:rPr>
        <w:t>obrniti trend novih konstrukcij</w:t>
      </w:r>
      <w:r>
        <w:rPr/>
        <w:t xml:space="preserve">, da bi zmanjšali stopnjo pozidave tal, in drugič, </w:t>
      </w:r>
      <w:r>
        <w:rPr>
          <w:b/>
        </w:rPr>
        <w:t>spodbuditi obnovo tal</w:t>
      </w:r>
      <w:r>
        <w:rPr/>
        <w:t xml:space="preserve">, da bi „ </w:t>
      </w:r>
      <w:r>
        <w:rPr>
          <w:i/>
        </w:rPr>
        <w:t>vrnili v naravo, kar ji pripada</w:t>
      </w:r>
      <w:r>
        <w:rPr/>
        <w:t xml:space="preserve">“. </w:t>
      </w:r>
    </w:p>
    <w:p>
      <w:pPr>
        <w:pStyle w:val="Normal"/>
        <w:spacing w:lineRule="auto" w:line="240"/>
        <w:rPr/>
      </w:pPr>
      <w:r>
        <w:rPr/>
      </w:r>
    </w:p>
    <w:p>
      <w:pPr>
        <w:pStyle w:val="P68B1DB1Normal42"/>
        <w:spacing w:lineRule="auto" w:line="240"/>
        <w:rPr/>
      </w:pPr>
      <w:r>
        <w:rPr/>
        <w:t xml:space="preserve">Sprememba 11 – Ustanovitev evropskih relejev na ozemljih, ki bodo prisluhnili državljanom in jim svetovali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Bližja in dostopna Evropa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Kaj pomeni ta sprememba?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Ključne besede: Hiše Evrope, referent Europe local, boljši dostop do informacij </w:t>
      </w:r>
    </w:p>
    <w:p>
      <w:pPr>
        <w:pStyle w:val="P68B1DB1Normal19"/>
        <w:widowControl w:val="false"/>
        <w:spacing w:lineRule="auto" w:line="240" w:before="326" w:after="0"/>
        <w:ind w:left="0" w:right="11" w:hanging="0"/>
        <w:jc w:val="both"/>
        <w:rPr/>
      </w:pPr>
      <w:r>
        <w:rPr/>
        <w:t xml:space="preserve">Cilj te spremembe je zagotoviti konkretne odgovore na </w:t>
      </w:r>
      <w:r>
        <w:rPr>
          <w:b/>
        </w:rPr>
        <w:t>pomanjkanje utelešenja Evropske unije</w:t>
      </w:r>
      <w:r>
        <w:rPr/>
        <w:t xml:space="preserve"> v vsakdanjem življenju, na kar opozarjajo številni udeleženci, ter si prizadevati za zbliževanje Evrope in njenih državljanov.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Kateri so ključni koraki in merila uspešnosti? </w:t>
      </w:r>
    </w:p>
    <w:p>
      <w:pPr>
        <w:pStyle w:val="P68B1DB1Normal24"/>
        <w:widowControl w:val="false"/>
        <w:spacing w:lineRule="auto" w:line="240" w:before="317" w:after="0"/>
        <w:ind w:left="0" w:right="14" w:hanging="0"/>
        <w:jc w:val="both"/>
        <w:rPr/>
      </w:pPr>
      <w:r>
        <w:rPr/>
        <w:t xml:space="preserve">Za obravnavanje te razdalje med EU in državljani bi </w:t>
      </w:r>
      <w:r>
        <w:rPr>
          <w:b/>
        </w:rPr>
        <w:t>lahko v</w:t>
      </w:r>
      <w:r>
        <w:rPr/>
        <w:t xml:space="preserve"> vsako mestno hišo imenovali strokovnjaka, ki bi prisluhnil državljanom in jim svetoval. Informacije iz tega poročila bi lahko bile socialno-ekonomske, zlasti o dostopu do evropske ali informativne pomoči, na primer o vlogi lobistov. Zagotovljene informacije bi bile namenjene splošni javnosti in strokovnjakom, zlasti za svetovanje MSP in pomoč vodjem projektov pri dostopu do sredstev EU. Dolgoročno bi ta sprememba lahko privedla do oblikovanja </w:t>
      </w:r>
      <w:r>
        <w:rPr>
          <w:b/>
        </w:rPr>
        <w:t>krajev, namenjenih Evropi</w:t>
      </w:r>
      <w:r>
        <w:rPr/>
        <w:t xml:space="preserve">, podobno obstoječim hišam v Evropi, vendar na skupni ravni, ki bi omogočala fino teritorialno mrežo. </w:t>
      </w:r>
    </w:p>
    <w:p>
      <w:pPr>
        <w:pStyle w:val="P68B1DB1Normal24"/>
        <w:widowControl w:val="false"/>
        <w:spacing w:lineRule="auto" w:line="240" w:before="235" w:after="0"/>
        <w:ind w:left="0" w:right="15" w:hanging="0"/>
        <w:jc w:val="both"/>
        <w:rPr/>
      </w:pPr>
      <w:r>
        <w:rPr/>
        <w:t xml:space="preserve">Uspeh te spremembe bi bil popoln, če bi vsak državljan vedel „ </w:t>
      </w:r>
      <w:r>
        <w:rPr>
          <w:i/>
        </w:rPr>
        <w:t>kot očitno</w:t>
      </w:r>
      <w:r>
        <w:rPr/>
        <w:t xml:space="preserve">“ obstoj tega sklicevanja in tega kraja virov, namenjenih Evropi, ki bi zagotavljali vire, poslušanje, informacije in nasvete.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Sprememba 12 – Poenotiti način izvolitve Evropskega parlamenta za 27 držav in izboljšati bližino državljanov z zamenjavo sedanjega glasovanja z enkratnim glasovanjem na regionalni ravni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Evropa z učinkovitejšim upravljanjem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6" w:after="0"/>
        <w:ind w:left="0" w:right="0" w:hanging="0"/>
        <w:jc w:val="left"/>
        <w:rPr/>
      </w:pPr>
      <w:r>
        <w:rPr>
          <w:i/>
          <w:color w:val="000000"/>
        </w:rPr>
        <w:t>Ključne besede: institucionalne spremembe, ki jim sledijo državljani v celotnem mandatu</w:t>
      </w:r>
      <w:r>
        <w:rPr>
          <w:b/>
          <w:color w:val="273375"/>
        </w:rPr>
        <w:t xml:space="preserve"> </w:t>
      </w:r>
    </w:p>
    <w:p>
      <w:pPr>
        <w:pStyle w:val="P68B1DB1Normal19"/>
        <w:widowControl w:val="false"/>
        <w:spacing w:lineRule="auto" w:line="240" w:before="275" w:after="0"/>
        <w:ind w:left="0" w:right="10" w:hanging="0"/>
        <w:jc w:val="both"/>
        <w:rPr/>
      </w:pPr>
      <w:r>
        <w:rPr/>
        <w:t xml:space="preserve">Ta sprememba odraža željo državljanov, da okrepijo </w:t>
      </w:r>
      <w:r>
        <w:rPr>
          <w:b/>
        </w:rPr>
        <w:t>svojo bližino izvoljenim</w:t>
      </w:r>
      <w:r>
        <w:rPr/>
        <w:t xml:space="preserve"> uradnikom in spremljajo svoja dejanja v celotnem mandatu. Odziv na splošno skupno opažanje, da izvoljeni predstavniki Evropskega parlamenta ne prenašajo pomislekov državljanov v konkretne ukrepe.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316" w:after="0"/>
        <w:ind w:left="0" w:right="10" w:hanging="0"/>
        <w:jc w:val="both"/>
        <w:rPr/>
      </w:pPr>
      <w:r>
        <w:rPr/>
        <w:t xml:space="preserve">Sprememba načina volitev bi pomenila </w:t>
      </w:r>
      <w:r>
        <w:rPr>
          <w:b/>
        </w:rPr>
        <w:t>poenotenje volilnega sistema na evropski ravni in prehod z</w:t>
      </w:r>
      <w:r>
        <w:rPr/>
        <w:t xml:space="preserve"> nacionalnih na regionalne volilne enote, ki naj bi bil po ocenah mogoč do leta 2035. </w:t>
      </w:r>
    </w:p>
    <w:p>
      <w:pPr>
        <w:pStyle w:val="Normal"/>
        <w:spacing w:lineRule="auto" w:line="240"/>
        <w:rPr/>
      </w:pPr>
      <w:r>
        <w:rPr/>
      </w:r>
    </w:p>
    <w:p>
      <w:pPr>
        <w:pStyle w:val="P68B1DB1Normal42"/>
        <w:spacing w:lineRule="auto" w:line="240"/>
        <w:rPr/>
      </w:pPr>
      <w:r>
        <w:rPr/>
        <w:t xml:space="preserve">Sprememba 13 – Opredelitev skupne politike za izboljšanje sprejema ter socialnega in poklicnega vključevanja migrantov (vključno z migranti brez urejenega statusa)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Želja povezane Evrope: Evropa, ki zagotavlja spoštovanje temeljnih pravic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6" w:after="0"/>
        <w:ind w:left="0" w:right="0" w:hanging="0"/>
        <w:jc w:val="left"/>
        <w:rPr/>
      </w:pPr>
      <w:r>
        <w:rPr>
          <w:i/>
          <w:color w:val="000000"/>
        </w:rPr>
        <w:t>Ključne besede: Evropski urad za migracije, ki zagotavlja dostojen sprejem po vsej Evropi</w:t>
      </w:r>
      <w:r>
        <w:rPr>
          <w:b/>
          <w:color w:val="273375"/>
        </w:rPr>
        <w:t xml:space="preserve"> </w:t>
      </w:r>
    </w:p>
    <w:p>
      <w:pPr>
        <w:pStyle w:val="P68B1DB1Normal19"/>
        <w:widowControl w:val="false"/>
        <w:spacing w:lineRule="auto" w:line="240" w:before="248" w:after="0"/>
        <w:ind w:left="0" w:right="10" w:hanging="0"/>
        <w:jc w:val="both"/>
        <w:rPr/>
      </w:pPr>
      <w:r>
        <w:rPr/>
        <w:t xml:space="preserve">Namen te spremembe je izboljšati sprejem migrantov v Evropski uniji, kar so državljani soglasno opredelili </w:t>
      </w:r>
      <w:r>
        <w:rPr>
          <w:b/>
        </w:rPr>
        <w:t>kot nujen primer</w:t>
      </w:r>
      <w:r>
        <w:rPr/>
        <w:t xml:space="preserve">. Ob prekinitvi sedanjih razmer se zdi, da je vzpostavitev </w:t>
      </w:r>
      <w:r>
        <w:rPr>
          <w:b/>
        </w:rPr>
        <w:t>skupne, usklajene in solidarnostne politike priseljevanja</w:t>
      </w:r>
      <w:r>
        <w:rPr/>
        <w:t xml:space="preserve"> glavni nosilec miru.</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243" w:after="0"/>
        <w:ind w:left="0" w:right="10" w:hanging="0"/>
        <w:jc w:val="left"/>
        <w:rPr/>
      </w:pPr>
      <w:r>
        <w:rPr/>
        <w:t xml:space="preserve">Uspeh takšne spremembe bi privedel do postopnega izvajanja skupne politike o sprejemu migrantov. </w:t>
      </w:r>
    </w:p>
    <w:p>
      <w:pPr>
        <w:pStyle w:val="P68B1DB1Normal19"/>
        <w:widowControl w:val="false"/>
        <w:spacing w:lineRule="auto" w:line="240" w:before="326" w:after="0"/>
        <w:ind w:left="0" w:right="10" w:hanging="0"/>
        <w:jc w:val="both"/>
        <w:rPr/>
      </w:pPr>
      <w:r>
        <w:rPr>
          <w:b/>
        </w:rPr>
        <w:t>Državljanska pobuda</w:t>
      </w:r>
      <w:r>
        <w:rPr/>
        <w:t xml:space="preserve"> bi morala zadevo predložiti Komisiji in srednjeročno omogočiti sprejetje </w:t>
      </w:r>
      <w:r>
        <w:rPr>
          <w:b/>
        </w:rPr>
        <w:t>skupnega standarda</w:t>
      </w:r>
      <w:r>
        <w:rPr/>
        <w:t xml:space="preserve">, ki določa okvir za sprejem in socialno vključevanje migrantov. Dolgoročno bi bil ta standard podprt z ustanovitvijo </w:t>
      </w:r>
      <w:r>
        <w:rPr>
          <w:b/>
        </w:rPr>
        <w:t>specializiranega evropskega urada za priseljevanje</w:t>
      </w:r>
      <w:r>
        <w:rPr/>
        <w:t xml:space="preserve"> in priznavanjem migracijske politike kot pristojnosti Evropske unije. </w:t>
      </w:r>
    </w:p>
    <w:p>
      <w:pPr>
        <w:pStyle w:val="Normal"/>
        <w:spacing w:lineRule="auto" w:line="240"/>
        <w:rPr/>
      </w:pPr>
      <w:r>
        <w:rPr/>
      </w:r>
    </w:p>
    <w:p>
      <w:pPr>
        <w:pStyle w:val="P68B1DB1Normal42"/>
        <w:spacing w:lineRule="auto" w:line="240"/>
        <w:rPr/>
      </w:pPr>
      <w:r>
        <w:rPr/>
        <w:t xml:space="preserve">Sprememba 14 – ohranitev posebnosti (oznake živil, obrtna proizvodnja, tradicije) različnih evropskih regij, da bi se izognili enotnemu načinu življenja ter zagotovili sledljivost in kakovost proizvodov </w:t>
      </w:r>
    </w:p>
    <w:p>
      <w:pPr>
        <w:pStyle w:val="P68B1DB1Normal43"/>
        <w:widowControl w:val="false"/>
        <w:spacing w:lineRule="auto" w:line="240" w:before="347" w:after="0"/>
        <w:ind w:left="0" w:right="912" w:hanging="0"/>
        <w:jc w:val="left"/>
        <w:rPr/>
      </w:pPr>
      <w:r>
        <w:rPr/>
        <w:t xml:space="preserve">Želja povezane Evrope: Evropa, v kateri prevladujejo interesi vsake države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Kaj pomeni ta sprememba? </w:t>
      </w:r>
    </w:p>
    <w:p>
      <w:pPr>
        <w:pStyle w:val="P68B1DB1Normal7"/>
        <w:widowControl w:val="false"/>
        <w:spacing w:lineRule="auto" w:line="240" w:before="76" w:after="0"/>
        <w:ind w:left="0" w:right="0" w:hanging="0"/>
        <w:jc w:val="left"/>
        <w:rPr/>
      </w:pPr>
      <w:r>
        <w:rPr>
          <w:i/>
          <w:color w:val="000000"/>
        </w:rPr>
        <w:t>Ključne besede: Evropske oznake, ki cenijo raznolikost kultur in tradicij</w:t>
      </w:r>
      <w:r>
        <w:rPr>
          <w:b/>
          <w:color w:val="273375"/>
        </w:rPr>
        <w:t xml:space="preserve"> </w:t>
      </w:r>
    </w:p>
    <w:p>
      <w:pPr>
        <w:pStyle w:val="P68B1DB1Normal19"/>
        <w:widowControl w:val="false"/>
        <w:spacing w:lineRule="auto" w:line="240" w:before="323" w:after="0"/>
        <w:ind w:left="0" w:right="10" w:hanging="0"/>
        <w:jc w:val="both"/>
        <w:rPr/>
      </w:pPr>
      <w:r>
        <w:rPr/>
        <w:t xml:space="preserve">Cilj te spremembe je ohraniti </w:t>
      </w:r>
      <w:r>
        <w:rPr>
          <w:b/>
        </w:rPr>
        <w:t>raznolikost evropskih tradicij in produkcij ter</w:t>
      </w:r>
      <w:r>
        <w:rPr/>
        <w:t xml:space="preserve"> </w:t>
      </w:r>
      <w:r>
        <w:rPr>
          <w:b/>
        </w:rPr>
        <w:t xml:space="preserve">se izogniti standardizaciji </w:t>
      </w:r>
      <w:r>
        <w:rPr/>
        <w:t>življenjskega sloga, ki se pogosto imenuje kritika Evropske unije.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Kateri so ključni koraki in merila uspešnosti? </w:t>
      </w:r>
    </w:p>
    <w:p>
      <w:pPr>
        <w:pStyle w:val="P68B1DB1Normal19"/>
        <w:widowControl w:val="false"/>
        <w:spacing w:lineRule="auto" w:line="240" w:before="322" w:after="0"/>
        <w:ind w:left="0" w:right="10" w:hanging="0"/>
        <w:jc w:val="both"/>
        <w:rPr/>
      </w:pPr>
      <w:r>
        <w:rPr/>
        <w:t xml:space="preserve">Za državljane je glavni cilj izboljšati dostopnost obstoječe zbirke podatkov, v kateri so navedene različne </w:t>
      </w:r>
      <w:r>
        <w:rPr>
          <w:b/>
        </w:rPr>
        <w:t>evropske in nacionalne oznake</w:t>
      </w:r>
      <w:r>
        <w:rPr/>
        <w:t xml:space="preserve">. Če želite to narediti, je predlagana vzpostavitev spletnega </w:t>
      </w:r>
      <w:r>
        <w:rPr>
          <w:i/>
        </w:rPr>
        <w:t>mesta s tremi</w:t>
      </w:r>
      <w:r>
        <w:rPr/>
        <w:t xml:space="preserve"> kliki: en klik za dostop do spletnega mesta, drugi za prikaz zemljevida regij Evropske unije in za prikaz opisa oznak vsake regije. </w:t>
      </w:r>
    </w:p>
    <w:p>
      <w:pPr>
        <w:pStyle w:val="Normal"/>
        <w:widowControl w:val="false"/>
        <w:spacing w:lineRule="auto" w:line="240" w:before="327" w:after="0"/>
        <w:ind w:left="0" w:right="14" w:hanging="0"/>
        <w:jc w:val="left"/>
        <w:rPr/>
      </w:pPr>
      <w:r>
        <w:rPr>
          <w:rFonts w:ascii="Times New Roman" w:hAnsi="Times New Roman"/>
          <w:color w:val="000000"/>
        </w:rPr>
        <w:t xml:space="preserve">Uspeh te spremembe bi pomenil okrepljeno </w:t>
      </w:r>
      <w:r>
        <w:rPr>
          <w:rFonts w:ascii="Times New Roman" w:hAnsi="Times New Roman"/>
          <w:b/>
          <w:color w:val="000000"/>
        </w:rPr>
        <w:t>obveščanje</w:t>
      </w:r>
      <w:r>
        <w:rPr>
          <w:rFonts w:ascii="Times New Roman" w:hAnsi="Times New Roman"/>
          <w:color w:val="000000"/>
        </w:rPr>
        <w:t xml:space="preserve"> o obstoječih dosežkih, kar bi </w:t>
      </w:r>
      <w:r>
        <w:rPr>
          <w:rFonts w:ascii="Times New Roman" w:hAnsi="Times New Roman"/>
          <w:b/>
          <w:color w:val="000000"/>
        </w:rPr>
        <w:t>omogočilo boljše razumevanje</w:t>
      </w:r>
      <w:r>
        <w:rPr>
          <w:rFonts w:ascii="Times New Roman" w:hAnsi="Times New Roman"/>
          <w:color w:val="000000"/>
        </w:rPr>
        <w:t xml:space="preserve"> raznolikosti evropskih kultur s strani državljanov.</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Drugi del: predstavitev rezultatov posvetovanja z naslovom „Besede mladim“</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Datumi posvetovanja </w:t>
      </w:r>
    </w:p>
    <w:p>
      <w:pPr>
        <w:pStyle w:val="P68B1DB1Normal19"/>
        <w:widowControl w:val="false"/>
        <w:spacing w:lineRule="auto" w:line="240" w:before="34" w:after="0"/>
        <w:ind w:left="0" w:right="0" w:hanging="0"/>
        <w:jc w:val="center"/>
        <w:rPr/>
      </w:pPr>
      <w:r>
        <w:rPr/>
        <w:t>od 9. 5. 2021 do 18. julija 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Podatki o udeležbi</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udeležencev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2 918 predlogov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glasov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Posvetovanje „Walk to Youth“ se je začelo na pobudo državnega sekretariata za evropske zadeve. To posvetovanje poteka v okviru konference o prihodnosti Evrope, tj. participativne demokracije brez primere, ki so jo vodile evropske institucije in katere cilj je vsem evropskim državljanom omogočiti, da izrazijo svoje mnenje o tem, kaj pričakujejo od Evropske unije. Izkušnje, pridobljene s posvetovanjem, bodo vključene v delo konference o prihodnosti Evrope in francoskega predsedstva Sveta Evropske unije.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glavne lekcije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Množična mobilizacija mladih: v posvetovanju</w:t>
      </w:r>
      <w:r>
        <w:rPr>
          <w:rFonts w:ascii="Times New Roman" w:hAnsi="Times New Roman"/>
          <w:b/>
        </w:rPr>
        <w:t xml:space="preserve"> je sodelovalo več kot 50.000 mladih francoskih državljanov </w:t>
      </w:r>
      <w:r>
        <w:rPr>
          <w:rFonts w:ascii="Times New Roman" w:hAnsi="Times New Roman"/>
        </w:rPr>
        <w:t xml:space="preserve">na vseh ozemljih.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Najpomembnejše soglasje </w:t>
      </w:r>
      <w:r>
        <w:rPr>
          <w:rFonts w:ascii="Times New Roman" w:hAnsi="Times New Roman"/>
          <w:b/>
        </w:rPr>
        <w:t>zadeva evropske politike za boj proti podnebnim spremembam, selitev  proizvodnje v Evropo, oživitev evropske demokracije, težo EU v svetu (gospodarstvo, raziskave, človekove pravice, diplomacijo).</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Zamisel o močnejši in združeni Evropi poteka skozi celotno posvetovanje, pri</w:t>
      </w:r>
      <w:r>
        <w:rPr>
          <w:rFonts w:ascii="Times New Roman" w:hAnsi="Times New Roman"/>
        </w:rPr>
        <w:t xml:space="preserve"> čemer je bilo doseženo soglasje o več točkah: </w:t>
      </w:r>
    </w:p>
    <w:p>
      <w:pPr>
        <w:pStyle w:val="P68B1DB1Normal34"/>
        <w:widowControl w:val="false"/>
        <w:spacing w:lineRule="auto" w:line="240" w:before="92" w:after="0"/>
        <w:ind w:left="360" w:right="0" w:hanging="0"/>
        <w:jc w:val="left"/>
        <w:rPr/>
      </w:pPr>
      <w:r>
        <w:rPr>
          <w:rFonts w:ascii="Times New Roman" w:hAnsi="Times New Roman"/>
        </w:rPr>
        <w:t>Močnejša</w:t>
      </w:r>
      <w:r>
        <w:rPr/>
        <w:t xml:space="preserve"> </w:t>
      </w:r>
      <w:r>
        <w:rPr>
          <w:rFonts w:ascii="Times New Roman" w:hAnsi="Times New Roman"/>
        </w:rPr>
        <w:t xml:space="preserve">Evropa z gospodarskega vidika (zlasti s premestitvijo) za soočanje s Kitajsko ali Združenimi državami Amerike </w:t>
      </w:r>
    </w:p>
    <w:p>
      <w:pPr>
        <w:pStyle w:val="P68B1DB1Normal34"/>
        <w:widowControl w:val="false"/>
        <w:spacing w:lineRule="auto" w:line="240" w:before="92" w:after="0"/>
        <w:ind w:left="360" w:right="0" w:hanging="0"/>
        <w:jc w:val="left"/>
        <w:rPr/>
      </w:pPr>
      <w:r>
        <w:rPr>
          <w:rFonts w:ascii="Times New Roman" w:hAnsi="Times New Roman"/>
        </w:rPr>
        <w:t>Diplomatska</w:t>
      </w:r>
      <w:r>
        <w:rPr/>
        <w:t xml:space="preserve"> </w:t>
      </w:r>
      <w:r>
        <w:rPr>
          <w:rFonts w:ascii="Times New Roman" w:hAnsi="Times New Roman"/>
        </w:rPr>
        <w:t xml:space="preserve">Evropa, ki bolj tehta na mednarodnem prizorišču </w:t>
      </w:r>
    </w:p>
    <w:p>
      <w:pPr>
        <w:pStyle w:val="P68B1DB1Normal34"/>
        <w:widowControl w:val="false"/>
        <w:spacing w:lineRule="auto" w:line="240" w:before="85" w:after="0"/>
        <w:ind w:left="360" w:right="1483" w:hanging="0"/>
        <w:jc w:val="left"/>
        <w:rPr/>
      </w:pPr>
      <w:r>
        <w:rPr>
          <w:rFonts w:ascii="Times New Roman" w:hAnsi="Times New Roman"/>
        </w:rPr>
        <w:t>Vodilna vEvropi v boju proti podnebnim spremembam v svetu</w:t>
      </w:r>
    </w:p>
    <w:p>
      <w:pPr>
        <w:pStyle w:val="P68B1DB1Normal34"/>
        <w:widowControl w:val="false"/>
        <w:spacing w:lineRule="auto" w:line="240" w:before="85" w:after="0"/>
        <w:ind w:left="360" w:right="1483" w:hanging="0"/>
        <w:jc w:val="left"/>
        <w:rPr/>
      </w:pPr>
      <w:r>
        <w:rPr>
          <w:rFonts w:ascii="Times New Roman" w:hAnsi="Times New Roman"/>
        </w:rPr>
        <w:t xml:space="preserve">Evropa, ki jo združuje mladina </w:t>
      </w:r>
    </w:p>
    <w:p>
      <w:pPr>
        <w:pStyle w:val="P68B1DB1Normal34"/>
        <w:widowControl w:val="false"/>
        <w:spacing w:lineRule="auto" w:line="240" w:before="85" w:after="0"/>
        <w:ind w:left="360" w:right="0" w:hanging="0"/>
        <w:jc w:val="left"/>
        <w:rPr/>
      </w:pPr>
      <w:r>
        <w:rPr>
          <w:rFonts w:ascii="Times New Roman" w:hAnsi="Times New Roman"/>
        </w:rPr>
        <w:t>Združena</w:t>
      </w:r>
      <w:r>
        <w:rPr/>
        <w:t xml:space="preserve"> </w:t>
      </w:r>
      <w:r>
        <w:rPr>
          <w:rFonts w:ascii="Times New Roman" w:hAnsi="Times New Roman"/>
        </w:rPr>
        <w:t xml:space="preserve">Evropa na področju raziskav in inovacij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Mladi so pozdravili tudi štiri dopolnjujoče</w:t>
      </w:r>
      <w:r>
        <w:rPr>
          <w:rFonts w:ascii="Times New Roman" w:hAnsi="Times New Roman"/>
        </w:rPr>
        <w:t xml:space="preserve"> se zamisli</w:t>
      </w:r>
      <w:r>
        <w:rPr>
          <w:rFonts w:ascii="Times New Roman" w:hAnsi="Times New Roman"/>
          <w:b/>
        </w:rPr>
        <w:t xml:space="preserve">, ki so se dopolnjevale z državljanskimi okroglimi mizami: </w:t>
      </w:r>
    </w:p>
    <w:p>
      <w:pPr>
        <w:pStyle w:val="P68B1DB1Normal34"/>
        <w:widowControl w:val="false"/>
        <w:spacing w:lineRule="auto" w:line="240" w:before="90" w:after="0"/>
        <w:ind w:left="360" w:right="0" w:hanging="0"/>
        <w:jc w:val="left"/>
        <w:rPr/>
      </w:pPr>
      <w:r>
        <w:rPr>
          <w:rFonts w:ascii="Times New Roman" w:hAnsi="Times New Roman"/>
        </w:rPr>
        <w:t>Okoljsko</w:t>
      </w:r>
      <w:r>
        <w:rPr/>
        <w:t xml:space="preserve"> </w:t>
      </w:r>
      <w:r>
        <w:rPr>
          <w:rFonts w:ascii="Times New Roman" w:hAnsi="Times New Roman"/>
        </w:rPr>
        <w:t xml:space="preserve">in socialno odgovorno evropsko gospodarstvo </w:t>
      </w:r>
    </w:p>
    <w:p>
      <w:pPr>
        <w:pStyle w:val="P68B1DB1Normal34"/>
        <w:widowControl w:val="false"/>
        <w:spacing w:lineRule="auto" w:line="240" w:before="88" w:after="0"/>
        <w:ind w:left="360" w:right="0" w:hanging="0"/>
        <w:jc w:val="left"/>
        <w:rPr/>
      </w:pPr>
      <w:r>
        <w:rPr>
          <w:rFonts w:ascii="Times New Roman" w:hAnsi="Times New Roman"/>
        </w:rPr>
        <w:t xml:space="preserve">Evropa, ki je geografsko bolj povezana z železnico </w:t>
      </w:r>
    </w:p>
    <w:p>
      <w:pPr>
        <w:pStyle w:val="P68B1DB1Normal34"/>
        <w:widowControl w:val="false"/>
        <w:spacing w:lineRule="auto" w:line="240" w:before="85" w:after="0"/>
        <w:ind w:left="360" w:right="0" w:hanging="0"/>
        <w:jc w:val="left"/>
        <w:rPr/>
      </w:pPr>
      <w:r>
        <w:rPr>
          <w:rFonts w:ascii="Times New Roman" w:hAnsi="Times New Roman"/>
        </w:rPr>
        <w:t>Fiskalna</w:t>
      </w:r>
      <w:r>
        <w:rPr/>
        <w:t xml:space="preserve"> </w:t>
      </w:r>
      <w:r>
        <w:rPr>
          <w:rFonts w:ascii="Times New Roman" w:hAnsi="Times New Roman"/>
        </w:rPr>
        <w:t xml:space="preserve">pravičnejša Evropa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Odločno ukrepanje Evropske unije v podporo pravicam žensk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priljubljenih idej in 13 spornih idej, ki so se razširile na devet tem konference o prihodnosti Evrope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Priznane zamisli</w:t>
      </w:r>
      <w:r>
        <w:rPr>
          <w:color w:val="000000"/>
        </w:rPr>
        <w:t xml:space="preserve"> temeljijo na predlogih, ki so jih večinoma podprli udeleženci posvetovanja. Priznani predlogi so predlogi, ki pritegnejo največ podpore, saj v povprečju izkoristijo </w:t>
      </w:r>
      <w:r>
        <w:rPr>
          <w:b/>
          <w:color w:val="000000"/>
        </w:rPr>
        <w:t>79 % „glasov za“</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Sporne zamisli</w:t>
      </w:r>
      <w:r>
        <w:rPr>
          <w:color w:val="000000"/>
        </w:rPr>
        <w:t xml:space="preserve"> temeljijo na predlogih, o katerih udeleženci posvetovanja največ razpravljajo, z ravnotežjem med glasovi za in proti. Sporni predlogi so najbolj obravnavani predlogi posvetovanja, ki v povprečju </w:t>
      </w:r>
      <w:r>
        <w:rPr>
          <w:b/>
          <w:color w:val="000000"/>
        </w:rPr>
        <w:t>porabijo 40 % glasov za</w:t>
      </w:r>
      <w:r>
        <w:rPr>
          <w:color w:val="000000"/>
        </w:rPr>
        <w:t xml:space="preserve">, </w:t>
      </w:r>
      <w:r>
        <w:rPr>
          <w:b/>
          <w:color w:val="000000"/>
        </w:rPr>
        <w:t>38 % glasov proti</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V analizi teh predlogov je bilo opredeljenih 22 priznanih zamisli in 13 spornih zamisli. Teh 22 priznanih zamisli in 13 spornih idej je bilo razdeljenih na devet osi, ki ustrezajo glavnim temam konference o prihodnosti Evrope. </w:t>
      </w:r>
      <w:r>
        <w:br w:type="page"/>
      </w:r>
    </w:p>
    <w:p>
      <w:pPr>
        <w:pStyle w:val="Normal"/>
        <w:widowControl w:val="false"/>
        <w:spacing w:lineRule="auto" w:line="240" w:before="85" w:after="0"/>
        <w:ind w:left="0" w:right="0" w:hanging="0"/>
        <w:jc w:val="left"/>
        <w:rPr/>
      </w:pPr>
      <w:r>
        <w:rPr/>
        <w:t>Sinteza priznanih in kontroverznih idej</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Podnebne spremembe in okolje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Vzpostavitev močnejše evropske ekološke politike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Prehod na bolj trajnostno kmetijstvo</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Odločnejše ukrepanje za zaščito biotske raznovrstnosti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Razvoj železniškega prometa v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Pospešitev energetskega prehoda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Omejevanje embalaže in izboljšanje ravnanja z odpadki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Ozaveščanje o okolju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Spodbujanje ekološko odgovornih gradbenih procesov</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Več naložb v jedrsko energijo</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Evropska demokracija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Boljše obveščanje o vlogi in delu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Sprememba demokratičnega delovanja Evropske unije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Boj proti dezinformacijam</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Evropa postane federacija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Več avtonomije prepustite državam članicam</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Krepitev evropske izvršilne oblasti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Mladim dati mesto v evropskih institucijah</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Gospodarstvo, socialna pravičnost in zaposlovanje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Selitev proizvodnje v Evropo za večjo avtonomijo</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Večja odgovornost poslovnih praks in trgovine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Boj proti davčnim utajam in optimizaciji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Uskladitev evropskih plač</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Vzpostavitev univerzalnega dohodka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Preusmeritev Evrope k protikapitalističnemu modelu</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Izobraževanje, kultura, mladi in šport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Digitalna transformacija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Omogočanje večje izmenjave mladih z drugimi državami EU</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Spodbujanje učenja neangleških jezikov</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Naložbe v znanstvene, digitalne in okoljske raziskave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Ozaveščanje o digitalni tehnologiji in njenih nevarnostih</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Uvedba obveznega evropskega bivanja za mlade</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Razvoj kriptovalut v Evropi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Vrednote in pravice, pravna država, varnost</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Zdravje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Krepitev ukrepov EU za spoštovanje človekovih pravic</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Krepitev pravic žensk</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Vlaganje v zdravje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Izboljšanje kakovosti naših prehrambenih izdelkov</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EU v svetu</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Priseljevanje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Omogočanje EU, da tehta na mednarodni ravni</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Ustanovitev evropske oborožene sile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Zmanjšanje ali spremljanje priseljevanja v Evropi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Prevladujoča ideja (&gt; 10 priznanih predlogov)</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Ednina ideja (&lt;10 priznanih predlogov)</w:t>
      </w:r>
    </w:p>
    <w:p>
      <w:pPr>
        <w:pStyle w:val="Contenudetableau"/>
        <w:spacing w:lineRule="auto" w:line="240"/>
        <w:jc w:val="center"/>
        <w:rPr/>
      </w:pPr>
      <w:r>
        <w:rPr>
          <w:rFonts w:eastAsia="SimSun" w:cs="Mangal" w:ascii="Times New Roman" w:hAnsi="Times New Roman"/>
          <w:color w:val="F58220"/>
          <w:sz w:val="18"/>
        </w:rPr>
        <w:t>Kontroverzna ideja (&gt; 3 sporni predlogi)</w:t>
      </w:r>
      <w:r>
        <w:br w:type="page"/>
      </w:r>
    </w:p>
    <w:p>
      <w:pPr>
        <w:pStyle w:val="Titre2"/>
        <w:numPr>
          <w:ilvl w:val="1"/>
          <w:numId w:val="2"/>
        </w:numPr>
        <w:rPr/>
      </w:pPr>
      <w:bookmarkStart w:id="213" w:name="__RefHeading___Toc300458_1346298689"/>
      <w:bookmarkEnd w:id="213"/>
      <w:r>
        <w:rPr/>
        <w:t xml:space="preserve">Zaključek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Z eno besedo, za vas, bo Evropa leta 2035 morala biti...“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Slika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 41" descr=""/>
                    <pic:cNvPicPr>
                      <a:picLocks noChangeAspect="1" noChangeArrowheads="1"/>
                    </pic:cNvPicPr>
                  </pic:nvPicPr>
                  <pic:blipFill>
                    <a:blip r:embed="rId100"/>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O</w:t>
      </w:r>
      <w:r>
        <w:rPr>
          <w:rFonts w:ascii="Times New Roman" w:hAnsi="Times New Roman"/>
          <w:i/>
          <w:color w:val="632423"/>
          <w:sz w:val="24"/>
        </w:rPr>
        <w:t xml:space="preserve">dgovor državljanov nacionalne konference na zaključno vprašanje: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Na kratko, za vas bo Evropa leta 2035 morala biti...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Nacionalni odbori: Nemčija</w:t>
      </w:r>
    </w:p>
    <w:p>
      <w:pPr>
        <w:pStyle w:val="P68B1DB1Normal67"/>
        <w:spacing w:lineRule="auto" w:line="240"/>
        <w:rPr>
          <w:rFonts w:ascii="Calibri" w:hAnsi="Calibri"/>
          <w:b/>
          <w:b/>
          <w:color w:val="000000"/>
          <w:sz w:val="36"/>
        </w:rPr>
      </w:pPr>
      <w:r>
        <w:rPr/>
        <w:t xml:space="preserve">Nacionalni forum državljanov o prihodnosti Evrope v Berlinu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Priporočila državljanov — </w:t>
      </w:r>
    </w:p>
    <w:p>
      <w:pPr>
        <w:pStyle w:val="P68B1DB1Normal52"/>
        <w:widowControl w:val="false"/>
        <w:spacing w:lineRule="exact" w:line="317" w:before="288" w:after="0"/>
        <w:ind w:left="276" w:right="113" w:hanging="0"/>
        <w:jc w:val="both"/>
        <w:rPr/>
      </w:pPr>
      <w:r>
        <w:rPr>
          <w:color w:val="000000"/>
        </w:rPr>
        <w:t xml:space="preserve">Nemčija je 5., 8., 15. in 16. januarja organizirala nacionalno državljansko okroglo mizo o prihodnosti Evrope. Postopek izbire državljanov je sledil stratificiranemu naključnemu izboru udeležencev v evropskih državljanskih okroglih mizah. K sodelovanju je bilo povabljenih 12.000 nemških državljanov; od anketirancev jih je bilo približno 100 izbranih ob upoštevanju trenutnih popisnih podatkov Zvezne republike Nemčije, da bi odražali raznolikost nemške družbe in prebivalstva kot celote. Na okrogli mizi za nacionalne državljane so udeleženci razpravljali o petih temah: EU v svetu; močnejše gospodarstvo; podnebne spremembe in okolje; socialna pravičnost; Evropske vrednote in pravna država. Nato so pripravili konkretna priporočila za vsako od teh tem, ki so bila sprejeta na zaključnem plenarnem zasedanju 16. januarja: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Okrogla miza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Povezovanje zunanjetrgovinskih interesov z ukrepi podnebne politike </w:t>
      </w:r>
    </w:p>
    <w:p>
      <w:pPr>
        <w:pStyle w:val="P68B1DB1Normal20"/>
        <w:widowControl w:val="false"/>
        <w:spacing w:lineRule="exact" w:line="337" w:before="192" w:after="0"/>
        <w:ind w:left="276" w:right="123" w:hanging="0"/>
        <w:jc w:val="both"/>
        <w:rPr/>
      </w:pPr>
      <w:r>
        <w:rPr/>
        <w:t xml:space="preserve">Priporočamo, da EU (zlasti Evropska komisija) uvede naložbeni sveženj za podnebju prijazne tehnologije in inovacije, vključno s programi financiranja. Ta sveženj ukrepov bi bilo treba financirati s podnebnimi uvoznimi dajatvami, ki bi bile posebej prizadete in prenesene kot finančno nadomestilo za podnebno škodo. V zvezi s tem bi bil za nekatere proizvode vzpostavljen sistem točk za ocenjevanje trajnosti. Jasno stališče EU ter močna in inovativna Evropa bi prispevala k doseganju svetovnih podnebnih ciljev. To bi pomagalo utrditi vlogo Evropske unije kot svetovnega pionirja in odgovornega modela, ki zagotavlja bogastvo in lahko vodi v trajnostne spremembe na svetovni ravni. Ti cilji so za nas pomembni, saj EU trajnostno prispeva k boju proti podnebnim spremembam, ki bi lahko dolgoročno imele ključno vlogo pri utrjevanju svetovnega miru.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Okrogla miza 2: </w:t>
      </w:r>
    </w:p>
    <w:p>
      <w:pPr>
        <w:pStyle w:val="P68B1DB1Normal68"/>
        <w:widowControl w:val="false"/>
        <w:spacing w:lineRule="exact" w:line="338" w:before="321" w:after="0"/>
        <w:ind w:left="0" w:right="131" w:hanging="0"/>
        <w:jc w:val="left"/>
        <w:rPr/>
      </w:pPr>
      <w:r>
        <w:rPr/>
        <w:t xml:space="preserve">Ustvarjanje spodbud za izvajanje proizvodnje v EU, zlasti v zvezi z blagom </w:t>
      </w:r>
    </w:p>
    <w:p>
      <w:pPr>
        <w:pStyle w:val="P68B1DB1Normal20"/>
        <w:widowControl w:val="false"/>
        <w:spacing w:lineRule="exact" w:line="337" w:before="208" w:after="0"/>
        <w:ind w:left="276" w:right="121" w:hanging="0"/>
        <w:jc w:val="both"/>
        <w:rPr/>
      </w:pPr>
      <w:r>
        <w:rPr/>
        <w:t xml:space="preserve">Da bi olajšali proizvodnjo blaga v EU, priporočamo pospešitev in standardizacijo postopkov odobritve, zmanjšanje birokracije in dodeljevanje subvencij podjetjem, ki se selijo v EU in/ali ustanavljajo proizvodne obrate v EU. EU bi morala močno spodbujati obnovljive vire energije, da bi zmanjšala stroške energije. </w:t>
      </w:r>
    </w:p>
    <w:p>
      <w:pPr>
        <w:pStyle w:val="P68B1DB1Normal20"/>
        <w:widowControl w:val="false"/>
        <w:spacing w:lineRule="exact" w:line="336" w:before="216" w:after="0"/>
        <w:ind w:left="276" w:right="121" w:hanging="0"/>
        <w:jc w:val="both"/>
        <w:rPr/>
      </w:pPr>
      <w:r>
        <w:rPr/>
        <w:t xml:space="preserve">S temi ukrepi želimo skrajšati dobavne verige in jih narediti bolj podnebju prijazne, prispevati h krepitvi EU in ustvarjanju delovnih mest, pri katerih se spoštujejo človekove pravice. </w:t>
      </w:r>
    </w:p>
    <w:p>
      <w:pPr>
        <w:pStyle w:val="Normal"/>
        <w:widowControl w:val="false"/>
        <w:spacing w:lineRule="exact" w:line="336" w:before="219" w:after="0"/>
        <w:ind w:left="276" w:right="121" w:hanging="0"/>
        <w:jc w:val="both"/>
        <w:rPr/>
      </w:pPr>
      <w:r>
        <w:rPr>
          <w:rFonts w:ascii="Calibri" w:hAnsi="Calibri"/>
          <w:color w:val="000000"/>
          <w:sz w:val="24"/>
        </w:rPr>
        <w:t xml:space="preserve">Ti cilji so za nas pomembni, saj bi s preselitvijo proizvodnje v EU EU postala bolj avtonomna na mednarodni ravni in manj politično ranljiva.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Okrogla miza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sistem točk za močno vseevropsko digitalno gospodarstvo </w:t>
      </w:r>
    </w:p>
    <w:p>
      <w:pPr>
        <w:pStyle w:val="P68B1DB1Normal20"/>
        <w:widowControl w:val="false"/>
        <w:spacing w:lineRule="exact" w:line="337" w:before="192" w:after="0"/>
        <w:ind w:left="276" w:right="119" w:hanging="0"/>
        <w:jc w:val="both"/>
        <w:rPr/>
      </w:pPr>
      <w:r>
        <w:rPr/>
        <w:t xml:space="preserve">Predlagamo vzpostavitev javno dostopne digitalne nadzorne plošče, imenovane Digi-Score, ki jo upravlja Evropska komisija (GD CNECT). To bi bil natančen sistem razvrščanja, ki bi pokazal in primerjal trenutno raven digitalne zrelosti podjetij EU. S tem predlogom želimo spodbuditi večjo digitalizacijo po vsej Evropi. Podjetja z nizko digitalno oceno bi bila upravičena do ciljno usmerjene podpore, ki bi jim pomagala dohiteti. </w:t>
      </w:r>
    </w:p>
    <w:p>
      <w:pPr>
        <w:pStyle w:val="P68B1DB1Normal20"/>
        <w:widowControl w:val="false"/>
        <w:spacing w:lineRule="exact" w:line="338" w:before="219" w:after="0"/>
        <w:ind w:left="276" w:right="121" w:hanging="0"/>
        <w:jc w:val="both"/>
        <w:rPr/>
      </w:pPr>
      <w:r>
        <w:rPr/>
        <w:t xml:space="preserve">Ta cilj je za nas pomemben, saj bi pomagal utreti pot povečani produktivnosti, učinkovitosti in prodaji ter tako okrepiti vlogo Evrope kot podlage za proizvodnjo.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Okrogla miza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Informacijska platforma za izmenjavo znanja in izkušenj na ravni EU </w:t>
      </w:r>
    </w:p>
    <w:p>
      <w:pPr>
        <w:pStyle w:val="P68B1DB1Normal20"/>
        <w:widowControl w:val="false"/>
        <w:spacing w:lineRule="exact" w:line="337"/>
        <w:ind w:left="276" w:right="119" w:hanging="0"/>
        <w:jc w:val="both"/>
        <w:rPr/>
      </w:pPr>
      <w:r>
        <w:rPr/>
        <w:t xml:space="preserve">Priporočamo, da EU vzpostavi informacijsko platformo za izmenjavo znanja in izkušenj na ravni EU. Naš cilj je izmenjava informacij o obstoječih nadnacionalnih dejavnostih izobraževanja in usposabljanja v EU, predstavitev primerov najboljših praks in omogočanje državljanom, da predstavijo nove zamisli za čezmejne izmenjave. Poleg tega bi bilo mogoče zagotoviti dodatne informacije o razpoložljivih tehničnih strokovnih forumih (npr. o energiji, okolju ali digitalnem prehodu). </w:t>
      </w:r>
    </w:p>
    <w:p>
      <w:pPr>
        <w:pStyle w:val="P68B1DB1Normal20"/>
        <w:widowControl w:val="false"/>
        <w:spacing w:lineRule="exact" w:line="337" w:before="216" w:after="0"/>
        <w:ind w:left="276" w:right="121" w:hanging="0"/>
        <w:jc w:val="both"/>
        <w:rPr/>
      </w:pPr>
      <w:r>
        <w:rPr/>
        <w:t xml:space="preserve">Menimo, da je to pomembno, ker državljani potrebujejo preglednost v zvezi s čezmejnimi dejavnostmi izobraževanja in usposabljanja, ki so na voljo. Prejeti bi morali boljše smernice na ravni EU o obstoječih forumih in platformah.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Okrogla miza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Uredba o življenjskem zavarovanju produktov </w:t>
      </w:r>
    </w:p>
    <w:p>
      <w:pPr>
        <w:pStyle w:val="P68B1DB1Normal20"/>
        <w:widowControl w:val="false"/>
        <w:spacing w:lineRule="exact" w:line="337" w:before="192" w:after="0"/>
        <w:ind w:left="276" w:right="119" w:hanging="0"/>
        <w:jc w:val="both"/>
        <w:rPr/>
      </w:pPr>
      <w:r>
        <w:rPr/>
        <w:t xml:space="preserve">Priporočamo, da EU sprejme zakonodajo, s katero bo določila podaljšano, zajamčeno in posebno življenjsko dobo za vsak izdelek, ki se proizvaja in prodaja v EU, ter da bo v zvezi s tem pregledna do potrošnikov. </w:t>
      </w:r>
    </w:p>
    <w:p>
      <w:pPr>
        <w:pStyle w:val="P68B1DB1Normal20"/>
        <w:widowControl w:val="false"/>
        <w:spacing w:lineRule="exact" w:line="336" w:before="219" w:after="0"/>
        <w:ind w:left="276" w:right="126" w:hanging="0"/>
        <w:jc w:val="both"/>
        <w:rPr/>
      </w:pPr>
      <w:r>
        <w:rPr/>
        <w:t xml:space="preserve">Viri so omejeni, kar bi prihranilo denar in zmanjšalo količino odpadkov, kar bi koristilo okolju, podnebju in potrošnikom. </w:t>
      </w:r>
    </w:p>
    <w:p>
      <w:pPr>
        <w:pStyle w:val="P68B1DB1Normal20"/>
        <w:widowControl w:val="false"/>
        <w:spacing w:lineRule="exact" w:line="338" w:before="216" w:after="0"/>
        <w:ind w:left="276" w:right="131" w:hanging="0"/>
        <w:jc w:val="left"/>
        <w:rPr/>
      </w:pPr>
      <w:r>
        <w:rPr/>
        <w:t xml:space="preserve">Želimo spodbuditi proizvajalce, da na trg prinesejo trajnejše in popravljive izdelke.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Okrogla miza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Dolgoročna kampanja EU za trajnostno potrošnjo in življenjski slog </w:t>
      </w:r>
    </w:p>
    <w:p>
      <w:pPr>
        <w:pStyle w:val="P68B1DB1Normal20"/>
        <w:widowControl w:val="false"/>
        <w:spacing w:lineRule="exact" w:line="336"/>
        <w:ind w:left="276" w:right="126" w:hanging="0"/>
        <w:jc w:val="left"/>
        <w:rPr/>
      </w:pPr>
      <w:r>
        <w:rPr/>
        <w:t xml:space="preserve">Priporočamo, da ima evropski organ, vključno s podružnicami v državah EU, lastna sredstva in vodi to kampanjo. </w:t>
      </w:r>
    </w:p>
    <w:p>
      <w:pPr>
        <w:pStyle w:val="P68B1DB1Normal20"/>
        <w:widowControl w:val="false"/>
        <w:spacing w:lineRule="exact" w:line="336" w:before="219" w:after="0"/>
        <w:ind w:left="276" w:right="128" w:hanging="0"/>
        <w:jc w:val="both"/>
        <w:rPr/>
      </w:pPr>
      <w:r>
        <w:rPr/>
        <w:t xml:space="preserve">Naš cilj je zagotoviti, da se vsi državljani EU prepoznajo v skupni identiteti, se bolj zavedajo potrebe po trajnostni potrošnji in življenjskem slogu ter sprejmejo ta način življenja. </w:t>
      </w:r>
    </w:p>
    <w:p>
      <w:pPr>
        <w:pStyle w:val="P68B1DB1Normal20"/>
        <w:widowControl w:val="false"/>
        <w:spacing w:lineRule="exact" w:line="336" w:before="216" w:after="0"/>
        <w:ind w:left="276" w:right="128" w:hanging="0"/>
        <w:jc w:val="left"/>
        <w:rPr/>
      </w:pPr>
      <w:r>
        <w:rPr/>
        <w:t xml:space="preserve">Ti cilji so za nas pomembni, saj želimo prebuditi notranjo motivacijo za trajnostni življenjski slog.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Okrogla miza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Ustvarjanje več priložnosti za izmenjavo študentov v Evropi </w:t>
      </w:r>
    </w:p>
    <w:p>
      <w:pPr>
        <w:pStyle w:val="P68B1DB1Normal20"/>
        <w:widowControl w:val="false"/>
        <w:spacing w:lineRule="exact" w:line="293" w:before="162" w:after="0"/>
        <w:ind w:left="276" w:right="123" w:hanging="0"/>
        <w:jc w:val="both"/>
        <w:rPr/>
      </w:pPr>
      <w:r>
        <w:rPr/>
        <w:t xml:space="preserve">Evropski uniji priporočamo, da poleg programa Erasmus sprejme uredbo o programu izmenjav za učence in študente, stare od 14 do 25 let, ne glede na njihov izvor, spol in stopnjo izobrazbe. Ta program izmenjav bi morale sistematično vzpostaviti in spodbujati šole na lokalni ravni. Vsak učenec mora imeti možnost sodelovanja v programu izmenjave kadar koli v času šolanja. V ta namen bi morala Evropska komisija Evropskemu parlamentu in Evropskemu svetu predložiti predlog. </w:t>
      </w:r>
    </w:p>
    <w:p>
      <w:pPr>
        <w:pStyle w:val="P68B1DB1Normal20"/>
        <w:widowControl w:val="false"/>
        <w:spacing w:lineRule="exact" w:line="293" w:before="168" w:after="0"/>
        <w:ind w:left="276" w:right="123" w:hanging="0"/>
        <w:jc w:val="both"/>
        <w:rPr/>
      </w:pPr>
      <w:r>
        <w:rPr/>
        <w:t xml:space="preserve">Naš cilj je študentom, ne glede na njihovo akademsko uspešnost in finančno podporo staršev, omogočiti sodelovanje v programih izmenjav po vsej Evropi. Kulturo evropskih izmenjav bi bilo treba spodbujati že od šolske starosti. Predvsem je pomembno, da so programi izmenjav lahko dostopni in brez birokracije. S tem programom izmenjav želimo vzpostaviti evropsko solidarnost in zmanjšati jezikovne ovire. V zvezi s tem je treba upoštevati enakost v izobraževanju in udeležbo v izobraževanju, da bi okrepili medkulturne in komunikacijske spretnosti. </w:t>
      </w:r>
    </w:p>
    <w:p>
      <w:pPr>
        <w:pStyle w:val="P68B1DB1Normal20"/>
        <w:widowControl w:val="false"/>
        <w:spacing w:lineRule="exact" w:line="293" w:before="168" w:after="0"/>
        <w:ind w:left="276" w:right="123" w:hanging="0"/>
        <w:jc w:val="both"/>
        <w:rPr/>
      </w:pPr>
      <w:r>
        <w:rPr/>
        <w:t xml:space="preserve">Ti cilji so za nas pomembni, saj lahko pripomorejo k spodbujanju evropske kohezije, krepitvi spoštovanja in sodelovanja ter posredovanju evropskih vrednot že od zgodnjega otroštva, tako da se raznolikost Evrope lahko obravnava kot priložnost.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Okrogla miza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Določitev osnovne plače, specifične za zaposlitev </w:t>
      </w:r>
    </w:p>
    <w:p>
      <w:pPr>
        <w:pStyle w:val="P68B1DB1Normal20"/>
        <w:widowControl w:val="false"/>
        <w:spacing w:lineRule="exact" w:line="293"/>
        <w:ind w:left="276" w:right="121" w:hanging="0"/>
        <w:jc w:val="both"/>
        <w:rPr/>
      </w:pPr>
      <w:r>
        <w:rPr/>
        <w:t xml:space="preserve">Priporočamo, da evropski komisar za zaposlovanje in socialne pravice Evropskemu parlamentu predloži predlog za določitev osnovne plače, specifične za zaposlovanje v vseh državah članicah. Ta osnovna plača bi morala biti sestavljena iz minimalnega dohodka, ki zadostuje za preživljanje, in posebnega dopolnila k zaposlovanju. </w:t>
      </w:r>
    </w:p>
    <w:p>
      <w:pPr>
        <w:pStyle w:val="P68B1DB1Normal20"/>
        <w:widowControl w:val="false"/>
        <w:spacing w:lineRule="exact" w:line="293" w:before="173" w:after="0"/>
        <w:ind w:left="276" w:right="121" w:hanging="0"/>
        <w:jc w:val="both"/>
        <w:rPr/>
      </w:pPr>
      <w:r>
        <w:rPr/>
        <w:t xml:space="preserve">Naš cilj je zagotoviti primerljivost poklicnih rezultatov in plač po vsej EU, da bi okrepili socialno pravičnost. Ta cilj je za nas pomemben, saj bi zagotovil, da trg dela spoštuje temeljno načelo EU: primerljivi življenjski in delovni pogoji, ne glede na kraj stalnega prebivališča in poklica osebe.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Okrogla miza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Utelešenje evropskih vrednot in njihovo seznanjanje s čustvi </w:t>
      </w:r>
    </w:p>
    <w:p>
      <w:pPr>
        <w:pStyle w:val="P68B1DB1Normal20"/>
        <w:widowControl w:val="false"/>
        <w:spacing w:lineRule="exact" w:line="338" w:before="192" w:after="0"/>
        <w:ind w:left="276" w:right="126" w:hanging="0"/>
        <w:jc w:val="both"/>
        <w:rPr/>
      </w:pPr>
      <w:r>
        <w:rPr/>
        <w:t xml:space="preserve">Priporočamo, da evropske vrednote postanejo bolj konkretne in komunicirajo z več čustvi. To bi lahko dosegli na primer s svežnjem o „integraciji“, ki bi zajemal medije, interaktivne elemente in večjo udeležbo državljanov. </w:t>
      </w:r>
    </w:p>
    <w:p>
      <w:pPr>
        <w:pStyle w:val="P68B1DB1Normal20"/>
        <w:widowControl w:val="false"/>
        <w:spacing w:lineRule="exact" w:line="336" w:before="216" w:after="0"/>
        <w:ind w:left="276" w:right="126" w:hanging="0"/>
        <w:jc w:val="left"/>
        <w:rPr/>
      </w:pPr>
      <w:r>
        <w:rPr/>
        <w:t xml:space="preserve">Naš cilj je, da vsi, ki živijo v EU, poznajo in sprejemajo skupne vrednote. </w:t>
      </w:r>
    </w:p>
    <w:p>
      <w:pPr>
        <w:pStyle w:val="P68B1DB1Normal20"/>
        <w:widowControl w:val="false"/>
        <w:spacing w:lineRule="exact" w:line="337" w:before="216" w:after="0"/>
        <w:ind w:left="276" w:right="119" w:hanging="0"/>
        <w:jc w:val="both"/>
        <w:rPr/>
      </w:pPr>
      <w:r>
        <w:rPr/>
        <w:t xml:space="preserve">Ta cilj je za nas pomemben, saj predstavlja osnovo za naše sožitje v naši skupnosti vrednot. Te vrednote so premalo znane, ker manjkajo osebne povezave. To povezavo moramo vzpostaviti.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Okrogla miza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Življenje v EU </w:t>
      </w:r>
    </w:p>
    <w:p>
      <w:pPr>
        <w:pStyle w:val="P68B1DB1Normal20"/>
        <w:widowControl w:val="false"/>
        <w:spacing w:lineRule="exact" w:line="337" w:before="191" w:after="0"/>
        <w:ind w:left="276" w:right="116" w:hanging="0"/>
        <w:jc w:val="both"/>
        <w:rPr/>
      </w:pPr>
      <w:r>
        <w:rPr/>
        <w:t xml:space="preserve">Priporočamo, da EU vzpostavi svoj izobraževalni in informacijski televizijski program, da bi vse državljane EU ozaveščala o naših skupnih vrednotah ter vsem zagotovila enostaven in neoviran dostop do teh informacij. Ti cilji so za nas pomembni, saj želimo bolje razumeti javno mnenje v vsaki od držav EU. Na ta način želimo okrepiti skupno podlago in pomagati zbližati državljane, da bi spodbudili večjo solidarnost in jih usposobili na področju pravne države, da bi ohranili demokracijo.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Nacionalni odbori: Italija</w:t>
      </w:r>
    </w:p>
    <w:p>
      <w:pPr>
        <w:pStyle w:val="P68B1DB1Normal70"/>
        <w:spacing w:lineRule="auto" w:line="240"/>
        <w:jc w:val="center"/>
        <w:rPr/>
      </w:pPr>
      <w:r>
        <w:rPr/>
        <w:t xml:space="preserve">Okrogla miza državljanov za pripravo priporočil za konferenco o prihodnosti Evrope, 11. in 12. marec 2022 </w:t>
      </w:r>
    </w:p>
    <w:p>
      <w:pPr>
        <w:pStyle w:val="P68B1DB1Normal71"/>
        <w:widowControl w:val="false"/>
        <w:spacing w:lineRule="exact" w:line="916" w:before="147" w:after="0"/>
        <w:ind w:left="2234" w:right="0" w:hanging="0"/>
        <w:jc w:val="left"/>
        <w:rPr>
          <w:rFonts w:ascii="Arial" w:hAnsi="Arial"/>
          <w:color w:val="BD1271"/>
          <w:sz w:val="56"/>
        </w:rPr>
      </w:pPr>
      <w:r>
        <w:rPr/>
        <w:t xml:space="preserve">Zbirno poročilo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Rim, 16. marec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Slika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ka 42" descr=""/>
                    <pic:cNvPicPr>
                      <a:picLocks noChangeAspect="1" noChangeArrowheads="1"/>
                    </pic:cNvPicPr>
                  </pic:nvPicPr>
                  <pic:blipFill>
                    <a:blip r:embed="rId101"/>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Kazalo vsebine</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Vodilna načela za postopek organiziranja okrogle mize </w:t>
      </w:r>
    </w:p>
    <w:p>
      <w:pPr>
        <w:pStyle w:val="P68B1DB1Normal34"/>
        <w:widowControl w:val="false"/>
        <w:spacing w:lineRule="auto" w:line="240"/>
        <w:ind w:left="0" w:right="0" w:hanging="0"/>
        <w:jc w:val="left"/>
        <w:rPr/>
      </w:pPr>
      <w:r>
        <w:rPr/>
        <w:t xml:space="preserve"> </w:t>
      </w:r>
      <w:r>
        <w:rPr/>
        <w:t xml:space="preserve">Celoten postopek izvajanja okrogle mize je bil zasnovan tako, da je v skladu s smernicami iz smernic za nacionalne okrogle mize državljanov v okviru konference o prihodnosti Evrope. Natančneje: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Namen:</w:t>
      </w:r>
      <w:r>
        <w:rPr>
          <w:b/>
          <w:color w:val="000000"/>
        </w:rPr>
        <w:t xml:space="preserve"> </w:t>
      </w:r>
    </w:p>
    <w:p>
      <w:pPr>
        <w:pStyle w:val="P68B1DB1Normal34"/>
        <w:widowControl w:val="false"/>
        <w:spacing w:lineRule="auto" w:line="240"/>
        <w:ind w:left="720" w:right="0" w:hanging="0"/>
        <w:jc w:val="left"/>
        <w:rPr/>
      </w:pPr>
      <w:r>
        <w:rPr/>
        <w:t xml:space="preserve">Vsi, ki so bili povabljeni k sodelovanju na okrogli mizi, so izpolnili vprašalnik o udeležbi, ki je vseboval cilje in namene projekta, s posebnim sklicevanjem na konferenco o prihodnosti Evrope, obravnavane teme in načine sodelovanja.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Preglednost: </w:t>
      </w:r>
    </w:p>
    <w:p>
      <w:pPr>
        <w:pStyle w:val="P68B1DB1Normal34"/>
        <w:widowControl w:val="false"/>
        <w:spacing w:lineRule="auto" w:line="240"/>
        <w:ind w:left="720" w:right="0" w:hanging="0"/>
        <w:jc w:val="left"/>
        <w:rPr/>
      </w:pPr>
      <w:r>
        <w:rPr/>
        <w:t xml:space="preserve">Vsi dokumenti, ki predstavljajo pobudo, so bili udeležencem na voljo na različne načine, pri čemer so se vedno sklicevali na uradno spletno stran konference. Dokumenti so bili poslani po elektronski pošti vsem udeležencem.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Vključenost: </w:t>
      </w:r>
    </w:p>
    <w:p>
      <w:pPr>
        <w:pStyle w:val="P68B1DB1Normal75"/>
        <w:widowControl w:val="false"/>
        <w:spacing w:lineRule="auto" w:line="240"/>
        <w:ind w:left="708" w:right="0" w:hanging="0"/>
        <w:jc w:val="left"/>
        <w:rPr/>
      </w:pPr>
      <w:r>
        <w:rPr>
          <w:color w:val="000000"/>
        </w:rPr>
        <w:t xml:space="preserve">Povabilo k sodelovanju je bilo poslano po različnih kanalih: na primer, e-pošta članom skupnosti </w:t>
      </w:r>
      <w:r>
        <w:rPr>
          <w:color w:val="ED7D31"/>
        </w:rPr>
        <w:t>SWG</w:t>
      </w:r>
      <w:r>
        <w:rPr>
          <w:color w:val="000000"/>
        </w:rPr>
        <w:t xml:space="preserve"> in delite povezavo do obrazca za prijavo prek Twitterja in LinkedIna. To je privedlo do več kot 400 dostopov do prijavnega obrazca in 245 prošenj. (Naključna) izbira udeležencev je bila izvedena tako, da je bila zagotovljena prisotnost različnih oseb spola, starosti, socialnega porekla, prebivališča in poklicnega statusa.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Reprezentativnost: </w:t>
      </w:r>
    </w:p>
    <w:p>
      <w:pPr>
        <w:pStyle w:val="P68B1DB1Normal34"/>
        <w:widowControl w:val="false"/>
        <w:spacing w:lineRule="auto" w:line="240"/>
        <w:ind w:left="708" w:right="0" w:hanging="0"/>
        <w:jc w:val="left"/>
        <w:rPr/>
      </w:pPr>
      <w:r>
        <w:rPr/>
        <w:t xml:space="preserve">Čeprav velikost vzorca ni reprezentativna v statističnem smislu, je bil vzorec zasnovan tako, da je dosegel največjo heterogenost med udeleženci, da bi reproduciral mikrokozmos ciljne skupine.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Informacije: </w:t>
      </w:r>
    </w:p>
    <w:p>
      <w:pPr>
        <w:pStyle w:val="Normal"/>
        <w:widowControl w:val="false"/>
        <w:spacing w:lineRule="auto" w:line="240"/>
        <w:ind w:left="720" w:right="0" w:hanging="0"/>
        <w:jc w:val="left"/>
        <w:rPr/>
      </w:pPr>
      <w:r>
        <w:rPr>
          <w:color w:val="000000"/>
        </w:rPr>
        <w:t xml:space="preserve">Vsi udeleženci so prejeli širok nabor informacij o konferenci in temah, o katerih se je razpravljalo na okrogli mizi. Udeleženci so bili v uvodnem delu opozorjeni na cilje in modalitete projekta v skladu z načeloma nevtralnosti in popolnosti. Vsi udeleženci so imeli možnost zahtevati več informacij in podrobnosti o dogodku prek neposrednih telefonskih številk projektnih vodij v okviru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Posvetovalne skupine: </w:t>
      </w:r>
    </w:p>
    <w:p>
      <w:pPr>
        <w:pStyle w:val="P68B1DB1Normal76"/>
        <w:widowControl w:val="false"/>
        <w:spacing w:lineRule="auto" w:line="240"/>
        <w:ind w:left="720" w:right="0" w:hanging="0"/>
        <w:jc w:val="left"/>
        <w:rPr/>
      </w:pPr>
      <w:r>
        <w:rPr/>
        <w:t xml:space="preserve">Glavni cilj celotnega procesa je bil oblikovati konkretna priporočila, s katerimi se bodo udeleženci na splošno strinjali in jih naslovili na Evropsko unijo. Način organizacije dela in vodenja skupin je privedel do procesa, ki se je osredotočil na zbiranje indikacij udeležencev, njihovo obravnavo in sintezo ter njihovo preverjanje in potrjevanje s strani samih skupin na naslednji delovni seji.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Koledar: </w:t>
      </w:r>
    </w:p>
    <w:p>
      <w:pPr>
        <w:pStyle w:val="P68B1DB1Normal76"/>
        <w:widowControl w:val="false"/>
        <w:spacing w:lineRule="auto" w:line="240"/>
        <w:ind w:left="720" w:right="0" w:hanging="0"/>
        <w:jc w:val="left"/>
        <w:rPr/>
      </w:pPr>
      <w:r>
        <w:rPr/>
        <w:t xml:space="preserve">Med delovnimi sejami je bilo ustvarjeno sproščeno vzdušje, ki je udeležencem omogočilo, da poglobijo teme, o katerih so bili povabljeni, da razpravljajo, izrazijo svoja stališča in prisluhnejo drugim. Iz istega razloga je bilo odločeno, da se obe glavni skupini razdelita v dve podskupini. Poleg tega je bilo delo razdeljeno na dva dni, da bi se oblikovale ideje.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Spremljanje:</w:t>
      </w:r>
      <w:r>
        <w:rPr>
          <w:color w:val="000000"/>
        </w:rPr>
        <w:t xml:space="preserve"> </w:t>
      </w:r>
    </w:p>
    <w:p>
      <w:pPr>
        <w:pStyle w:val="P68B1DB1Normal76"/>
        <w:widowControl w:val="false"/>
        <w:spacing w:lineRule="auto" w:line="240"/>
        <w:ind w:left="720" w:right="0" w:hanging="0"/>
        <w:jc w:val="left"/>
        <w:rPr/>
      </w:pPr>
      <w:r>
        <w:rPr/>
        <w:t xml:space="preserve">Zadnji dan so vse skupine opravile preverjanje in potrjevanje prvih osnutkov priporočil, pripravljenih v prvi fazi dela. Ko je bilo poročilo o rezultatih predloženo evropskemu tematskemu sektorju predsedstva Sveta ministrov in ga je odobrilo, je bila končna različica priporočil posredovana vsem udeležencem panela. V vsakem primeru so bili udeleženci povabljeni, naj še naprej spremljajo dejavnosti konference na spletni strani in s posodobitvami, ki jih je treba objaviti.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Celovitost: </w:t>
      </w:r>
    </w:p>
    <w:p>
      <w:pPr>
        <w:pStyle w:val="Normal"/>
        <w:widowControl w:val="false"/>
        <w:spacing w:lineRule="auto" w:line="240"/>
        <w:ind w:left="720" w:right="0" w:hanging="0"/>
        <w:jc w:val="left"/>
        <w:rPr/>
      </w:pPr>
      <w:r>
        <w:rPr>
          <w:color w:val="000000"/>
        </w:rPr>
        <w:t xml:space="preserve">Celoten delovni proces je neodvisno opravila </w:t>
      </w:r>
      <w:r>
        <w:rPr>
          <w:color w:val="ED7D31"/>
        </w:rPr>
        <w:t>delovna skupina</w:t>
      </w:r>
      <w:r>
        <w:rPr>
          <w:color w:val="000000"/>
        </w:rPr>
        <w:t xml:space="preserve">, odvisno od prejete misije. Evropski tematski sektor predsedstva Sveta ministrov je bil stalno obveščen o različnih fazah pobude in rezultatih.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Zaščita zasebnosti: </w:t>
      </w:r>
    </w:p>
    <w:p>
      <w:pPr>
        <w:pStyle w:val="P68B1DB1Normal76"/>
        <w:widowControl w:val="false"/>
        <w:spacing w:lineRule="auto" w:line="240"/>
        <w:ind w:left="721" w:right="0" w:hanging="0"/>
        <w:jc w:val="left"/>
        <w:rPr/>
      </w:pPr>
      <w:r>
        <w:rPr/>
        <w:t xml:space="preserve">Zasebnost udeležencev je bila v celoti zagotovljena. Da bi lahko sodelovali v komisiji, so morali vsi kandidati podpisati obrazec o soglasju po seznanitvi, ki ga zahteva zakon.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Ocena: </w:t>
      </w:r>
    </w:p>
    <w:p>
      <w:pPr>
        <w:pStyle w:val="P68B1DB1Normal76"/>
        <w:widowControl w:val="false"/>
        <w:spacing w:lineRule="auto" w:line="240"/>
        <w:ind w:left="721" w:right="0" w:hanging="0"/>
        <w:jc w:val="left"/>
        <w:rPr>
          <w:rFonts w:ascii="Arial" w:hAnsi="Arial"/>
          <w:color w:val="000000"/>
          <w:sz w:val="22"/>
        </w:rPr>
      </w:pPr>
      <w:r>
        <w:rPr/>
        <w:t xml:space="preserve">Ob koncu postopka je bil vsem udeležencem poslan vprašalnik, da bi ocenili njihove izkušnje. Rezultati so povzeti v tem poročilu. </w:t>
      </w:r>
    </w:p>
    <w:p>
      <w:pPr>
        <w:pStyle w:val="P68B1DB1Titre277"/>
        <w:numPr>
          <w:ilvl w:val="0"/>
          <w:numId w:val="2"/>
        </w:numPr>
        <w:rPr>
          <w:color w:val="BD1271"/>
        </w:rPr>
      </w:pPr>
      <w:bookmarkStart w:id="217" w:name="__RefHeading___Toc300310_1346298689"/>
      <w:bookmarkEnd w:id="217"/>
      <w:r>
        <w:rPr/>
        <w:t xml:space="preserve">2. Izbor udeležencev in način udeležbe </w:t>
      </w:r>
    </w:p>
    <w:p>
      <w:pPr>
        <w:pStyle w:val="P68B1DB1Normal74"/>
        <w:widowControl w:val="false"/>
        <w:spacing w:lineRule="auto" w:line="240" w:before="208" w:after="0"/>
        <w:ind w:left="0" w:right="0" w:hanging="0"/>
        <w:jc w:val="left"/>
        <w:rPr>
          <w:rFonts w:ascii="Arial" w:hAnsi="Arial"/>
          <w:color w:val="2E74B5"/>
          <w:sz w:val="22"/>
        </w:rPr>
      </w:pPr>
      <w:r>
        <w:rPr/>
        <w:t xml:space="preserve">Izbira </w:t>
      </w:r>
    </w:p>
    <w:p>
      <w:pPr>
        <w:pStyle w:val="P68B1DB1Normal76"/>
        <w:widowControl w:val="false"/>
        <w:spacing w:lineRule="auto" w:line="240" w:before="90" w:after="0"/>
        <w:ind w:left="0" w:right="6" w:hanging="0"/>
        <w:jc w:val="left"/>
        <w:rPr/>
      </w:pPr>
      <w:r>
        <w:rPr/>
        <w:t xml:space="preserve">Cilj faze obveščanja pred dogodkom je bil izbrati vsaj 50 italijanskih državljanov, ki jih zanima sodelovanje v pobudi. </w:t>
      </w:r>
    </w:p>
    <w:p>
      <w:pPr>
        <w:pStyle w:val="Normal"/>
        <w:widowControl w:val="false"/>
        <w:spacing w:lineRule="auto" w:line="240" w:before="90" w:after="0"/>
        <w:ind w:left="0" w:right="4" w:hanging="0"/>
        <w:jc w:val="both"/>
        <w:rPr/>
      </w:pPr>
      <w:r>
        <w:rPr>
          <w:color w:val="000000"/>
        </w:rPr>
        <w:t xml:space="preserve">V ta namen je bil oblikovan kratek obrazec za samoprijavo v obliki vprašalnika, ki bo izpolnjen prek spleta na platformi </w:t>
      </w:r>
      <w:r>
        <w:rPr>
          <w:color w:val="ED7D31"/>
        </w:rPr>
        <w:t>SWG</w:t>
      </w:r>
      <w:r>
        <w:rPr>
          <w:color w:val="000000"/>
        </w:rPr>
        <w:t xml:space="preserve">, prek katerega so se lahko prijavili vsi zainteresirani za sodelovanje v pobudi, pri čemer so bili navedeni podatki, ki jih je treba vnesti v skupine, iz katerih so bili udeleženci naključno izbrani. Potrebni pogoji za sodelovanje so bili: imajo internetno povezavo, napravo, opremljeno z mikrofonom in video kamero, ter podpis konferenčne listine.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Slika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44" descr=""/>
                    <pic:cNvPicPr>
                      <a:picLocks noChangeAspect="1" noChangeArrowheads="1"/>
                    </pic:cNvPicPr>
                  </pic:nvPicPr>
                  <pic:blipFill>
                    <a:blip r:embed="rId102"/>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Slika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 43" descr=""/>
                    <pic:cNvPicPr>
                      <a:picLocks noChangeAspect="1" noChangeArrowheads="1"/>
                    </pic:cNvPicPr>
                  </pic:nvPicPr>
                  <pic:blipFill>
                    <a:blip r:embed="rId103"/>
                    <a:stretch>
                      <a:fillRect/>
                    </a:stretch>
                  </pic:blipFill>
                  <pic:spPr bwMode="auto">
                    <a:xfrm>
                      <a:off x="0" y="0"/>
                      <a:ext cx="287020" cy="287020"/>
                    </a:xfrm>
                    <a:prstGeom prst="rect">
                      <a:avLst/>
                    </a:prstGeom>
                  </pic:spPr>
                </pic:pic>
              </a:graphicData>
            </a:graphic>
          </wp:anchor>
        </w:drawing>
      </w:r>
      <w:r>
        <w:rPr>
          <w:color w:val="000000"/>
        </w:rPr>
        <w:t>P</w:t>
      </w:r>
      <w:r>
        <w:rPr>
          <w:color w:val="000000"/>
        </w:rPr>
        <w:t>rijavni obrazec je bil razdeljen na socialnih omrežjih iz računov</w:t>
      </w:r>
      <w:r>
        <w:rPr>
          <w:color w:val="ED7D31"/>
        </w:rPr>
        <w:t>SWG</w:t>
      </w:r>
      <w:r>
        <w:rPr>
          <w:color w:val="000000"/>
        </w:rPr>
        <w:t xml:space="preserve">. V ta namen je bilo na Twitterju objavljenih šest objav, ena pa na LinkedInu, z naslednjimi rezultati: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Družabno omrežje</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Datumi</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Število ogledov</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Dostop do obrazca za vlogo</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delovnih mest med 8. in 10. marcem</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objava 8. marca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Hkrati so bili člani skupnosti </w:t>
      </w:r>
      <w:r>
        <w:rPr>
          <w:color w:val="ED7D31"/>
        </w:rPr>
        <w:t>SWG</w:t>
      </w:r>
      <w:r>
        <w:rPr>
          <w:color w:val="000000"/>
        </w:rPr>
        <w:t xml:space="preserve"> povabljeni, da se prijavijo v skladu s strategijo povabila, katere cilj je zagotoviti čim večjo reprezentativnost italijanskega prebivalstva, ne le v smislu družbenih značilnosti, temveč tudi v smislu idej, kulturnih usmeritev in vrednot. </w:t>
      </w:r>
    </w:p>
    <w:p>
      <w:pPr>
        <w:pStyle w:val="P68B1DB1Normal76"/>
        <w:widowControl w:val="false"/>
        <w:spacing w:lineRule="exact" w:line="253" w:before="71" w:after="0"/>
        <w:ind w:left="1" w:right="0" w:hanging="0"/>
        <w:jc w:val="both"/>
        <w:rPr/>
      </w:pPr>
      <w:r>
        <w:rPr/>
        <w:t xml:space="preserve">Vloge je mogoče oddati od 8. marca od 8.00 do 10. marca 2022 do 16.00. Postopek je omogočil 420 dostop do prijavnega obrazca in 225 popolnih prijav. </w:t>
      </w:r>
    </w:p>
    <w:p>
      <w:pPr>
        <w:pStyle w:val="P68B1DB1Normal76"/>
        <w:widowControl w:val="false"/>
        <w:spacing w:lineRule="exact" w:line="253" w:before="67" w:after="0"/>
        <w:ind w:left="1" w:right="2" w:hanging="0"/>
        <w:jc w:val="both"/>
        <w:rPr/>
      </w:pPr>
      <w:r>
        <w:rPr/>
        <w:t xml:space="preserve">Dejansko je bilo upravičenih </w:t>
      </w:r>
      <w:r>
        <w:rPr>
          <w:b/>
        </w:rPr>
        <w:t>140</w:t>
      </w:r>
      <w:r>
        <w:rPr/>
        <w:t xml:space="preserve"> oseb, od tega jih je bilo 70 izbranih na podlagi merila za zagotovitev uravnotežene zastopanosti glede na spol, geografsko porazdelitev, starost in izobrazbo. </w:t>
      </w:r>
    </w:p>
    <w:p>
      <w:pPr>
        <w:pStyle w:val="P68B1DB1Normal76"/>
        <w:widowControl w:val="false"/>
        <w:spacing w:lineRule="exact" w:line="253" w:before="73" w:after="0"/>
        <w:ind w:left="1" w:right="1" w:hanging="0"/>
        <w:jc w:val="both"/>
        <w:rPr/>
      </w:pPr>
      <w:r>
        <w:rPr/>
        <w:t xml:space="preserve">V okviru izbirnega postopka je bila posebna pozornost namenjena načelu poštene verjetnosti pri izbiri udeležencev, ki so ga spremljali postopki, ki temeljijo na naključnem merilu. </w:t>
      </w:r>
    </w:p>
    <w:p>
      <w:pPr>
        <w:pStyle w:val="P68B1DB1Normal76"/>
        <w:widowControl w:val="false"/>
        <w:spacing w:lineRule="exact" w:line="253" w:before="71" w:after="0"/>
        <w:ind w:left="1" w:right="0" w:hanging="0"/>
        <w:jc w:val="both"/>
        <w:rPr/>
      </w:pPr>
      <w:r>
        <w:rPr/>
        <w:t xml:space="preserve">Naključnost izbire je bila osrednji element projekta, da se zagotovi poštenost postopka dostopa. Vendar se je v duhu pobude zdelo pomembno, da se vzpostavi strategija, katere cilj ni le vključevanje čim večjega števila ljudi, temveč tudi zagotavljanje čim večje heterogenosti izbranih ljudi, da se spodbudi čim večja vključenost.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Če povzamemo, porazdelitev upravičenih oseb je bila naslednja:</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Obrazec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4"/>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Porazdelitev upravičenih kandidatov</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starostna skupina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Stopnja izobrazbe</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Nizka</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Severovzhodno</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Šola, poklicno izobraževanje</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Povprečje</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šola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Povzdignjeno</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Diploma, magisterij ali več</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Severozahod</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Območje bivanja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center</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Jug in otoki</w:t>
                              </w:r>
                            </w:p>
                          </w:txbxContent>
                        </wps:txbx>
                        <wps:bodyPr lIns="90000" rIns="90000" tIns="45000" bIns="45000">
                          <a:noAutofit/>
                        </wps:bodyPr>
                      </wps:wsp>
                    </wpg:wgp>
                  </a:graphicData>
                </a:graphic>
              </wp:anchor>
            </w:drawing>
          </mc:Choice>
          <mc:Fallback>
            <w:pict>
              <v:group id="shape_0" alt="Obrazec4" style="position:absolute;margin-left:0pt;margin-top:10.45pt;width:477.1pt;height:297.25pt" coordorigin="0,209" coordsize="9542,5945">
                <v:shape id="shape_0" stroked="f" style="position:absolute;left:0;top:976;width:9526;height:5177" type="shapetype_75">
                  <v:imagedata r:id="rId104"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Porazdelitev upravičenih kandidatov</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starostna skupina</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Stopnja izobrazbe</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Nizka</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Severovzhodno</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Šola, poklicno izobraževanje</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Povprečje</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šola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Povzdignjeno</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Diploma, magisterij ali več</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Severozahod</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Območje bivanja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center</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Jug in otoki</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Ko je bilo izbranih 70 kandidatov, so na samem jutranjem dogodku prejeli telefonski klic, s katerim so potrdili svojo udeležbo. Te klice je opravil kontaktni center </w:t>
      </w:r>
      <w:r>
        <w:rPr>
          <w:color w:val="ED7D31"/>
        </w:rPr>
        <w:t>SWG</w:t>
      </w:r>
      <w:r>
        <w:rPr>
          <w:color w:val="000000"/>
        </w:rPr>
        <w:t xml:space="preserve"> po metodi CATI (Computer Assisted Phone Survey). Ob koncu te faze je sodelovanje potrdilo skupaj 59 oseb, ki so bile registrirane. </w:t>
      </w:r>
      <w:r>
        <w:rPr>
          <w:b/>
          <w:color w:val="BD1271"/>
        </w:rPr>
        <w:t>Od tega jih je 55 aktivno sodelovalo v panelu.</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Družbena in starostna porazdelitev članov okrogle mize je bila naslednja: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Oblika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5"/>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Porazdelitev aktivnih udeležencev</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starostna skupina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Stopnja izobrazbe</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Nizka</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Severovzhodno</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Šola, poklicno izobraževanje</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Povprečje</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šola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Povzdignjeno</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Diploma, magisterij ali več</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Severozahod</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Območje bivanja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center</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Jug in otoki</w:t>
                              </w:r>
                            </w:p>
                          </w:txbxContent>
                        </wps:txbx>
                        <wps:bodyPr lIns="90000" rIns="90000" tIns="45000" bIns="45000">
                          <a:noAutofit/>
                        </wps:bodyPr>
                      </wps:wsp>
                    </wpg:wgp>
                  </a:graphicData>
                </a:graphic>
              </wp:anchor>
            </w:drawing>
          </mc:Choice>
          <mc:Fallback>
            <w:pict>
              <v:group id="shape_0" alt="Oblika5" style="position:absolute;margin-left:0.05pt;margin-top:3.25pt;width:484.8pt;height:285.3pt" coordorigin="1,65" coordsize="9696,5706">
                <v:shape id="shape_0" stroked="f" style="position:absolute;left:1;top:787;width:9545;height:4982" type="shapetype_75">
                  <v:imagedata r:id="rId105"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Porazdelitev aktivnih udeležencev</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spol</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starostna skupina</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let</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let</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let</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Stopnja izobrazbe</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Nizka</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Severovzhodno</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Šola, poklicno izobraževanje</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Povprečje</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Srednja šola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Povzdignjeno</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Diploma, magisterij ali več</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Severozahod</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Območje bivanja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center</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Jug in otoki</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Tukaj so rezultati korakov izbirnega postopka: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Oblika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6"/>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Postopek prijave</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Dostop do obrazca za vlogo</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Polne aplikacije</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Upravičeni kandidati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Priznano na panelu</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Aktivni udeleženci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8–10. marec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marec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8–10. marec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marec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marec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11–12. marec 2022</w:t>
                              </w:r>
                            </w:p>
                          </w:txbxContent>
                        </wps:txbx>
                        <wps:bodyPr lIns="90000" rIns="90000" tIns="45000" bIns="45000">
                          <a:noAutofit/>
                        </wps:bodyPr>
                      </wps:wsp>
                    </wpg:wgp>
                  </a:graphicData>
                </a:graphic>
              </wp:anchor>
            </w:drawing>
          </mc:Choice>
          <mc:Fallback>
            <w:pict>
              <v:group id="shape_0" alt="Oblika6" style="position:absolute;margin-left:0.8pt;margin-top:11.4pt;width:476.1pt;height:286.6pt" coordorigin="16,228" coordsize="9522,5732">
                <v:shape id="shape_0" stroked="f" style="position:absolute;left:2410;top:949;width:4571;height:5010" type="shapetype_75">
                  <v:imagedata r:id="rId106"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Postopek prijave</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Dostop do obrazca za vlogo</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Polne aplikacije</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Upravičeni kandidati</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Priznano na panelu</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Aktivni udeleženci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8–10. marec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marec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8–10. marec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marec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marec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11–12. marec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Komunikacijska oprema </w:t>
      </w:r>
    </w:p>
    <w:p>
      <w:pPr>
        <w:pStyle w:val="P68B1DB1Normal76"/>
        <w:widowControl w:val="false"/>
        <w:spacing w:lineRule="exact" w:line="379" w:before="200" w:after="0"/>
        <w:ind w:left="0" w:right="2" w:hanging="0"/>
        <w:jc w:val="left"/>
        <w:rPr/>
      </w:pPr>
      <w:r>
        <w:rPr/>
        <w:t xml:space="preserve">Da bi zagotovili visoko raven motivacije in udeležbe že od samega začetka, so bili vsem udeležencem na voljo naslednji dokumenti: </w:t>
      </w:r>
    </w:p>
    <w:p>
      <w:pPr>
        <w:pStyle w:val="P68B1DB1Normal76"/>
        <w:widowControl w:val="false"/>
        <w:spacing w:lineRule="exact" w:line="252" w:before="192" w:after="0"/>
        <w:ind w:left="720" w:right="0" w:hanging="0"/>
        <w:jc w:val="left"/>
        <w:rPr/>
      </w:pPr>
      <w:r>
        <w:rPr/>
        <w:t xml:space="preserve">• </w:t>
      </w:r>
      <w:r>
        <w:rPr>
          <w:b/>
        </w:rPr>
        <w:t xml:space="preserve">predstavitveni listi konference o prihodnosti Evrope in nacionalnih okroglih miz; </w:t>
      </w:r>
    </w:p>
    <w:p>
      <w:pPr>
        <w:pStyle w:val="P68B1DB1Normal76"/>
        <w:widowControl w:val="false"/>
        <w:spacing w:lineRule="exact" w:line="379"/>
        <w:ind w:left="720" w:right="0" w:hanging="0"/>
        <w:jc w:val="left"/>
        <w:rPr/>
      </w:pPr>
      <w:r>
        <w:rPr/>
        <w:t xml:space="preserve">• </w:t>
      </w:r>
      <w:r>
        <w:rPr>
          <w:b/>
        </w:rPr>
        <w:t xml:space="preserve">listino konference o prihodnosti Evrope; </w:t>
      </w:r>
    </w:p>
    <w:p>
      <w:pPr>
        <w:pStyle w:val="P68B1DB1Normal76"/>
        <w:widowControl w:val="false"/>
        <w:spacing w:lineRule="exact" w:line="379"/>
        <w:ind w:left="720" w:right="0" w:hanging="0"/>
        <w:jc w:val="left"/>
        <w:rPr/>
      </w:pPr>
      <w:r>
        <w:rPr/>
        <w:t xml:space="preserve">• </w:t>
      </w:r>
      <w:r>
        <w:rPr/>
        <w:t>teme</w:t>
      </w:r>
      <w:r>
        <w:rPr>
          <w:b/>
        </w:rPr>
        <w:t xml:space="preserve">, o katerih se bo razpravljalo na okroglih mizah; </w:t>
      </w:r>
    </w:p>
    <w:p>
      <w:pPr>
        <w:pStyle w:val="P68B1DB1Normal76"/>
        <w:widowControl w:val="false"/>
        <w:spacing w:lineRule="exact" w:line="379"/>
        <w:ind w:left="721" w:right="0" w:hanging="0"/>
        <w:jc w:val="left"/>
        <w:rPr/>
      </w:pPr>
      <w:r>
        <w:rPr/>
        <w:t xml:space="preserve">• </w:t>
      </w:r>
      <w:r>
        <w:rPr>
          <w:b/>
        </w:rPr>
        <w:t xml:space="preserve">tehnične in organizacijske informacije, potrebne za sodelovanje. </w:t>
      </w:r>
    </w:p>
    <w:p>
      <w:pPr>
        <w:pStyle w:val="P68B1DB1Titre277"/>
        <w:numPr>
          <w:ilvl w:val="0"/>
          <w:numId w:val="2"/>
        </w:numPr>
        <w:rPr>
          <w:color w:val="BD1271"/>
        </w:rPr>
      </w:pPr>
      <w:bookmarkStart w:id="218" w:name="__RefHeading___Toc300312_1346298689"/>
      <w:bookmarkEnd w:id="218"/>
      <w:r>
        <w:rPr/>
        <w:t xml:space="preserve">3. Organizacija panela </w:t>
      </w:r>
    </w:p>
    <w:p>
      <w:pPr>
        <w:pStyle w:val="P68B1DB1Normal76"/>
        <w:widowControl w:val="false"/>
        <w:spacing w:lineRule="exact" w:line="272" w:before="231" w:after="0"/>
        <w:ind w:left="0" w:right="0" w:hanging="0"/>
        <w:jc w:val="both"/>
        <w:rPr/>
      </w:pPr>
      <w:r>
        <w:rPr/>
        <w:t xml:space="preserve">Da bi omogočili čim večjo udeležbo, vključno z osebami s strokovnimi obveznostmi, je bila komisija organizirana v dveh zaporednih poldnevnih dneh, vključno z enim ob koncih tedna, v skladu z naslednjim časovnim razporedom: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Petek, 11. marec, od 16.00 do 20.00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Sobota, 12. marec, od 10. do 12. ure </w:t>
      </w:r>
    </w:p>
    <w:p>
      <w:pPr>
        <w:pStyle w:val="Normal"/>
        <w:widowControl w:val="false"/>
        <w:spacing w:lineRule="exact" w:line="286" w:before="83" w:after="0"/>
        <w:ind w:left="0" w:right="1" w:hanging="0"/>
        <w:jc w:val="both"/>
        <w:rPr/>
      </w:pPr>
      <w:r>
        <w:rPr>
          <w:color w:val="000000"/>
        </w:rPr>
        <w:t xml:space="preserve">Namen te odločitve je bil po eni strani olajšati udeležbo delavcev v pobudi in po drugi strani razdeliti čas udeležbe, da bi spodbudili večjo pozornost in udeležbo, pa tudi nadaljnji razmislek o predstavljenih temah in predlogih. Udeleženci okrogle mize so se z dvema delovnima sejama povezali s platformo GoToMeeting in so bili razdeljeni v štiri skupine (dve za vsako tematsko področje), ki so jih vodili moderatorji </w:t>
      </w:r>
      <w:r>
        <w:rPr>
          <w:color w:val="ED7D31"/>
        </w:rPr>
        <w:t>SWG</w:t>
      </w:r>
      <w:r>
        <w:rPr>
          <w:color w:val="000000"/>
        </w:rPr>
        <w:t xml:space="preserve"> in pomočniki osebe, odgovorne za pisanje razprav. Moderatorji so skupinam omogočili dve različni poti za razpravo (po eno za vsako tematsko področje), da bi čim bolj vključili vse izbrane ljudi in zagotovili pristop, ki temelji na čim večjem vključevanju in nevtralnosti. </w:t>
      </w:r>
    </w:p>
    <w:p>
      <w:pPr>
        <w:pStyle w:val="Titre2"/>
        <w:numPr>
          <w:ilvl w:val="1"/>
          <w:numId w:val="2"/>
        </w:numPr>
        <w:rPr/>
      </w:pPr>
      <w:bookmarkStart w:id="219" w:name="__RefHeading___Toc300314_1346298689"/>
      <w:bookmarkEnd w:id="219"/>
      <w:r>
        <w:rPr>
          <w:color w:val="BD1271"/>
        </w:rPr>
        <w:t>4. Program dela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Prvo zasedanje (petek, 11. marec 2022) </w:t>
      </w:r>
    </w:p>
    <w:p>
      <w:pPr>
        <w:pStyle w:val="P68B1DB1Normal76"/>
        <w:widowControl w:val="false"/>
        <w:spacing w:lineRule="exact" w:line="362" w:before="208" w:after="0"/>
        <w:ind w:left="360" w:right="0" w:hanging="0"/>
        <w:jc w:val="left"/>
        <w:rPr/>
      </w:pPr>
      <w:r>
        <w:rPr/>
        <w:t xml:space="preserve">• </w:t>
      </w:r>
      <w:r>
        <w:rPr/>
        <w:t xml:space="preserve">00 – Odprtje virtualne sobe in možnost, da se udeleženci povežejo s platformo, da preverijo pravilno delovanje svojih zvočnih in video sistemov. </w:t>
      </w:r>
    </w:p>
    <w:p>
      <w:pPr>
        <w:pStyle w:val="P68B1DB1Normal76"/>
        <w:widowControl w:val="false"/>
        <w:spacing w:lineRule="exact" w:line="362"/>
        <w:ind w:left="360" w:right="0" w:hanging="0"/>
        <w:jc w:val="left"/>
        <w:rPr/>
      </w:pPr>
      <w:r>
        <w:rPr/>
        <w:t xml:space="preserve">• </w:t>
      </w:r>
      <w:r>
        <w:rPr/>
        <w:t xml:space="preserve">16:00 – Uvod moderatorja: obrazložitev razlogov za pobudo in opis strukture dela.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Razdelitev udeležencev v skupinah glede na želje, navedene v fazi prijave.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Začetek skupinske razprave.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 konec zasedanja. </w:t>
      </w:r>
    </w:p>
    <w:p>
      <w:pPr>
        <w:pStyle w:val="P68B1DB1Normal80"/>
        <w:widowControl w:val="false"/>
        <w:spacing w:lineRule="exact" w:line="393" w:before="248" w:after="0"/>
        <w:ind w:left="0" w:right="0" w:hanging="0"/>
        <w:jc w:val="left"/>
        <w:rPr>
          <w:rFonts w:ascii="Arial" w:hAnsi="Arial"/>
          <w:color w:val="116E9A"/>
          <w:sz w:val="24"/>
        </w:rPr>
      </w:pPr>
      <w:r>
        <w:rPr/>
        <w:t xml:space="preserve">Drugo zasedanje (sobota, 12. marec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Nadaljevanje dela z branjem rezultatov dela prvega dne. </w:t>
      </w:r>
    </w:p>
    <w:p>
      <w:pPr>
        <w:pStyle w:val="P68B1DB1Normal76"/>
        <w:widowControl w:val="false"/>
        <w:spacing w:lineRule="exact" w:line="254"/>
        <w:ind w:left="360" w:right="140" w:hanging="0"/>
        <w:jc w:val="left"/>
        <w:rPr/>
      </w:pPr>
      <w:r>
        <w:rPr/>
        <w:t xml:space="preserve">• </w:t>
      </w:r>
      <w:r>
        <w:rPr/>
        <w:t xml:space="preserve">10.15 – Nadaljnja razprava, poglobljene razprave in komentarji udeležencev. </w:t>
      </w:r>
    </w:p>
    <w:p>
      <w:pPr>
        <w:pStyle w:val="Normal"/>
        <w:widowControl w:val="false"/>
        <w:spacing w:lineRule="exact" w:line="362"/>
        <w:ind w:left="360" w:right="0" w:hanging="0"/>
        <w:jc w:val="left"/>
        <w:rPr/>
      </w:pPr>
      <w:r>
        <w:rPr>
          <w:color w:val="000000"/>
        </w:rPr>
        <w:t xml:space="preserve">• </w:t>
      </w:r>
      <w:r>
        <w:rPr>
          <w:color w:val="000000"/>
        </w:rPr>
        <w:t>12.00 – Zaključek dela</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Slika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ika 45" descr=""/>
                    <pic:cNvPicPr>
                      <a:picLocks noChangeAspect="1" noChangeArrowheads="1"/>
                    </pic:cNvPicPr>
                  </pic:nvPicPr>
                  <pic:blipFill>
                    <a:blip r:embed="rId107"/>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Podana priporočila </w:t>
      </w:r>
    </w:p>
    <w:p>
      <w:pPr>
        <w:pStyle w:val="Titre3"/>
        <w:numPr>
          <w:ilvl w:val="2"/>
          <w:numId w:val="2"/>
        </w:numPr>
        <w:rPr/>
      </w:pPr>
      <w:bookmarkStart w:id="221" w:name="__RefHeading___Toc300318_1346298689"/>
      <w:bookmarkEnd w:id="221"/>
      <w:r>
        <w:rPr>
          <w:color w:val="FFFFFF"/>
          <w:shd w:fill="0066B3" w:val="clear"/>
        </w:rPr>
        <w:t>Močnejše gospodarstvo, socialna pravičnost in zaposlovanje</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Premagovanje proizvodnega modela preteklega stoletja </w:t>
      </w:r>
    </w:p>
    <w:p>
      <w:pPr>
        <w:pStyle w:val="P68B1DB1Normal76"/>
        <w:widowControl w:val="false"/>
        <w:spacing w:lineRule="auto" w:line="240" w:before="80" w:after="0"/>
        <w:ind w:left="0" w:right="1" w:hanging="0"/>
        <w:jc w:val="both"/>
        <w:rPr/>
      </w:pPr>
      <w:r>
        <w:rPr/>
        <w:t xml:space="preserve">Udeleženci okrogle mize so menili, da so najnovejši svetovni dogodki (pandemija COVID-19 in konflikt med Rusijo in Ukrajino) navidezno pokazali omejitve sedanjega evropskega proizvodnega modela, in poudarili, da je treba ponovno preučiti pristop, ki ga mnogi opisujejo kot „pripada preteklemu stoletju“.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Dokazi o odvisnosti Evrope od uvoza energije in hrane iz držav zunaj Evropske unije ter odkritje (med pandemijo), da ne moremo sami proizvajati količine medicinskih pripomočkov in cepiv, potrebnih za boj proti širjenju virusa, so ustvarili vtis, da naš gospodarski sistem trpi zaradi strukturne šibkosti zaradi pomanjkanja samozadostnosti.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Hkrati udeleženci jasno verjamejo, da mora biti močnejše gospodarstvo, ki je zmožno ustvarjati delovna mesta v okviru socialne pravičnosti, zmožno pridobiti pomembne tehnološke prednosti. Da bi to dosegli, je bistveno podpirati izobraževalni sistem z vedno večjo pozornostjo do predmetov, povezanih z naravoslovjem, tehnologijo, inženirstvom in matematiko.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Zdi se</w:t>
      </w:r>
      <w:r>
        <w:rPr>
          <w:b/>
        </w:rPr>
        <w:t>, da so tehnološke inovacije, trajnostna energija, pa tudi turizem in kultura</w:t>
      </w:r>
      <w:r>
        <w:rPr/>
        <w:t xml:space="preserve">, tri temeljne osi za razvoj evropskega gospodarstva prihodnosti, s posebnim poudarkom na ohranjanju osnovne proizvodnje, da bi se izognili tveganju prevelike odvisnosti od tretjih držav od oskrbe z osnovnimi proizvodi in surovinami.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PRIPOROČILA NA KRATKO </w:t>
      </w:r>
    </w:p>
    <w:p>
      <w:pPr>
        <w:pStyle w:val="P68B1DB1Normal84"/>
        <w:widowControl w:val="false"/>
        <w:spacing w:lineRule="auto" w:line="240" w:before="69" w:after="0"/>
        <w:ind w:left="283" w:right="0" w:hanging="0"/>
        <w:jc w:val="left"/>
        <w:rPr/>
      </w:pPr>
      <w:r>
        <w:rPr>
          <w:color w:val="BD1271"/>
        </w:rPr>
        <w:t xml:space="preserve">1. </w:t>
      </w:r>
      <w:r>
        <w:rPr>
          <w:color w:val="000000"/>
        </w:rPr>
        <w:t>Sprejeti učinkovite ukrepe na področju podnebnih sprememb in alternativne energije.</w:t>
      </w:r>
    </w:p>
    <w:p>
      <w:pPr>
        <w:pStyle w:val="P68B1DB1Normal84"/>
        <w:widowControl w:val="false"/>
        <w:spacing w:lineRule="auto" w:line="240"/>
        <w:ind w:left="283" w:right="0" w:hanging="0"/>
        <w:jc w:val="left"/>
        <w:rPr/>
      </w:pPr>
      <w:r>
        <w:rPr>
          <w:color w:val="BD1271"/>
        </w:rPr>
        <w:t xml:space="preserve">2. </w:t>
      </w:r>
      <w:r>
        <w:rPr>
          <w:color w:val="000000"/>
        </w:rPr>
        <w:t>Vlagati v turizem in kulturno gospodarstvo ter ceniti številne majhne destinacije v Evropi.</w:t>
      </w:r>
    </w:p>
    <w:p>
      <w:pPr>
        <w:pStyle w:val="P68B1DB1Normal84"/>
        <w:widowControl w:val="false"/>
        <w:spacing w:lineRule="auto" w:line="240"/>
        <w:ind w:left="283" w:right="0" w:hanging="0"/>
        <w:jc w:val="left"/>
        <w:rPr/>
      </w:pPr>
      <w:r>
        <w:rPr>
          <w:color w:val="BD1271"/>
        </w:rPr>
        <w:t xml:space="preserve">3. </w:t>
      </w:r>
      <w:r>
        <w:rPr>
          <w:color w:val="000000"/>
        </w:rPr>
        <w:t>Poudarek na tehnologiji in inovacijah kot gonilni sili rasti.</w:t>
      </w:r>
    </w:p>
    <w:p>
      <w:pPr>
        <w:pStyle w:val="P68B1DB1Normal84"/>
        <w:widowControl w:val="false"/>
        <w:spacing w:lineRule="auto" w:line="240"/>
        <w:ind w:left="283" w:right="0" w:hanging="0"/>
        <w:jc w:val="left"/>
        <w:rPr/>
      </w:pPr>
      <w:r>
        <w:rPr>
          <w:color w:val="BD1271"/>
        </w:rPr>
        <w:t xml:space="preserve">4. </w:t>
      </w:r>
      <w:r>
        <w:rPr>
          <w:color w:val="000000"/>
        </w:rPr>
        <w:t>Zmanjšati odvisnost od drugih držav od surovin, virov energije in kmetijstva.</w:t>
      </w:r>
    </w:p>
    <w:p>
      <w:pPr>
        <w:pStyle w:val="P68B1DB1Normal84"/>
        <w:widowControl w:val="false"/>
        <w:spacing w:lineRule="auto" w:line="240"/>
        <w:ind w:left="283" w:right="0" w:hanging="0"/>
        <w:jc w:val="left"/>
        <w:rPr/>
      </w:pPr>
      <w:r>
        <w:rPr>
          <w:color w:val="BD1271"/>
        </w:rPr>
        <w:t xml:space="preserve">5. </w:t>
      </w:r>
      <w:r>
        <w:rPr>
          <w:color w:val="000000"/>
        </w:rPr>
        <w:t>Spodbujati mlade k študiju znanstvenih predmetov.</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Generativna in vključujoča ureditev proizvodnje </w:t>
      </w:r>
    </w:p>
    <w:p>
      <w:pPr>
        <w:pStyle w:val="P68B1DB1Normal76"/>
        <w:widowControl w:val="false"/>
        <w:spacing w:lineRule="auto" w:line="240" w:before="91" w:after="0"/>
        <w:ind w:left="0" w:right="2" w:hanging="0"/>
        <w:jc w:val="both"/>
        <w:rPr/>
      </w:pPr>
      <w:r>
        <w:rPr/>
        <w:t xml:space="preserve">Da bi premagali gospodarsko logiko preteklega stoletja, je treba pregledati tudi pravila in postopke, ki urejajo poslovne dejavnosti. V tem smislu obstajajo štiri priporočila, ki so odgovor na skupno logiko: na eni strani poenostavitev pravil in na drugi strani ohranjanje visoke stopnje nadzora nad kršitvami (zlasti v zvezi s ponarejanjem in nelojalno konkurenco). </w:t>
      </w:r>
    </w:p>
    <w:p>
      <w:pPr>
        <w:pStyle w:val="P68B1DB1Normal76"/>
        <w:widowControl w:val="false"/>
        <w:spacing w:lineRule="auto" w:line="240" w:before="15" w:after="0"/>
        <w:ind w:left="0" w:right="2" w:hanging="0"/>
        <w:jc w:val="both"/>
        <w:rPr/>
      </w:pPr>
      <w:r>
        <w:rPr/>
        <w:t xml:space="preserve">Velika pozornost je namenjena potrebi po gospodarskih pravilih, ki so predvsem generativna in čim bolj zmanjšujejo možnosti, ki zahtevajo standardizacijo proizvodnih procesov (grožnje posebnih lokalnih produkcij z globokimi kulturnimi koreninami), pa tudi uničenje kmetijskih proizvodov zaradi potrebe po ohranjanju vnaprej določenih količin proizvodnje.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PRIPOROČILA NA KRATKO </w:t>
      </w:r>
    </w:p>
    <w:p>
      <w:pPr>
        <w:pStyle w:val="P68B1DB1Normal84"/>
        <w:widowControl w:val="false"/>
        <w:spacing w:lineRule="auto" w:line="240" w:before="72" w:after="0"/>
        <w:ind w:left="142" w:right="0" w:hanging="0"/>
        <w:jc w:val="left"/>
        <w:rPr/>
      </w:pPr>
      <w:r>
        <w:rPr>
          <w:color w:val="BD1271"/>
        </w:rPr>
        <w:t xml:space="preserve">1. </w:t>
      </w:r>
      <w:r>
        <w:rPr>
          <w:color w:val="000000"/>
        </w:rPr>
        <w:t>Zmanjšanje birokracije (dovoljenja, certifikati).</w:t>
      </w:r>
    </w:p>
    <w:p>
      <w:pPr>
        <w:pStyle w:val="P68B1DB1Normal84"/>
        <w:widowControl w:val="false"/>
        <w:spacing w:lineRule="auto" w:line="240"/>
        <w:ind w:left="142" w:right="0" w:hanging="0"/>
        <w:jc w:val="left"/>
        <w:rPr/>
      </w:pPr>
      <w:r>
        <w:rPr>
          <w:color w:val="BD1271"/>
        </w:rPr>
        <w:t xml:space="preserve">2. </w:t>
      </w:r>
      <w:r>
        <w:rPr>
          <w:color w:val="000000"/>
        </w:rPr>
        <w:t>Zmanjšati standardizacijo proizvodov ter priznati lokalne in regionalne posebnosti v zvezi s kulturo in proizvodnjo (spoštovanje tradicije proizvodnje).</w:t>
      </w:r>
    </w:p>
    <w:p>
      <w:pPr>
        <w:pStyle w:val="P68B1DB1Normal84"/>
        <w:widowControl w:val="false"/>
        <w:spacing w:lineRule="auto" w:line="240"/>
        <w:ind w:left="142" w:right="417" w:hanging="0"/>
        <w:jc w:val="left"/>
        <w:rPr/>
      </w:pPr>
      <w:r>
        <w:rPr>
          <w:color w:val="BD1271"/>
        </w:rPr>
        <w:t xml:space="preserve">3. </w:t>
      </w:r>
      <w:r>
        <w:rPr>
          <w:color w:val="000000"/>
        </w:rPr>
        <w:t>Presega logiko kvot v kmetijski proizvodnji in posledično uničenje presežne proizvodnje.</w:t>
      </w:r>
    </w:p>
    <w:p>
      <w:pPr>
        <w:pStyle w:val="P68B1DB1Normal84"/>
        <w:widowControl w:val="false"/>
        <w:spacing w:lineRule="auto" w:line="240"/>
        <w:ind w:left="142" w:right="0" w:hanging="0"/>
        <w:jc w:val="left"/>
        <w:rPr/>
      </w:pPr>
      <w:r>
        <w:rPr>
          <w:color w:val="BD1271"/>
        </w:rPr>
        <w:t xml:space="preserve">4. </w:t>
      </w:r>
      <w:r>
        <w:rPr>
          <w:color w:val="000000"/>
        </w:rPr>
        <w:t>Boj proti ponarejanju in nelojalni konkurenci.</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Merjenje rasti glede na srečo v populaciji in ne glede na količino izdelkov </w:t>
      </w:r>
    </w:p>
    <w:p>
      <w:pPr>
        <w:pStyle w:val="P68B1DB1Normal76"/>
        <w:widowControl w:val="false"/>
        <w:spacing w:lineRule="auto" w:line="240" w:before="88" w:after="0"/>
        <w:ind w:left="0" w:right="0" w:hanging="0"/>
        <w:jc w:val="both"/>
        <w:rPr/>
      </w:pPr>
      <w:r>
        <w:rPr/>
        <w:t xml:space="preserve">Preseganje proizvodnega modela preteklega stoletja ne pomeni le spreminjanja proizvodnih metod, temveč tudi razvoj nove kulture, v kateri kazalniki rasti niso osredotočeni le na količino proizvedenega blaga, temveč tudi na sposobnost, da državljanom zagotovijo cilj sreče. V tem novem gospodarstvu blago ne more biti osrednja točka premislekov v smislu učinka in naložb, vendar se mora ta kraj vrniti ljudem. To vključuje prehod s sistema kazalnikov, ki temeljijo na količini proizvedenega blaga (BDP), na sistem, ki lahko meri blaginjo ljudi (BIB – bruto domača sreča).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PRIPOROČILO NA KRATKO </w:t>
      </w:r>
    </w:p>
    <w:p>
      <w:pPr>
        <w:pStyle w:val="P68B1DB1Normal84"/>
        <w:widowControl w:val="false"/>
        <w:spacing w:lineRule="auto" w:line="240" w:before="69" w:after="0"/>
        <w:ind w:left="142" w:right="0" w:hanging="0"/>
        <w:jc w:val="left"/>
        <w:rPr/>
      </w:pPr>
      <w:r>
        <w:rPr>
          <w:color w:val="BD1271"/>
        </w:rPr>
        <w:t xml:space="preserve">1. </w:t>
      </w:r>
      <w:r>
        <w:rPr>
          <w:color w:val="000000"/>
        </w:rPr>
        <w:t>Razviti gospodarstvo, ki je bolj osredotočeno na proizvodnjo sreče (bruto domače sreče) kot na blago (bruto domači proizvod).</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Večje povezovanje med državami </w:t>
      </w:r>
    </w:p>
    <w:p>
      <w:pPr>
        <w:pStyle w:val="P68B1DB1Normal76"/>
        <w:widowControl w:val="false"/>
        <w:spacing w:lineRule="auto" w:line="240" w:before="49" w:after="0"/>
        <w:ind w:left="0" w:right="0" w:hanging="0"/>
        <w:jc w:val="both"/>
        <w:rPr/>
      </w:pPr>
      <w:r>
        <w:rPr/>
        <w:t xml:space="preserve">Vsem, tudi tistim, ki so manj zadovoljni s sedanjo organizacijo in rezultati, ki jih je doslej dosegla Evropska unija, je jasno, da monetarna unija ni dovolj in da se mora Evropa z vedno večjo močjo razvijati kot koherentna politična enota, ki se je sposobna pogajati z enim glasom zunaj in delovati z večjo solidarnostjo. Močnejša unija je bistven vidik krepitve politične, trgovinske in proizvodne moči Evropske unije: homogenost temeljnih zakonov ter celosten in skladen sistem obdavčitve podjetij in državljanov, v katerem so plače in storitve za državljane usklajene. Le tako bomo imeli Evropo, ki bo lahko zmanjšala socialne razlike in spodbujala kakovost življenja. </w:t>
      </w:r>
    </w:p>
    <w:p>
      <w:pPr>
        <w:pStyle w:val="P68B1DB1Normal76"/>
        <w:widowControl w:val="false"/>
        <w:spacing w:lineRule="auto" w:line="240" w:before="1" w:after="0"/>
        <w:ind w:left="0" w:right="2" w:hanging="0"/>
        <w:jc w:val="both"/>
        <w:rPr/>
      </w:pPr>
      <w:r>
        <w:rPr/>
        <w:t xml:space="preserve">To pomeni, da se ne vrnemo na dosežke zadnjih let in ohranimo koncept socialne države, ki so ga udeleženci okrogle mize opredelili kot najbolj naprednega na svetu in najbolj zaskrbljeni glede zagotavljanja enakih možnosti in socialne pravičnosti za svoje državljane. </w:t>
      </w:r>
    </w:p>
    <w:p>
      <w:pPr>
        <w:pStyle w:val="P68B1DB1Normal83"/>
        <w:widowControl w:val="false"/>
        <w:spacing w:lineRule="auto" w:line="240" w:before="72" w:after="0"/>
        <w:ind w:left="3000" w:right="0" w:hanging="0"/>
        <w:jc w:val="left"/>
        <w:rPr>
          <w:rFonts w:ascii="Arial" w:hAnsi="Arial"/>
          <w:b/>
          <w:b/>
          <w:color w:val="2E74B5"/>
          <w:sz w:val="24"/>
        </w:rPr>
      </w:pPr>
      <w:r>
        <w:rPr/>
        <w:t xml:space="preserve">PRIPOROČILA NA KRATKO </w:t>
      </w:r>
    </w:p>
    <w:p>
      <w:pPr>
        <w:pStyle w:val="P68B1DB1Normal84"/>
        <w:widowControl w:val="false"/>
        <w:spacing w:lineRule="auto" w:line="240" w:before="69" w:after="0"/>
        <w:ind w:left="283" w:right="0" w:hanging="0"/>
        <w:jc w:val="left"/>
        <w:rPr/>
      </w:pPr>
      <w:r>
        <w:rPr>
          <w:color w:val="BD1271"/>
        </w:rPr>
        <w:t xml:space="preserve">1. </w:t>
      </w:r>
      <w:r>
        <w:rPr>
          <w:color w:val="000000"/>
        </w:rPr>
        <w:t>Ne posegajte v socialne pravice (javno zdravje, javno izobraževanje, politike dela).</w:t>
      </w:r>
    </w:p>
    <w:p>
      <w:pPr>
        <w:pStyle w:val="P68B1DB1Normal84"/>
        <w:widowControl w:val="false"/>
        <w:spacing w:lineRule="auto" w:line="240"/>
        <w:ind w:left="283" w:right="0" w:hanging="0"/>
        <w:jc w:val="left"/>
        <w:rPr/>
      </w:pPr>
      <w:r>
        <w:rPr>
          <w:color w:val="BD1271"/>
        </w:rPr>
        <w:t xml:space="preserve">2. </w:t>
      </w:r>
      <w:r>
        <w:rPr>
          <w:color w:val="000000"/>
        </w:rPr>
        <w:t>Utrditi, kar je bilo storjeno v zvezi z enotno valuto ter medsebojnim povezovanjem plačilnih sistemov in telekomunikacij.</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Vendar se danes vse, kar je bilo storjeno v preteklosti, ne zdi več dovolj in Evropa prihodnosti mora narediti odločilen korak naprej v smislu povezovanja med državami članicami v skladu z notranjo vizijo, ki ne temelji več na konkurenci, temveč na sodelovanju, ki zagotavlja, da imajo lahko vsi evropski državljani enake sisteme jamstev in priložnosti v vseh državah članicah Unije.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PRIPOROČILA NA KRATKO </w:t>
      </w:r>
    </w:p>
    <w:p>
      <w:pPr>
        <w:pStyle w:val="P68B1DB1Normal84"/>
        <w:widowControl w:val="false"/>
        <w:spacing w:lineRule="auto" w:line="240" w:before="72" w:after="0"/>
        <w:ind w:left="283" w:right="0" w:hanging="0"/>
        <w:jc w:val="left"/>
        <w:rPr/>
      </w:pPr>
      <w:r>
        <w:rPr>
          <w:color w:val="BD1271"/>
        </w:rPr>
        <w:t xml:space="preserve">1. </w:t>
      </w:r>
      <w:r>
        <w:rPr>
          <w:color w:val="000000"/>
        </w:rPr>
        <w:t>Presegajo sebičnost držav in težnjo po iskanju individualnih koristi na račun drugih.</w:t>
      </w:r>
    </w:p>
    <w:p>
      <w:pPr>
        <w:pStyle w:val="P68B1DB1Normal84"/>
        <w:widowControl w:val="false"/>
        <w:spacing w:lineRule="auto" w:line="240"/>
        <w:ind w:left="283" w:right="0" w:hanging="0"/>
        <w:jc w:val="left"/>
        <w:rPr/>
      </w:pPr>
      <w:r>
        <w:rPr>
          <w:color w:val="BD1271"/>
        </w:rPr>
        <w:t xml:space="preserve">2. </w:t>
      </w:r>
      <w:r>
        <w:rPr>
          <w:color w:val="000000"/>
        </w:rPr>
        <w:t>Vzpostaviti sistem z enakimi zakoni, davčnimi sistemi, pravicami in dolžnostmi v vseh državah.</w:t>
      </w:r>
    </w:p>
    <w:p>
      <w:pPr>
        <w:pStyle w:val="P68B1DB1Normal84"/>
        <w:widowControl w:val="false"/>
        <w:spacing w:lineRule="auto" w:line="240"/>
        <w:ind w:left="283" w:right="0" w:hanging="0"/>
        <w:jc w:val="left"/>
        <w:rPr/>
      </w:pPr>
      <w:r>
        <w:rPr>
          <w:color w:val="BD1271"/>
        </w:rPr>
        <w:t xml:space="preserve">3. </w:t>
      </w:r>
      <w:r>
        <w:rPr>
          <w:color w:val="000000"/>
        </w:rPr>
        <w:t>Usklajene davčne ureditve med različnimi državami, zlasti v zvezi s podjetji (brez prostih con ali nizke obdavčitve).</w:t>
      </w:r>
    </w:p>
    <w:p>
      <w:pPr>
        <w:pStyle w:val="P68B1DB1Normal84"/>
        <w:widowControl w:val="false"/>
        <w:spacing w:lineRule="auto" w:line="240"/>
        <w:ind w:left="283" w:right="416" w:hanging="0"/>
        <w:jc w:val="left"/>
        <w:rPr/>
      </w:pPr>
      <w:r>
        <w:rPr>
          <w:color w:val="BD1271"/>
        </w:rPr>
        <w:t xml:space="preserve">4. </w:t>
      </w:r>
      <w:r>
        <w:rPr>
          <w:color w:val="000000"/>
        </w:rPr>
        <w:t>Dosledne cene izdelkov in zagotavljanje enake kupne moči med različnimi državami.</w:t>
      </w:r>
    </w:p>
    <w:p>
      <w:pPr>
        <w:pStyle w:val="P68B1DB1Normal84"/>
        <w:widowControl w:val="false"/>
        <w:spacing w:lineRule="auto" w:line="240"/>
        <w:ind w:left="283" w:right="416" w:hanging="0"/>
        <w:jc w:val="left"/>
        <w:rPr/>
      </w:pPr>
      <w:r>
        <w:rPr>
          <w:color w:val="BD1271"/>
        </w:rPr>
        <w:t xml:space="preserve">5. </w:t>
      </w:r>
      <w:r>
        <w:rPr>
          <w:color w:val="000000"/>
        </w:rPr>
        <w:t>Zmanjšati razlike v plačah med različnimi državami in geografskimi regijami znotraj iste države.</w:t>
      </w:r>
    </w:p>
    <w:p>
      <w:pPr>
        <w:pStyle w:val="P68B1DB1Normal84"/>
        <w:widowControl w:val="false"/>
        <w:spacing w:lineRule="auto" w:line="240"/>
        <w:ind w:left="283" w:right="416" w:hanging="0"/>
        <w:jc w:val="left"/>
        <w:rPr/>
      </w:pPr>
      <w:r>
        <w:rPr>
          <w:color w:val="BD1271"/>
        </w:rPr>
        <w:t xml:space="preserve">6. </w:t>
      </w:r>
      <w:r>
        <w:rPr>
          <w:color w:val="000000"/>
        </w:rPr>
        <w:t>Da javni dolg več držav članic postane skupna odgovornost.</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Politike vključevanja </w:t>
      </w:r>
    </w:p>
    <w:p>
      <w:pPr>
        <w:pStyle w:val="P68B1DB1Normal76"/>
        <w:widowControl w:val="false"/>
        <w:spacing w:lineRule="auto" w:line="240" w:before="88" w:after="0"/>
        <w:ind w:left="0" w:right="0" w:hanging="0"/>
        <w:jc w:val="both"/>
        <w:rPr/>
      </w:pPr>
      <w:r>
        <w:rPr/>
        <w:t xml:space="preserve">Pravična Evropa, ki je sposobna ponuditi srečo svojim državljanom, je vključujoča Evropa, ki vedno posveča veliko pozornosti boju proti neenakosti. Priporočila določajo pot naprej za doseganje dolgoročnih ciljev (kot je enakost spolov) in določajo nove zahteve, povezane s kulturnimi spremembami sodobnih družb (digitalna neenakost in pravica do življenja v zdravem okolju).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PRIPOROČILA NA KRATKO </w:t>
      </w:r>
    </w:p>
    <w:p>
      <w:pPr>
        <w:pStyle w:val="P68B1DB1Normal84"/>
        <w:widowControl w:val="false"/>
        <w:spacing w:lineRule="auto" w:line="240" w:before="69" w:after="0"/>
        <w:ind w:left="283" w:right="0" w:hanging="0"/>
        <w:jc w:val="left"/>
        <w:rPr/>
      </w:pPr>
      <w:r>
        <w:rPr>
          <w:color w:val="BD1271"/>
        </w:rPr>
        <w:t xml:space="preserve">1. </w:t>
      </w:r>
      <w:r>
        <w:rPr>
          <w:color w:val="000000"/>
        </w:rPr>
        <w:t>Doseganje popolne enakosti spolov, vključno s krepitvijo očetovskega starševskega dopusta in otroškega varstva.</w:t>
      </w:r>
    </w:p>
    <w:p>
      <w:pPr>
        <w:pStyle w:val="P68B1DB1Normal84"/>
        <w:widowControl w:val="false"/>
        <w:spacing w:lineRule="auto" w:line="240"/>
        <w:ind w:left="283" w:right="0" w:hanging="0"/>
        <w:jc w:val="left"/>
        <w:rPr/>
      </w:pPr>
      <w:r>
        <w:rPr>
          <w:color w:val="BD1271"/>
        </w:rPr>
        <w:t xml:space="preserve">2. </w:t>
      </w:r>
      <w:r>
        <w:rPr>
          <w:color w:val="000000"/>
        </w:rPr>
        <w:t>Boj proti digitalnim neenakostim.</w:t>
      </w:r>
    </w:p>
    <w:p>
      <w:pPr>
        <w:pStyle w:val="P68B1DB1Normal84"/>
        <w:widowControl w:val="false"/>
        <w:spacing w:lineRule="auto" w:line="240"/>
        <w:ind w:left="283" w:right="0" w:hanging="0"/>
        <w:jc w:val="left"/>
        <w:rPr/>
      </w:pPr>
      <w:r>
        <w:rPr>
          <w:color w:val="BD1271"/>
        </w:rPr>
        <w:t xml:space="preserve">3. </w:t>
      </w:r>
      <w:r>
        <w:rPr>
          <w:color w:val="000000"/>
        </w:rPr>
        <w:t>Zagotoviti, da lahko vsi evropski državljani živijo v zdravem in trajnostnem okolju.</w:t>
      </w:r>
    </w:p>
    <w:p>
      <w:pPr>
        <w:pStyle w:val="P68B1DB1Normal84"/>
        <w:widowControl w:val="false"/>
        <w:spacing w:lineRule="auto" w:line="240"/>
        <w:ind w:left="283" w:right="0" w:hanging="0"/>
        <w:jc w:val="left"/>
        <w:rPr/>
      </w:pPr>
      <w:r>
        <w:rPr>
          <w:color w:val="BD1271"/>
        </w:rPr>
        <w:t xml:space="preserve">4. </w:t>
      </w:r>
      <w:r>
        <w:rPr>
          <w:color w:val="000000"/>
        </w:rPr>
        <w:t>Zagotoviti priložnosti za družbeno mobilnost in zato imeti vse možnosti za osebni razvoj in samoodločbo</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Spodbujanje prenove generacij na vseh ravneh</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Upravljanje sprejema beguncev in migrantov na uravnotežen način med različnimi državami.</w:t>
      </w:r>
    </w:p>
    <w:p>
      <w:pPr>
        <w:pStyle w:val="P68B1DB1Normal76"/>
        <w:widowControl w:val="false"/>
        <w:spacing w:lineRule="auto" w:line="240" w:before="106" w:after="0"/>
        <w:ind w:left="0" w:right="0" w:hanging="0"/>
        <w:jc w:val="both"/>
        <w:rPr/>
      </w:pPr>
      <w:r>
        <w:rPr/>
        <w:t xml:space="preserve">Spet se zdi, da je vloga šol in izobraževalnih politik osrednjega pomena, ne le zato, da bi mladim zagotovili znanja in spretnosti, ki jih potrebujejo za vstop na trg dela, temveč tudi za izgradnjo evropske kulture. Po izgradnji Evrope institucij je bistvenega pomena, da se zgradi Evropa narodov. V zvezi s tem je poudarek na osrednji vlogi skupnega jezika, da se omogoči dialog med državljani različnih držav in enak dostop do storitev. Ko so Esperantove sanje propadle, je izstop Združenega kraljestva iz Evropske unije vzbudil dvome o možnosti sprejetja angleščine kot skupnega jezika, ključnega jezika mednarodnih odnosov ter znotraj znanstvenega in gospodarskega sistema.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PRIPOROČILA NA KRATKO </w:t>
      </w:r>
    </w:p>
    <w:p>
      <w:pPr>
        <w:pStyle w:val="P68B1DB1Normal84"/>
        <w:widowControl w:val="false"/>
        <w:spacing w:lineRule="auto" w:line="240" w:before="72" w:after="0"/>
        <w:ind w:left="283" w:right="0" w:hanging="0"/>
        <w:jc w:val="left"/>
        <w:rPr/>
      </w:pPr>
      <w:r>
        <w:rPr>
          <w:color w:val="BD1271"/>
        </w:rPr>
        <w:t xml:space="preserve">1. </w:t>
      </w:r>
      <w:r>
        <w:rPr>
          <w:color w:val="000000"/>
        </w:rPr>
        <w:t>Spodbujanje sprejemanja skupnega jezika.</w:t>
      </w:r>
    </w:p>
    <w:p>
      <w:pPr>
        <w:pStyle w:val="P68B1DB1Normal84"/>
        <w:widowControl w:val="false"/>
        <w:spacing w:lineRule="auto" w:line="240"/>
        <w:ind w:left="283" w:right="0" w:hanging="0"/>
        <w:jc w:val="left"/>
        <w:rPr/>
      </w:pPr>
      <w:r>
        <w:rPr>
          <w:color w:val="BD1271"/>
        </w:rPr>
        <w:t xml:space="preserve">2. </w:t>
      </w:r>
      <w:r>
        <w:rPr>
          <w:color w:val="000000"/>
        </w:rPr>
        <w:t>Vlagati v šole in poučevanje evropske zgodovine, ne pa v posamezne države, pa tudi v poučevanje politične ekonomije in državljanske vzgoje.</w:t>
      </w:r>
    </w:p>
    <w:p>
      <w:pPr>
        <w:pStyle w:val="P68B1DB1Normal84"/>
        <w:widowControl w:val="false"/>
        <w:spacing w:lineRule="auto" w:line="240"/>
        <w:ind w:left="283" w:right="417" w:hanging="0"/>
        <w:jc w:val="left"/>
        <w:rPr/>
      </w:pPr>
      <w:r>
        <w:rPr>
          <w:color w:val="BD1271"/>
        </w:rPr>
        <w:t xml:space="preserve">3. </w:t>
      </w:r>
      <w:r>
        <w:rPr>
          <w:color w:val="000000"/>
        </w:rPr>
        <w:t>Dostop do kulture, izobraževanja in izmenjav med študenti in državljani različnih držav članic.</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Politike vključevanja imajo ključno vlogo pri zagotavljanju dostopa državljanov do priložnosti. V zvezi s tem so udeleženci okrogle mize poudarili, da Italija pogosto ne more uporabiti sredstev EU, ki so na voljo v ta namen. Vključevanje in dostopnost pomenita, da morajo biti evropske institucije bližje svojim državljanom, ti koncepti pa so tesno povezani z več informacijami in ozaveščenostjo o pravicah, ki jih imajo evropski državljani kot taki. S tega vidika se je pojavil pomen neposrednega odnosa med institucijami EU in državljani, ne da bi jih morale posredovati države članice.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PRIPOROČILA NA KRATKO</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Spodbujati uporabo sredstev EU za zmanjšanje neenakosti</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Dostopnost in bližina evropskih institucij državljanom.</w:t>
      </w:r>
    </w:p>
    <w:p>
      <w:pPr>
        <w:pStyle w:val="P68B1DB1Normal84"/>
        <w:widowControl w:val="false"/>
        <w:spacing w:lineRule="auto" w:line="240"/>
        <w:ind w:left="283" w:right="416" w:hanging="0"/>
        <w:jc w:val="left"/>
        <w:rPr/>
      </w:pPr>
      <w:r>
        <w:rPr>
          <w:color w:val="BD1271"/>
        </w:rPr>
        <w:t xml:space="preserve">3. </w:t>
      </w:r>
      <w:r>
        <w:rPr>
          <w:color w:val="000000"/>
        </w:rPr>
        <w:t>Jasno obveščajo državljane o njihovih pravicah in priložnostih ter spodbujajo neposreden dostop državljanov do njih.</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Zaposlitev </w:t>
      </w:r>
    </w:p>
    <w:p>
      <w:pPr>
        <w:pStyle w:val="Normal"/>
        <w:widowControl w:val="false"/>
        <w:spacing w:lineRule="auto" w:line="240" w:before="97" w:after="0"/>
        <w:ind w:left="0" w:right="1" w:hanging="0"/>
        <w:jc w:val="both"/>
        <w:rPr/>
      </w:pPr>
      <w:r>
        <w:rPr>
          <w:color w:val="000000"/>
        </w:rPr>
        <w:t xml:space="preserve">Vprašanje zaposlovanja se nenehno pojavlja kot medsektorski element in neposreden učinek zmožnosti Evropske unije, da se odzove na njena priporočila. Med razpravo </w:t>
      </w:r>
      <w:r>
        <w:rPr>
          <w:color w:val="FF0000"/>
        </w:rPr>
        <w:t>med</w:t>
      </w:r>
      <w:r>
        <w:rPr>
          <w:color w:val="000000"/>
        </w:rPr>
        <w:t xml:space="preserve"> udeleženci je bilo jasno, da je vprašanje zaposlovanja v središču življenja državljanov, vendar gre z roko v roki s krepitvijo vprašanj ekonomske in socialne pravičnosti. Evropska unija, v kateri bodo aktivne politike dela še naprej osrednje in vedno bolj usklajene, je zelo pričakovana.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PRIPOROČILA NA KRATKO</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Spodbujanje trgovine med delavci v Evropi prek Evropskega centra za zaposlovanje.</w:t>
      </w:r>
    </w:p>
    <w:p>
      <w:pPr>
        <w:pStyle w:val="P68B1DB1Normal84"/>
        <w:widowControl w:val="false"/>
        <w:spacing w:lineRule="auto" w:line="240"/>
        <w:ind w:left="283" w:right="0" w:hanging="0"/>
        <w:jc w:val="left"/>
        <w:rPr/>
      </w:pPr>
      <w:r>
        <w:rPr>
          <w:color w:val="BD1271"/>
        </w:rPr>
        <w:t xml:space="preserve">2. </w:t>
      </w:r>
      <w:r>
        <w:rPr>
          <w:color w:val="000000"/>
        </w:rPr>
        <w:t>Integrirane politike zaposlovanja na ravni EU.</w:t>
      </w:r>
    </w:p>
    <w:p>
      <w:pPr>
        <w:pStyle w:val="P68B1DB1Normal84"/>
        <w:widowControl w:val="false"/>
        <w:spacing w:lineRule="auto" w:line="240"/>
        <w:ind w:left="283" w:right="0" w:hanging="0"/>
        <w:jc w:val="left"/>
        <w:rPr/>
      </w:pPr>
      <w:r>
        <w:rPr>
          <w:color w:val="BD1271"/>
        </w:rPr>
        <w:t xml:space="preserve">3. </w:t>
      </w:r>
      <w:r>
        <w:rPr>
          <w:color w:val="000000"/>
        </w:rPr>
        <w:t>Zagotoviti spodbude za podjetja, ki ponujajo delovna mesta.</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Evropa v svetu </w:t>
      </w:r>
    </w:p>
    <w:p>
      <w:pPr>
        <w:pStyle w:val="P68B1DB1Normal76"/>
        <w:widowControl w:val="false"/>
        <w:spacing w:lineRule="exact" w:line="380" w:before="143" w:after="0"/>
        <w:ind w:left="74" w:right="0" w:hanging="0"/>
        <w:jc w:val="both"/>
        <w:rPr/>
      </w:pPr>
      <w:r>
        <w:rPr/>
        <w:t xml:space="preserve">Nedavni mednarodni dogodki, zlasti vojna med Rusijo in Ukrajino, so močno vplivali na dojemanje vloge, ki jo bo morala imeti Evropa na mednarodni ravni. Zbrana priporočila so bila osredotočena predvsem na krepitev EU (tako v smislu identitete kot gospodarske moči) ter njeno umestitev kot referenčni model in model okrevanja v njenih odnosih z drugimi državami.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Obrazec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8"/>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Krepitev evropske identitete</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Krepitev gospodarstva in institucij</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Sodelovanje in partnerstva</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Politična in kulturna referenčna točka</w:t>
                              </w:r>
                            </w:p>
                          </w:txbxContent>
                        </wps:txbx>
                        <wps:bodyPr lIns="90000" rIns="90000" tIns="45000" bIns="45000">
                          <a:noAutofit/>
                        </wps:bodyPr>
                      </wps:wsp>
                    </wpg:wgp>
                  </a:graphicData>
                </a:graphic>
              </wp:anchor>
            </w:drawing>
          </mc:Choice>
          <mc:Fallback>
            <w:pict>
              <v:group id="shape_0" alt="Obrazec7" style="position:absolute;margin-left:-13.1pt;margin-top:5.35pt;width:508.1pt;height:71.15pt" coordorigin="-262,107" coordsize="10162,1423">
                <v:shape id="shape_0" stroked="f" style="position:absolute;left:438;top:982;width:8699;height:548;rotation:180" type="shapetype_75">
                  <v:imagedata r:id="rId109"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Krepitev evropske identitete</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Krepitev gospodarstva in institucij</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Sodelovanje in partnerstva</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Politična in kulturna referenčna točka</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Krepitev evropske identitete</w:t>
      </w:r>
    </w:p>
    <w:p>
      <w:pPr>
        <w:pStyle w:val="P68B1DB1Normal76"/>
        <w:widowControl w:val="false"/>
        <w:spacing w:lineRule="auto" w:line="240" w:before="106" w:after="0"/>
        <w:ind w:left="74" w:right="0" w:hanging="0"/>
        <w:jc w:val="both"/>
        <w:rPr/>
      </w:pPr>
      <w:r>
        <w:rPr/>
        <w:t xml:space="preserve">Da bi bila Evropska unija priznana zunaj svojih meja, mora najprej pokazati notranjo kohezijo, ne le ekonomsko in finančno, temveč tudi v smislu identitete in vrednot. Identiteta, ki ni ustvarjena z odobritvijo, temveč z vrednotenjem lokalnih posebnosti v okviru skupnih bistvenih vrednot. </w:t>
      </w:r>
    </w:p>
    <w:p>
      <w:pPr>
        <w:pStyle w:val="P68B1DB1Normal76"/>
        <w:widowControl w:val="false"/>
        <w:spacing w:lineRule="auto" w:line="240" w:before="78" w:after="0"/>
        <w:ind w:left="74" w:right="1" w:hanging="0"/>
        <w:jc w:val="both"/>
        <w:rPr/>
      </w:pPr>
      <w:r>
        <w:rPr/>
        <w:t xml:space="preserve">Pri tem je bil upoštevan tudi razmislek o morebitni širitvi področja uporabe Unije: po mnenju nekaterih udeležencev okrogle mize ne bi smela potekati na nediferenciran način, temveč bi se morala osredotočiti na vzajemno priznavanje kulture in vrednot, ne pa na gospodarske standarde.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PRIPOROČILA NA KRATKO</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Krepitev evropskih kulturnih vrednot in značilnosti ter regionalnih posebnosti.</w:t>
      </w:r>
    </w:p>
    <w:p>
      <w:pPr>
        <w:pStyle w:val="P68B1DB1Normal84"/>
        <w:widowControl w:val="false"/>
        <w:spacing w:lineRule="auto" w:line="240"/>
        <w:ind w:left="358" w:right="0" w:hanging="0"/>
        <w:jc w:val="left"/>
        <w:rPr/>
      </w:pPr>
      <w:r>
        <w:rPr>
          <w:color w:val="BD1271"/>
        </w:rPr>
        <w:t xml:space="preserve">2. </w:t>
      </w:r>
      <w:r>
        <w:rPr>
          <w:color w:val="000000"/>
        </w:rPr>
        <w:t>Ustanovitev inštituta za evropsko kulturo za spodbujanje kulture spoštovanja in medsebojne obogatitve med državljani različnih držav.</w:t>
      </w:r>
    </w:p>
    <w:p>
      <w:pPr>
        <w:pStyle w:val="P68B1DB1Normal84"/>
        <w:widowControl w:val="false"/>
        <w:spacing w:lineRule="auto" w:line="240"/>
        <w:ind w:left="418" w:right="418" w:hanging="0"/>
        <w:jc w:val="both"/>
        <w:rPr/>
      </w:pPr>
      <w:r>
        <w:rPr>
          <w:color w:val="BD1271"/>
        </w:rPr>
        <w:t xml:space="preserve">3. </w:t>
      </w:r>
      <w:r>
        <w:rPr>
          <w:color w:val="000000"/>
        </w:rPr>
        <w:t>Ponovna opredelitev načel pripadnosti novim državam kandidatkam s krepitvijo dejavnikov, kot so kulturna identiteta in vrednote.</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Krepitev gospodarstva in institucij </w:t>
      </w:r>
    </w:p>
    <w:p>
      <w:pPr>
        <w:pStyle w:val="P68B1DB1Normal76"/>
        <w:widowControl w:val="false"/>
        <w:spacing w:lineRule="auto" w:line="240" w:before="109" w:after="0"/>
        <w:ind w:left="0" w:right="0" w:hanging="0"/>
        <w:jc w:val="both"/>
        <w:rPr/>
      </w:pPr>
      <w:r>
        <w:rPr/>
        <w:t xml:space="preserve">Jutrišnja Evropa naj bi imela vodilno vlogo na mednarodni ravni, ki jo je mogoče prevzeti le z močno in neodvisno Unijo iz drugih držav. Splošno priznano je, da so države EU revne s surovinami, vendar se zdi bistveno, da lahko EU zagotovi večjo neodvisnost na področju oskrbe z energijo, kmetijstva in tehnoloških proizvodov. </w:t>
      </w:r>
    </w:p>
    <w:p>
      <w:pPr>
        <w:pStyle w:val="P68B1DB1Normal76"/>
        <w:widowControl w:val="false"/>
        <w:spacing w:lineRule="auto" w:line="240" w:before="78" w:after="0"/>
        <w:ind w:left="0" w:right="1" w:hanging="0"/>
        <w:jc w:val="both"/>
        <w:rPr/>
      </w:pPr>
      <w:r>
        <w:rPr/>
        <w:t xml:space="preserve">To zahteva posebne naložbe za zaostanek na področjih, kot je tehnologija (na katerih se zdi, da Evropska unija trenutno nima vodilne vloge), pa tudi v živilskem in energetskem sektorju. </w:t>
      </w:r>
    </w:p>
    <w:p>
      <w:pPr>
        <w:pStyle w:val="P68B1DB1Normal76"/>
        <w:widowControl w:val="false"/>
        <w:spacing w:lineRule="auto" w:line="240" w:before="78" w:after="0"/>
        <w:ind w:left="0" w:right="2" w:hanging="0"/>
        <w:jc w:val="both"/>
        <w:rPr/>
      </w:pPr>
      <w:r>
        <w:rPr/>
        <w:t xml:space="preserve">Vojna med Rusijo in Ukrajino je prav tako postavila v središče razprave o pomenu integrirane evropske obrambne politike s posebno identiteto in večjo avtonomijo od Nata, ne da bi podvomili v njegovo članstvo. </w:t>
      </w:r>
    </w:p>
    <w:p>
      <w:pPr>
        <w:pStyle w:val="P68B1DB1Normal76"/>
        <w:widowControl w:val="false"/>
        <w:spacing w:lineRule="auto" w:line="240" w:before="78" w:after="0"/>
        <w:ind w:left="0" w:right="1" w:hanging="0"/>
        <w:jc w:val="left"/>
        <w:rPr/>
      </w:pPr>
      <w:r>
        <w:rPr/>
        <w:t xml:space="preserve">To pomeni tudi jasne odločitve za prihodnost, ki jih spremljajo znatne naložbe v znanost in raziskave, da bi se povečala usposobljenost mladih Evropejcev.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PRIPOROČILA NA KRATKO</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Krepitev notranje proizvodne zmogljivosti: prehrambena veriga (zlasti pšenica) in tehnologija (mikroprocesorji). </w:t>
      </w:r>
    </w:p>
    <w:p>
      <w:pPr>
        <w:pStyle w:val="P68B1DB1Normal84"/>
        <w:widowControl w:val="false"/>
        <w:spacing w:lineRule="auto" w:line="240"/>
        <w:ind w:left="283" w:right="0" w:hanging="0"/>
        <w:jc w:val="left"/>
        <w:rPr/>
      </w:pPr>
      <w:r>
        <w:rPr>
          <w:color w:val="BD1271"/>
        </w:rPr>
        <w:t xml:space="preserve">2. </w:t>
      </w:r>
      <w:r>
        <w:rPr>
          <w:color w:val="000000"/>
        </w:rPr>
        <w:t>Spodbujanje tipičnih regionalnih in evropskih produkcij.</w:t>
      </w:r>
    </w:p>
    <w:p>
      <w:pPr>
        <w:pStyle w:val="P68B1DB1Normal84"/>
        <w:widowControl w:val="false"/>
        <w:spacing w:lineRule="auto" w:line="240"/>
        <w:ind w:left="283" w:right="0" w:hanging="0"/>
        <w:jc w:val="left"/>
        <w:rPr/>
      </w:pPr>
      <w:r>
        <w:rPr>
          <w:color w:val="BD1271"/>
        </w:rPr>
        <w:t xml:space="preserve">3. </w:t>
      </w:r>
      <w:r>
        <w:rPr>
          <w:color w:val="000000"/>
        </w:rPr>
        <w:t>Okrepiti evropske industrijske grozde (npr. jeklo).</w:t>
      </w:r>
    </w:p>
    <w:p>
      <w:pPr>
        <w:pStyle w:val="P68B1DB1Normal84"/>
        <w:widowControl w:val="false"/>
        <w:spacing w:lineRule="auto" w:line="240"/>
        <w:ind w:left="283" w:right="0" w:hanging="0"/>
        <w:jc w:val="left"/>
        <w:rPr/>
      </w:pPr>
      <w:r>
        <w:rPr>
          <w:color w:val="BD1271"/>
        </w:rPr>
        <w:t xml:space="preserve">4. </w:t>
      </w:r>
      <w:r>
        <w:rPr>
          <w:color w:val="000000"/>
        </w:rPr>
        <w:t>Okrepiti lokalno proizvodnjo energije z ekološkega vidika (plin, sončna energija, veter).</w:t>
      </w:r>
    </w:p>
    <w:p>
      <w:pPr>
        <w:pStyle w:val="P68B1DB1Normal84"/>
        <w:widowControl w:val="false"/>
        <w:spacing w:lineRule="auto" w:line="240"/>
        <w:ind w:left="283" w:right="0" w:hanging="0"/>
        <w:jc w:val="left"/>
        <w:rPr/>
      </w:pPr>
      <w:r>
        <w:rPr>
          <w:color w:val="BD1271"/>
        </w:rPr>
        <w:t xml:space="preserve">5. </w:t>
      </w:r>
      <w:r>
        <w:rPr>
          <w:color w:val="000000"/>
        </w:rPr>
        <w:t>Razvoj vesoljskih tehnologij.</w:t>
      </w:r>
    </w:p>
    <w:p>
      <w:pPr>
        <w:pStyle w:val="P68B1DB1Normal84"/>
        <w:widowControl w:val="false"/>
        <w:spacing w:lineRule="auto" w:line="240"/>
        <w:ind w:left="283" w:right="417" w:hanging="0"/>
        <w:jc w:val="left"/>
        <w:rPr/>
      </w:pPr>
      <w:r>
        <w:rPr>
          <w:color w:val="BD1271"/>
        </w:rPr>
        <w:t xml:space="preserve">6. </w:t>
      </w:r>
      <w:r>
        <w:rPr>
          <w:color w:val="000000"/>
        </w:rPr>
        <w:t>Ustanovitev evropskih znanstvenih laboratorijev (Evropska virusna banka).</w:t>
      </w:r>
    </w:p>
    <w:p>
      <w:pPr>
        <w:pStyle w:val="P68B1DB1Normal84"/>
        <w:widowControl w:val="false"/>
        <w:spacing w:lineRule="auto" w:line="240"/>
        <w:ind w:left="283" w:right="417" w:hanging="0"/>
        <w:jc w:val="left"/>
        <w:rPr/>
      </w:pPr>
      <w:r>
        <w:rPr>
          <w:color w:val="BD1271"/>
        </w:rPr>
        <w:t xml:space="preserve">7. </w:t>
      </w:r>
      <w:r>
        <w:rPr>
          <w:color w:val="000000"/>
        </w:rPr>
        <w:t>Ustvariti skupno evropsko vojsko, ki deluje v okviru Nata, pa tudi pomagati, da se preseže.</w:t>
      </w:r>
    </w:p>
    <w:p>
      <w:pPr>
        <w:pStyle w:val="P68B1DB1Normal84"/>
        <w:widowControl w:val="false"/>
        <w:spacing w:lineRule="auto" w:line="240"/>
        <w:ind w:left="283" w:right="417" w:hanging="0"/>
        <w:jc w:val="left"/>
        <w:rPr/>
      </w:pPr>
      <w:r>
        <w:rPr>
          <w:color w:val="BD1271"/>
        </w:rPr>
        <w:t xml:space="preserve">8. </w:t>
      </w:r>
      <w:r>
        <w:rPr>
          <w:color w:val="000000"/>
        </w:rPr>
        <w:t>Vlagati v usposabljanje vodij usposabljanja (evropske izmenjave učiteljev, Erasmus za učitelje).</w:t>
      </w:r>
    </w:p>
    <w:p>
      <w:pPr>
        <w:pStyle w:val="P68B1DB1Normal84"/>
        <w:widowControl w:val="false"/>
        <w:spacing w:lineRule="auto" w:line="240"/>
        <w:ind w:left="283" w:right="416" w:hanging="0"/>
        <w:jc w:val="left"/>
        <w:rPr/>
      </w:pPr>
      <w:r>
        <w:rPr>
          <w:color w:val="BD1271"/>
        </w:rPr>
        <w:t xml:space="preserve">9. </w:t>
      </w:r>
      <w:r>
        <w:rPr>
          <w:color w:val="000000"/>
        </w:rPr>
        <w:t>Povečati mobilnost evropskih raziskovalcev z razvojem novih evropskih znanstvenih institucij</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Spodbujati nastajanje inovativnih zagonskih podjetij.</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Sodelovanje in partnerstva </w:t>
      </w:r>
    </w:p>
    <w:p>
      <w:pPr>
        <w:pStyle w:val="P68B1DB1Normal76"/>
        <w:widowControl w:val="false"/>
        <w:spacing w:lineRule="auto" w:line="240" w:before="109" w:after="0"/>
        <w:ind w:left="0" w:right="2" w:hanging="0"/>
        <w:jc w:val="both"/>
        <w:rPr/>
      </w:pPr>
      <w:r>
        <w:rPr/>
        <w:t xml:space="preserve">Vizija Evrope jutrišnjega dne ni trdnjava, ki brani svoje bogastvo, temveč protagonist na mednarodnem prizorišču, ki je sposoben dialoga z vsemi državami sveta. Dialog, ki se začne s trgovinsko močjo in bi moral biti usmerjen v gospodarsko vodstvo ter ki ga je mogoče utrditi z vzpostavitvijo obsežnih mednarodnih partnerstev in projektov. </w:t>
      </w:r>
    </w:p>
    <w:p>
      <w:pPr>
        <w:pStyle w:val="P68B1DB1Normal76"/>
        <w:widowControl w:val="false"/>
        <w:spacing w:lineRule="auto" w:line="240" w:before="78" w:after="0"/>
        <w:ind w:left="0" w:right="0" w:hanging="0"/>
        <w:jc w:val="both"/>
        <w:rPr/>
      </w:pPr>
      <w:r>
        <w:rPr/>
        <w:t xml:space="preserve">Vse to z namenom sodelovanja in pozornosti najranljivejšim regijam na svetu z ad hoc projekti, namenjenimi poudarjanju najrevnejših držav, ter kulturnih in gospodarskih izmenjav z vzhodnimi državami. </w:t>
      </w:r>
    </w:p>
    <w:p>
      <w:pPr>
        <w:pStyle w:val="P68B1DB1Normal76"/>
        <w:widowControl w:val="false"/>
        <w:spacing w:lineRule="auto" w:line="240" w:before="78" w:after="0"/>
        <w:ind w:left="0" w:right="3" w:hanging="0"/>
        <w:jc w:val="both"/>
        <w:rPr/>
      </w:pPr>
      <w:r>
        <w:rPr/>
        <w:t xml:space="preserve">Posebna pozornost je namenjena tudi vprašanju migracij z boljšim usklajevanjem med državami in uporabo skupnih postopkov za upravljanje vlog in posameznikov.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PRIPOROČILA NA KRATKO</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Povečanje izvoza.</w:t>
      </w:r>
    </w:p>
    <w:p>
      <w:pPr>
        <w:pStyle w:val="P68B1DB1Normal84"/>
        <w:widowControl w:val="false"/>
        <w:spacing w:lineRule="auto" w:line="240"/>
        <w:ind w:left="283" w:right="0" w:hanging="0"/>
        <w:jc w:val="left"/>
        <w:rPr/>
      </w:pPr>
      <w:r>
        <w:rPr>
          <w:color w:val="BD1271"/>
        </w:rPr>
        <w:t xml:space="preserve">2. </w:t>
      </w:r>
      <w:r>
        <w:rPr>
          <w:color w:val="000000"/>
        </w:rPr>
        <w:t>Spodbujanje nadnacionalnih evropskih turističnih poti.</w:t>
      </w:r>
    </w:p>
    <w:p>
      <w:pPr>
        <w:pStyle w:val="P68B1DB1Normal84"/>
        <w:widowControl w:val="false"/>
        <w:spacing w:lineRule="auto" w:line="240"/>
        <w:ind w:left="283" w:right="0" w:hanging="0"/>
        <w:jc w:val="left"/>
        <w:rPr/>
      </w:pPr>
      <w:r>
        <w:rPr>
          <w:color w:val="BD1271"/>
        </w:rPr>
        <w:t xml:space="preserve">3. </w:t>
      </w:r>
      <w:r>
        <w:rPr>
          <w:color w:val="000000"/>
        </w:rPr>
        <w:t>Razviti trgovinski sistem pogajanj na evropski ravni (ne posamično kot države ali podjetja, ampak kot Unija), da bi imeli večjo pogajalsko moč, vendar z omejitvami, povezanimi s spoštovanjem človekovih pravic.</w:t>
      </w:r>
    </w:p>
    <w:p>
      <w:pPr>
        <w:pStyle w:val="P68B1DB1Normal84"/>
        <w:widowControl w:val="false"/>
        <w:spacing w:lineRule="auto" w:line="240"/>
        <w:ind w:left="283" w:right="417" w:hanging="0"/>
        <w:jc w:val="left"/>
        <w:rPr/>
      </w:pPr>
      <w:r>
        <w:rPr>
          <w:color w:val="BD1271"/>
        </w:rPr>
        <w:t xml:space="preserve">4. </w:t>
      </w:r>
      <w:r>
        <w:rPr>
          <w:color w:val="000000"/>
        </w:rPr>
        <w:t>Vodi velike mednarodne projekte, kot je Mednarodna vesoljska postaja.</w:t>
      </w:r>
    </w:p>
    <w:p>
      <w:pPr>
        <w:pStyle w:val="P68B1DB1Normal84"/>
        <w:widowControl w:val="false"/>
        <w:spacing w:lineRule="auto" w:line="240"/>
        <w:ind w:left="283" w:right="417" w:hanging="0"/>
        <w:jc w:val="left"/>
        <w:rPr/>
      </w:pPr>
      <w:r>
        <w:rPr>
          <w:color w:val="BD1271"/>
        </w:rPr>
        <w:t xml:space="preserve">5. </w:t>
      </w:r>
      <w:r>
        <w:rPr>
          <w:color w:val="000000"/>
        </w:rPr>
        <w:t>Financiranje projektov v Afriki za gradnjo šol in bolnišnic, ne da bi se zavzeli za kolonialni slog, vendar s poudarkom na spoštovanju evropskih vrednot in pravic.</w:t>
      </w:r>
    </w:p>
    <w:p>
      <w:pPr>
        <w:pStyle w:val="P68B1DB1Normal84"/>
        <w:widowControl w:val="false"/>
        <w:spacing w:lineRule="auto" w:line="240"/>
        <w:ind w:left="283" w:right="417" w:hanging="0"/>
        <w:jc w:val="left"/>
        <w:rPr/>
      </w:pPr>
      <w:r>
        <w:rPr>
          <w:color w:val="BD1271"/>
        </w:rPr>
        <w:t xml:space="preserve">6. </w:t>
      </w:r>
      <w:r>
        <w:rPr>
          <w:color w:val="000000"/>
        </w:rPr>
        <w:t>Vlagati v usposabljanje na kraju samem (zlasti za ženske) v najrevnejših državah.</w:t>
      </w:r>
    </w:p>
    <w:p>
      <w:pPr>
        <w:pStyle w:val="P68B1DB1Normal84"/>
        <w:widowControl w:val="false"/>
        <w:spacing w:lineRule="auto" w:line="240"/>
        <w:ind w:left="283" w:right="0" w:hanging="0"/>
        <w:jc w:val="left"/>
        <w:rPr/>
      </w:pPr>
      <w:r>
        <w:rPr>
          <w:color w:val="BD1271"/>
        </w:rPr>
        <w:t xml:space="preserve">7. </w:t>
      </w:r>
      <w:r>
        <w:rPr>
          <w:color w:val="000000"/>
        </w:rPr>
        <w:t>Spodbujati izmenjave tehnikov in trenerjev.</w:t>
      </w:r>
    </w:p>
    <w:p>
      <w:pPr>
        <w:pStyle w:val="P68B1DB1Normal84"/>
        <w:widowControl w:val="false"/>
        <w:spacing w:lineRule="auto" w:line="240"/>
        <w:ind w:left="283" w:right="0" w:hanging="0"/>
        <w:jc w:val="left"/>
        <w:rPr/>
      </w:pPr>
      <w:r>
        <w:rPr>
          <w:color w:val="BD1271"/>
        </w:rPr>
        <w:t xml:space="preserve">8. </w:t>
      </w:r>
      <w:r>
        <w:rPr>
          <w:color w:val="000000"/>
        </w:rPr>
        <w:t>Vzpostaviti sistem skupnih pravil za dostop migrantov z različnimi procesi med humanitarnimi in ekonomskimi migracijami ter s pravično porazdelitvijo med različnimi državami, vendar s skupnimi pravili (popis in nadzor nad vedenjem in zaposlovanjem).</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Politična in kulturna referenca </w:t>
      </w:r>
    </w:p>
    <w:p>
      <w:pPr>
        <w:pStyle w:val="P68B1DB1Normal76"/>
        <w:widowControl w:val="false"/>
        <w:spacing w:lineRule="auto" w:line="240" w:before="106" w:after="0"/>
        <w:ind w:left="0" w:right="145" w:hanging="0"/>
        <w:jc w:val="both"/>
        <w:rPr/>
      </w:pPr>
      <w:r>
        <w:rPr/>
        <w:t xml:space="preserve">V zgoraj opisanem scenariju se pričakuje, da bo Evropa zagotovila jasno politično in kulturno referenco na svetovni ravni z vidika pravic in etike ter bo z odločanjem dajala zgled za zagotovitev zdravega okolja, spoštovanja pravic ljudi in dialoga med vzhodom in zahodom.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PRIPOROČILA NA KRATKO</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Vodilno vlogo kot zelena celina, doseganje ničelnih emisij pred drugimi in povečanje proizvodnje čiste energije (veter in sončna energija).</w:t>
      </w:r>
    </w:p>
    <w:p>
      <w:pPr>
        <w:pStyle w:val="P68B1DB1Normal84"/>
        <w:widowControl w:val="false"/>
        <w:spacing w:lineRule="auto" w:line="240"/>
        <w:ind w:left="283" w:right="0" w:hanging="0"/>
        <w:jc w:val="left"/>
        <w:rPr/>
      </w:pPr>
      <w:r>
        <w:rPr>
          <w:color w:val="BD1271"/>
        </w:rPr>
        <w:t xml:space="preserve">2. </w:t>
      </w:r>
      <w:r>
        <w:rPr>
          <w:color w:val="000000"/>
        </w:rPr>
        <w:t>Izvozne tehnologije za proizvodnjo blaga z ničelnim učinkom.</w:t>
      </w:r>
    </w:p>
    <w:p>
      <w:pPr>
        <w:pStyle w:val="P68B1DB1Normal84"/>
        <w:widowControl w:val="false"/>
        <w:spacing w:lineRule="auto" w:line="240"/>
        <w:ind w:left="283" w:right="0" w:hanging="0"/>
        <w:jc w:val="left"/>
        <w:rPr/>
      </w:pPr>
      <w:r>
        <w:rPr>
          <w:color w:val="BD1271"/>
        </w:rPr>
        <w:t xml:space="preserve">3. </w:t>
      </w:r>
      <w:r>
        <w:rPr>
          <w:color w:val="000000"/>
        </w:rPr>
        <w:t>Služiti kot sotočje (javno mesto, agora) med vzhodom in zahodom, ki spodbuja kulturne izmenjave in skupne kulturne pobude (kot so svetovni dnevi umetnosti, ki jih je treba organizirati v različnih evropskih prestolnicah, z umetniškim programom, ki vključuje zahodne in vzhodne umetnike).</w:t>
      </w:r>
    </w:p>
    <w:p>
      <w:pPr>
        <w:pStyle w:val="P68B1DB1Normal84"/>
        <w:widowControl w:val="false"/>
        <w:spacing w:lineRule="auto" w:line="240"/>
        <w:ind w:left="283" w:right="560" w:hanging="0"/>
        <w:jc w:val="left"/>
        <w:rPr/>
      </w:pPr>
      <w:r>
        <w:rPr>
          <w:color w:val="BD1271"/>
        </w:rPr>
        <w:t xml:space="preserve">4. </w:t>
      </w:r>
      <w:r>
        <w:rPr>
          <w:color w:val="000000"/>
        </w:rPr>
        <w:t>Ustvariti evropski etični model za upravljanje migracijskih procesov, ki ga je mogoče deliti na mednarodni ravni.</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Končna ocena udeležencev </w:t>
      </w:r>
    </w:p>
    <w:p>
      <w:pPr>
        <w:pStyle w:val="P68B1DB1Normal76"/>
        <w:widowControl w:val="false"/>
        <w:spacing w:lineRule="auto" w:line="240" w:before="106" w:after="0"/>
        <w:ind w:left="0" w:right="0" w:hanging="0"/>
        <w:jc w:val="both"/>
        <w:rPr/>
      </w:pPr>
      <w:r>
        <w:rPr/>
        <w:t xml:space="preserve">Ob koncu dveh delovnih dni so bili vsi udeleženci pozvani, naj izpolnijo kratek vprašalnik za oceno svojih izkušenj. Ocenjevalni vprašalnik je bil poslan dva dni po koncu izbirnega sveta, da bi imeli vsi udeleženci dovolj časa, da naredijo korak nazaj od izkušenj in da se lahko odzovejo bolj objektivno. </w:t>
      </w:r>
    </w:p>
    <w:p>
      <w:pPr>
        <w:pStyle w:val="Normal"/>
        <w:widowControl w:val="false"/>
        <w:spacing w:lineRule="auto" w:line="240" w:before="78" w:after="0"/>
        <w:ind w:left="0" w:right="2" w:hanging="0"/>
        <w:jc w:val="left"/>
        <w:rPr/>
      </w:pPr>
      <w:r>
        <w:rPr>
          <w:color w:val="000000"/>
        </w:rPr>
        <w:t xml:space="preserve">Zbrani rezultati razkrivajo posebej visoko raven zadovoljstva, tako v smislu zanimanja in enostavnosti sodelovanja ter občutka poslušanja in vključevanja.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Oblika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0"/>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Zadovoljstvo s sodelovanjem v okrogli mizi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Splošno zadovoljstvo z izkušnjami</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Kakovost prispevkov udeležencev</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Skladnost med podanimi priporočili in razpravo</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Enostavnost uporabe platforme</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Spoštovanje raznolikosti mnenj</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Sposobnost moderatorjev, da dajo glas udeležencem in poslušajo njihove intervencije</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Zanimanje za obravnavane teme</w:t>
                              </w:r>
                            </w:p>
                          </w:txbxContent>
                        </wps:txbx>
                        <wps:bodyPr lIns="90000" rIns="90000" tIns="45000" bIns="45000">
                          <a:noAutofit/>
                        </wps:bodyPr>
                      </wps:wsp>
                    </wpg:wgp>
                  </a:graphicData>
                </a:graphic>
              </wp:anchor>
            </w:drawing>
          </mc:Choice>
          <mc:Fallback>
            <w:pict>
              <v:group id="shape_0" alt="Oblika8" style="position:absolute;margin-left:0.05pt;margin-top:3.95pt;width:472.1pt;height:238.2pt" coordorigin="1,79" coordsize="9442,4764">
                <v:shape id="shape_0" stroked="f" style="position:absolute;left:3991;top:846;width:5321;height:3996" type="shapetype_75">
                  <v:imagedata r:id="rId110"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Zadovoljstvo s sodelovanjem v okrogli mizi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Splošno zadovoljstvo z izkušnjami</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Kakovost prispevkov udeležencev</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Skladnost med podanimi priporočili in razpravo</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Enostavnost uporabe platforme</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Spoštovanje raznolikosti mnenj</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Sposobnost moderatorjev, da dajo glas udeležencem in poslušajo njihove intervencije</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Zanimanje za obravnavane teme</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Čeprav so na začetku imeli različne izkušnje, spretnosti in motivacije, so udeleženci čutili močno vpletenost: 98 % vprašanih v ocenjevalnem vprašalniku je menilo, da so dejavno sodelovali in pozitivno prispevali k razpravi.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Na splošno je bila koristnost te izkušnje, ki se je dojemala predvsem kot priložnost za dejavno sodelovanje in ki je dala občutek večje bližine evropskim institucijam, zelo izrazita. Zaradi tega so skoraj vsi anketiranci zahtevali, da se tovrstne pobude sčasoma ponovijo.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Obrazec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1"/>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OCENA INTERESA „ITALIJANSKE OKROGLE MIZE ZA KONFERENCO O PRIHODNOSTI EVROPE“</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 se mora zgoditi pogosteje</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 koristno za to, da se v evropskih institucijah sliši glas državljanov</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Lahko pozitivno prispeva k izboljšanju prihodnosti Evrope</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Približevanje evropskih institucij državljanom</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 je bila izguba časa</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Povsem se strinjam</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Rajši bi se strinjal.</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Brez dogovora in brez dogovora</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 strinjam se.</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Sploh se ne strinjam.</w:t>
                              </w:r>
                            </w:p>
                          </w:txbxContent>
                        </wps:txbx>
                        <wps:bodyPr lIns="90000" rIns="90000" tIns="45000" bIns="45000">
                          <a:noAutofit/>
                        </wps:bodyPr>
                      </wps:wsp>
                    </wpg:wgp>
                  </a:graphicData>
                </a:graphic>
              </wp:anchor>
            </w:drawing>
          </mc:Choice>
          <mc:Fallback>
            <w:pict>
              <v:group id="shape_0" alt="Obrazec9" style="position:absolute;margin-left:0pt;margin-top:5.6pt;width:476.15pt;height:248.3pt" coordorigin="0,112" coordsize="9523,4966">
                <v:shape id="shape_0" stroked="f" style="position:absolute;left:430;top:675;width:9092;height:4095" type="shapetype_75">
                  <v:imagedata r:id="rId111"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OCENA INTERESA „ITALIJANSKE OKROGLE MIZE ZA KONFERENCO O PRIHODNOSTI EVROPE“</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 se mora zgoditi pogosteje</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Je koristno za to, da se v evropskih institucijah sliši glas državljanov</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Lahko pozitivno prispeva k izboljšanju prihodnosti Evrope</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Približevanje evropskih institucij državljanom</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 je bila izguba časa</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Povsem se strinjam</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Rajši bi se strinjal.</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Brez dogovora in brez dogovora</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 strinjam se.</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Sploh se ne strinjam.</w:t>
                        </w:r>
                      </w:p>
                    </w:txbxContent>
                  </v:textbox>
                  <w10:wrap type="square"/>
                  <v:fill o:detectmouseclick="t" on="false"/>
                  <v:stroke color="#3465a4" joinstyle="round" endcap="flat"/>
                </v:rect>
              </v:group>
            </w:pict>
          </mc:Fallback>
        </mc:AlternateContent>
      </w:r>
      <w:r>
        <w:rPr>
          <w:color w:val="000000"/>
        </w:rPr>
        <w:t>Vsi udeleženci so navedli, da če bi se takšna pobuda ponovno organizirala, ne bi bili le pripravljeni sodelovati, temveč bi svojim prijateljem tudi priporočili sodelovanje.</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Nacionalni odbori: Litva</w:t>
      </w:r>
    </w:p>
    <w:p>
      <w:pPr>
        <w:pStyle w:val="P68B1DB1Normal95"/>
        <w:widowControl w:val="false"/>
        <w:spacing w:lineRule="exact" w:line="393"/>
        <w:ind w:left="0" w:right="0" w:hanging="0"/>
        <w:jc w:val="left"/>
        <w:rPr>
          <w:rFonts w:ascii="Arial" w:hAnsi="Arial"/>
          <w:color w:val="5A5A5A"/>
          <w:sz w:val="28"/>
        </w:rPr>
      </w:pPr>
      <w:r>
        <w:rPr/>
        <w:t xml:space="preserve">Litovska državljanska okrogla miza o prihodnosti Evrope </w:t>
      </w:r>
    </w:p>
    <w:p>
      <w:pPr>
        <w:pStyle w:val="P68B1DB1Normal95"/>
        <w:widowControl w:val="false"/>
        <w:spacing w:lineRule="exact" w:line="460"/>
        <w:ind w:left="4320" w:right="0" w:hanging="0"/>
        <w:jc w:val="left"/>
        <w:rPr>
          <w:rFonts w:ascii="Arial" w:hAnsi="Arial"/>
          <w:color w:val="5A5A5A"/>
          <w:sz w:val="28"/>
        </w:rPr>
      </w:pPr>
      <w:r>
        <w:rPr/>
        <w:t xml:space="preserve">Poročilo </w:t>
      </w:r>
    </w:p>
    <w:p>
      <w:pPr>
        <w:pStyle w:val="P68B1DB1Normal76"/>
        <w:widowControl w:val="false"/>
        <w:spacing w:lineRule="exact" w:line="227" w:before="87" w:after="0"/>
        <w:ind w:left="0" w:right="2" w:hanging="0"/>
        <w:jc w:val="both"/>
        <w:rPr/>
      </w:pPr>
      <w:r>
        <w:rPr/>
        <w:t xml:space="preserve">To poročilo je sestavljeno iz štirih delov. Prvi na kratko predstavi potek dogodka. V drugem so predstavljena priporočila udeležencev državljanske okrogle mize za politike EU in Litve. Tretji vsebuje kratko analizo razprav v skupinah in glavne rezultate foruma. Četrta primerjava rezultatov državljanske okrogle mize z rezultati litovskih državljanskih raziskav o stanju in prihodnosti Evrope.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Vodenje nacionalne državljanske okrogle mize</w:t>
      </w:r>
    </w:p>
    <w:p>
      <w:pPr>
        <w:pStyle w:val="Normal"/>
        <w:widowControl w:val="false"/>
        <w:spacing w:lineRule="exact" w:line="253" w:before="95" w:after="0"/>
        <w:ind w:left="0" w:right="0" w:hanging="0"/>
        <w:jc w:val="both"/>
        <w:rPr/>
      </w:pPr>
      <w:r>
        <w:rPr>
          <w:color w:val="000000"/>
        </w:rPr>
        <w:t>V skladu s smernicami za organizacijo nacionalnih okroglih miz državljanov v okviru konference o prihodnosti Evrope je raziskovalni inštitut Kantar TNS LT decembra 2021 na zahtevo ministrstva za zunanje zadeve (MAE) razvil stratificirano metodologijo naključnega izbora reprezentativnega vzorca litovskega prebivalstva, na podlagi katere je Kantar TNS izbral 25 litovskih državljanov, starih od 18 do 65 let, ki predstavljajo različne socialno-ekonomske skupine in vse geografske regije Litve</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Izbrani državljani so bili 4. januarja povabljeni na virtualno uvodno sejo, na kateri je bila predstavljena zamisel o nacionalni državljanski okrogli mizi, potekala pa so tudi izmenjava mnenj o temah, ki so najpomembnejše za prihodnost Evrope. Ob koncu dogodka so udeleženci prejeli informativno gradivo s podrobnim opisom obravnavanih tem in virov informacij. </w:t>
      </w:r>
    </w:p>
    <w:p>
      <w:pPr>
        <w:pStyle w:val="P68B1DB1Normal76"/>
        <w:widowControl w:val="false"/>
        <w:spacing w:lineRule="exact" w:line="253"/>
        <w:ind w:left="0" w:right="2" w:hanging="0"/>
        <w:jc w:val="both"/>
        <w:rPr/>
      </w:pPr>
      <w:r>
        <w:rPr/>
        <w:t xml:space="preserve">15. januarja je bila na evropskem nalogu za prijetje organizirana okrogla miza nacionalnih državljanov o prihodnosti Evrope, ki sta jo organizirala Študijski center za vzhodno Evropo (RESC) evropskega naloga za prijetje (RESC) in volilni inštitut Kantar TNS LT, v katerem je neposredno sodelovalo 25 izbranih državljanov.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Udeleženci so razpravljali o dveh vprašanjih, povezanih s politikami EU: </w:t>
      </w:r>
      <w:r>
        <w:rPr>
          <w:b/>
        </w:rPr>
        <w:t>vlogo in pristojnosti, ki bi jih EU lahko imela v zunanji politiki, ter gospodarsko vlogo EU</w:t>
      </w:r>
      <w:r>
        <w:rPr/>
        <w:t>.</w:t>
      </w:r>
      <w:r>
        <w:rPr>
          <w:b/>
        </w:rPr>
        <w:t xml:space="preserve"> </w:t>
      </w:r>
      <w:r>
        <w:rPr/>
        <w:t xml:space="preserve">Na tem dogodku je bilo vsako od teh vprašanj predmet ločene seje, na začetku katere sta strokovnjaki EU za politiko Linas Kojala (RESC) in Ramūnas Vilpišauskas (Professor na Univerzi v Vilni) na kratko predstavili državljane o aktualnosti in vprašanjih teme zasedanja. Med razpravo so lahko državljani postavljali vprašanja in izmenjali svoja stališča. Po strokovnih predstavitvah so bili udeleženci razdeljeni v tri manjše reprezentativne skupine, ki so razpravljale o različnih vprašanjih, povezanih s temo zasedanja. Obravnavana so bila naslednja vprašanja zunanje politike: </w:t>
      </w:r>
    </w:p>
    <w:p>
      <w:pPr>
        <w:pStyle w:val="P68B1DB1Normal76"/>
        <w:widowControl w:val="false"/>
        <w:spacing w:lineRule="exact" w:line="253"/>
        <w:ind w:left="720" w:right="1" w:hanging="0"/>
        <w:jc w:val="left"/>
        <w:rPr/>
      </w:pPr>
      <w:r>
        <w:rPr>
          <w:b/>
        </w:rPr>
        <w:t>1.1.</w:t>
      </w:r>
      <w:r>
        <w:rPr/>
        <w:t xml:space="preserve"> Ali obstaja potreba po avtonomni obrambni in zunanji politiki EU?</w:t>
      </w:r>
    </w:p>
    <w:p>
      <w:pPr>
        <w:pStyle w:val="P68B1DB1Normal76"/>
        <w:widowControl w:val="false"/>
        <w:spacing w:lineRule="exact" w:line="253"/>
        <w:ind w:left="720" w:right="1" w:hanging="0"/>
        <w:jc w:val="left"/>
        <w:rPr/>
      </w:pPr>
      <w:r>
        <w:rPr>
          <w:b/>
        </w:rPr>
        <w:t>1.2.</w:t>
      </w:r>
      <w:r>
        <w:rPr/>
        <w:t xml:space="preserve"> Kakšni bi morali biti odnosi EU z vzhodnoevropskimi sosedami, severno Afriko in Turčijo? </w:t>
      </w:r>
    </w:p>
    <w:p>
      <w:pPr>
        <w:pStyle w:val="P68B1DB1Normal76"/>
        <w:widowControl w:val="false"/>
        <w:spacing w:lineRule="exact" w:line="379"/>
        <w:ind w:left="720" w:right="0" w:hanging="0"/>
        <w:jc w:val="left"/>
        <w:rPr/>
      </w:pPr>
      <w:r>
        <w:rPr>
          <w:b/>
        </w:rPr>
        <w:t>1.3.</w:t>
      </w:r>
      <w:r>
        <w:rPr/>
        <w:t xml:space="preserve"> Kakšna bi morala biti migracijska politika EU? </w:t>
      </w:r>
    </w:p>
    <w:p>
      <w:pPr>
        <w:pStyle w:val="P68B1DB1Normal76"/>
        <w:widowControl w:val="false"/>
        <w:spacing w:lineRule="exact" w:line="254"/>
        <w:ind w:left="0" w:right="0" w:hanging="0"/>
        <w:jc w:val="left"/>
        <w:rPr/>
      </w:pPr>
      <w:r>
        <w:rPr/>
        <w:t xml:space="preserve">Na seji o gospodarski vlogi EU se je razpravljalo o naslednjih vprašanjih: </w:t>
      </w:r>
    </w:p>
    <w:p>
      <w:pPr>
        <w:pStyle w:val="P68B1DB1Normal76"/>
        <w:widowControl w:val="false"/>
        <w:spacing w:lineRule="exact" w:line="254"/>
        <w:ind w:left="720" w:right="0" w:hanging="0"/>
        <w:jc w:val="left"/>
        <w:rPr/>
      </w:pPr>
      <w:r>
        <w:rPr>
          <w:b/>
        </w:rPr>
        <w:t xml:space="preserve">2.1. </w:t>
      </w:r>
      <w:r>
        <w:rPr/>
        <w:t xml:space="preserve">Ali obstaja potreba po večji prerazporeditvi sredstev iz proračuna EU in skupnega dolga EU? </w:t>
      </w:r>
    </w:p>
    <w:p>
      <w:pPr>
        <w:pStyle w:val="P68B1DB1Normal76"/>
        <w:widowControl w:val="false"/>
        <w:spacing w:lineRule="exact" w:line="379"/>
        <w:ind w:left="720" w:right="0" w:hanging="0"/>
        <w:jc w:val="left"/>
        <w:rPr/>
      </w:pPr>
      <w:r>
        <w:rPr>
          <w:b/>
        </w:rPr>
        <w:t xml:space="preserve">2.2. </w:t>
      </w:r>
      <w:r>
        <w:rPr/>
        <w:t>Ali bi morali biti socialni standardi urejeni na ravni EU?</w:t>
      </w:r>
      <w:r>
        <w:rPr>
          <w:b/>
        </w:rPr>
        <w:t xml:space="preserve"> </w:t>
      </w:r>
    </w:p>
    <w:p>
      <w:pPr>
        <w:pStyle w:val="P68B1DB1Normal76"/>
        <w:widowControl w:val="false"/>
        <w:spacing w:lineRule="exact" w:line="379"/>
        <w:ind w:left="720" w:right="0" w:hanging="0"/>
        <w:jc w:val="left"/>
        <w:rPr/>
      </w:pPr>
      <w:r>
        <w:rPr>
          <w:b/>
        </w:rPr>
        <w:t>2.3.</w:t>
      </w:r>
      <w:r>
        <w:rPr/>
        <w:t xml:space="preserve"> Kako okrepiti gospodarstvo EU? </w:t>
      </w:r>
    </w:p>
    <w:p>
      <w:pPr>
        <w:pStyle w:val="P68B1DB1Normal76"/>
        <w:widowControl w:val="false"/>
        <w:spacing w:lineRule="auto" w:line="240"/>
        <w:ind w:left="0" w:right="0" w:hanging="0"/>
        <w:jc w:val="both"/>
        <w:rPr/>
      </w:pPr>
      <w:r>
        <w:rPr/>
        <w:t xml:space="preserve">Na koncu zasedanja je morala vsaka skupina oblikovati glavne zaključke razprave, podati načelne izjave ali konkretne predloge o političnih vprašanjih EU. Med razpravo s celotno okroglo mizo je predstavnik vsake skupine predstavil te ugotovitve drugim udeležencem. Tisti, ki so bili v drugih skupinah, so lahko postavljali vprašanja in predloge dopolnili s svojimi zamislimi. Po predstavitvah in razpravah so državljani glasovali po dva izmed teh sklepov, pri čemer so glasovali za najpomembnejši predlog ali izjavo o vlogi Litve pri krepitvi EU in uspehu EU tudi po vsej Evropi; drugo glasovanje za izjavo ali predlog pa se zdi najpomembnejše v svojem osebnem imenu, v njihovem interesu kot prebivalec EU. Po tem glasovanju je v okrogli mizi potekala razprava in razpravljali so o glavnih idejah, ki so se pojavile v razpravah. </w:t>
      </w:r>
    </w:p>
    <w:p>
      <w:pPr>
        <w:pStyle w:val="P68B1DB1Normal76"/>
        <w:widowControl w:val="false"/>
        <w:spacing w:lineRule="auto" w:line="240"/>
        <w:ind w:left="0" w:right="0" w:hanging="0"/>
        <w:jc w:val="both"/>
        <w:rPr/>
      </w:pPr>
      <w:r>
        <w:rPr/>
        <w:t xml:space="preserve">V tednu po dogodku so strokovnjaki preučili vsebino razprav in odkrili bistvo zamisli, ki so jih predlagali državljani. 25. januarja je potekala virtualna rekapitulacijska seja, državljanom pa so bila posredovana priporočila glede vsebine njihovih razprav. Državljani so imeli možnost, da povejo, ali so priporočila odobrili, da jih dopolnijo in ocenijo. Vsi udeleženci so imeli to priložnost še en teden po rekapitulacijskem sestanku in svoja mnenja in pripombe v pisni obliki poslali organizatorjem panela.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Rezultati nacionalne državljanske okrogle mize</w:t>
      </w:r>
      <w:r>
        <w:rPr/>
        <w:t xml:space="preserve"> </w:t>
      </w:r>
    </w:p>
    <w:p>
      <w:pPr>
        <w:pStyle w:val="P68B1DB1Normal76"/>
        <w:widowControl w:val="false"/>
        <w:spacing w:lineRule="auto" w:line="240" w:before="70" w:after="0"/>
        <w:ind w:left="0" w:right="1" w:hanging="0"/>
        <w:jc w:val="both"/>
        <w:rPr/>
      </w:pPr>
      <w:r>
        <w:rPr/>
        <w:t xml:space="preserve">Ta del poročila prikazuje rezultate državljanske okrogle mize s priporočili udeležencev v delovnih skupinah in njihovimi stališči o vlogi EU v zunanji politiki in gospodarstvu.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Prva seja:</w:t>
      </w:r>
      <w:r>
        <w:rPr/>
        <w:t xml:space="preserve"> </w:t>
      </w:r>
      <w:r>
        <w:rPr>
          <w:b/>
        </w:rPr>
        <w:t>vloga in pristojnosti EU v zunanji politiki</w:t>
      </w:r>
    </w:p>
    <w:p>
      <w:pPr>
        <w:pStyle w:val="P68B1DB1Normal99"/>
        <w:widowControl w:val="false"/>
        <w:spacing w:lineRule="auto" w:line="240" w:before="39" w:after="0"/>
        <w:ind w:left="468" w:right="0" w:hanging="0"/>
        <w:jc w:val="left"/>
        <w:rPr/>
      </w:pPr>
      <w:r>
        <w:rPr/>
        <w:t xml:space="preserve">1. Pozivamo EU, naj razvije učinkovitejšo politiko do Kitajske. Litvo je treba bolj odločno podpreti, vendar bi morala tudi bolje uskladiti svoje stališče s stališčem partneric EU. Da bi zagotovili, da bodo interesi v EU bolje uravnoteženi in da obstaja le ena politika do Kitajske, pa tudi glede drugih zunanjepolitičnih vprašanj, priporočamo, da se preuči možnost ustanovitve zunanjega ministra EU. </w:t>
      </w:r>
    </w:p>
    <w:p>
      <w:pPr>
        <w:pStyle w:val="P68B1DB1Normal99"/>
        <w:widowControl w:val="false"/>
        <w:spacing w:lineRule="auto" w:line="240" w:before="78" w:after="0"/>
        <w:ind w:left="468" w:right="341" w:hanging="0"/>
        <w:jc w:val="left"/>
        <w:rPr/>
      </w:pPr>
      <w:r>
        <w:rPr/>
        <w:t xml:space="preserve">2. Priporočamo, da se vprašanje kvot migrantov uvrsti na dnevni red na ravni EU. </w:t>
      </w:r>
    </w:p>
    <w:p>
      <w:pPr>
        <w:pStyle w:val="P68B1DB1Normal99"/>
        <w:widowControl w:val="false"/>
        <w:spacing w:lineRule="auto" w:line="240" w:before="78" w:after="0"/>
        <w:ind w:left="468" w:right="0" w:hanging="0"/>
        <w:jc w:val="left"/>
        <w:rPr/>
      </w:pPr>
      <w:r>
        <w:rPr/>
        <w:t>3. Sodišče priporoča ustanovitev posebnega odbora na ravni EU za obravnavanje migracijskih vprašanj, ki bi zagotovil hitrejši odziv na migracijske krize in pravico držav članic, da pojasnijo in branijo svoje nacionalne interese ter razvijejo in izvajajo skupne smernice za upravljanje migracij.</w:t>
      </w:r>
    </w:p>
    <w:p>
      <w:pPr>
        <w:pStyle w:val="P68B1DB1Normal99"/>
        <w:widowControl w:val="false"/>
        <w:spacing w:lineRule="auto" w:line="240" w:before="78" w:after="0"/>
        <w:ind w:left="468" w:right="0" w:hanging="0"/>
        <w:jc w:val="left"/>
        <w:rPr/>
      </w:pPr>
      <w:r>
        <w:rPr/>
        <w:t xml:space="preserve">4. Priporočamo krepitev gospodarskih in humanitarnih vezi z državami severne Afrike, ne da bi pri tem pozabili na politično stvarnost, zlasti z namenom zmanjšanja vpliva Kitajske, Rusije in drugih držav v regiji. </w:t>
      </w:r>
    </w:p>
    <w:p>
      <w:pPr>
        <w:pStyle w:val="P68B1DB1Normal99"/>
        <w:widowControl w:val="false"/>
        <w:spacing w:lineRule="auto" w:line="240" w:before="78" w:after="0"/>
        <w:ind w:left="468" w:right="466" w:hanging="0"/>
        <w:jc w:val="left"/>
        <w:rPr/>
      </w:pPr>
      <w:r>
        <w:rPr/>
        <w:t xml:space="preserve">5. Priporočamo krepitev vezi z Vzhodno Evropo in spodbujanje gospodarskih ukrepov na osebni ravni. </w:t>
      </w:r>
    </w:p>
    <w:p>
      <w:pPr>
        <w:pStyle w:val="P68B1DB1Normal99"/>
        <w:widowControl w:val="false"/>
        <w:spacing w:lineRule="auto" w:line="240" w:before="78" w:after="0"/>
        <w:ind w:left="468" w:right="286" w:hanging="0"/>
        <w:jc w:val="left"/>
        <w:rPr/>
      </w:pPr>
      <w:r>
        <w:rPr/>
        <w:t xml:space="preserve">6. Vztrajamo, da morajo biti sankcije, ki jih EU nalaga tujim akterjem, strožje, bolj ciljno usmerjene in zadevajo pomembne osebe sankcionirane države (npr. politične voditelje). </w:t>
      </w:r>
    </w:p>
    <w:p>
      <w:pPr>
        <w:pStyle w:val="P68B1DB1Normal99"/>
        <w:widowControl w:val="false"/>
        <w:spacing w:lineRule="auto" w:line="240" w:before="78" w:after="0"/>
        <w:ind w:left="466" w:right="295" w:hanging="0"/>
        <w:jc w:val="left"/>
        <w:rPr/>
      </w:pPr>
      <w:r>
        <w:rPr/>
        <w:t>7. Vztrajamo, da skupna zunanja in varnostna politika EU temelji na temeljnem načelu solidarnosti med različnimi državami članicami EU ter različnimi evropskimi regijami in družbami.</w:t>
      </w:r>
    </w:p>
    <w:p>
      <w:pPr>
        <w:pStyle w:val="P68B1DB1Normal99"/>
        <w:widowControl w:val="false"/>
        <w:spacing w:lineRule="auto" w:line="240" w:before="78" w:after="0"/>
        <w:ind w:left="466" w:right="295" w:hanging="0"/>
        <w:jc w:val="left"/>
        <w:rPr/>
      </w:pPr>
      <w:r>
        <w:rPr/>
        <w:t xml:space="preserve">8. Priporočamo, da EU do zdaj pregleda politiko odprtosti na področju migracij, ki povzroča varnostne težave, povečanje kriminala in vzpostavitev komunitarizma v družbi. </w:t>
      </w:r>
    </w:p>
    <w:p>
      <w:pPr>
        <w:pStyle w:val="P68B1DB1Normal99"/>
        <w:widowControl w:val="false"/>
        <w:spacing w:lineRule="auto" w:line="240" w:before="78" w:after="0"/>
        <w:ind w:left="468" w:right="0" w:hanging="0"/>
        <w:jc w:val="left"/>
        <w:rPr/>
      </w:pPr>
      <w:r>
        <w:rPr/>
        <w:t xml:space="preserve">9. Litvo pozivamo, naj dejavneje govori o vprašanjih migracijske politike in začne razprave o vprašanjih, povezanih z migracijami. </w:t>
      </w:r>
    </w:p>
    <w:p>
      <w:pPr>
        <w:pStyle w:val="P68B1DB1Normal99"/>
        <w:widowControl w:val="false"/>
        <w:spacing w:lineRule="auto" w:line="240" w:before="78" w:after="0"/>
        <w:ind w:left="468" w:right="0" w:hanging="0"/>
        <w:jc w:val="left"/>
        <w:rPr>
          <w:rFonts w:ascii="Arial" w:hAnsi="Arial"/>
          <w:color w:val="000000"/>
          <w:sz w:val="20"/>
        </w:rPr>
      </w:pPr>
      <w:r>
        <w:rPr/>
        <w:t xml:space="preserve">10. Priporočamo, da EU izvaja dejavno in strogo politiko do držav, ki migracijske tokove uporabljajo kot orožje v hibridnih napadih: na eni strani z uporabo strožjih sankcij, po drugi strani pa z dialogom z njimi za umiritev razmer.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Druga seja: gospodarska vloga EU </w:t>
      </w:r>
    </w:p>
    <w:p>
      <w:pPr>
        <w:pStyle w:val="P68B1DB1Normal99"/>
        <w:widowControl w:val="false"/>
        <w:spacing w:lineRule="auto" w:line="240"/>
        <w:ind w:left="828" w:right="142" w:hanging="359"/>
        <w:jc w:val="both"/>
        <w:rPr/>
      </w:pPr>
      <w:r>
        <w:rPr/>
        <w:t xml:space="preserve">1. Priporočamo, da EU okrepi zanesljivost oskrbe z osnovnim blagom na različne načine: dajanje prednosti notranji trgovini EU, spodbujanje proizvodnje naprednih tehnologij in nadaljnja diverzifikacija virov uvoza. Priporočamo tudi raziskovanje novih izvoznih trgov. </w:t>
      </w:r>
    </w:p>
    <w:p>
      <w:pPr>
        <w:pStyle w:val="P68B1DB1Normal99"/>
        <w:widowControl w:val="false"/>
        <w:spacing w:lineRule="auto" w:line="240" w:before="83" w:after="0"/>
        <w:ind w:left="828" w:right="143" w:hanging="359"/>
        <w:jc w:val="both"/>
        <w:rPr/>
      </w:pPr>
      <w:r>
        <w:rPr/>
        <w:t xml:space="preserve">2. Priporočamo, da se pregledajo pogajalske prakse pogodb o zemeljskem plinu z namenom kratkoročnih in dolgoročnih pogodb. Priporočamo nadaljnjo diverzifikacijo virov oskrbe z energijo. </w:t>
      </w:r>
    </w:p>
    <w:p>
      <w:pPr>
        <w:pStyle w:val="P68B1DB1Normal99"/>
        <w:widowControl w:val="false"/>
        <w:spacing w:lineRule="auto" w:line="240" w:before="83" w:after="0"/>
        <w:ind w:left="828" w:right="143" w:hanging="359"/>
        <w:jc w:val="both"/>
        <w:rPr/>
      </w:pPr>
      <w:r>
        <w:rPr/>
        <w:t xml:space="preserve">3. Sodišče priporoča, da se ukrepi zelenega dogovora in njihovo izvajanje ocenijo ob upoštevanju morebitnih negativnih socialno-ekonomskih učinkov. Za uresničevanje ciljev zelenega dogovora priporočamo, da se poleg uporabe obnovljivih virov energije uporabljata tudi jedrska energija in zemeljski plin. </w:t>
      </w:r>
    </w:p>
    <w:p>
      <w:pPr>
        <w:pStyle w:val="P68B1DB1Normal99"/>
        <w:widowControl w:val="false"/>
        <w:spacing w:lineRule="auto" w:line="240" w:before="83" w:after="0"/>
        <w:ind w:left="828" w:right="143" w:hanging="359"/>
        <w:jc w:val="both"/>
        <w:rPr/>
      </w:pPr>
      <w:r>
        <w:rPr/>
        <w:t xml:space="preserve">4. Poudarjamo, da je zlasti pomembno, da vse države članice spoštujejo načelo primarnosti prava EU. Na primer zahtevamo, da ima Litva jasno načelno stališče o tem vprašanju. </w:t>
      </w:r>
    </w:p>
    <w:p>
      <w:pPr>
        <w:pStyle w:val="P68B1DB1Normal99"/>
        <w:widowControl w:val="false"/>
        <w:spacing w:lineRule="auto" w:line="240" w:before="83" w:after="0"/>
        <w:ind w:left="828" w:right="142" w:hanging="359"/>
        <w:jc w:val="both"/>
        <w:rPr/>
      </w:pPr>
      <w:r>
        <w:rPr/>
        <w:t>5. Priporočamo, da Litva dejavneje uporablja dobre prakse iz držav EU s ciljem višjih socialnih standardov, gospodarske širitve ter uravnoteženega in trajnostnega razvoja.</w:t>
      </w:r>
    </w:p>
    <w:p>
      <w:pPr>
        <w:pStyle w:val="P68B1DB1Normal99"/>
        <w:widowControl w:val="false"/>
        <w:spacing w:lineRule="auto" w:line="240" w:before="83" w:after="0"/>
        <w:ind w:left="828" w:right="142" w:hanging="359"/>
        <w:jc w:val="both"/>
        <w:rPr/>
      </w:pPr>
      <w:r>
        <w:rPr/>
        <w:t xml:space="preserve">6. Priporočamo, da se več pozornosti nameni krepitvi kibernetske varnosti ter varstvu podatkov in infrastrukture. </w:t>
      </w:r>
    </w:p>
    <w:p>
      <w:pPr>
        <w:pStyle w:val="P68B1DB1Normal99"/>
        <w:widowControl w:val="false"/>
        <w:spacing w:lineRule="auto" w:line="240" w:before="83" w:after="0"/>
        <w:ind w:left="821" w:right="143" w:hanging="354"/>
        <w:jc w:val="both"/>
        <w:rPr/>
      </w:pPr>
      <w:r>
        <w:rPr/>
        <w:t xml:space="preserve">7. Priporočamo, da EU in države članice dajo prednost razvoju osnovnega ekonomskega znanja med državljani, izobraževanju in razširjanju informacij. </w:t>
      </w:r>
    </w:p>
    <w:p>
      <w:pPr>
        <w:pStyle w:val="P68B1DB1Normal99"/>
        <w:widowControl w:val="false"/>
        <w:spacing w:lineRule="auto" w:line="240" w:before="45" w:after="0"/>
        <w:ind w:left="821" w:right="143" w:hanging="354"/>
        <w:jc w:val="both"/>
        <w:rPr/>
      </w:pPr>
      <w:r>
        <w:rPr/>
        <w:t xml:space="preserve">8. Priporočamo, da novi trgovinski sporazumi EU vključujejo ambiciozne socialne, delovne in zdravstvene standarde. Priporočamo, da se na ravni EU oblikujejo smernice o tem, kaj storiti, in nimajo pravice do uporabe platform družbenih medijev, ki upravljajo osebne podatke in informacije potrošnikov o njih. </w:t>
      </w:r>
    </w:p>
    <w:p>
      <w:pPr>
        <w:pStyle w:val="P68B1DB1Normal99"/>
        <w:widowControl w:val="false"/>
        <w:spacing w:lineRule="auto" w:line="240" w:before="42" w:after="0"/>
        <w:ind w:left="821" w:right="143" w:hanging="354"/>
        <w:jc w:val="both"/>
        <w:rPr/>
      </w:pPr>
      <w:r>
        <w:rPr/>
        <w:t>9. Sodišče priporoča nadaljnji razmislek o možnosti skupnega zadolževanja na ravni EU, da se dosežejo najboljši možni pogoji zadolževanja. Priporočamo tudi razvoj finančno trdne in odgovorne politike za zmanjšanje potrebe po zadolženosti držav članic.</w:t>
      </w:r>
    </w:p>
    <w:p>
      <w:pPr>
        <w:pStyle w:val="P68B1DB1Normal99"/>
        <w:widowControl w:val="false"/>
        <w:spacing w:lineRule="auto" w:line="240" w:before="42" w:after="0"/>
        <w:ind w:left="821" w:right="143" w:hanging="354"/>
        <w:jc w:val="both"/>
        <w:rPr/>
      </w:pPr>
      <w:r>
        <w:rPr/>
        <w:t>10. Priporočamo, da se okrepi spremljanje črpanja in uporabe sredstev EU, s čimer se lokalnim oblastem pomaga vzpostaviti resnično prakso prilagajanja porabe sredstev. Ker se lahko objektivni položaj upravičencev do sredstev EU spremeni, je zlasti pomembna povezava med zahtevami glede preglednosti in prožnosti.</w:t>
      </w:r>
    </w:p>
    <w:p>
      <w:pPr>
        <w:pStyle w:val="P68B1DB1Normal99"/>
        <w:widowControl w:val="false"/>
        <w:spacing w:lineRule="auto" w:line="240" w:before="42" w:after="0"/>
        <w:ind w:left="821" w:right="143" w:hanging="354"/>
        <w:jc w:val="both"/>
        <w:rPr/>
      </w:pPr>
      <w:r>
        <w:rPr/>
        <w:t xml:space="preserve">11. Priporočamo, da Litva še naprej dejavno spodbuja gospodarski razvoj in naložbe v regijah države.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Razprave v okviru nacionalne državljanske okrogle mize in analiza rezultatov </w:t>
      </w:r>
    </w:p>
    <w:p>
      <w:pPr>
        <w:pStyle w:val="P68B1DB1Normal76"/>
        <w:widowControl w:val="false"/>
        <w:spacing w:lineRule="auto" w:line="240" w:before="46" w:after="0"/>
        <w:ind w:left="0" w:right="29" w:hanging="0"/>
        <w:jc w:val="both"/>
        <w:rPr/>
      </w:pPr>
      <w:r>
        <w:rPr/>
        <w:t xml:space="preserve">Udeleženci nacionalne državljanske okrogle mize so razpravljali o najpomembnejših aktualnih vprašanjih za Litvo (o katerih se na politični in medijski ravni večinoma razpravlja na nacionalni ravni) in o tem, kako jih obravnavati. Splošno glasovanje o glavnih sklepih odbora je pokazalo, da je bilo skoraj 45 % vseh glasov, oddanih na obeh zasedanjih, namenjenih predlogom o dveh temah: odnosi s Kitajsko in nadzor nad migracijskimi tokovi (glej preglednico spodaj). Tema energetske politike je prav tako pritegnila veliko pozornosti. Bil je predmet samo enega predloga, vendar je prejel skoraj 10 % glasov udeležencev. Rezultati teh glasov kažejo, da bi lahko bilo dojemanje prihodnosti Evrope s strani državljanov odločilno za današnja politična vprašanja in novice (na nacionalni ravni).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Priporočilo</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Glasovanje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Prva seja: vloga in pristojnosti EU v zunanji politiki</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Pozivamo EU, naj razvije učinkovitejšo politiko do Kitajske. Sedanja podpora Litvi ne zadostuje, vendar Litva prav tako ni zadostno uskladila svojega stališča s stališčem partneric EU. Da bi zagotovili, da bodo interesi v EU bolje uravnoteženi in da obstaja le ena politika do Kitajske, pa tudi glede drugih zunanjepolitičnih vprašanj, priporočamo, da se preuči možnost ustanovitve zunanjega ministra EU.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je pomembno za vso Evropo: 8; v osebnem imenu: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Priporočamo, da se vprašanje kvot migrantov uvrsti na dnevni red na ravni EU.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je pomembno za vso Evropo: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Sodišče priporoča ustanovitev posebnega odbora na ravni EU za obravnavanje migracijskih vprašanj, ki bi zagotovil hitrejši odziv na migracijske krize in pravico držav članic, da pojasnijo in branijo svoje nacionalne interese ter razvijejo in izvajajo skupne smernice za upravljanje migracij.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je pomembno za vso Evropo: 3; v osebnem imenu: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Priporočamo krepitev gospodarskih in humanitarnih vezi z državami severne Afrike, ne da bi pri tem pozabili na politično stvarnost, zlasti z namenom zmanjšanja vpliva Kitajske, Rusije in drugih držav v regiji.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je pomembno v osebnem imenu: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Priporočamo krepitev vezi z Vzhodno Evropo in uporabo gospodarskih ukrepov na ravni ljudi.</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je pomembno osebno: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Druga seja: gospodarska vloga EU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Priporočamo, da EU sprejme različne ukrepe za izboljšanje zanesljivosti oskrbe z osnovnim blagom: dajanje prednosti trgovini znotraj EU, spodbujanje proizvodnje naprednih tehnologij v EU in nadaljnja diverzifikacija virov uvoza. Priporočamo tudi raziskovanje novih izvoznih trgov.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je pomembno za vso Evropo: 3; osebno: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Priporočamo, da se pregledajo pogajalske prakse pogodb o zemeljskem plinu z namenom kratkoročnih in dolgoročnih pogodb. Priporočamo nadaljnjo diverzifikacijo virov oskrbe z energijo.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je pomembno za vso Evropo: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Sodišče priporoča, da se ukrepi zelenega dogovora in njihovo izvajanje ocenijo ob upoštevanju morebitnih negativnih socialno-ekonomskih učinkov. Za uresničevanje ciljev zelenega dogovora priporočamo, da se poleg uporabe obnovljivih virov energije uporabljata tudi jedrska energija in zemeljski plin.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pomembnih v osebnem imenu: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Poudarjamo, da je pomembno, da vse države članice spoštujejo načelo primarnosti prava EU. Na primer zahtevamo, da ima Litva jasno načelno stališče o tem vprašanju.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je pomembno za vso Evropo: 2; v osebnem imenu: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Poleg tega so najpomembnejša vprašanja za državljane, in sicer odnosi s Kitajsko, migracije ali energija, začasna: njihova resolucija bo bistveno vplivala na dolgoročno prihodnost Evrope. Zato verjetnost, da bodo državljani, ki razmišljajo o prihodnosti, dali prednost temu, kar je zdaj pomembno, ni problematična. Ker se prihodnost danes začenja s številnimi majhnimi koraki, je kratkoročno dojemanje pričakovanj državljanov bistven pogoj za zagotovitev močnega dolgoročnega nadzora nad procesi in reševanjem težav. Spodnja analiza glavnih rezultatov odbora nacionalnih državljanov temelji na tej ugotovitvi.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Resolucija z največjim številom glasov (11 ali skoraj 12 %) je</w:t>
      </w:r>
      <w:r>
        <w:rPr>
          <w:b/>
        </w:rPr>
        <w:t>, da EU potrebuje učinkovitejšo politiko do Kitajske</w:t>
      </w:r>
      <w:r>
        <w:rPr/>
        <w:t xml:space="preserve">. Ta splošni sklep je zajemal več bolj konkretnih izjav. Prvič, udeleženci so poudarili, da na tej stopnji podpora EU Litvi zaradi gospodarskega pritiska Kitajske ni bila zadostna. Drugič, predstavniki skupine, ki so sporočili sklepno ugotovitev, so poudarili, da bi si morala Litva sama bolj prizadevati za uskladitev svoje politike do Kitajske s politiko partneric EU, zlasti ker je pomembno, da se EU kot celota še naprej ukvarja s trgovino s Kitajsko. Tretjič, državljani so izpostavili zamisel, da bi bilo usklajevanje stališč in razvoj skupne politike do Kitajske lahko učinkovitejše, če bi bil ustanovljen zunanji minister EU. Osem udeležencev je izjavilo, da je ta sklep še posebej pomemben za vso Evropo, trije drugi pa so menili, da je to zanje pomembno v svojem imenu.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Vprašanje odnosov s Kitajsko je tesno povezano z dvema drugima predlogoma, ki imata veliko glasov državljanov. Devet udeležencev je glasovalo za sklep, dosežen na drugem zasedanju, </w:t>
      </w:r>
      <w:r>
        <w:rPr>
          <w:b/>
        </w:rPr>
        <w:t>da mora EU okrepiti zanesljivost oskrbe</w:t>
      </w:r>
      <w:r>
        <w:rPr/>
        <w:t xml:space="preserve"> (tri udeleženci so to označili za posebej pomembno za vso Evropo, šest drugih pa, da je to zanje osebno). Ta sklep je vključeval tudi več vidikov. Prvič, državljani so poudarili, da je treba dati prednost trgom EU, za katere so značilni zanesljivi dobavitelji in proizvodi, ki izpolnjujejo zahtevne standarde. Drugič, udeleženci so poudarili potrebo po spodbujanju visokotehnoloških proizvodnih zmogljivosti v sami Evropi. Tretjič, državljani so izrazili podporo večji diverzifikaciji uvoznih virov. Pri oblikovanju teh priporočil so se udeleženci razprave dosledno sklicevali na dejavnik Kitajske: varnostne grožnje, povezane s kitajskim blagom, zanašanje na kitajske surovine, potrebne za proizvodnjo naprednih tehnologij, ter kitajske prakse kopiranja in kraje tehnologij zahodnih podjetij, ki delujejo na njenem trgu. Predlog za</w:t>
      </w:r>
      <w:r>
        <w:rPr>
          <w:b/>
        </w:rPr>
        <w:t xml:space="preserve"> razvoj gospodarskega in humanitarnega sodelovanja EU z državami severne Afrike</w:t>
      </w:r>
      <w:r>
        <w:rPr/>
        <w:t xml:space="preserve"> je prejel tudi šest glasov (pomembno v osebnem imenu), ker je v tej regiji pomembno zmanjšati vpliv Kitajske, Rusije in drugih prijateljskih držav.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Rezultati glasovanja so odražali tudi zaskrbljenost državljanov glede migracijskih vprašanj. Dve od treh najbolj glasnih ugotovitev v zunanji politiki sta bili posvečeni migracijam. Devet udeležencev je glasovalo za predlog, </w:t>
      </w:r>
      <w:r>
        <w:rPr>
          <w:b/>
        </w:rPr>
        <w:t>da se EU vrne k vzpostavitvi sistema obveznih kvot za sprejem migrantov za države članice</w:t>
      </w:r>
      <w:r>
        <w:rPr/>
        <w:t xml:space="preserve"> (vsi so poudarili, da je ta predlog še posebej pomemben za celotno Evropo). Udeleženci, ki so sprejeli ta sklep, so izrazili podporo nacionalnim kvotam, ki se določijo glede na število prebivalcev, in sofinanciranju EU za zadovoljitev potreb migrantov v skladu s temi kvotami. Sedem udeležencev je še vedno glasovalo za predlog o </w:t>
      </w:r>
      <w:r>
        <w:rPr>
          <w:b/>
        </w:rPr>
        <w:t>ustanovitvi stalne tehnične komisije na ravni EU za obravnavanje migracijskih vprašanj, v katero bi bili napoteni predstavniki držav članic</w:t>
      </w:r>
      <w:r>
        <w:rPr/>
        <w:t xml:space="preserve"> (trije udeleženci menijo, da je ta predlog še posebej pomemben za Evropo kot celoto, štirje pa menijo, da je zanje pomemben v svojem imenu). Udeleženci so poudarili, da bi lahko tak organ EU omogočil hitrejši odziv na migracijske krize, hkrati pa zagotovil ravnovesje med ustreznim spoštovanjem splošnih načel EU in pravico držav članic, da branijo svoje nacionalne interese in varnost.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Med razpravo o migracijski politiki so udeleženci razpravljali o dveh različnih krizah pri upravljanju migracijskih tokov: leta 2016 migracijska kriza v Sredozemskem morju in leta 2012 hibridni napad Belorusije na Litvo, Latvijo in Poljsko, med katerim je Minsk uporabil migrante iz tokov z Bližnjega vzhoda in Afrike. Številni udeleženci okrogle mize so dejali, da se je kriza v letu 2016 zdela oddaljena in nepomembna, tako za Litvo kot celoto kot za njih osebno, predlog za vzpostavitev sistema kvot za migrante pa se jim ni zdel primeren. Po mnenju udeležencev so izkušnje s hibridnim napadom okrepile vprašanje migracij v vzhodni Evropi in prisilile k pristopu k kvotam kot prilagojenemu, učinkovitemu in solidarnostnemu instrumentu migracijske politike. Nekateri udeleženci so poudarili, da je sredi krize leta 2021 postalo težko razlikovati med tistimi na ozemlju države, begunci, migranti in tistimi, ki predstavljajo grožnjo. Vsi udeleženci razprave so se strinjali, da sedanja „odprta“ migracijska politika EU ne upošteva dovolj groženj, ki jih predstavljajo migracije, nacionalnih interesov držav članic, njihove sposobnosti vključevanja migrantov itd. Državljani so prav tako kritizirali EU zaradi počasnosti ali pomanjkanja odziva na potrebe Litve ter zavrnitve financiranja gradnje zidu na zunanjih mejah.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Če povzamemo, lahko rečemo, da dva elementa najbolj vročih novic Litve v letu 2021 – odnosi s Kitajsko in upravljanje migracijskih tokov – spodbujata litovske državljane, da zahtevajo, da EU posreduje več in da ima učinkovitejšo skupno politiko. Državljani so zaskrbljeni zaradi kitajske politike in njenega vse večjega vpliva v Evropi in sosedstvu EU. Priznati je treba, da gospodarski vpliv Kitajske sili Evropo k iskanju ustreznih in uravnoteženih političnih ukrepov. Po mnenju državljanov je glavna rešitev okrepitev instrumentov skupne zunanje politike EU, industrijske politike in sodelovanja s sosednjimi državami. Podobno so državljani menili, da sta enotno ukrepanje na ravni EU in morebitni novi sistem migracijskih kvot verjetno najustreznejši način za izogibanje varnostnim grožnjam, ki jih predstavljajo migracije, ter za hiter in učinkovit nadzor migracijskih tokov v Evropo. Odbor meni, da bi bil najboljši odziv na naraščajoče pritiske Kitajske in hibridni napad Belorusije globoka in okrepljena skupna politika EU.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To mnenje o krizah, o katerih poteka razprava, je mogoče primerjati s predlogi udeležencev okrogle mize o energetskih in podnebnih vprašanjih. Konec leta 2021 se je moralo veliko litovskih državljanov neposredno ukvarjati z naraščajočimi cenami ogrevanja, kriza cen energije pa se je hitro izkazala za eno najpomembnejših novic za Litvo. Zaskrbljenost glede cen energije se odraža tudi v glasovanju udeležencev: devet državljanov je celo glasovalo za sklep, da je to vprašanje najpomembnejše za vso Evropo. Glavno priporočilo udeležencev je bil</w:t>
      </w:r>
      <w:r>
        <w:rPr>
          <w:b/>
        </w:rPr>
        <w:t xml:space="preserve"> pregled sedanje prakse držav članic s sklepanjem pogodb o dobavi energije z različnimi dobavitelji in prizadevanji za njihovo sklenitev tako kratkoročno kot dolgoročno.</w:t>
      </w:r>
      <w:r>
        <w:rPr/>
        <w:t xml:space="preserve"> Z drugimi besedami, državljani so podprli politiko diverzifikacije virov oskrbe z energijo, vendar niso dali priporočil o splošnih politikah EU in niso priporočili nadaljnjega povezovanja energetskih politik.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V </w:t>
      </w:r>
      <w:r>
        <w:rPr>
          <w:b/>
        </w:rPr>
        <w:t>zvezi s podnebno politiko so državljani priporočili oceno ukrepov zelenega dogovora ob upoštevanju pričakovanega socialno-ekonomskega učinka in ambicij.</w:t>
      </w:r>
      <w:r>
        <w:rPr/>
        <w:t xml:space="preserve"> Ta predlog je prejel glas šestih udeležencev, od katerih je vsak menil, da je pomemben v svojem imenu. Nekateri udeleženci so izrazili zaskrbljenost zaradi prehitrega poteka t. i. „zelenega prehoda“ in dejali, da bi morala Litva natančneje oceniti, ali bi takšna politika ogrozila interese države in njenih državljanov. Nekateri udeleženci so oživili tudi potrebo po uporabi energije iz obnovljivih virov, pa tudi jedrske energije in zemeljskega plina. V podporo temu stališču so se sklicevali na odločitev Nemčije, da bo še naprej uporabljala zemeljski plin, in na potencial „modularnih“ jedrskih reaktorjev nove generacije. Kar zadeva podnebno politiko, je odbor zato dal prednost politikam držav članic v skladu z nacionalnimi potrebami in ne ambiciozni skupni politiki EU o podnebnem upravljanju.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Glede na razmeroma majhno število udeležencev v okrogli mizi in različne odzive državljanov (več enotnosti ukrepanja ali več prožnosti) na različne krize bi bilo napačno razmisliti o rekapitulacijskih in splošno uporabnih ukrepih. Vendar lahko ta dinamika izražanja mnenj privede do predloga tem, ki so zanimive za prihodnje študije mnenj litovskih državljanov o vprašanjih vključevanja v EU, pri čemer je treba upoštevati, kaj državljani govorijo o avtonomnih politikah EU, spremembah institucionalnih ureditvah in razlikah.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Rezultati državljanske okrogle mize v širšem kontekstu javnega mnenja v Litvi </w:t>
      </w:r>
    </w:p>
    <w:p>
      <w:pPr>
        <w:pStyle w:val="Normal"/>
        <w:widowControl w:val="false"/>
        <w:spacing w:lineRule="auto" w:line="240"/>
        <w:ind w:left="0" w:right="1" w:hanging="0"/>
        <w:jc w:val="both"/>
        <w:rPr/>
      </w:pPr>
      <w:r>
        <w:rPr>
          <w:color w:val="000000"/>
        </w:rPr>
        <w:t xml:space="preserve">Za kontekstualizacijo rezultatov nacionalne državljanske okrogle mize se ti v zadnjem delu na kratko primerjajo z rezultati dveh trenutnih mnenjskih raziskav in vmesnimi rezultati drugega pripravljalnega dela za konferenco o prihodnosti Evrope. Prvi del tega poročila se nanaša na raziskavo </w:t>
      </w:r>
      <w:hyperlink r:id="rId112">
        <w:r>
          <w:rPr>
            <w:rStyle w:val="LienInternet"/>
            <w:color w:val="0563C1"/>
          </w:rPr>
          <w:t>obarometra</w:t>
        </w:r>
      </w:hyperlink>
      <w:hyperlink r:id="rId113">
        <w:r>
          <w:rPr>
            <w:rStyle w:val="LienInternet"/>
            <w:color w:val="0563C1"/>
          </w:rPr>
          <w:t>,</w:t>
        </w:r>
      </w:hyperlink>
      <w:r>
        <w:rPr>
          <w:color w:val="000000"/>
        </w:rPr>
        <w:t xml:space="preserve">ki so jo državljani opravili oktobra in novembra 2020 na konferenci o prihodnosti Evrope; drugi o zadnji </w:t>
      </w:r>
      <w:hyperlink r:id="rId114">
        <w:r>
          <w:rPr>
            <w:rStyle w:val="LienInternet"/>
            <w:color w:val="0563C1"/>
          </w:rPr>
          <w:t>standardni raziskavi Eurobarometra</w:t>
        </w:r>
      </w:hyperlink>
      <w:r>
        <w:rPr>
          <w:color w:val="000000"/>
        </w:rPr>
        <w:t xml:space="preserve">, izvedeni poleti 2021. Če so se nekatera vprašanja v teh študijah osredotočila na druge politične teme in pričakovanja državljanov glede same konference, je v nadaljevanju primerjava z vprašanji, ki so bila dejansko obravnavana na okrogli mizi. Pregled rezultatov pripravljalnega dela za konferenco o prihodnosti Evrope je temeljil na predhodnem poročilu o tem delu, ki ga je pripravil odbor RESC in je vključeval izjave državljanov, ki so sodelovali pri delu v zvezi z različnimi političnimi vprašanji EU.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Rezultati raziskav Eurobarometra kažejo, da razprave in glasovi udeležencev državljanske okrogle mize dokaj dobro odražajo prevladujoča stališča litovske družbe. Priporočila udeležencev okrogle mize za okrepitev skupne zunanje in migracijske politike s sodelovanjem pri odločitvah na ravni EU ustrezajo ugotovitvam širših raziskav javnega mnenja: </w:t>
      </w:r>
    </w:p>
    <w:p>
      <w:pPr>
        <w:pStyle w:val="P68B1DB1Normal76"/>
        <w:widowControl w:val="false"/>
        <w:spacing w:lineRule="auto" w:line="240"/>
        <w:ind w:left="361" w:right="1" w:hanging="0"/>
        <w:jc w:val="left"/>
        <w:rPr/>
      </w:pPr>
      <w:r>
        <w:rPr>
          <w:rFonts w:ascii="Garamond" w:hAnsi="Garamond"/>
        </w:rPr>
        <w:t>—</w:t>
      </w:r>
      <w:r>
        <w:rPr/>
        <w:t xml:space="preserve"> </w:t>
      </w:r>
      <w:r>
        <w:rPr/>
        <w:t xml:space="preserve">Litovski državljani podpirajo skupno obrambno politiko EU bolj kot povprečje EU (90 % v primerjavi z 78 %); </w:t>
      </w:r>
    </w:p>
    <w:p>
      <w:pPr>
        <w:pStyle w:val="P68B1DB1Normal76"/>
        <w:widowControl w:val="false"/>
        <w:spacing w:lineRule="auto" w:line="240"/>
        <w:ind w:left="361" w:right="3" w:hanging="0"/>
        <w:jc w:val="left"/>
        <w:rPr/>
      </w:pPr>
      <w:r>
        <w:rPr>
          <w:rFonts w:ascii="Garamond" w:hAnsi="Garamond"/>
        </w:rPr>
        <w:t>Litovski</w:t>
      </w:r>
      <w:r>
        <w:rPr/>
        <w:t xml:space="preserve"> državljani podpirajo skupno migracijsko politiko EU bolj kot povprečje EU (76 % v primerjavi z 71 %; ta razlika je znotraj meje napake); </w:t>
      </w:r>
    </w:p>
    <w:p>
      <w:pPr>
        <w:pStyle w:val="P68B1DB1Normal76"/>
        <w:widowControl w:val="false"/>
        <w:spacing w:lineRule="auto" w:line="240"/>
        <w:ind w:left="360" w:right="2" w:hanging="0"/>
        <w:jc w:val="left"/>
        <w:rPr/>
      </w:pPr>
      <w:r>
        <w:rPr>
          <w:rFonts w:ascii="Garamond" w:hAnsi="Garamond"/>
        </w:rPr>
        <w:t>Litovski</w:t>
      </w:r>
      <w:r>
        <w:rPr/>
        <w:t xml:space="preserve"> državljani menijo, da je migracija ena od dveh glavnih težav EU; </w:t>
      </w:r>
    </w:p>
    <w:p>
      <w:pPr>
        <w:pStyle w:val="P68B1DB1Normal76"/>
        <w:widowControl w:val="false"/>
        <w:spacing w:lineRule="auto" w:line="240"/>
        <w:ind w:left="360" w:right="3" w:hanging="0"/>
        <w:jc w:val="left"/>
        <w:rPr/>
      </w:pPr>
      <w:r>
        <w:rPr>
          <w:rFonts w:ascii="Garamond" w:hAnsi="Garamond"/>
        </w:rPr>
        <w:t>Litovski</w:t>
      </w:r>
      <w:r>
        <w:rPr/>
        <w:t xml:space="preserve"> državljani želijo več težav rešiti na ravni EU (49 % v primerjavi z 42 %). </w:t>
      </w:r>
    </w:p>
    <w:p>
      <w:pPr>
        <w:pStyle w:val="P68B1DB1Normal76"/>
        <w:widowControl w:val="false"/>
        <w:spacing w:lineRule="auto" w:line="240" w:before="83" w:after="0"/>
        <w:ind w:left="0" w:right="3" w:hanging="0"/>
        <w:jc w:val="both"/>
        <w:rPr/>
      </w:pPr>
      <w:r>
        <w:rPr/>
        <w:t xml:space="preserve">Litovski državljani, ki so sodelovali na pripravljalnih dogodkih za konferenco o prihodnosti Evrope, so prav tako poudarili pomen sodelovanja na področju obrambe ter da sta skupna migracijska politika EU in zunanja politika EU področji, na katerih bi imela Litva koristi od močnejšega posredovanja EU.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Podatki Eurobarometra bi lahko osvetlili stališča udeležencev okrogle mize o odnosih s Kitajsko in cenah energije: Litovci so bolj zaskrbljeni od povprečja EU zaradi razpada odnosov med državami po svetu in posledično naraščajočih geopolitičnih napetosti (33 % v primerjavi z 18 %). S temi podatki se prekrivajo tudi sklepi odbora o potrebi po ambicioznejši politiki do Kitajske ter navedeno stališče v prid odločanju na ravni EU in skupni obrambni politiki EU. Po drugi strani pa je lahko zaskrbljenost udeležencev panela glede različnih odločitev za znižanje cen energije povezana z dejstvom, da so Litovci veliko bolj zaskrbljeni od povprečja EU glede naraščajoče inflacije in rasti cen (53 % v primerjavi s 23 %). Občutljivost na naraščajočo inflacijo je posledica dejstva, da se zdi, da je nadzor povišanja cen pomembnejši od splošnega oblikovanja politik EU ali drugih političnih ciljev.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Podatki Eurobarometra kažejo tudi zanimiv razvoj dojemanja vprašanja migracij s političnega vidika s strani Litovcev. V raziskavi iz leta 2020 so Litovci migracije navedli kot pomemben izziv za prihodnost EU (16 % v primerjavi s 27 %) od povprečja EU; V raziskavi iz leta 2021 je 32 % litovskih anketirancev menilo, da so migracije ena od glavnih težav v EU (v primerjavi s povprečno 25 % v EU kot celoti). Čeprav je do te spremembe mnenja morda prišlo zaradi razlik v oblikovanju vprašanja, pa se prekriva s tem, kar so udeleženci okrogle mize povedali v razpravah o razvoju njihovih stališč o vprašanjih migracij.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Poleg tega primerjava rezultatov državljanskega foruma s podatki Eurobarometra kaže na vrzel med razmeroma previdnim stališčem udeležencev okrogle mize o politiki EU na eni strani in zaskrbljenostjo litovskih državljanov glede vprašanj podnebnih sprememb na drugi strani. Čeprav so udeleženci okrogle mize spodbudili, naj ocenijo, ali zeleni dogovor ni preveč ambiciozen in ne bi škodil litovskim interesom, so Litovci v skladu s študijami Eurobarometra podnebne spremembe dosledno opredelili kot enega glavnih izzivov za EU. V raziskavi iz leta 2020 je 47 % litovskih anketirancev menilo, da je podnebje eden najpomembnejših izzivov za prihodnost Evrope (v primerjavi s povprečno 45 % v EU kot celoti); V raziskavi iz leta 2021 je to veljalo za 28 % litovskih anketirancev (s povprečno 25 % v EU kot celoti). Opozoriti je treba, da so državljani, ki so sodelovali na drugih pripravljalnih dogodkih za konferenco o prihodnosti Evrope, omenili tudi podnebno politiko kot eno od področij, na katerem bi imela Litva največji interes za močnejše posredovanje EU. To neskladje je verjetno mogoče pojasniti z motivacijo za glasovanje udeležencev okrogle mize: vsi, ki so glasovali za priporočilo o ponovni oceni ukrepov zelenega dogovora, so menili, da je to zanje pomembno z osebnega vidika. Z drugimi besedami, osebno nasprotovanje ne bi bilo neskladno z ugotovitvijo, da so podnebne spremembe eden najpomembnejših izzivov za politiko EU.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Nacionalni odbori: Nizozemska</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Slika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lika 46" descr=""/>
                    <pic:cNvPicPr>
                      <a:picLocks noChangeAspect="1" noChangeArrowheads="1"/>
                    </pic:cNvPicPr>
                  </pic:nvPicPr>
                  <pic:blipFill>
                    <a:blip r:embed="rId115"/>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N</w:t>
      </w:r>
      <w:r>
        <w:rPr>
          <w:rFonts w:ascii="Calibri" w:hAnsi="Calibri"/>
          <w:b/>
          <w:i/>
          <w:color w:val="000000"/>
          <w:sz w:val="48"/>
        </w:rPr>
        <w:t>aša vizija Evrope</w:t>
      </w:r>
    </w:p>
    <w:p>
      <w:pPr>
        <w:pStyle w:val="P68B1DB1Normal103"/>
        <w:widowControl w:val="false"/>
        <w:spacing w:lineRule="exact" w:line="499" w:before="100" w:after="0"/>
        <w:ind w:left="0" w:right="0" w:hanging="0"/>
        <w:jc w:val="left"/>
        <w:rPr>
          <w:rFonts w:ascii="Calibri" w:hAnsi="Calibri"/>
          <w:i/>
          <w:i/>
          <w:color w:val="000000"/>
          <w:sz w:val="32"/>
        </w:rPr>
      </w:pPr>
      <w:r>
        <w:rPr/>
        <w:t xml:space="preserve">Mnenja, ideje in priporočila </w:t>
      </w:r>
    </w:p>
    <w:p>
      <w:pPr>
        <w:pStyle w:val="P68B1DB1Normal104"/>
        <w:widowControl w:val="false"/>
        <w:spacing w:lineRule="exact" w:line="339" w:before="101" w:after="0"/>
        <w:ind w:left="0" w:right="0" w:hanging="0"/>
        <w:jc w:val="left"/>
        <w:rPr>
          <w:rFonts w:ascii="Calibri" w:hAnsi="Calibri"/>
          <w:color w:val="000000"/>
          <w:sz w:val="21"/>
        </w:rPr>
      </w:pPr>
      <w:r>
        <w:rPr/>
        <w:t xml:space="preserve">Teme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Vrednote in pravice, pravna država in varnost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Močnejše gospodarstvo, socialna pravičnost in zaposlovanje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Evropska demokracija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Digitalna transformacija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Izobraževanje, kultura, mladi in šport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december 2021 </w:t>
      </w:r>
    </w:p>
    <w:p>
      <w:pPr>
        <w:pStyle w:val="Normal"/>
        <w:widowControl w:val="false"/>
        <w:spacing w:lineRule="exact" w:line="282" w:before="1" w:after="0"/>
        <w:ind w:left="0" w:right="37" w:hanging="0"/>
        <w:jc w:val="left"/>
        <w:rPr/>
      </w:pPr>
      <w:r>
        <w:rPr>
          <w:rFonts w:ascii="Calibri" w:hAnsi="Calibri"/>
          <w:color w:val="000000"/>
          <w:sz w:val="21"/>
        </w:rPr>
        <w:t xml:space="preserve">Ta dokument je prevod poročila z naslovom "Eleven kijk op Europa; Meningen, ideeën en Aanbevelingen“ (Naša vizija Evrope: mnenja, ideje in priporočila"), ki je bila 3. decembra 2021 objavljena v nizozemščini na spletni strani www.kijkopeuropa.nl. Ta prevod je poenostavljena različica poročila, v kateri je bila izvirna predstavitev (ilustracije in drugi grafični elementi) spremenjena za namene prevajanja.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Naša vizija o...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Povzetek poročila: vsa priporočila na kratko </w:t>
      </w:r>
    </w:p>
    <w:p>
      <w:pPr>
        <w:pStyle w:val="P68B1DB1Normal104"/>
        <w:widowControl w:val="false"/>
        <w:spacing w:lineRule="exact" w:line="282" w:before="185" w:after="0"/>
        <w:ind w:left="0" w:right="25" w:hanging="0"/>
        <w:jc w:val="left"/>
        <w:rPr/>
      </w:pPr>
      <w:r>
        <w:rPr/>
        <w:t xml:space="preserve">Z dialogom z državljani, organiziranim na temo „Vizija Evrope“, smo zbrali stališča in ideje nizozemskih državljanov o prihodnosti Evrope. To je privedlo do naslednjih priporočil Evropski uniji za prvih pet tem.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Vrednote in pravice, pravna država in varnost </w:t>
      </w:r>
    </w:p>
    <w:p>
      <w:pPr>
        <w:pStyle w:val="P68B1DB1Normal104"/>
        <w:widowControl w:val="false"/>
        <w:spacing w:lineRule="exact" w:line="282" w:before="178" w:after="0"/>
        <w:ind w:left="0" w:right="105" w:hanging="0"/>
        <w:jc w:val="left"/>
        <w:rPr/>
      </w:pPr>
      <w:r>
        <w:rPr/>
        <w:t xml:space="preserve">Pomembno je, da EU varuje pravno državo. Hkrati Nizozemci menijo, da je treba pozornost nameniti raznolikosti tradicij in kultur, ki obstajajo v Evropi. Sodelovanje znotraj EU ima lahko številne koristi v različnih oblikah, vendar mora dodati vrednost za vse zainteresirane strani. To velja tudi za izmenjavo informacij o varnosti. Izmenjava vseh informacij hitro naredi sodelovanje neučinkovito.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Poskrbite, da se bo vsakdo počutil svobodnega in varnega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Širitev EU samo, če prinaša dodano vrednost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Sodelovanje predvsem v boju proti mednarodnemu kriminalu in terorizmu</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Močnejše gospodarstvo, socialna pravičnost in zaposlovanje </w:t>
      </w:r>
    </w:p>
    <w:p>
      <w:pPr>
        <w:pStyle w:val="P68B1DB1Normal104"/>
        <w:widowControl w:val="false"/>
        <w:spacing w:lineRule="exact" w:line="282" w:before="178" w:after="0"/>
        <w:ind w:left="0" w:right="18" w:hanging="0"/>
        <w:jc w:val="left"/>
        <w:rPr/>
      </w:pPr>
      <w:r>
        <w:rPr/>
        <w:t xml:space="preserve">Nizozemci menijo, da obstaja veliko priložnosti za krepitev evropskega gospodarstva. Vendar se države ne morejo vedno primerjati med seboj. Zlasti davčni sistem bi moral biti pravičnejši in jasnejši. V Evropi pa bi se morali bolj osredotočiti na naše prednosti, kot sta kakovost in raznolikost. Poleg tega lahko države EU sodelujejo pri zagotavljanju enakih možnosti na evropskem trgu dela.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Upoštevanje skupnih značilnosti in razlik</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Večja uporaba prednosti Evrope</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Razvoj pravičnega in jasnega davčnega sistema</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Zagotavljanje, da lahko vsi sodelujejo v </w:t>
      </w:r>
      <w:r>
        <w:rPr>
          <w:rFonts w:ascii="Calibri" w:hAnsi="Calibri"/>
          <w:b/>
          <w:i/>
          <w:sz w:val="24"/>
        </w:rPr>
        <w:t xml:space="preserve">evropski demokraciji </w:t>
      </w:r>
    </w:p>
    <w:p>
      <w:pPr>
        <w:pStyle w:val="P68B1DB1Normal104"/>
        <w:widowControl w:val="false"/>
        <w:spacing w:lineRule="exact" w:line="282" w:before="178" w:after="0"/>
        <w:ind w:left="0" w:right="323" w:hanging="0"/>
        <w:jc w:val="both"/>
        <w:rPr/>
      </w:pPr>
      <w:r>
        <w:rPr/>
        <w:t xml:space="preserve">Nizozemcem ni treba vedeti vsega o Evropski uniji, vendar želijo več preglednosti in več informacij. Poznavanje stališč drugih držav EU lahko na primer prispeva k boljšemu pregledu. Poleg tega Nizozemci menijo, da bi morala EU pogosteje in po možnosti trajno sodelovati z državljani. V zvezi s tem je pomembno ne le upoštevati različne interese, temveč tudi sprejemati odločitve hitreje, kot je trenutno.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Boljši pregled nad Evropo</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Iskanje novih načinov za nenehno poslušanje državljanov</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Večja preglednost in jasnost sprejetih odločitev</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Zagotavljanje, da se težavna vprašanja lahko rešijo hitreje</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Digitalna transformacija </w:t>
      </w:r>
    </w:p>
    <w:p>
      <w:pPr>
        <w:pStyle w:val="P68B1DB1Normal104"/>
        <w:widowControl w:val="false"/>
        <w:spacing w:lineRule="exact" w:line="282" w:before="178" w:after="0"/>
        <w:ind w:left="0" w:right="54" w:hanging="0"/>
        <w:jc w:val="left"/>
        <w:rPr/>
      </w:pPr>
      <w:r>
        <w:rPr/>
        <w:t xml:space="preserve">Družba je vse bolj odvisna od interneta in velika tehnološka podjetja postajajo vse močnejša. To je včasih zelo zaskrbljujoče za Nizozemce. Zato je koristno, da EU razvije evropska pravila in standarde (zasebnost). Vendar pa je pomembno, da lahko vsakdo razume in uporablja ta pravila in standarde. Nizozemci raje prejmejo podporo in informacije nacionalnih organov v svojem jeziku.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Zagotavljanje hitrega, varnega in stabilnega interneta povsod</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Določitev jasnih pravil in standardov za internetna podjetja</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Dodajanje izvajanja in praktičnih pojasnil k pravilom o zasebnosti</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Izobraževanje, kultura, mladi in šport </w:t>
      </w:r>
    </w:p>
    <w:p>
      <w:pPr>
        <w:pStyle w:val="P68B1DB1Normal104"/>
        <w:widowControl w:val="false"/>
        <w:spacing w:lineRule="exact" w:line="282" w:before="178" w:after="0"/>
        <w:ind w:left="0" w:right="166" w:hanging="0"/>
        <w:jc w:val="left"/>
        <w:rPr/>
      </w:pPr>
      <w:r>
        <w:rPr/>
        <w:t>Mladi, ki študirajo v tujini, bi se morali od države gostiteljice naučiti več, kot</w:t>
      </w:r>
      <w:r>
        <w:rPr/>
        <w:commentReference w:id="21"/>
      </w:r>
      <w:r>
        <w:rPr/>
        <w:t xml:space="preserve"> so danes. In države z nižjo stopnjo znanja ne bi smele izgubiti vseh svojih talentov, ki gredo v tujino. Nizozemci menijo, da so teme, kot sta kultura in zloraba v športu, vprašanja, za katera bi morale biti odgovorne države članice same. In menijo, da je zelo pomembno imeti svoj nacionalni jezik. Na splošno se mora v Evropi vsak človek predvsem počutiti svobodnega in biti sposoben biti sam.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Spodbujanje študentov k inteligentnemu študiju v tujini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Državam članicam omogočiti, da se osredotočijo na teme, kot sta kultura in šport;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Zagotavljanje, da se Evropejci bolje spoznajo in se medsebojno spoštujejo</w:t>
      </w:r>
      <w:r>
        <w:rPr>
          <w:color w:val="000000"/>
          <w:sz w:val="21"/>
        </w:rPr>
        <w:t xml:space="preserve"> </w:t>
      </w:r>
      <w:r>
        <w:br w:type="page"/>
      </w:r>
    </w:p>
    <w:p>
      <w:pPr>
        <w:pStyle w:val="P68B1DB1Normal109"/>
        <w:rPr>
          <w:rFonts w:ascii="Calibri" w:hAnsi="Calibri"/>
          <w:b/>
          <w:b/>
          <w:i/>
          <w:i/>
          <w:color w:val="000000"/>
          <w:sz w:val="32"/>
        </w:rPr>
      </w:pPr>
      <w:r>
        <w:rPr/>
        <w:t xml:space="preserve">Uvod </w:t>
      </w:r>
    </w:p>
    <w:p>
      <w:pPr>
        <w:pStyle w:val="P68B1DB1Normal110"/>
        <w:widowControl w:val="false"/>
        <w:spacing w:lineRule="exact" w:line="274" w:before="31" w:after="0"/>
        <w:ind w:left="0" w:right="113" w:hanging="0"/>
        <w:jc w:val="left"/>
        <w:rPr/>
      </w:pPr>
      <w:r>
        <w:rPr>
          <w:sz w:val="21"/>
        </w:rPr>
        <w:t xml:space="preserve">Dialog z državljani „Vizija Evrope“, ki je potekal od 1. septembra do sredine novembra, je vsem Nizozemcem omogočil, da izrazijo svoja mnenja in zamisli o prihodnosti Evrope. Nizozemska Evropski uniji (EU) predstavi priporočila, na podlagi katerih je potekal dialog, ter izražene zamisli in stališča. V tem poročilu se osredotočamo na prvih pet tem. Ostale štiri teme bodo obravnavane v prihodnjem poročilu v začetku leta 2022. </w:t>
      </w:r>
      <w:r>
        <w:rPr>
          <w:b/>
          <w:i/>
          <w:sz w:val="24"/>
        </w:rPr>
        <w:t>O viziji Evrope</w:t>
      </w:r>
    </w:p>
    <w:p>
      <w:pPr>
        <w:pStyle w:val="P68B1DB1Normal104"/>
        <w:widowControl w:val="false"/>
        <w:spacing w:lineRule="exact" w:line="257" w:before="34" w:after="0"/>
        <w:ind w:left="0" w:right="200" w:hanging="0"/>
        <w:jc w:val="left"/>
        <w:rPr/>
      </w:pPr>
      <w:r>
        <w:rPr/>
        <w:t xml:space="preserve">Evropska unija želi, da njeni državljani delijo svoje mnenje o Evropi. Zato EU organizira konferenco o prihodnosti Evrope. Mnenja in ideje državljanov po vsej Evropski uniji bodo nato vključeni v načrte za prihodnost Evrope. Nizozemska je v okviru konference organizirala dialog z državljani „Vizija Evrope“ na nacionalni ravni.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Dialog o viziji Evrope se je začel 1. septembra s spletnim zbiranjem mnenj in zamisli prek ankete, ki jo je opravila reprezentativna okrogla miza. Da bi poglobili začetne rezultate ankete okrogle mize in pripravili konkretna priporočila, smo organizirali tematske spletne dialoge. Vsakdo, ki je želel sodelovati, lahko sodeluje. Potovali smo tudi po državi, kjer smo se pogovarjali z mladimi in drugimi skupinami (težko dosegljivi). </w:t>
      </w:r>
    </w:p>
    <w:p>
      <w:pPr>
        <w:pStyle w:val="P68B1DB1Normal111"/>
        <w:widowControl w:val="false"/>
        <w:spacing w:lineRule="exact" w:line="269" w:before="28" w:after="0"/>
        <w:ind w:left="0" w:right="113" w:hanging="0"/>
        <w:jc w:val="left"/>
        <w:rPr/>
      </w:pPr>
      <w:r>
        <w:rPr/>
        <w:t xml:space="preserve">Od šolarjev, dijakov in dijakov poklicnega izobraževanja do ministra, kmetov in migrantov </w:t>
      </w:r>
    </w:p>
    <w:p>
      <w:pPr>
        <w:pStyle w:val="P68B1DB1Normal104"/>
        <w:widowControl w:val="false"/>
        <w:spacing w:lineRule="exact" w:line="257" w:before="26" w:after="0"/>
        <w:ind w:left="0" w:right="44" w:hanging="0"/>
        <w:jc w:val="left"/>
        <w:rPr/>
      </w:pPr>
      <w:r>
        <w:rPr/>
        <w:t xml:space="preserve">Oktobra in novembra je potekalo skupno osem spletnih tematskih dialogov s povprečno 30 udeleženci na srečanje. Organizirali smo tudi spletni tematski dialog in sedem tematskih dialogov na kraju samem z različnimi skupinami nizozemskih državljanov. Pogovarjali smo se s turško skupnostjo v Schiedamu, prostovoljci fundacije Piëzo pa so jih povabili v Zoetermeer. Ob tej priložnosti je bil na koncu dialoga prisoten tudi zunanji minister Ben Knapen. Ministrica je z udeleženci razpravljala o dialogu in stališčih o prihodnosti Evrope. Na koncu smo organizirali šest srečanj z različnimi skupinami mladih. Na primer, dobrodošli smo bili na srednji šoli v Helmondu, poklicni srednji šoli v Doetinchemu in na Univerzi v Leidnu.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Vedno mi je všeč, da izrazim svoje mnenje pred aparatom za kavo. Zato sem mislil, da moram sodelovati. </w:t>
      </w:r>
    </w:p>
    <w:p>
      <w:pPr>
        <w:pStyle w:val="P68B1DB1Normal110"/>
        <w:widowControl w:val="false"/>
        <w:spacing w:lineRule="exact" w:line="346" w:before="41" w:after="0"/>
        <w:ind w:left="0" w:right="6639" w:hanging="0"/>
        <w:jc w:val="left"/>
        <w:rPr/>
      </w:pPr>
      <w:r>
        <w:rPr>
          <w:sz w:val="21"/>
        </w:rPr>
        <w:t xml:space="preserve">Udeleženec tematskega </w:t>
      </w:r>
      <w:r>
        <w:rPr>
          <w:b/>
          <w:i/>
          <w:sz w:val="24"/>
        </w:rPr>
        <w:t xml:space="preserve">dialoga o tem poročilu </w:t>
      </w:r>
    </w:p>
    <w:p>
      <w:pPr>
        <w:pStyle w:val="P68B1DB1Normal104"/>
        <w:widowControl w:val="false"/>
        <w:spacing w:lineRule="exact" w:line="257" w:before="178" w:after="0"/>
        <w:ind w:left="0" w:right="56" w:hanging="0"/>
        <w:jc w:val="left"/>
        <w:rPr/>
      </w:pPr>
      <w:r>
        <w:rPr/>
        <w:t xml:space="preserve">Na podlagi zamisli in mnenj, ki smo jih zbrali v zadnjih mesecih, smo pripravili vrsto priporočil, ki jih nizozemski državljani predložijo Evropski uniji. Med razpravami med nizozemskimi državljani so potekale zanimive izmenjave mnenj in predstavljene so bile inovativne zamisli. Predlogi so bili podani tudi prek panela in javne preiskave. Nekatere od teh zamisli so bile vključene v to poročilo. Vsebina tega poročila je zato glas Nizozemske: naša vizija Evrope.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Tako kot obstajajo razlike v stališčih med državami in evropskimi državljani, se tudi na Nizozemskem ne strinjamo vedno. Prav te razlike v stališčih so dragocene: to je pomembna značilnost demokracije. Priporočila temeljijo na najpogosteje izraženih zamislih in mnenjih udeležencev raziskave Vizija Evrope. Opisujemo tudi skrbi, ideje in občutke, ki so lahko manj razširjeni, vendar so pritegnili našo pozornost med dialogi in spletno anketo. </w:t>
      </w:r>
      <w:r>
        <w:br w:type="page"/>
      </w:r>
    </w:p>
    <w:p>
      <w:pPr>
        <w:pStyle w:val="P68B1DB1Normal113"/>
        <w:spacing w:lineRule="auto" w:line="240"/>
        <w:rPr/>
      </w:pPr>
      <w:r>
        <w:rPr/>
        <w:t xml:space="preserve">Lepo je bilo govoriti v majhnih skupinah z navijači in nasprotniki. To se zelo razlikuje od tega, kako se razprave običajno odvijajo na družbenih medijih. </w:t>
      </w:r>
    </w:p>
    <w:p>
      <w:pPr>
        <w:pStyle w:val="P68B1DB1Normal76"/>
        <w:widowControl w:val="false"/>
        <w:spacing w:lineRule="auto" w:line="240" w:before="267" w:after="0"/>
        <w:ind w:left="0" w:right="0" w:hanging="0"/>
        <w:jc w:val="left"/>
        <w:rPr/>
      </w:pPr>
      <w:r>
        <w:rPr>
          <w:rFonts w:ascii="Calibri" w:hAnsi="Calibri"/>
          <w:sz w:val="21"/>
        </w:rPr>
        <w:t>Udeleženec v tematskem dialogu</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Za konferenco o prihodnosti Evrope je bilo opredeljenih devet tem. Te teme so tudi v središču dialoga Vizija Evrope z nizozemskimi državljani. Sodišče je oktobra objavilo vmesno poročilo z začetnim pregledom rezultatov in dopolnilnih vprašanj na podlagi ankete odbora. V tem drugem poročilu smo predstavili mnenja, zamisli in priporočila o prvih petih temah za decembrsko plenarno zasedanje Konference o prihodnosti Evrope. Naslednje poročilo, ki bo obravnavalo preostale štiri teme, bo objavljeno sredi januarja. </w:t>
      </w:r>
    </w:p>
    <w:p>
      <w:pPr>
        <w:pStyle w:val="Normal"/>
        <w:rPr/>
      </w:pPr>
      <w:r>
        <w:rPr/>
        <w:t xml:space="preserve">To poročilo – december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Vrednote in pravice, pravna država in varnost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Močnejše gospodarstvo, socialna pravičnost in zaposlovanje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Evropska demokracija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Digitalna transformacija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Izobraževanje, kultura, mladi in šport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Naslednje poročilo – januar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Podnebne spremembe in okolje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Zdravje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v svetu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Naslednji koraki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Konferenca o prihodnosti Evrope združuje zamisli, mnenja in priporočila vseh državljanov EU. Srečanja ne bodo namenjena le rezultatom vseh dialogov z državljani na nacionalni ravni, temveč tudi rezultatom drugih pobud, sproženih v okviru konference. Na primer, obstajajo tudi paneli evropskih državljanov, vsi državljani EU (vključno z nizozemskimi državljani) pa lahko dostopajo do evropske digitalne platforme. </w:t>
      </w:r>
    </w:p>
    <w:p>
      <w:pPr>
        <w:pStyle w:val="P68B1DB1Normal113"/>
        <w:widowControl w:val="false"/>
        <w:spacing w:lineRule="auto" w:line="240" w:before="203" w:after="0"/>
        <w:ind w:left="1080" w:right="1083" w:hanging="0"/>
        <w:jc w:val="center"/>
        <w:rPr/>
      </w:pPr>
      <w:r>
        <w:rPr/>
        <w:t>„</w:t>
      </w:r>
      <w:r>
        <w:rPr/>
        <w:t xml:space="preserve">Dobro je, da EU prevzema to pobudo. Upam, da bodo rezultati resnično upoštevani. </w:t>
      </w:r>
    </w:p>
    <w:p>
      <w:pPr>
        <w:pStyle w:val="P68B1DB1Normal104"/>
        <w:widowControl w:val="false"/>
        <w:spacing w:lineRule="auto" w:line="240" w:before="307" w:after="0"/>
        <w:ind w:left="0" w:right="0" w:hanging="0"/>
        <w:jc w:val="left"/>
        <w:rPr>
          <w:rFonts w:ascii="Calibri" w:hAnsi="Calibri"/>
          <w:color w:val="000000"/>
          <w:sz w:val="21"/>
        </w:rPr>
      </w:pPr>
      <w:r>
        <w:rPr/>
        <w:t xml:space="preserve">Udeleženec v tematskem dialogu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Konferenca se bo končala spomladi 2022. Nizozemska bo nato pripravila končno poročilo o dialogu z državljani: povzetek tega poročila in naslednjega poročila (vključno z drugimi temami). Po konferenci bodo podana priporočila predsedniku konference: predsedniki Evropskega parlamenta, Sveta ministrov in Evropske komisije. Zavezali so se, da bodo preučili načine in sredstva za izvajanje priporočil. Za nizozemsko vlado so rezultati tudi dragocen prispevek k razvoju nizozemskih evropskih politik.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Če povzamemo, postopek do pomladi 2022 bo organiziran na naslednji način: </w:t>
      </w:r>
      <w:r>
        <w:br w:type="page"/>
      </w:r>
    </w:p>
    <w:p>
      <w:pPr>
        <w:pStyle w:val="P68B1DB1Normal107"/>
        <w:spacing w:lineRule="auto" w:line="240"/>
        <w:rPr/>
      </w:pPr>
      <w:r>
        <w:rPr/>
        <w:t xml:space="preserve">Kronologija </w:t>
      </w:r>
    </w:p>
    <w:p>
      <w:pPr>
        <w:pStyle w:val="P68B1DB1Normal114"/>
        <w:spacing w:lineRule="auto" w:line="240"/>
        <w:rPr/>
      </w:pPr>
      <w:r>
        <w:rPr/>
        <w:t xml:space="preserve">Vizija Evrope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Prvih sedem.</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oktober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oktober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novembra.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 in 18. december</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 in 22. januar</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 in 24. april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Zbiranje idej na spletu</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Tematski dialogi</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Vmesni rezultati (vmesno poročilo)</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Vmesno poročilo o „gospodarstvu“ in „demokraciji“</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Vmesno poročilo „Podnebje“ in „EU v svetu“</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Končno poročilo „Naša vizija za Evropo“</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OGLAŠUJETE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OGLAŠUJETE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OGLAŠUJETE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OGLAŠUJETE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Srečanje konference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Srečanje konference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Srečanje konference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Zaključek konference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KAJ JE?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Priporočila za predsednike </w:t>
              <w:br/>
              <w:t xml:space="preserve">• Evropski parlament </w:t>
              <w:br/>
              <w:t xml:space="preserve">• Evropska komisija </w:t>
              <w:br/>
              <w:t>• Svet ministrov</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(V ANGLEŠČINI)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(V ANGLEŠČINI)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(V ANGLEŠČINI)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Več mnenj in idej o prihodnosti Evrope:</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 z državljani</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Forumi evropskih državljanov</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Evropska digitalna platforma (tudi za nizozemske državljane)</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Pojasnila za lažje branje </w:t>
      </w:r>
    </w:p>
    <w:p>
      <w:pPr>
        <w:pStyle w:val="P68B1DB1Normal104"/>
        <w:widowControl w:val="false"/>
        <w:spacing w:lineRule="auto" w:line="240" w:before="125" w:after="0"/>
        <w:ind w:left="0" w:right="0" w:hanging="0"/>
        <w:jc w:val="left"/>
        <w:rPr/>
      </w:pPr>
      <w:r>
        <w:rPr/>
        <w:t xml:space="preserve">V tem poročilu smo razpravljali o petih temah. Za vsako temo smo zaporedoma vključili: </w:t>
      </w:r>
    </w:p>
    <w:p>
      <w:pPr>
        <w:pStyle w:val="P68B1DB1Normal104"/>
        <w:widowControl w:val="false"/>
        <w:spacing w:lineRule="auto" w:line="240"/>
        <w:ind w:left="0" w:right="0" w:hanging="0"/>
        <w:jc w:val="left"/>
        <w:rPr>
          <w:rFonts w:ascii="Calibri" w:hAnsi="Calibri"/>
          <w:color w:val="000000"/>
          <w:sz w:val="21"/>
        </w:rPr>
      </w:pPr>
      <w:r>
        <w:rPr/>
        <w:t xml:space="preserve">priporočila, ki temeljijo na vseh vidikih dialoga z državljani; </w:t>
      </w:r>
    </w:p>
    <w:p>
      <w:pPr>
        <w:pStyle w:val="P68B1DB1Normal104"/>
        <w:widowControl w:val="false"/>
        <w:spacing w:lineRule="auto" w:line="240" w:before="1" w:after="0"/>
        <w:ind w:left="0" w:right="0" w:hanging="0"/>
        <w:jc w:val="left"/>
        <w:rPr/>
      </w:pPr>
      <w:r>
        <w:rPr/>
        <w:t xml:space="preserve">pregled mnenj, idej in mnenj, izmenjanih (spletno in s fizično prisotnostjo) med tematskimi dialogi in predlogi iz spletne ankete, z besedami in slikami.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Opis metodologije, uporabljene v raziskavi, je na voljo na koncu tega poročila.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Vrednote in pravice, pravna država in varnost </w:t>
      </w:r>
    </w:p>
    <w:p>
      <w:pPr>
        <w:pStyle w:val="P68B1DB1Normal104"/>
        <w:widowControl w:val="false"/>
        <w:spacing w:lineRule="auto" w:line="240" w:before="36" w:after="0"/>
        <w:ind w:left="0" w:right="0" w:hanging="0"/>
        <w:jc w:val="both"/>
        <w:rPr/>
      </w:pPr>
      <w:r>
        <w:rPr/>
        <w:t xml:space="preserve">EU spremlja pravno državo v vseh državah EU in poskuša zmanjšati neenakosti v EU. EU želi tudi zaščititi vse Evropejce pred terorizmom in kriminalom. Da bi to dosegli, EU uvaja ukrepe in pravila, države EU pa intenzivno sodelujejo.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Kakšna je vizija Nizozemske o tem?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Priporočila – Naša vizija varnosti in pravne države </w:t>
      </w:r>
    </w:p>
    <w:p>
      <w:pPr>
        <w:pStyle w:val="P68B1DB1Normal69"/>
        <w:widowControl w:val="false"/>
        <w:spacing w:lineRule="auto" w:line="240" w:before="41" w:after="0"/>
        <w:ind w:left="0" w:right="0" w:hanging="0"/>
        <w:jc w:val="left"/>
        <w:rPr/>
      </w:pPr>
      <w:r>
        <w:rPr/>
        <w:t xml:space="preserve">68 % Nizozemcev meni, da sta varnost in pravna država pomembno vprašanje in da mora EU posredovati na tem področju.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Poskrbite, da se bo vsakdo počutil svobodnega in varnega </w:t>
      </w:r>
    </w:p>
    <w:p>
      <w:pPr>
        <w:pStyle w:val="P68B1DB1Normal104"/>
        <w:widowControl w:val="false"/>
        <w:spacing w:lineRule="auto" w:line="240" w:before="25" w:after="0"/>
        <w:ind w:left="0" w:right="0" w:hanging="0"/>
        <w:jc w:val="left"/>
        <w:rPr/>
      </w:pPr>
      <w:r>
        <w:rPr/>
        <w:t xml:space="preserve">78 % Nizozemcev meni, da je za EU pomembno, da zaščiti pravno državo ter naše temeljne pravice in svoboščine. Prav tako pripisujemo pomen varstvu pravic potrošnikov: velika večina državljanov meni, da je dobro, da EU od proizvajalcev zahteva, da na etiketah vključijo enake informacije v vseh državah. Vendar veliko število Nizozemcev meni, da mora biti EU pozorna na razlike v tradicijah in kulturah (upravljanja) v Evropi. In to, med drugim, ker bi bilo sicer težko učinkovito sodelovati. Menimo, da je še posebej pomembno, da se vsi v Evropi počutijo svobodne in varne. To vključuje streho nad glavo, pa tudi izobraževanje in nego. In to se nanaša tudi na dejstvo, da so izdelki, ki jih najdemo v evropskih trgovinah, </w:t>
      </w:r>
    </w:p>
    <w:p>
      <w:pPr>
        <w:pStyle w:val="P68B1DB1Normal104"/>
        <w:widowControl w:val="false"/>
        <w:spacing w:lineRule="auto" w:line="240"/>
        <w:ind w:left="0" w:right="0" w:hanging="0"/>
        <w:jc w:val="left"/>
        <w:rPr>
          <w:rFonts w:ascii="Calibri" w:hAnsi="Calibri"/>
          <w:color w:val="000000"/>
          <w:sz w:val="21"/>
        </w:rPr>
      </w:pPr>
      <w:r>
        <w:rPr/>
        <w:t xml:space="preserve">vedno si prepričan.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Širitev EU samo, če prinaša dodano vrednost </w:t>
      </w:r>
    </w:p>
    <w:p>
      <w:pPr>
        <w:pStyle w:val="P68B1DB1Normal104"/>
        <w:widowControl w:val="false"/>
        <w:spacing w:lineRule="auto" w:line="240" w:before="25" w:after="0"/>
        <w:ind w:left="0" w:right="0" w:hanging="0"/>
        <w:jc w:val="left"/>
        <w:rPr/>
      </w:pPr>
      <w:r>
        <w:rPr/>
        <w:t xml:space="preserve">44 % Nizozemcev meni, da se EU ne bi smela razširiti na več držav. Po drugi strani pa 25 % podpira širitev. Ugotavljamo, da med sedanjimi državami članicami že poteka veliko razprav. Mnogi Nizozemci menijo, da se moramo najprej osredotočiti na to vprašanje. Če se Uniji pridružijo nove države, morajo biti resnično sposobne izpolniti naše pogoje. Danes in v prihodnosti. Mnogi Nizozemci menijo, da morajo sedanje države članice zaznati tudi dodano vrednost širitve. Verjamemo tudi, da obstajajo tudi druge priložnosti za sodelovanje kot država za varnost in stabilnost. Na primer, včasih smo zaskrbljeni zaradi vpliva Rusije na države na vzhodni meji EU. Pomembno je, da EU posveča pozornost.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Širitev ne bi smela biti osredotočena na stroške in koristi, temveč na vizijo stabilnosti.“ </w:t>
      </w:r>
    </w:p>
    <w:p>
      <w:pPr>
        <w:pStyle w:val="P68B1DB1Normal111"/>
        <w:widowControl w:val="false"/>
        <w:spacing w:lineRule="auto" w:line="240" w:before="40" w:after="0"/>
        <w:ind w:left="0" w:right="0" w:hanging="0"/>
        <w:jc w:val="left"/>
        <w:rPr/>
      </w:pPr>
      <w:r>
        <w:rPr/>
        <w:t xml:space="preserve">3. Sodelovanje predvsem v boju proti mednarodnemu kriminalu in terorizmu </w:t>
      </w:r>
    </w:p>
    <w:p>
      <w:pPr>
        <w:pStyle w:val="P68B1DB1Normal104"/>
        <w:widowControl w:val="false"/>
        <w:spacing w:lineRule="auto" w:line="240" w:before="26" w:after="0"/>
        <w:ind w:left="0" w:right="0" w:hanging="0"/>
        <w:jc w:val="left"/>
        <w:rPr/>
      </w:pPr>
      <w:r>
        <w:rPr/>
        <w:t xml:space="preserve">68 % Nizozemcev meni, da bi morale varnostne službe EU deliti svoje informacije. Vendar menimo, da je pomembno, da se lahko tudi države še naprej same odločajo, katere informacije želijo posredovati ali ne. Izmenjava vseh informacij hitro naredi sodelovanje neučinkovito. In EU je danes tako velika, da moramo še naprej kritično preučiti, kje prispejo ali se bodo verjetno pojavile občutljive informacije. Še naprej želimo zaupati, da je naša zasebnost zaščitena. Menimo, da je predvsem smiselno sodelovati v boju proti hudim mednarodnim kaznivim dejanjem, kot so kibernetska kriminaliteta, trgovina s prepovedanimi drogami in terorizem. </w:t>
      </w:r>
    </w:p>
    <w:p>
      <w:pPr>
        <w:pStyle w:val="P68B1DB1Normal113"/>
        <w:widowControl w:val="false"/>
        <w:spacing w:lineRule="auto" w:line="240" w:before="28" w:after="0"/>
        <w:ind w:left="0" w:right="0" w:hanging="0"/>
        <w:jc w:val="center"/>
        <w:rPr/>
      </w:pPr>
      <w:r>
        <w:rPr/>
        <w:t xml:space="preserve">Če enkrat zažgete rdečo luč na Nizozemskem, res ni razloga, da bi bilo to znano v Španiji.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Spletne razprave in ideje ter razprave na kraju samem </w:t>
      </w:r>
    </w:p>
    <w:p>
      <w:pPr>
        <w:pStyle w:val="P68B1DB1Normal118"/>
        <w:widowControl w:val="false"/>
        <w:spacing w:lineRule="auto" w:line="240" w:before="118" w:after="0"/>
        <w:ind w:left="0" w:right="0" w:hanging="0"/>
        <w:jc w:val="left"/>
        <w:rPr>
          <w:rFonts w:ascii="Calibri" w:hAnsi="Calibri"/>
          <w:i/>
          <w:i/>
          <w:color w:val="000000"/>
          <w:sz w:val="21"/>
        </w:rPr>
      </w:pPr>
      <w:r>
        <w:rPr/>
        <w:t xml:space="preserve">Če kaznujete državo, ki ne spoštuje pravil, so najrevnejši prebivalci te države prve žrtve. Zato mislim, da je bolje govoriti kot sankcijo. </w:t>
      </w:r>
    </w:p>
    <w:p>
      <w:pPr>
        <w:pStyle w:val="P68B1DB1Normal118"/>
        <w:widowControl w:val="false"/>
        <w:spacing w:lineRule="auto" w:line="240" w:before="87" w:after="0"/>
        <w:ind w:left="0" w:right="0" w:hanging="0"/>
        <w:jc w:val="left"/>
        <w:rPr>
          <w:rFonts w:ascii="Calibri" w:hAnsi="Calibri"/>
          <w:i/>
          <w:i/>
          <w:color w:val="000000"/>
          <w:sz w:val="21"/>
        </w:rPr>
      </w:pPr>
      <w:r>
        <w:rPr/>
        <w:t xml:space="preserve">Najprej moramo zagotoviti stabilnost v sedanjem klubu. In potem pomislite le na širitev. </w:t>
      </w:r>
    </w:p>
    <w:p>
      <w:pPr>
        <w:pStyle w:val="P68B1DB1Normal118"/>
        <w:widowControl w:val="false"/>
        <w:spacing w:lineRule="auto" w:line="240" w:before="85" w:after="0"/>
        <w:ind w:left="0" w:right="392" w:hanging="0"/>
        <w:jc w:val="left"/>
        <w:rPr/>
      </w:pPr>
      <w:r>
        <w:rPr/>
        <w:t xml:space="preserve">Prav tako moramo kritično preučiti svojo pravno državo. Zagotovo obstaja ena ali druga napaka. </w:t>
      </w:r>
    </w:p>
    <w:p>
      <w:pPr>
        <w:pStyle w:val="P68B1DB1Normal118"/>
        <w:widowControl w:val="false"/>
        <w:spacing w:lineRule="auto" w:line="240" w:before="85" w:after="0"/>
        <w:ind w:left="0" w:right="244" w:hanging="0"/>
        <w:jc w:val="left"/>
        <w:rPr/>
      </w:pPr>
      <w:r>
        <w:rPr/>
        <w:t xml:space="preserve">IDEJA: „Vzpostaviti stroga pravila o integriteti za politike po vsej Evropi, da bi preprečili prelahko vplivanje nanje.“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IDEJA: „Krepitev sodelovanja med policijo in sodstvom v državah EU.“ </w:t>
      </w:r>
    </w:p>
    <w:p>
      <w:pPr>
        <w:pStyle w:val="P68B1DB1Normal111"/>
        <w:widowControl w:val="false"/>
        <w:spacing w:lineRule="auto" w:line="240" w:before="84" w:after="0"/>
        <w:ind w:left="0" w:right="67" w:hanging="0"/>
        <w:jc w:val="left"/>
        <w:rPr/>
      </w:pPr>
      <w:r>
        <w:rPr/>
        <w:t xml:space="preserve">Doetinchem Srednja šola: Tisti, ki želijo biti del EU, morajo spoštovati pravila. </w:t>
      </w:r>
    </w:p>
    <w:p>
      <w:pPr>
        <w:pStyle w:val="P68B1DB1Normal104"/>
        <w:widowControl w:val="false"/>
        <w:spacing w:lineRule="auto" w:line="240" w:before="100" w:after="0"/>
        <w:ind w:left="0" w:right="0" w:hanging="0"/>
        <w:jc w:val="left"/>
        <w:rPr/>
      </w:pPr>
      <w:r>
        <w:rPr/>
        <w:t xml:space="preserve">Na kolidžu Graafschap v Doetinchemu je približno 20 študentov zdravstvene nege razpravljalo o tem, katere so po njihovem mnenju največje koristi EU: prosti trg, evro kot skupna valuta in dejstvo, da se lahko kot evropski trg zlahka ustali in deluje v drugih državah EU. In dejstvo, da se države EU lahko medsebojno podpirajo. „Združenje je moč,“ je dejal eden od prisotnih študentov. Razpravljalo se je tudi o pomembnosti pravil. Če jih države ne spoštujejo, jih je pogosto težko strogo kaznovati. Po mnenju študentov bi bilo morda koristno, da bi to postalo malo lažje. Eden od njih je omenil tudi odvračilni učinek. Če izrečete stroge sankcije, druge države vidijo, kaj se lahko zgodi, če ne upoštevate pravil.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od Surinama do Utrechta: Včasih manjka zaupanje v pravno državo. </w:t>
      </w:r>
    </w:p>
    <w:p>
      <w:pPr>
        <w:pStyle w:val="Normal"/>
        <w:widowControl w:val="false"/>
        <w:spacing w:lineRule="auto" w:line="240" w:before="97" w:after="0"/>
        <w:ind w:left="0" w:right="34" w:hanging="0"/>
        <w:jc w:val="left"/>
        <w:rPr/>
      </w:pPr>
      <w:r>
        <w:rPr>
          <w:rFonts w:ascii="Calibri" w:hAnsi="Calibri"/>
          <w:color w:val="000000"/>
          <w:sz w:val="21"/>
        </w:rPr>
        <w:t xml:space="preserve">Fundacija Asha je organizacija prostovoljcev Hindustanis iz Surinama v občini Utrecht. Udeleženci tematskega dialoga so razpravljali zlasti o pomenu pravic državljanov: pravico do strehe nad glavo, pa tudi na primer pravico do nediskriminacije. Po mnenju prisotnih prostovoljcev morajo obstajati pravila, ki ščitijo te pravice za vse evropske državljane. Ni vedno znano, kaj je trenutno urejeno na Nizozemskem in kaj je trenutno urejeno na evropski ravni. Zato je včasih težko zaupati v javne organe. Še posebej, ker se v javnih organih včasih pojavijo motnje v delovanju. „Lahko rečete, da me morajo oblasti braniti, vendar včasih uspejo sejati veslo, kot je bilo v primeru dodatka,“ je dejal eden od udeležencev. „EU bi morala zagotoviti, da se pravila dejansko spoštujejo,“ je dejal drug udeleženec. </w:t>
      </w:r>
      <w:r>
        <w:br w:type="page"/>
      </w:r>
    </w:p>
    <w:p>
      <w:pPr>
        <w:pStyle w:val="P68B1DB1Normal117"/>
        <w:spacing w:lineRule="auto" w:line="240"/>
        <w:ind w:left="0" w:right="0" w:hanging="0"/>
        <w:rPr>
          <w:rFonts w:ascii="Calibri" w:hAnsi="Calibri"/>
          <w:b/>
          <w:b/>
          <w:i/>
          <w:i/>
          <w:color w:val="000000"/>
          <w:sz w:val="28"/>
        </w:rPr>
      </w:pPr>
      <w:r>
        <w:rPr/>
        <w:t xml:space="preserve">Močnejše gospodarstvo, socialna pravičnost in zaposlovanje </w:t>
      </w:r>
    </w:p>
    <w:p>
      <w:pPr>
        <w:pStyle w:val="P68B1DB1Normal104"/>
        <w:widowControl w:val="false"/>
        <w:spacing w:lineRule="auto" w:line="240" w:before="139" w:after="0"/>
        <w:ind w:left="0" w:right="0" w:hanging="0"/>
        <w:jc w:val="left"/>
        <w:rPr/>
      </w:pPr>
      <w:r>
        <w:rPr/>
        <w:t xml:space="preserve">Mala in srednja podjetja so hrbtenica evropskega gospodarstva. EU zato želi, da bi države EU sodelovale pri načrtih za okrevanje, da bi se po krizi zaradi COVID-19 gospodarsko okrepile. Dolgoročno je cilj EU zagotoviti bolj zdravo, zeleno in digitalno evropsko gospodarstvo. Kakšna je vizija Nizozemske o tem?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Priporočila – Naša vizija gospodarstva in zaposlovanja </w:t>
      </w:r>
    </w:p>
    <w:p>
      <w:pPr>
        <w:pStyle w:val="P68B1DB1Normal35"/>
        <w:widowControl w:val="false"/>
        <w:spacing w:lineRule="auto" w:line="240" w:before="123" w:after="0"/>
        <w:ind w:left="0" w:right="0" w:hanging="0"/>
        <w:jc w:val="left"/>
        <w:rPr/>
      </w:pPr>
      <w:r>
        <w:rPr>
          <w:rFonts w:ascii="Calibri" w:hAnsi="Calibri"/>
          <w:sz w:val="20"/>
        </w:rPr>
        <w:t>61 % Nizozemcev meni, da sta gospodarstvo in zaposlovanje pomembna tema in da mora EU posredovati na tem področju.</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Upoštevanje skupnih značilnosti in razlik </w:t>
      </w:r>
    </w:p>
    <w:p>
      <w:pPr>
        <w:pStyle w:val="P68B1DB1Normal104"/>
        <w:widowControl w:val="false"/>
        <w:spacing w:lineRule="auto" w:line="240" w:before="97" w:after="0"/>
        <w:ind w:left="0" w:right="0" w:hanging="0"/>
        <w:jc w:val="left"/>
        <w:rPr/>
      </w:pPr>
      <w:r>
        <w:rPr/>
        <w:t xml:space="preserve">71 % Nizozemcev meni, da bi morala EU zagotoviti večje sodelovanje podjetij in s tem okrepiti evropsko gospodarstvo. Vendar le majhen delež teh ljudi meni, da mora EU podjetjem plačati več denarja. Predvsem pa menimo, da je sodelovanje lahko učinkovitejše. Danes vidimo, da različna podjetja vlagajo v isto novo tehnologijo, včasih celo z javnimi sredstvi. Če bi imeli evropsko vizijo gospodarstva, bi lahko ta denar učinkoviteje uporabili. Pri tem pa je treba posebno pozornost nameniti razlikam med državami. </w:t>
      </w:r>
    </w:p>
    <w:p>
      <w:pPr>
        <w:pStyle w:val="P68B1DB1Normal113"/>
        <w:widowControl w:val="false"/>
        <w:spacing w:lineRule="auto" w:line="240" w:before="306" w:after="0"/>
        <w:ind w:left="0" w:right="0" w:hanging="0"/>
        <w:jc w:val="center"/>
        <w:rPr/>
      </w:pPr>
      <w:r>
        <w:rPr/>
        <w:t xml:space="preserve">Kmetijski sektor na Nizozemskem je tako sodoben. Ni vedno mogoče primerjati z drugimi državami.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Večja uporaba prednosti Evrope </w:t>
      </w:r>
    </w:p>
    <w:p>
      <w:pPr>
        <w:pStyle w:val="P68B1DB1Normal104"/>
        <w:widowControl w:val="false"/>
        <w:spacing w:lineRule="auto" w:line="240" w:before="97" w:after="0"/>
        <w:ind w:left="0" w:right="0" w:hanging="0"/>
        <w:jc w:val="left"/>
        <w:rPr/>
      </w:pPr>
      <w:r>
        <w:rPr/>
        <w:t>Nizozemci menijo, da obstaja veliko priložnosti za krepitev evropskega gospodarstva, vendar je treba sprejeti odločitve. Zato menimo, da bi se morala EU osredotočiti predvsem na svoje prednosti. Na primer, menimo, da je Evropa dobra v</w:t>
      </w:r>
    </w:p>
    <w:p>
      <w:pPr>
        <w:pStyle w:val="P68B1DB1Normal104"/>
        <w:widowControl w:val="false"/>
        <w:spacing w:lineRule="auto" w:line="240"/>
        <w:ind w:left="0" w:right="0" w:hanging="0"/>
        <w:jc w:val="left"/>
        <w:rPr/>
      </w:pPr>
      <w:r>
        <w:rPr/>
        <w:t xml:space="preserve"> </w:t>
      </w:r>
      <w:r>
        <w:rPr/>
        <w:t xml:space="preserve">področja, kot so digitalni prehod, trajnost in infrastruktura. In kaj je morda bolj pomembno: zagovarjamo kakovost in raznolikost. Prav raznolikost naše celine z različnimi mnenji in idejami moramo veliko bolj izkoristiti kot gospodarsko prednost. To lahko Evropi omogoči, da se na primer razlikuje od kitajskega gospodarstva.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Razvoj pravičnega in jasnega davčnega sistema </w:t>
      </w:r>
    </w:p>
    <w:p>
      <w:pPr>
        <w:pStyle w:val="P68B1DB1Normal104"/>
        <w:widowControl w:val="false"/>
        <w:spacing w:lineRule="auto" w:line="240" w:before="95" w:after="0"/>
        <w:ind w:left="0" w:right="0" w:hanging="0"/>
        <w:jc w:val="left"/>
        <w:rPr/>
      </w:pPr>
      <w:r>
        <w:rPr/>
        <w:t xml:space="preserve">82 % Nizozemcev meni, da morajo države EU skupaj zagotoviti, da vsa podjetja EU plačujejo pravične davke. To vključuje zelo velika podjetja. Danes se včasih naselijo v drugih državah iz preprostega razloga, da plačujejo manj davkov. EU bi se morala boriti proti temu pojavu, na primer z določitvijo najnižje stopnje za vse države. Po drugi strani pa menimo, da je obdavčitev v pristojnosti držav, ki imajo svoje cilje in kontekste. Menimo, da je obdavčitev na splošno zapleteno vprašanje. Prav zato si želimo boljši davčni sistem, ki je pravičen in jasen za vse v Evropi. </w:t>
      </w:r>
    </w:p>
    <w:p>
      <w:pPr>
        <w:pStyle w:val="P68B1DB1Normal113"/>
        <w:widowControl w:val="false"/>
        <w:spacing w:lineRule="auto" w:line="240" w:before="256" w:after="0"/>
        <w:ind w:left="0" w:right="0" w:hanging="0"/>
        <w:jc w:val="center"/>
        <w:rPr/>
      </w:pPr>
      <w:r>
        <w:rPr/>
        <w:t xml:space="preserve">Kumare morajo imeti povsod enako obliko, vendar so davčna pravila drugačna. Noro je, kajne?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Zagotoviti, da lahko sodelujejo vsi </w:t>
      </w:r>
    </w:p>
    <w:p>
      <w:pPr>
        <w:pStyle w:val="P68B1DB1Normal104"/>
        <w:widowControl w:val="false"/>
        <w:spacing w:lineRule="auto" w:line="240" w:before="97" w:after="0"/>
        <w:ind w:left="0" w:right="0" w:hanging="0"/>
        <w:jc w:val="left"/>
        <w:rPr/>
      </w:pPr>
      <w:r>
        <w:rPr/>
        <w:t xml:space="preserve">71 % Nizozemcev meni, da bi morala EU prispevati k spodbujanju zaposlovanja. V zvezi s tem menimo, da bi bilo treba posebno pozornost nameniti nekaterim skupinam, kot so mladi in ljudje, ki so oddaljeni od trga dela. To je mogoče doseči s pravili ali subvencijami za podjetja, pa tudi z zagotavljanjem posebne podpore delodajalcem in delavcem. Razmišljamo na primer o dejavnostih ozaveščanja ali zelo praktičnih vprašanjih. Možno je, da se lahko takšna podpora v nekaterih primerih učinkoviteje organizira na ravni EU, v drugih pa je lahko naloga namesto same države članice. Države EU bi morale na koncu sodelovati, da bi zagotovile enake možnosti na evropskem trgu dela.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Spletne razprave in ideje ter razprave na kraju samem </w:t>
      </w:r>
    </w:p>
    <w:p>
      <w:pPr>
        <w:pStyle w:val="P68B1DB1Normal118"/>
        <w:widowControl w:val="false"/>
        <w:spacing w:lineRule="auto" w:line="240" w:before="115" w:after="0"/>
        <w:ind w:left="0" w:right="0" w:hanging="0"/>
        <w:jc w:val="left"/>
        <w:rPr>
          <w:rFonts w:ascii="Calibri" w:hAnsi="Calibri"/>
          <w:i/>
          <w:i/>
          <w:color w:val="000000"/>
          <w:sz w:val="21"/>
        </w:rPr>
      </w:pPr>
      <w:r>
        <w:rPr/>
        <w:t xml:space="preserve">Pospešiti avtomatizacijo v Evropi, tako da se blago, ki trenutno prihaja iz Kitajske, ponovno proizvaja tukaj. </w:t>
      </w:r>
    </w:p>
    <w:p>
      <w:pPr>
        <w:pStyle w:val="P68B1DB1Normal118"/>
        <w:widowControl w:val="false"/>
        <w:spacing w:lineRule="auto" w:line="240" w:before="85" w:after="0"/>
        <w:ind w:left="0" w:right="0" w:hanging="0"/>
        <w:jc w:val="left"/>
        <w:rPr/>
      </w:pPr>
      <w:r>
        <w:rPr/>
        <w:t xml:space="preserve">Vzemite revolucijo bitcoins in drugih cryptocurrencies resno. Ljudje, ki jih zanima, se obravnavajo kot davčni goljufi, medtem ko je ta vrsta blockchain tehnologije prihodnosti. </w:t>
      </w:r>
    </w:p>
    <w:p>
      <w:pPr>
        <w:pStyle w:val="P68B1DB1Normal118"/>
        <w:widowControl w:val="false"/>
        <w:spacing w:lineRule="auto" w:line="240" w:before="87" w:after="0"/>
        <w:ind w:left="0" w:right="0" w:hanging="0"/>
        <w:jc w:val="left"/>
        <w:rPr/>
      </w:pPr>
      <w:r>
        <w:rPr/>
        <w:t xml:space="preserve">Delničarji niso edini akterji v evropskem gospodarstvu. Nič ni mogoče brez zaposlenih.“ „Evropa mora storiti več za invalide. Danes je zelo težko najti primerno delovno mesto. </w:t>
      </w:r>
    </w:p>
    <w:p>
      <w:pPr>
        <w:pStyle w:val="P68B1DB1Normal118"/>
        <w:widowControl w:val="false"/>
        <w:spacing w:lineRule="auto" w:line="240" w:before="85" w:after="0"/>
        <w:ind w:left="0" w:right="0" w:hanging="0"/>
        <w:jc w:val="left"/>
        <w:rPr/>
      </w:pPr>
      <w:r>
        <w:rPr/>
        <w:t xml:space="preserve">Številna evropska pravila so zapletena in se redno spreminjajo. Zato podjetja težko uvajajo inovacije. </w:t>
      </w:r>
    </w:p>
    <w:p>
      <w:pPr>
        <w:pStyle w:val="P68B1DB1Normal118"/>
        <w:widowControl w:val="false"/>
        <w:spacing w:lineRule="auto" w:line="240" w:before="85" w:after="0"/>
        <w:ind w:left="0" w:right="0" w:hanging="0"/>
        <w:jc w:val="both"/>
        <w:rPr/>
      </w:pPr>
      <w:r>
        <w:rPr/>
        <w:t xml:space="preserve">V primeru transformacijskega dela v mojem podjetju bi lahko moj lokalni izvajalec že zdavnaj začel. Toda najprej sem moral objaviti evropski javni razpis. To je sramota. </w:t>
      </w:r>
    </w:p>
    <w:p>
      <w:pPr>
        <w:pStyle w:val="P68B1DB1Normal111"/>
        <w:widowControl w:val="false"/>
        <w:spacing w:lineRule="auto" w:line="240" w:before="85" w:after="0"/>
        <w:ind w:left="0" w:right="0" w:hanging="0"/>
        <w:jc w:val="both"/>
        <w:rPr>
          <w:rFonts w:ascii="Calibri" w:hAnsi="Calibri"/>
          <w:b/>
          <w:b/>
          <w:color w:val="000000"/>
          <w:sz w:val="22"/>
        </w:rPr>
      </w:pPr>
      <w:r>
        <w:rPr/>
        <w:t xml:space="preserve">Udeleženci v spletnem dialogu: „Skupni razmislek o vprašanju velikih podjetij“ </w:t>
      </w:r>
    </w:p>
    <w:p>
      <w:pPr>
        <w:pStyle w:val="P68B1DB1Normal104"/>
        <w:widowControl w:val="false"/>
        <w:spacing w:lineRule="auto" w:line="240" w:before="97" w:after="0"/>
        <w:ind w:left="0" w:right="0" w:hanging="0"/>
        <w:jc w:val="left"/>
        <w:rPr/>
      </w:pPr>
      <w:r>
        <w:rPr/>
        <w:t>Med enim od spletnih tematskih dialogov se je začela razprava o naraščajoči moči velikih podjetij. Nekateri udeleženci si želijo, da</w:t>
      </w:r>
      <w:r>
        <w:rPr/>
        <w:commentReference w:id="22"/>
      </w:r>
      <w:r>
        <w:rPr/>
        <w:t xml:space="preserve"> bi EU v zvezi s tem sprejela odločnejše ukrepe. Dejansko nekatera podjetja zaradi izpopolnjenih ureditev včasih ustvarjajo znatne dobičke, za katere plačujejo malo davka. Drugi udeleženci so pozvali k ogledu stvari kot celote: ta podjetja ustvarjajo visoko stopnjo zaposlenosti in koristijo nacionalnemu gospodarstvu. „Ne smeš jih loviti,“ je dejal nekdo. Drugi udeleženec je menil, da je vsekakor pomembno, da države EU skupaj razmislijo o tem vprašanju. Velika podjetja lahko trenutno tekmujejo med državami. Zato moramo kot EU predstaviti enotnejšo fronto. </w:t>
      </w:r>
    </w:p>
    <w:p>
      <w:pPr>
        <w:pStyle w:val="P68B1DB1Normal111"/>
        <w:widowControl w:val="false"/>
        <w:spacing w:lineRule="auto" w:line="240" w:before="97" w:after="0"/>
        <w:ind w:left="0" w:right="0" w:hanging="0"/>
        <w:jc w:val="left"/>
        <w:rPr>
          <w:rFonts w:ascii="Calibri" w:hAnsi="Calibri"/>
          <w:b/>
          <w:b/>
          <w:color w:val="000000"/>
          <w:sz w:val="22"/>
        </w:rPr>
      </w:pPr>
      <w:r>
        <w:rPr/>
        <w:t xml:space="preserve">Kmetje, ki upoštevajo naravo: „Določiti cilje namesto kvot“ </w:t>
      </w:r>
    </w:p>
    <w:p>
      <w:pPr>
        <w:pStyle w:val="P68B1DB1Normal104"/>
        <w:widowControl w:val="false"/>
        <w:spacing w:lineRule="auto" w:line="240" w:before="95" w:after="0"/>
        <w:ind w:left="0" w:right="0" w:hanging="0"/>
        <w:jc w:val="left"/>
        <w:rPr/>
      </w:pPr>
      <w:r>
        <w:rPr/>
        <w:t xml:space="preserve">BoerenNatuur je združenje kmetijskih skupin. Majhna skupina članov je med drugim razpravljala o pravilih EU za kmete. Po eni strani menijo, da EU prinaša veliko pozitivnih stvari, kot je enostavnost izvoza v druge države. Po drugi strani pa menijo, da bi lahko bile politike pogosto še bolj eksplicitne. „Vendar vsi vedno bolj delajo v isti smeri,“ je dejal nekdo. Zlasti so možne izboljšave postopkov: pogosto so zelo administrativne in zamudne. Po mnenju enega udeleženca pravila ne bi smela biti preveč podrobna. Raje jasne cilje, kot je čista voda. Potem se lahko odločimo zaradi širine jarka.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Evropska demokracija </w:t>
      </w:r>
    </w:p>
    <w:p>
      <w:pPr>
        <w:pStyle w:val="P68B1DB1Normal104"/>
        <w:widowControl w:val="false"/>
        <w:spacing w:lineRule="auto" w:line="240"/>
        <w:ind w:left="0" w:right="0" w:hanging="0"/>
        <w:jc w:val="left"/>
        <w:rPr/>
      </w:pPr>
      <w:r>
        <w:rPr/>
        <w:t xml:space="preserve">EU spodbuja Evropejce, naj volijo, in jih želi vključiti v evropsko odločanje in politike zunaj volilnega obdobja. EU sprejema tudi pobude za krepitev demokracije, na primer z oblikovanjem akcijskega načrta, ki se osredotoča na svobodne in poštene volitve ter svobodo tiska. Kakšna je vizija Nizozemske o tem?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Priporočila – Naša vizija za evropsko demokracijo </w:t>
      </w:r>
    </w:p>
    <w:p>
      <w:pPr>
        <w:pStyle w:val="P68B1DB1Normal69"/>
        <w:widowControl w:val="false"/>
        <w:spacing w:lineRule="auto" w:line="240"/>
        <w:ind w:left="0" w:right="0" w:hanging="0"/>
        <w:jc w:val="left"/>
        <w:rPr/>
      </w:pPr>
      <w:r>
        <w:rPr/>
        <w:t xml:space="preserve">60 % Nizozemcev meni, da je evropska demokracija pomembno vprašanje in da mora EU posredovati na tem področju.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Boljši pregled nad Evropo </w:t>
      </w:r>
    </w:p>
    <w:p>
      <w:pPr>
        <w:pStyle w:val="P68B1DB1Normal104"/>
        <w:widowControl w:val="false"/>
        <w:spacing w:lineRule="auto" w:line="240"/>
        <w:ind w:left="0" w:right="0" w:hanging="0"/>
        <w:jc w:val="left"/>
        <w:rPr/>
      </w:pPr>
      <w:r>
        <w:rPr/>
        <w:t xml:space="preserve">Nizozemci poudarjajo, da se Evropa pogosto pojavlja v medijih v primeru krize. Po drugi strani pa imamo malo informacij o vsakodnevnih odločitvah. Kot državljani nam ni treba vedeti vsega, vendar bi bilo za oblikovanje dobrega mnenja dobro imeti boljši pregled. Zanimivo bi bilo na primer pogosteje slišati stališča drugih držav o EU. Pri tem imajo lahko pomembno vlogo mediji in izobraževanje. Mediji morajo ostati sposobni sprejemati lastne odločitve. Ker Nizozemci menijo, da je svoboda tiska v naši demokraciji zelo pomembna. </w:t>
      </w:r>
    </w:p>
    <w:p>
      <w:pPr>
        <w:pStyle w:val="P68B1DB1Normal113"/>
        <w:widowControl w:val="false"/>
        <w:spacing w:lineRule="auto" w:line="240" w:before="184" w:after="0"/>
        <w:ind w:left="0" w:right="0" w:hanging="0"/>
        <w:jc w:val="center"/>
        <w:rPr/>
      </w:pPr>
      <w:r>
        <w:rPr/>
        <w:t>„</w:t>
      </w:r>
      <w:r>
        <w:rPr/>
        <w:t xml:space="preserve">Večino časa slišimo o EU samo v primeru krize. Zato je odnos do Evrope še vedno negativen.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Iskanje novih načinov za nenehno poslušanje državljanov </w:t>
      </w:r>
    </w:p>
    <w:p>
      <w:pPr>
        <w:pStyle w:val="P68B1DB1Normal104"/>
        <w:widowControl w:val="false"/>
        <w:spacing w:lineRule="auto" w:line="240"/>
        <w:ind w:left="0" w:right="0" w:hanging="0"/>
        <w:jc w:val="left"/>
        <w:rPr/>
      </w:pPr>
      <w:r>
        <w:rPr/>
        <w:t xml:space="preserve">51 % Nizozemcev meni, da se EU ne zaveda dovolj dogajanja v družbi. Za izboljšanje teh razmer bi morala EU pogosteje in po možnosti trajno sodelovati v dialogu z državljani. Številni Nizozemci zato menijo, da je konferenca o prihodnosti Evrope dobra pobuda. Referendumi so lahko tudi dragoceno orodje, vendar imajo Nizozemci različna stališča o tem. Za določene teme je včasih potrebno imeti tudi specializirano znanje. V vsakem primeru pogovor z državljani ne bi smel biti zgolj formalnost. Menimo, da je pomembno, da nas jemljejo resno.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Večja preglednost in jasnost sprejetih odločitev </w:t>
      </w:r>
    </w:p>
    <w:p>
      <w:pPr>
        <w:pStyle w:val="P68B1DB1Normal104"/>
        <w:widowControl w:val="false"/>
        <w:spacing w:lineRule="auto" w:line="240"/>
        <w:ind w:left="0" w:right="0" w:hanging="0"/>
        <w:jc w:val="left"/>
        <w:rPr/>
      </w:pPr>
      <w:r>
        <w:rPr/>
        <w:t xml:space="preserve">Nizozemci se včasih zdijo Evropi precej zapleteni. Vsi nimajo enake ravni osnovnega znanja. EU mora to bolj upoštevati. Želimo si, da bi EU postala preglednejša in da bi jo lažje posodabljali. V zvezi s tem imajo vlogo tudi nizozemski organi. Veliko Nizozemcev zanima evropske odločitve, vendar menijo, da je uradne kanale preveč težko najti ali preveč zapletene. Poleg tega imajo vsi različni interesi in potrebe. Zato bi bilo treba izbrati teme, o katerih bi se radi naučili več. Mladi se pogosto zanimajo za Evropo, vendar na primer na družbenih omrežjih vidijo le malo informacij o tem. </w:t>
      </w:r>
    </w:p>
    <w:p>
      <w:pPr>
        <w:pStyle w:val="P68B1DB1Normal113"/>
        <w:widowControl w:val="false"/>
        <w:spacing w:lineRule="auto" w:line="240" w:before="184" w:after="0"/>
        <w:ind w:left="0" w:right="0" w:hanging="0"/>
        <w:jc w:val="center"/>
        <w:rPr/>
      </w:pPr>
      <w:r>
        <w:rPr/>
        <w:t xml:space="preserve">Ko sem bil na počitnicah na Madžarskem, sem v bližini novega gozdnega nasada videl velik znak, ki navaja: „Ta nasad je bil mogoč zaradi EU.“ Čeprav sem skeptičen do Evrope, sem bil še vedno ponosen.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Zagotavljanje, da se težavna vprašanja lahko rešijo hitreje </w:t>
      </w:r>
    </w:p>
    <w:p>
      <w:pPr>
        <w:pStyle w:val="P68B1DB1Normal104"/>
        <w:widowControl w:val="false"/>
        <w:spacing w:lineRule="auto" w:line="240"/>
        <w:ind w:left="0" w:right="0" w:hanging="0"/>
        <w:jc w:val="left"/>
        <w:rPr/>
      </w:pPr>
      <w:r>
        <w:rPr/>
        <w:t>Nizozemci težko razumejo, kako deluje evropska demokracija, vendar se jim zdi, da je sprejemanje odločitev v EU pogosto zelo počasno. Na evropskih volitvah vidimo predvsem zavezništva med</w:t>
      </w:r>
      <w:r>
        <w:rPr/>
        <w:commentReference w:id="23"/>
      </w:r>
      <w:r>
        <w:rPr/>
        <w:t xml:space="preserve"> nacionalnimi strankami. Obstajajo lahko tudi drugi načini za obravnavo evropskih interesov. Približno tretjina Nizozemcev meni, da bi moralo biti na volitvah v Evropski parlament mogoče glasovati za tuje kandidate. Približno enako število državljanov meni, da to ne bi smelo biti mogoče. Najpomembnejše je, da se različni zadevni interesi ustrezno upoštevajo. Hkrati je mogoče rešiti trna vprašanja hitreje, kot je danes. </w:t>
      </w:r>
    </w:p>
    <w:p>
      <w:pPr>
        <w:pStyle w:val="P68B1DB1Normal113"/>
        <w:widowControl w:val="false"/>
        <w:spacing w:lineRule="auto" w:line="240" w:before="201" w:after="0"/>
        <w:ind w:left="0" w:right="0" w:hanging="0"/>
        <w:jc w:val="center"/>
        <w:rPr/>
      </w:pPr>
      <w:r>
        <w:rPr/>
        <w:t xml:space="preserve">Na volitvah si želim, da bi se lahko poistovetila z nekom in vedela, kaj zagovarja. Ni nujno, da je sonarodnjak.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Spletne razprave in ideje ter razprave na kraju samem </w:t>
      </w:r>
    </w:p>
    <w:p>
      <w:pPr>
        <w:pStyle w:val="P68B1DB1Normal118"/>
        <w:widowControl w:val="false"/>
        <w:spacing w:lineRule="auto" w:line="240" w:before="3" w:after="0"/>
        <w:ind w:left="0" w:right="0" w:hanging="0"/>
        <w:jc w:val="left"/>
        <w:rPr>
          <w:rFonts w:ascii="Calibri" w:hAnsi="Calibri"/>
          <w:i/>
          <w:i/>
          <w:color w:val="000000"/>
          <w:sz w:val="21"/>
        </w:rPr>
      </w:pPr>
      <w:r>
        <w:rPr/>
        <w:t xml:space="preserve">Odpraviti moč veta držav. Večina se mora odločiti. </w:t>
      </w:r>
    </w:p>
    <w:p>
      <w:pPr>
        <w:pStyle w:val="Normal"/>
        <w:widowControl w:val="false"/>
        <w:spacing w:lineRule="auto" w:line="240" w:before="85" w:after="0"/>
        <w:ind w:left="0" w:right="0" w:hanging="0"/>
        <w:jc w:val="left"/>
        <w:rPr/>
      </w:pPr>
      <w:r>
        <w:rPr>
          <w:rFonts w:ascii="Calibri" w:hAnsi="Calibri"/>
          <w:i/>
          <w:color w:val="000000"/>
          <w:sz w:val="21"/>
        </w:rPr>
        <w:t xml:space="preserve">Za pomembne odločitve se ustanovijo skupine za razpravo, </w:t>
      </w:r>
      <w:commentRangeStart w:id="24"/>
      <w:r>
        <w:rPr>
          <w:rFonts w:ascii="Calibri" w:hAnsi="Calibri"/>
          <w:i/>
          <w:color w:val="000000"/>
          <w:sz w:val="21"/>
        </w:rPr>
        <w:t xml:space="preserve"> </w:t>
      </w:r>
      <w:r>
        <w:rPr>
          <w:rFonts w:ascii="Calibri" w:hAnsi="Calibri"/>
          <w:i/>
          <w:color w:val="000000"/>
          <w:sz w:val="21"/>
        </w:rPr>
      </w:r>
      <w:commentRangeEnd w:id="24"/>
      <w:r>
        <w:commentReference w:id="24"/>
      </w:r>
      <w:r>
        <w:rPr>
          <w:rFonts w:ascii="Calibri" w:hAnsi="Calibri"/>
          <w:i/>
          <w:color w:val="000000"/>
          <w:sz w:val="21"/>
        </w:rPr>
        <w:t>sestavljene iz državljanov, morda na (pol) obvezni osnovi, kot je to storjeno za žirije v Združenih državah.</w:t>
      </w:r>
    </w:p>
    <w:p>
      <w:pPr>
        <w:pStyle w:val="P68B1DB1Normal118"/>
        <w:widowControl w:val="false"/>
        <w:spacing w:lineRule="auto" w:line="240" w:before="85" w:after="0"/>
        <w:ind w:left="0" w:right="0" w:hanging="0"/>
        <w:jc w:val="left"/>
        <w:rPr/>
      </w:pPr>
      <w:r>
        <w:rPr/>
        <w:t>„</w:t>
      </w:r>
      <w:r>
        <w:rPr/>
        <w:t xml:space="preserve">Zagotoviti, da politiki in uradniki EU redno obiskujejo zaledje“ in da v svojem bruseljskem mehurčku ne ostanejo popolnoma zaprti. </w:t>
      </w:r>
    </w:p>
    <w:p>
      <w:pPr>
        <w:pStyle w:val="P68B1DB1Normal118"/>
        <w:widowControl w:val="false"/>
        <w:spacing w:lineRule="auto" w:line="240" w:before="85" w:after="0"/>
        <w:ind w:left="0" w:right="0" w:hanging="0"/>
        <w:jc w:val="left"/>
        <w:rPr/>
      </w:pPr>
      <w:r>
        <w:rPr/>
        <w:t xml:space="preserve">IDEJA: Pravzaprav bi morale televizijske novice Evropi nameniti nekaj minut v vsaki od svojih izdaj. Lahko pa objavimo dnevni ali tedenski časopis, posvečen Evropi. </w:t>
      </w:r>
    </w:p>
    <w:p>
      <w:pPr>
        <w:pStyle w:val="P68B1DB1Normal118"/>
        <w:widowControl w:val="false"/>
        <w:spacing w:lineRule="auto" w:line="240" w:before="85" w:after="0"/>
        <w:ind w:left="0" w:right="0" w:hanging="0"/>
        <w:jc w:val="left"/>
        <w:rPr/>
      </w:pPr>
      <w:r>
        <w:rPr/>
        <w:t xml:space="preserve">IDEJA: Morda bi morali evropski politiki pogosteje sodelovati v televizijskih programih. </w:t>
      </w:r>
    </w:p>
    <w:p>
      <w:pPr>
        <w:pStyle w:val="P68B1DB1Normal118"/>
        <w:widowControl w:val="false"/>
        <w:spacing w:lineRule="auto" w:line="240" w:before="85" w:after="0"/>
        <w:ind w:left="0" w:right="0" w:hanging="0"/>
        <w:jc w:val="left"/>
        <w:rPr/>
      </w:pPr>
      <w:r>
        <w:rPr/>
        <w:t xml:space="preserve">Kot mlad človek skoraj nikoli ne berem ničesar o Evropi. Vendar sem radoveden, da vem več, vendar ne da bi bilo treba vložiti preveč truda, da bi dobili informacije. </w:t>
      </w:r>
    </w:p>
    <w:p>
      <w:pPr>
        <w:pStyle w:val="P68B1DB1Normal111"/>
        <w:widowControl w:val="false"/>
        <w:spacing w:lineRule="auto" w:line="240" w:before="84" w:after="0"/>
        <w:ind w:left="0" w:right="0" w:hanging="0"/>
        <w:jc w:val="left"/>
        <w:rPr>
          <w:rFonts w:ascii="Calibri" w:hAnsi="Calibri"/>
          <w:b/>
          <w:b/>
          <w:color w:val="000000"/>
          <w:sz w:val="22"/>
        </w:rPr>
      </w:pPr>
      <w:r>
        <w:rPr/>
        <w:t xml:space="preserve">Mladi člani skupine Coalitie-Y v Utrechtu: razprava o uporabi referendumov </w:t>
      </w:r>
    </w:p>
    <w:p>
      <w:pPr>
        <w:pStyle w:val="P68B1DB1Normal104"/>
        <w:widowControl w:val="false"/>
        <w:spacing w:lineRule="auto" w:line="240"/>
        <w:ind w:left="0" w:right="0" w:hanging="0"/>
        <w:jc w:val="left"/>
        <w:rPr/>
      </w:pPr>
      <w:r>
        <w:rPr/>
        <w:t xml:space="preserve">Člani Koalitie-Y – sodelovanje med različnimi mladinskimi organizacijami – so imeli živahno razpravo o uporabi referendumov. Nasprotniki so omenili tveganje za razprave, kjer je vse črno ali belo, medtem ko so teme pogosto veliko bolj zapletene. Eden od udeležencev je nadalje izjavil: Glasujemo lahko za EU in kandidiramo. Referendumi dejansko spodkopavajo to načelo.“ Referendumski podporniki so dejali, da menijo, da je za oblikovalce politik koristno vedeti, kaj državljani mislijo o določeni temi: to bi lahko pomagalo pri usmerjanju. Referendumi bi lahko prispevali tudi k ozaveščanju javnosti o EU kot celoti: katere so teme na dnevnem redu in kakšne so odločitve?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Socialni prostovoljci: Potrebno je boljše medsebojno razumevanje med državami. </w:t>
      </w:r>
    </w:p>
    <w:p>
      <w:pPr>
        <w:pStyle w:val="Normal"/>
        <w:widowControl w:val="false"/>
        <w:spacing w:lineRule="auto" w:line="240"/>
        <w:ind w:left="0" w:right="0" w:hanging="0"/>
        <w:jc w:val="left"/>
        <w:rPr/>
      </w:pPr>
      <w:r>
        <w:rPr/>
        <w:t>Fundacijo</w:t>
      </w:r>
      <w:r>
        <w:rPr>
          <w:rFonts w:ascii="Calibri" w:hAnsi="Calibri"/>
          <w:color w:val="000000"/>
          <w:sz w:val="21"/>
        </w:rPr>
        <w:t xml:space="preserve">Piëzo v Zoetermeerju sestavljajo prostovoljci, ki so dejavni na različne načine na področju družbene participacije. Udeleženci tematskega dialoga so izrazili zaskrbljenost zaradi vse večje vrzeli v Evropi. To so na primer stališča, ki jih imajo države glede LGBTIQ skupnosti. Če države ne razumejo svojih stališč, je težko sodelovati. „Zaradi tega je pomembno, da se bolje spoznamo,“ je dejal en udeleženec. Danes ne vemo, kaj si ljudje mislijo v drugih državah. Ne razumemo dovolj kulture in konteksta naših držav. To je bistvenega pomena, če želimo skupaj sprejemati dobre odločitve. </w:t>
      </w:r>
      <w:r>
        <w:br w:type="page"/>
      </w:r>
    </w:p>
    <w:p>
      <w:pPr>
        <w:pStyle w:val="P68B1DB1Normal117"/>
        <w:spacing w:lineRule="auto" w:line="240"/>
        <w:ind w:left="0" w:right="0" w:hanging="0"/>
        <w:rPr>
          <w:rFonts w:ascii="Calibri" w:hAnsi="Calibri"/>
          <w:b/>
          <w:b/>
          <w:i/>
          <w:i/>
          <w:color w:val="000000"/>
          <w:sz w:val="28"/>
        </w:rPr>
      </w:pPr>
      <w:r>
        <w:rPr/>
        <w:t xml:space="preserve">Digitalna transformacija </w:t>
      </w:r>
    </w:p>
    <w:p>
      <w:pPr>
        <w:pStyle w:val="P68B1DB1Normal104"/>
        <w:widowControl w:val="false"/>
        <w:spacing w:lineRule="auto" w:line="240" w:before="62" w:after="0"/>
        <w:ind w:left="0" w:right="0" w:hanging="0"/>
        <w:jc w:val="left"/>
        <w:rPr/>
      </w:pPr>
      <w:r>
        <w:rPr/>
        <w:t xml:space="preserve">V virtualnem svetu se zahteve glede internetne povezljivosti, varnosti in zasebnosti povečujejo. EU je v zvezi s tem odgovorna in je zavezana zagotavljanju, da v digitalni družbi nihče ne bo zapostavljen. Poleg tega EU vlaga v digitalne rešitve za družbene izzive. Kakšna je vizija Nizozemske o tem?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Priporočila – Naš virtualni pogled na svet </w:t>
      </w:r>
    </w:p>
    <w:p>
      <w:pPr>
        <w:pStyle w:val="P68B1DB1Normal69"/>
        <w:widowControl w:val="false"/>
        <w:spacing w:lineRule="auto" w:line="240" w:before="65" w:after="0"/>
        <w:ind w:left="0" w:right="0" w:hanging="0"/>
        <w:jc w:val="left"/>
        <w:rPr/>
      </w:pPr>
      <w:r>
        <w:rPr/>
        <w:t xml:space="preserve">45 % Nizozemcev meni, da je virtualni svet pomembna tema in da mora EU posredovati na tem področju.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Zagotavljanje hitrega, varnega in stabilnega interneta povsod </w:t>
      </w:r>
    </w:p>
    <w:p>
      <w:pPr>
        <w:pStyle w:val="P68B1DB1Normal104"/>
        <w:widowControl w:val="false"/>
        <w:spacing w:lineRule="auto" w:line="240" w:before="49" w:after="0"/>
        <w:ind w:left="0" w:right="0" w:hanging="0"/>
        <w:jc w:val="left"/>
        <w:rPr/>
      </w:pPr>
      <w:r>
        <w:rPr/>
        <w:t xml:space="preserve">61 % Nizozemcev meni, da bi morala EU zagotoviti, da ima vsakdo v Evropi dostop do hitrega in stabilnega interneta. Vsi vidimo, da ima internet vse pomembnejšo vlogo v našem življenju. Naši otroci odraščajo z digitalnim izobraževanjem. In komunikacija vedno bolj poteka prek interneta, tako na nacionalni kot na mednarodni ravni. Včasih smo zaskrbljeni zaradi velike odvisnosti od interneta. Številni Nizozemci zato menijo, da je EU v najboljšem položaju, da ji nameni sredstva, če se učinkovito uporabljajo. Zaščita pred spletnim kriminalom je po našem mnenju najpomembnejše vprašanje, ki ga je treba obravnavati na evropski ravni. Vendar bi bilo treba pozornost nameniti tudi boju proti internetnemu kriminalu na nacionalni ravni. </w:t>
      </w:r>
    </w:p>
    <w:p>
      <w:pPr>
        <w:pStyle w:val="P68B1DB1Normal113"/>
        <w:widowControl w:val="false"/>
        <w:spacing w:lineRule="auto" w:line="240" w:before="54" w:after="0"/>
        <w:ind w:left="0" w:right="0" w:hanging="0"/>
        <w:jc w:val="center"/>
        <w:rPr/>
      </w:pPr>
      <w:r>
        <w:rPr/>
        <w:t xml:space="preserve">Zaradi zamisli o kibernetskem napadu na naš sistem za zaščito voda se počutim ranljivega.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Določitev jasnih pravil in standardov za internetna podjetja </w:t>
      </w:r>
    </w:p>
    <w:p>
      <w:pPr>
        <w:pStyle w:val="P68B1DB1Normal104"/>
        <w:widowControl w:val="false"/>
        <w:spacing w:lineRule="auto" w:line="240" w:before="49" w:after="0"/>
        <w:ind w:left="0" w:right="0" w:hanging="0"/>
        <w:jc w:val="left"/>
        <w:rPr/>
      </w:pPr>
      <w:r>
        <w:rPr/>
        <w:t xml:space="preserve">75 % Nizozemcev meni, da bi morala EU zagotoviti enako raven varnosti spletnih nakupov v vseh državah EU. Vse več kupujemo v tujini in na ta način delimo občutljive osebne podatke. To se včasih zdi nevarno. Težko je ugotoviti, katera spletna mesta so vredna zaupanja. Dobro je, da EU razvija evropska pravila in standarde o zasebnosti, ki jih lahko razumejo vsi. Moč velikih internetnih podjetij je tudi reden vir skrbi za nas. Verjamemo, da je naša odgovornost, da smo previdni pri uporabi naših podatkov. Vendar tudi menimo, da lahko EU v zvezi s tem igra vlogo. Države EU morajo sodelovati, da podjetja, kot sta Google in Facebook, nimajo preveč moči. </w:t>
      </w:r>
    </w:p>
    <w:p>
      <w:pPr>
        <w:pStyle w:val="P68B1DB1Normal113"/>
        <w:widowControl w:val="false"/>
        <w:spacing w:lineRule="auto" w:line="240" w:before="54" w:after="0"/>
        <w:ind w:left="0" w:right="0" w:hanging="0"/>
        <w:jc w:val="center"/>
        <w:rPr/>
      </w:pPr>
      <w:r>
        <w:rPr/>
        <w:t xml:space="preserve">Soočeni z globalnim igralcem, kot je Facebook, smo kot majhna država relativno revni. </w:t>
      </w:r>
    </w:p>
    <w:p>
      <w:pPr>
        <w:pStyle w:val="P68B1DB1Normal111"/>
        <w:widowControl w:val="false"/>
        <w:spacing w:lineRule="auto" w:line="240" w:before="71" w:after="0"/>
        <w:ind w:left="0" w:right="0" w:hanging="0"/>
        <w:jc w:val="left"/>
        <w:rPr/>
      </w:pPr>
      <w:r>
        <w:rPr/>
        <w:t xml:space="preserve">3. Dodajanje izvajanja in praktičnih pojasnil k pravilom o zasebnosti </w:t>
      </w:r>
    </w:p>
    <w:p>
      <w:pPr>
        <w:pStyle w:val="Normal"/>
        <w:widowControl w:val="false"/>
        <w:spacing w:lineRule="auto" w:line="240" w:before="49" w:after="0"/>
        <w:ind w:left="0" w:right="0" w:hanging="0"/>
        <w:jc w:val="left"/>
        <w:rPr/>
      </w:pPr>
      <w:r>
        <w:rPr>
          <w:rFonts w:ascii="Calibri" w:hAnsi="Calibri"/>
          <w:color w:val="000000"/>
          <w:sz w:val="21"/>
        </w:rPr>
        <w:t xml:space="preserve">Z uvedbo Splošne uredbe o varstvu podatkov (GDPR) Nizozemska ve, da morajo vse države spoštovati iste zakone in predpise o zasebnosti. Mislimo, da je dobro, da se lahko zanesemo na to, ker je zasebnost pomembno vprašanje. Vendar pa nekateri Nizozemci menijo, da so pravila o zasebnosti včasih pretirana ali nelogična. Poleg tega lahko ta zakonodaja ustvari veliko dela za podjetnike. Zato menimo, da je treba več pozornosti nameniti praktičnemu izvajanju zakonodaje o zasebnosti: podpora in obveščanje tako za državljane kot za podjetja. Zlasti menimo, da imajo države članice pomembno vlogo. Vprašanja v zvezi z zasebnostjo najbolje rešujejo naši nacionalni organi v našem jeziku. </w:t>
      </w:r>
      <w:r>
        <w:br w:type="page"/>
      </w:r>
    </w:p>
    <w:p>
      <w:pPr>
        <w:pStyle w:val="P68B1DB1Normal108"/>
        <w:spacing w:lineRule="auto" w:line="240"/>
        <w:ind w:left="0" w:right="0" w:hanging="0"/>
        <w:rPr>
          <w:rFonts w:ascii="Calibri" w:hAnsi="Calibri"/>
          <w:b/>
          <w:b/>
          <w:i/>
          <w:i/>
          <w:color w:val="000000"/>
          <w:sz w:val="24"/>
        </w:rPr>
      </w:pPr>
      <w:r>
        <w:rPr/>
        <w:t xml:space="preserve">Spletne razprave in ideje ter razprave na kraju samem </w:t>
      </w:r>
    </w:p>
    <w:p>
      <w:pPr>
        <w:pStyle w:val="P68B1DB1Normal118"/>
        <w:widowControl w:val="false"/>
        <w:spacing w:lineRule="auto" w:line="240" w:before="120" w:after="0"/>
        <w:ind w:left="0" w:right="889" w:hanging="0"/>
        <w:jc w:val="left"/>
        <w:rPr/>
      </w:pPr>
      <w:r>
        <w:rPr/>
        <w:t xml:space="preserve">IDEJA: Določitev strožjih meril za programerje in podjetja s prepovedjo nevarnih programskih jezikov. </w:t>
      </w:r>
    </w:p>
    <w:p>
      <w:pPr>
        <w:pStyle w:val="P68B1DB1Normal118"/>
        <w:widowControl w:val="false"/>
        <w:spacing w:lineRule="auto" w:line="240" w:before="87" w:after="0"/>
        <w:ind w:left="0" w:right="0" w:hanging="0"/>
        <w:jc w:val="left"/>
        <w:rPr>
          <w:rFonts w:ascii="Calibri" w:hAnsi="Calibri"/>
          <w:i/>
          <w:i/>
          <w:color w:val="000000"/>
          <w:sz w:val="21"/>
        </w:rPr>
      </w:pPr>
      <w:r>
        <w:rPr/>
        <w:t xml:space="preserve">Predlagati brezplačno evropsko protivirusno programsko opremo za vzpostavitev evropskega požarnega zidu. </w:t>
      </w:r>
    </w:p>
    <w:p>
      <w:pPr>
        <w:pStyle w:val="P68B1DB1Normal118"/>
        <w:widowControl w:val="false"/>
        <w:spacing w:lineRule="auto" w:line="240" w:before="85" w:after="0"/>
        <w:ind w:left="0" w:right="42" w:hanging="0"/>
        <w:jc w:val="left"/>
        <w:rPr/>
      </w:pPr>
      <w:r>
        <w:rPr/>
        <w:t xml:space="preserve">Ko prečkam mejo v Nemčijo, nenadoma nimam več omrežja na svojem mobilnem telefonu. To se ne bi smelo več dogajati, kajne? </w:t>
      </w:r>
    </w:p>
    <w:p>
      <w:pPr>
        <w:pStyle w:val="P68B1DB1Normal118"/>
        <w:widowControl w:val="false"/>
        <w:spacing w:lineRule="auto" w:line="240" w:before="85" w:after="0"/>
        <w:ind w:left="0" w:right="959" w:hanging="0"/>
        <w:jc w:val="left"/>
        <w:rPr/>
      </w:pPr>
      <w:r>
        <w:rPr/>
        <w:t xml:space="preserve">Z našimi iPhoni lahko spremljamo vsa naša potovanja. Imamo tudi svoj delež odgovornosti. </w:t>
      </w:r>
    </w:p>
    <w:p>
      <w:pPr>
        <w:pStyle w:val="P68B1DB1Normal118"/>
        <w:widowControl w:val="false"/>
        <w:spacing w:lineRule="auto" w:line="240" w:before="83" w:after="0"/>
        <w:ind w:left="0" w:right="0" w:hanging="0"/>
        <w:jc w:val="left"/>
        <w:rPr/>
      </w:pPr>
      <w:r>
        <w:rPr/>
        <w:t xml:space="preserve">Ni primerno, da morate v vsaki državi izpolniti drug tip obrazca za zasebnost.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IDEJA: Vzpostaviti bi morali evropsko kibernetsko politiko. To je očitno nekaj za EU. </w:t>
      </w:r>
    </w:p>
    <w:p>
      <w:pPr>
        <w:pStyle w:val="P68B1DB1Normal111"/>
        <w:widowControl w:val="false"/>
        <w:spacing w:lineRule="auto" w:line="240" w:before="84" w:after="0"/>
        <w:ind w:left="0" w:right="823" w:hanging="0"/>
        <w:jc w:val="left"/>
        <w:rPr/>
      </w:pPr>
      <w:r>
        <w:rPr/>
        <w:t xml:space="preserve">Udeleženci v spletnem dialogu: Kakovosten dostop do interneta povsod je tudi v našem interesu. </w:t>
      </w:r>
    </w:p>
    <w:p>
      <w:pPr>
        <w:pStyle w:val="P68B1DB1Normal104"/>
        <w:widowControl w:val="false"/>
        <w:spacing w:lineRule="auto" w:line="240" w:before="97" w:after="0"/>
        <w:ind w:left="0" w:right="236" w:hanging="0"/>
        <w:jc w:val="left"/>
        <w:rPr/>
      </w:pPr>
      <w:r>
        <w:rPr/>
        <w:t xml:space="preserve">Med enim od spletnih tematskih dialogov se je začela zanimiva razprava o vlogi EU v virtualnem svetu. Vsi udeleženci so se strinjali, da je dobro in pomembno imeti dobro internetno povezavo po vsej Evropi. Ali je naloga EU, da se s tem spopade? Več udeležencev je navedlo, da je to predvsem naloga posameznih držav članic. Drug udeleženec je poudaril, da je stabilen in kakovosten internet v tujini tudi prednost za Nizozemsko: S trgovino z drugimi državami EU ustvarjamo milijarde dolarjev. Zato je v našem interesu, da te države dobro delujejo. </w:t>
      </w:r>
    </w:p>
    <w:p>
      <w:pPr>
        <w:pStyle w:val="P68B1DB1Normal111"/>
        <w:widowControl w:val="false"/>
        <w:spacing w:lineRule="auto" w:line="240" w:before="40" w:after="0"/>
        <w:ind w:left="0" w:right="0" w:hanging="0"/>
        <w:jc w:val="left"/>
        <w:rPr>
          <w:rFonts w:ascii="Calibri" w:hAnsi="Calibri"/>
          <w:b/>
          <w:b/>
          <w:color w:val="000000"/>
          <w:sz w:val="22"/>
        </w:rPr>
      </w:pPr>
      <w:r>
        <w:rPr/>
        <w:t xml:space="preserve">Študentje v Helmondu: Enaka pravila in sankcije za kibernetske kriminalce </w:t>
      </w:r>
    </w:p>
    <w:p>
      <w:pPr>
        <w:pStyle w:val="Normal"/>
        <w:widowControl w:val="false"/>
        <w:spacing w:lineRule="auto" w:line="240" w:before="95" w:after="0"/>
        <w:ind w:left="0" w:right="32" w:hanging="0"/>
        <w:jc w:val="left"/>
        <w:rPr/>
      </w:pPr>
      <w:r>
        <w:rPr>
          <w:rFonts w:ascii="Calibri" w:hAnsi="Calibri"/>
          <w:color w:val="000000"/>
          <w:sz w:val="21"/>
        </w:rPr>
        <w:t xml:space="preserve">Na kolidžu Dr. Knippenberg v Helmondu so študenti, stari 15 in 16 let, razpravljali o problemu internetnega kriminala. Novico redno poslušajo. Na primer, ko je prišlo do uhajanja podatkov v podjetju. Ali ko država, kot sta Rusija ali Kitajska, poskuša ukrasti podatke. Ker kibernetski kriminalci pogosto delujejo čezmejno, se jim zdi logično, da evropske države sodelujejo. V zvezi s tem razmišljajo o razvoju pravil, pa tudi o opredelitvi sankcij. Če ruski kibernetski pirati poskušajo vdreti v naše domove, mora EU odločno ukrepati, da bi jih preprečila. </w:t>
      </w:r>
      <w:r>
        <w:br w:type="page"/>
      </w:r>
    </w:p>
    <w:p>
      <w:pPr>
        <w:pStyle w:val="P68B1DB1Normal117"/>
        <w:spacing w:lineRule="auto" w:line="240"/>
        <w:ind w:left="0" w:right="0" w:hanging="0"/>
        <w:rPr>
          <w:rFonts w:ascii="Calibri" w:hAnsi="Calibri"/>
          <w:b/>
          <w:b/>
          <w:i/>
          <w:i/>
          <w:color w:val="000000"/>
          <w:sz w:val="28"/>
        </w:rPr>
      </w:pPr>
      <w:r>
        <w:rPr/>
        <w:t xml:space="preserve">Izobraževanje, kultura, mladi in šport </w:t>
      </w:r>
    </w:p>
    <w:p>
      <w:pPr>
        <w:pStyle w:val="P68B1DB1Normal104"/>
        <w:widowControl w:val="false"/>
        <w:spacing w:lineRule="auto" w:line="240" w:before="93" w:after="0"/>
        <w:ind w:left="0" w:right="0" w:hanging="0"/>
        <w:jc w:val="left"/>
        <w:rPr/>
      </w:pPr>
      <w:r>
        <w:rPr/>
        <w:t xml:space="preserve">Države EU so neposredno odgovorne za izobraževanje, kulturo, mlade in šport. EU jim lahko in želi pomagati pri tem, na primer s spodbujanjem kakovostnega izobraževanja, večjezičnosti, varstva kulturne dediščine ter podpore kulturnemu in športnemu sektorju. Kakšna je vizija Nizozemske o tem?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Priporočila – Naša vizija izobraževanja, kulture, mladine in športa </w:t>
      </w:r>
    </w:p>
    <w:p>
      <w:pPr>
        <w:pStyle w:val="P68B1DB1Normal69"/>
        <w:widowControl w:val="false"/>
        <w:spacing w:lineRule="auto" w:line="240" w:before="123" w:after="0"/>
        <w:ind w:left="0" w:right="0" w:hanging="0"/>
        <w:jc w:val="left"/>
        <w:rPr/>
      </w:pPr>
      <w:r>
        <w:rPr/>
        <w:t xml:space="preserve">45 % Nizozemcev meni, da je izobraževanje pomembno vprašanje in da mora EU posredovati na tem področju. Za mladino, kulturo in šport ta številka znaša 39 %, 23 % oziroma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Spodbujanje študentov k inteligentnemu študiju v tujini </w:t>
      </w:r>
    </w:p>
    <w:p>
      <w:pPr>
        <w:pStyle w:val="P68B1DB1Normal104"/>
        <w:widowControl w:val="false"/>
        <w:spacing w:lineRule="auto" w:line="240"/>
        <w:ind w:left="0" w:right="0" w:hanging="0"/>
        <w:jc w:val="left"/>
        <w:rPr/>
      </w:pPr>
      <w:r>
        <w:rPr/>
        <w:t xml:space="preserve">Mnogi Nizozemci menijo, da študij v tujini pozitivno vpliva na mlade. To prispeva k osebnemu razvoju. Poleg tega lahko študij v tujini Evropejcem pomaga bolje razumeti drug drugega. Prav tako lahko prispeva k boljši integraciji. Mnogim Nizozemcem se zato zdi pozitivno, da obstaja program Erasmus, ki spodbuja študij v tujini. Vendar menimo, da bi morala tudi EU še naprej kritično obravnavati to vprašanje. V praksi se na primer zdi, da mednarodni študenti večinoma ostanejo med seboj in se ne učijo vedno veliko o državi, v kateri so. EU mora tudi preprečiti, da bi države z nižjo stopnjo znanja „praznovale“, saj bodo vsi talenti študirali v tujini. </w:t>
      </w:r>
    </w:p>
    <w:p>
      <w:pPr>
        <w:pStyle w:val="P68B1DB1Normal113"/>
        <w:widowControl w:val="false"/>
        <w:spacing w:lineRule="auto" w:line="240" w:before="167" w:after="0"/>
        <w:ind w:left="0" w:right="0" w:hanging="0"/>
        <w:jc w:val="center"/>
        <w:rPr/>
      </w:pPr>
      <w:r>
        <w:rPr/>
        <w:t>„</w:t>
      </w:r>
      <w:r>
        <w:rPr/>
        <w:t xml:space="preserve">Razvijati programe izmenjave tudi na ravni srednješolskega poklicnega izobraževanja.“ </w:t>
      </w:r>
    </w:p>
    <w:p>
      <w:pPr>
        <w:pStyle w:val="Normal"/>
        <w:widowControl w:val="false"/>
        <w:spacing w:lineRule="auto" w:line="240" w:before="136" w:after="0"/>
        <w:ind w:left="0" w:right="0" w:hanging="0"/>
        <w:jc w:val="left"/>
        <w:rPr/>
      </w:pPr>
      <w:r>
        <w:rPr>
          <w:rFonts w:ascii="Calibri" w:hAnsi="Calibri"/>
          <w:b/>
          <w:color w:val="000000"/>
        </w:rPr>
        <w:t>2. Državam članicam omogočiti, da se osredotočijo na teme, kot sta kultura in šport;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Nizozemcev meni, da bi morala EU bolje zaščititi kulturno dediščino v Evropi. Mislimo na primer templje v Grčiji. Po drugi strani pa ugotavljamo, da je lokalna kultura v prvi vrsti odgovornost držav samih. Enako velja na primer za zlorabe v športu. Menimo, da je to pomembno vprašanje, vendar ne glavna misija EU. Evropa mora nujno določiti prednostne naloge in potrebna so znatna finančna sredstva za druga vprašanja. Včasih lahko finančno prispevamo, včasih pa lahko sodelujemo tudi na druge načine, na primer z izmenjavo znanja in idej. </w:t>
      </w:r>
    </w:p>
    <w:p>
      <w:pPr>
        <w:pStyle w:val="P68B1DB1Normal113"/>
        <w:widowControl w:val="false"/>
        <w:spacing w:lineRule="auto" w:line="240" w:before="167" w:after="0"/>
        <w:ind w:left="0" w:right="0" w:hanging="0"/>
        <w:jc w:val="center"/>
        <w:rPr/>
      </w:pPr>
      <w:r>
        <w:rPr/>
        <w:t xml:space="preserve">Za zaščito kulture so odgovorne države same. Toda če je svetovna dediščina zanemarjena, potem menim, da mora EU posredovati.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Zagotavljanje, da se Evropejci bolje spoznajo in se medsebojno spoštujejo </w:t>
      </w:r>
    </w:p>
    <w:p>
      <w:pPr>
        <w:pStyle w:val="P68B1DB1Normal104"/>
        <w:widowControl w:val="false"/>
        <w:spacing w:lineRule="auto" w:line="240"/>
        <w:ind w:left="0" w:right="0" w:hanging="0"/>
        <w:jc w:val="left"/>
        <w:rPr/>
      </w:pPr>
      <w:r>
        <w:rPr/>
        <w:t xml:space="preserve">Nizozemci cenijo, ko drugi Evropejci dobro govorijo angleško. To poenostavlja stvari, ko smo v tujini. In ko želimo na primer komunicirati z delavci migranti na Nizozemskem. Hkrati se mnogim nizozemščinam zdi zelo pomembno, da še naprej govorimo in cenimo svoj jezik. Zato želimo, da se spoštujejo tudi druge razlike v Evropi. Ne glede na to, ali gre za kulturo, izobraževanje ali šport, se mora vsaka oseba počutiti svobodno in biti sposobna biti sama. Razlike lahko včasih povzročijo napetosti, vendar pa tudi bogatijo evropsko celino. Mnogi Nizozemci menijo, da bi bilo treba državam dati čas, da se seznanijo s svojimi navadami in idejami. </w:t>
      </w:r>
    </w:p>
    <w:p>
      <w:pPr>
        <w:pStyle w:val="P68B1DB1Normal113"/>
        <w:widowControl w:val="false"/>
        <w:spacing w:lineRule="auto" w:line="240" w:before="167" w:after="0"/>
        <w:ind w:left="0" w:right="0" w:hanging="0"/>
        <w:jc w:val="center"/>
        <w:rPr/>
      </w:pPr>
      <w:r>
        <w:rPr/>
        <w:t xml:space="preserve">Zame je EU kot skupina prijateljev. Spoštujemo svoje razlike in lahko prosim za pomoč, če jih potrebujem.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Spletne razprave in ideje ter razprave na kraju samem </w:t>
      </w:r>
    </w:p>
    <w:p>
      <w:pPr>
        <w:pStyle w:val="P68B1DB1Normal118"/>
        <w:widowControl w:val="false"/>
        <w:spacing w:lineRule="auto" w:line="240" w:before="120" w:after="0"/>
        <w:ind w:left="0" w:right="0" w:hanging="0"/>
        <w:jc w:val="left"/>
        <w:rPr/>
      </w:pPr>
      <w:r>
        <w:rPr/>
        <w:t xml:space="preserve">IDEJA: Poleg lokalnega učnega načrta bi bilo treba na vseh ravneh izobraževanja uvesti tudi skupni evropski učni načrt.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IDEJA: Poleg prestolnice kulture morate vsako leto izbrati tudi prestolnico (ali državo) na področju izobraževanja, mladine in športa. </w:t>
      </w:r>
    </w:p>
    <w:p>
      <w:pPr>
        <w:pStyle w:val="P68B1DB1Normal118"/>
        <w:widowControl w:val="false"/>
        <w:spacing w:lineRule="auto" w:line="240" w:before="85" w:after="0"/>
        <w:ind w:left="0" w:right="0" w:hanging="0"/>
        <w:jc w:val="left"/>
        <w:rPr/>
      </w:pPr>
      <w:r>
        <w:rPr/>
        <w:t xml:space="preserve">V EU nas združuje prav dejstvo, da imamo vsi svojo nacionalno kulturo. In zato jih ni mogoče zbrati pod zastavo ene same kulture. </w:t>
      </w:r>
    </w:p>
    <w:p>
      <w:pPr>
        <w:pStyle w:val="P68B1DB1Normal118"/>
        <w:widowControl w:val="false"/>
        <w:spacing w:lineRule="auto" w:line="240" w:before="87" w:after="0"/>
        <w:ind w:left="0" w:right="0" w:hanging="0"/>
        <w:jc w:val="left"/>
        <w:rPr>
          <w:rFonts w:ascii="Calibri" w:hAnsi="Calibri"/>
          <w:i/>
          <w:i/>
          <w:color w:val="000000"/>
          <w:sz w:val="21"/>
        </w:rPr>
      </w:pPr>
      <w:r>
        <w:rPr/>
        <w:t xml:space="preserve">Namesto poudarjanja negativnih stvari je bolje poskusiti promovirati šport. </w:t>
      </w:r>
    </w:p>
    <w:p>
      <w:pPr>
        <w:pStyle w:val="P68B1DB1Normal118"/>
        <w:widowControl w:val="false"/>
        <w:spacing w:lineRule="auto" w:line="240" w:before="85" w:after="0"/>
        <w:ind w:left="0" w:right="0" w:hanging="0"/>
        <w:jc w:val="left"/>
        <w:rPr/>
      </w:pPr>
      <w:r>
        <w:rPr/>
        <w:t xml:space="preserve">Tukaj sem integriran, plačujem davke, vendar sem in ostajam latinskoameriški. Ljubim svoj jezik, glasbo in hrano. Ne gre za Evropo. </w:t>
      </w:r>
    </w:p>
    <w:p>
      <w:pPr>
        <w:pStyle w:val="P68B1DB1Normal118"/>
        <w:widowControl w:val="false"/>
        <w:spacing w:lineRule="auto" w:line="240" w:before="87" w:after="0"/>
        <w:ind w:left="0" w:right="0" w:hanging="0"/>
        <w:jc w:val="left"/>
        <w:rPr>
          <w:rFonts w:ascii="Calibri" w:hAnsi="Calibri"/>
          <w:i/>
          <w:i/>
          <w:color w:val="000000"/>
          <w:sz w:val="21"/>
        </w:rPr>
      </w:pPr>
      <w:r>
        <w:rPr/>
        <w:t xml:space="preserve">Preveč govorimo o gospodarstvu v Evropi. In premalo dobrega počutja. </w:t>
      </w:r>
    </w:p>
    <w:p>
      <w:pPr>
        <w:pStyle w:val="P68B1DB1Normal111"/>
        <w:widowControl w:val="false"/>
        <w:spacing w:lineRule="auto" w:line="240" w:before="84" w:after="0"/>
        <w:ind w:left="0" w:right="0" w:hanging="0"/>
        <w:jc w:val="left"/>
        <w:rPr>
          <w:rFonts w:ascii="Calibri" w:hAnsi="Calibri"/>
          <w:b/>
          <w:b/>
          <w:color w:val="000000"/>
          <w:sz w:val="22"/>
        </w:rPr>
      </w:pPr>
      <w:r>
        <w:rPr/>
        <w:t xml:space="preserve">Študenti Univerze v Leidnu: Jezik je pomemben, vendar mora ostati svobodna izbira. </w:t>
      </w:r>
    </w:p>
    <w:p>
      <w:pPr>
        <w:pStyle w:val="P68B1DB1Normal104"/>
        <w:widowControl w:val="false"/>
        <w:spacing w:lineRule="auto" w:line="240" w:before="100" w:after="0"/>
        <w:ind w:left="0" w:right="0" w:hanging="0"/>
        <w:jc w:val="left"/>
        <w:rPr/>
      </w:pPr>
      <w:r>
        <w:rPr/>
        <w:t xml:space="preserve">Na univerzi Leiden so se študentje zgodovine pogovarjali med seboj. Pomembno je, da ljudje govorijo več jezikov. Menijo, da je obvladanje več jezikov odlično za osebni razvoj ter dobro za trgovino in politične odnose znotraj EU. Vendar menijo, da bi morali biti jeziki na voljo v šoli in ne bi smeli postati obvezni. Menijo tudi, da ni nujno, da je drugi jezik evropski jezik. „Če živite v vzhodni Evropi in se odločite za učenje ruščine, je to vaša pravica,“ je dejal eden od udeležencev. </w:t>
      </w:r>
    </w:p>
    <w:p>
      <w:pPr>
        <w:pStyle w:val="P68B1DB1Normal110"/>
        <w:widowControl w:val="false"/>
        <w:spacing w:lineRule="auto" w:line="240" w:before="223" w:after="0"/>
        <w:ind w:left="0" w:right="0" w:hanging="0"/>
        <w:jc w:val="left"/>
        <w:rPr/>
      </w:pPr>
      <w:r>
        <w:rPr>
          <w:b/>
        </w:rPr>
        <w:t xml:space="preserve">Turška skupnost Schiedam: </w:t>
      </w:r>
      <w:r>
        <w:rPr>
          <w:sz w:val="21"/>
        </w:rPr>
        <w:t xml:space="preserve">V fundaciji Hakder v Schiedamu je lokalna turška skupnost razpravljala o pomenu poštenih zaposlitvenih možnosti za vse. Vsi udeleženci so se strinjali, da bi morala EU od podjetij zahtevati, da mladim z omejenimi možnostmi ponudijo pripravništva ali zaposlitve. Navedli so, da zlasti mladi migranti težko najdejo pripravništvo ali zaposlitev. Včasih si sploh ne upajo iti na GP, ker se bojijo, da bodo morali sami plačati za obisk. Da ne omenjam drznosti, da se prijavite za pripravništvo ali delovno mesto,“ je dejal eden od udeležencev. „Podjetja morajo biti pozornejša in EU jih lahko spodbuja k temu.“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Opis metodologije, uporabljene v raziskavi</w:t>
      </w:r>
      <w:r>
        <w:rPr>
          <w:color w:val="365F91"/>
        </w:rPr>
        <w:t xml:space="preserve"> </w:t>
      </w:r>
    </w:p>
    <w:p>
      <w:pPr>
        <w:pStyle w:val="P68B1DB1Normal104"/>
        <w:widowControl w:val="false"/>
        <w:spacing w:lineRule="auto" w:line="240" w:before="137" w:after="0"/>
        <w:ind w:left="0" w:right="0" w:hanging="0"/>
        <w:jc w:val="left"/>
        <w:rPr/>
      </w:pPr>
      <w:r>
        <w:rPr/>
        <w:t xml:space="preserve">Raziskava „Vizija Evrope“ je sestavljena iz različnih oblik s tem povezanega dialoga, da bi zbrali stališča in ideje nizozemskih državljanov o prihodnosti Evrope in EU. To poglavje opisuje metodologijo, ki se uporablja za zagotovitev, da so povezane oblike dialoga v skladu s smernicami za nacionalne okrogle mize državljanov v okviru konference o prihodnosti Evrope. </w:t>
      </w:r>
    </w:p>
    <w:p>
      <w:pPr>
        <w:pStyle w:val="P68B1DB1Normal110"/>
        <w:widowControl w:val="false"/>
        <w:spacing w:lineRule="auto" w:line="240" w:before="236" w:after="0"/>
        <w:ind w:left="0" w:right="0" w:hanging="0"/>
        <w:jc w:val="both"/>
        <w:rPr/>
      </w:pPr>
      <w:r>
        <w:rPr>
          <w:b/>
          <w:i/>
          <w:sz w:val="24"/>
        </w:rPr>
        <w:t xml:space="preserve">Oblikovanje povezanih oblik dialoga </w:t>
      </w:r>
      <w:r>
        <w:rPr>
          <w:sz w:val="21"/>
        </w:rPr>
        <w:t xml:space="preserve">Uporabljajo se naslednje oblike dialoga: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Anketa o panelu</w:t>
      </w:r>
    </w:p>
    <w:p>
      <w:pPr>
        <w:pStyle w:val="P68B1DB1Normal104"/>
        <w:widowControl w:val="false"/>
        <w:spacing w:lineRule="auto" w:line="240"/>
        <w:ind w:left="0" w:right="0" w:hanging="0"/>
        <w:jc w:val="left"/>
        <w:rPr>
          <w:rFonts w:ascii="Calibri" w:hAnsi="Calibri"/>
          <w:color w:val="000000"/>
          <w:sz w:val="21"/>
        </w:rPr>
      </w:pPr>
      <w:r>
        <w:rPr/>
        <w:t xml:space="preserve">Raziskava reprezentativnega vzorca nizozemske populacije.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Spletni tematski dialogi za poglobitev</w:t>
      </w:r>
    </w:p>
    <w:p>
      <w:pPr>
        <w:pStyle w:val="P68B1DB1Normal104"/>
        <w:widowControl w:val="false"/>
        <w:spacing w:lineRule="auto" w:line="240"/>
        <w:ind w:left="0" w:right="0" w:hanging="0"/>
        <w:jc w:val="left"/>
        <w:rPr/>
      </w:pPr>
      <w:r>
        <w:rPr/>
        <w:t xml:space="preserve">Dialogi, ki se vsakič organizirajo s skupino Nizozemcev, da bi poglobili sklepe iz prvega vmesnega poročila „Naša vizija za Evropo“ (8. oktober 2021), ki vsebuje začetni pregled rezultatov in dopolnilnih vprašanj.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Dialogi s posebnimi skupinami</w:t>
      </w:r>
    </w:p>
    <w:p>
      <w:pPr>
        <w:pStyle w:val="P68B1DB1Normal104"/>
        <w:widowControl w:val="false"/>
        <w:spacing w:lineRule="auto" w:line="240"/>
        <w:ind w:left="0" w:right="0" w:hanging="0"/>
        <w:jc w:val="left"/>
        <w:rPr>
          <w:rFonts w:ascii="Calibri" w:hAnsi="Calibri"/>
          <w:color w:val="000000"/>
          <w:sz w:val="21"/>
        </w:rPr>
      </w:pPr>
      <w:r>
        <w:rPr/>
        <w:t xml:space="preserve">Srečanja z Nizozemci, ki niso vajeni sodelovanja v anketah in okroglih mizah (spletno).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Dialogi z mladimi</w:t>
      </w:r>
    </w:p>
    <w:p>
      <w:pPr>
        <w:pStyle w:val="P68B1DB1Normal104"/>
        <w:widowControl w:val="false"/>
        <w:spacing w:lineRule="auto" w:line="240"/>
        <w:ind w:left="0" w:right="0" w:hanging="0"/>
        <w:jc w:val="left"/>
        <w:rPr>
          <w:rFonts w:ascii="Calibri" w:hAnsi="Calibri"/>
          <w:color w:val="000000"/>
          <w:sz w:val="21"/>
        </w:rPr>
      </w:pPr>
      <w:r>
        <w:rPr/>
        <w:t xml:space="preserve">Srečanja, osredotočena na najpomembnejše evropske teme za mlade.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Spletna javna anketa: Vprašalnik in „Swipen naar de toekomst“</w:t>
      </w:r>
      <w:commentRangeStart w:id="25"/>
      <w:r>
        <w:rPr>
          <w:rFonts w:ascii="Calibri" w:hAnsi="Calibri"/>
          <w:b/>
          <w:color w:val="000000"/>
          <w:sz w:val="21"/>
        </w:rPr>
        <w:t xml:space="preserve">( </w:t>
      </w:r>
      <w:r>
        <w:rPr>
          <w:rFonts w:ascii="Calibri" w:hAnsi="Calibri"/>
          <w:b/>
          <w:color w:val="000000"/>
          <w:sz w:val="21"/>
        </w:rPr>
      </w:r>
      <w:commentRangeEnd w:id="25"/>
      <w:r>
        <w:commentReference w:id="25"/>
      </w:r>
      <w:r>
        <w:rPr>
          <w:rFonts w:ascii="Calibri" w:hAnsi="Calibri"/>
          <w:b/>
          <w:color w:val="000000"/>
          <w:sz w:val="21"/>
        </w:rPr>
        <w:t xml:space="preserve">brisalec v prihodnost) </w:t>
      </w:r>
    </w:p>
    <w:p>
      <w:pPr>
        <w:pStyle w:val="P68B1DB1Normal104"/>
        <w:widowControl w:val="false"/>
        <w:spacing w:lineRule="auto" w:line="240"/>
        <w:ind w:left="0" w:right="0" w:hanging="0"/>
        <w:jc w:val="left"/>
        <w:rPr/>
      </w:pPr>
      <w:r>
        <w:rPr/>
        <w:t xml:space="preserve">Anketni vprašalnik odbora bi lahko izpolnili tudi vsi Nizozemci, vključno s tistimi, ki prebivajo v tujini. Ta vprašalnik je bil na voljo od 1. septembra 2021 do 14. novembra 2021. Poleg tega je lahko v istem obdobju vsak Nizozemec sodeloval v ukrepu „Swipen naar de toekomst“ (Swipen naar de toekomst), spletnemu orodju, v katerem je bilo predstavljenih 20 zahtevkov.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Anketa o panelu </w:t>
      </w:r>
    </w:p>
    <w:p>
      <w:pPr>
        <w:pStyle w:val="P68B1DB1Normal104"/>
        <w:widowControl w:val="false"/>
        <w:spacing w:lineRule="auto" w:line="240" w:before="118" w:after="0"/>
        <w:ind w:left="0" w:right="0" w:hanging="0"/>
        <w:jc w:val="left"/>
        <w:rPr/>
      </w:pPr>
      <w:r>
        <w:rPr/>
        <w:t xml:space="preserve">Nizozemski državljanski dialog „Vizija Evrope“ se je začel 1. septembra z anketo okrogle mize. V tem opisu metodologije ankete na kratko pojasnimo zasnovo in izvajanje te ankete odboru. </w:t>
      </w:r>
    </w:p>
    <w:p>
      <w:pPr>
        <w:pStyle w:val="P68B1DB1Normal107"/>
        <w:widowControl w:val="false"/>
        <w:spacing w:lineRule="auto" w:line="240" w:before="43" w:after="0"/>
        <w:ind w:left="0" w:right="0" w:hanging="0"/>
        <w:jc w:val="left"/>
        <w:rPr>
          <w:rFonts w:ascii="Calibri" w:hAnsi="Calibri"/>
          <w:i/>
          <w:i/>
          <w:color w:val="000000"/>
          <w:sz w:val="24"/>
        </w:rPr>
      </w:pPr>
      <w:r>
        <w:rPr/>
        <w:t xml:space="preserve">Ciljna in ciljna populacija </w:t>
      </w:r>
    </w:p>
    <w:p>
      <w:pPr>
        <w:pStyle w:val="Normal"/>
        <w:widowControl w:val="false"/>
        <w:spacing w:lineRule="auto" w:line="240" w:before="123" w:after="0"/>
        <w:ind w:left="0" w:right="0" w:hanging="0"/>
        <w:jc w:val="left"/>
        <w:rPr/>
      </w:pPr>
      <w:r>
        <w:rPr>
          <w:rFonts w:ascii="Calibri" w:hAnsi="Calibri"/>
          <w:color w:val="000000"/>
          <w:sz w:val="21"/>
        </w:rPr>
        <w:t>Raziskava „Vizija Evrope“ se je začela s spletnim vprašalnikom o tem, kako Nizozemci vidijo prihodnost Evrope. Ta vprašalnik je bil predložen predstavniškemu odboru in je odprt tudi za vse nizozemce (vključno s tistimi, ki prebivajo v tujini). Poleg tega je vsaka oseba lahko sodelovala v akciji „Swipen naar de toekomst“</w:t>
      </w:r>
      <w:commentRangeStart w:id="26"/>
      <w:r>
        <w:rPr>
          <w:rFonts w:ascii="Calibri" w:hAnsi="Calibri"/>
          <w:color w:val="000000"/>
          <w:sz w:val="21"/>
        </w:rPr>
        <w:t>(Swiper</w:t>
      </w:r>
      <w:r>
        <w:rPr>
          <w:rFonts w:ascii="Calibri" w:hAnsi="Calibri"/>
          <w:color w:val="000000"/>
          <w:sz w:val="21"/>
        </w:rPr>
      </w:r>
      <w:commentRangeEnd w:id="26"/>
      <w:r>
        <w:commentReference w:id="26"/>
      </w:r>
      <w:r>
        <w:rPr>
          <w:rFonts w:ascii="Calibri" w:hAnsi="Calibri"/>
          <w:color w:val="000000"/>
          <w:sz w:val="21"/>
        </w:rPr>
        <w:t xml:space="preserve"> v prihodnost), spletnem orodju, ki predstavlja 20 zahtevkov. Rezultati ankete okrogle mize so bili podlaga za več tematskih dialogov, organiziranih kot nadaljevanje procesa dialoga z državljani „Vizija Evrope“.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Ciljna populacija panelne raziskave vključuje vse nizozemske ljudi, stare 18 let ali več, ki so bili ob začetku terenskega dela vpisani kot rezidenti v registru prebivalstva. Po podatkih nizozemskega nacionalnega statističnega urada (Centraal Bureau voor de Statistiek – CBS) je imela ta ciljna skupina od 1. januarja 2021 14.190.874 ljudi. Spodnja meja 18 let ustreza volilni večini. Temu pravimo populacija panelne ankete.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Terensko delo </w:t>
      </w:r>
    </w:p>
    <w:p>
      <w:pPr>
        <w:pStyle w:val="P68B1DB1Normal104"/>
        <w:widowControl w:val="false"/>
        <w:spacing w:lineRule="auto" w:line="240" w:before="127" w:after="0"/>
        <w:ind w:left="0" w:right="0" w:hanging="0"/>
        <w:jc w:val="left"/>
        <w:rPr/>
      </w:pPr>
      <w:r>
        <w:rPr/>
        <w:t xml:space="preserve">Odbor z več kot 100.000 udeleženci iz vse države (ISO certificiran, Research Keurmerk groep, Nederlandse marktonderzoek Associatie) je bil uporabljen za pridobitev digitalne slike „srednje nizozemskega“. Ti udeleženci so se vpisali na okroglo mizo, da bi redno predstavili svoja stališča o najrazličnejših temah. Poleg lastne motivacije za prispevanje so plačani tudi za izpolnjevanje vprašalnikov. Več znanstvenih študij kaže, da anketiranci, ki prejmejo nadomestilo za izpolnjevanje vprašalnika, ne dajo bistveno drugačnih odgovorov (vir: Ali uporaba anketnih spodbud zmanjšuje kakovost podatkov?Cole,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Terensko delo se je začelo 11. avgusta 2021 in končalo 19. septembra 2021. Za izvajanje je bila uporabljena le ena metoda zbiranja podatkov, tj. spletna raziskava. Člani anketne komisije so prejeli elektronsko sporočilo z osebno povezavo do spletnega vprašalnika. Po dveh tednih so udeleženci prejeli opomnik. Povabila k sodelovanju so bila poslana v serijah in stratificirana (z zagotavljanjem enake porazdelitve podskupin), dokler ni bilo doseženo zahtevano število anketirancev. </w:t>
      </w:r>
    </w:p>
    <w:p>
      <w:pPr>
        <w:pStyle w:val="P68B1DB1Normal107"/>
        <w:widowControl w:val="false"/>
        <w:spacing w:lineRule="auto" w:line="240" w:before="42" w:after="0"/>
        <w:ind w:left="0" w:right="0" w:hanging="0"/>
        <w:jc w:val="left"/>
        <w:rPr>
          <w:rFonts w:ascii="Calibri" w:hAnsi="Calibri"/>
          <w:i/>
          <w:i/>
          <w:color w:val="000000"/>
          <w:sz w:val="24"/>
        </w:rPr>
      </w:pPr>
      <w:r>
        <w:rPr/>
        <w:t xml:space="preserve">Vzorčenje in distribucija </w:t>
      </w:r>
    </w:p>
    <w:p>
      <w:pPr>
        <w:pStyle w:val="P68B1DB1Normal104"/>
        <w:widowControl w:val="false"/>
        <w:spacing w:lineRule="auto" w:line="240" w:before="123" w:after="0"/>
        <w:ind w:left="0" w:right="0" w:hanging="0"/>
        <w:jc w:val="left"/>
        <w:rPr/>
      </w:pPr>
      <w:r>
        <w:rPr/>
        <w:t xml:space="preserve">Zasnova ankete temelji na načelu, da mora v anketo sodelovati najmanj 3600 anketirancev, da se zagotovi dobra statistična zanesljivost. Poleg tega ta številka omogoča dobro porazdelitev med različnimi splošnimi značilnostmi prebivalstva. Ne obstaja samo ena vrsta Nizozemca. Zato smo vnaprej zagotovili, da je vzorec dobro porazdeljen po številnih značilnostih. Nizozemska je razmeroma majhna država, vendar se mnenja lahko razlikujejo glede na regijo. Položaj in pomen tem lahko (delno) določi regija, v kateri živite. Ljudje, ki živijo na podeželju, lahko na primer temo, kot je varnost, razumejo drugače kot na mestnih območjih. Raziskave nizozemskega urada za socialno in kulturno načrtovanje prav tako kažejo, da so ljudje z višjo stopnjo študija pogosteje podporniki EU kot tisti z nižjo stopnjo študija in da mladi bolj podpirajo EU kot starejši (vir: Wat Willen Nederlanders van de Europese Unie?Nizozemski socialni in kulturni urad,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Zato smo predhodno sorazmerno dodelili naslednje tri značilnosti, da bi zagotovili reprezentativnost vzorca: (1) prebivanje v regijah COROP, (2) starost in (3) stopnja izobrazbe. Porazdelitev vzorca je bila predstavljena tudi v skladu z naslednjimi splošnimi značilnostmi: spol, poreklo, glavna okupacija, politična usmeritev.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Regije COROP so bile razvite na podlagi načela vozlišča (srce z območjem privlačnosti ali regionalno funkcijo), ki temelji na toku ljudi, ki se vozijo na delo. Nekaj kršitev načela vozlišča je bilo odobrenih, tako da regije sledijo pokrajinskim mejam. Po reorganizaciji občin, ki presegajo omejitve COROP, je bila porazdelitev prilagojena (vir: Nizozemski statistični urad). V regijah COROP smo zagotovili dobro porazdelitev med starostne skupine z naslednjo razčlenitvijo: starost 18–34, 35–54, 55–75 in več kot 75 let.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Na koncu smo poskrbeli za reprezentativno porazdelitev izobrazbenih stopenj. V vzorcu porazdelitev anketirancev ustreza porazdelitvi najvišje stopnje izobrazbe na nacionalni ravni, ki je naslednja: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Najvišja stopnja izobrazbe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Nizka vrednost: osnovnošolsko izobraževanje, pripravljalno poklicno izobraževanje, 1. do 3. razred splošnega srednješolskega/preduniverzitetnega izobraževanja, srednješolsko poklicno izobraževanje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Vmesna številka: splošno višje sekundarno izobraževanje/preduniverzitetno izobraževanje, srednješolsko poklicno izobraževanje 2 do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Visoko: visokošolsko poklicno izobraževanje ali univerzitetno izobraževanje</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Neznano</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Stopnja odziva </w:t>
      </w:r>
    </w:p>
    <w:p>
      <w:pPr>
        <w:pStyle w:val="P68B1DB1Normal104"/>
        <w:widowControl w:val="false"/>
        <w:spacing w:lineRule="exact" w:line="283" w:before="87" w:after="0"/>
        <w:ind w:left="0" w:right="368" w:hanging="0"/>
        <w:jc w:val="left"/>
        <w:rPr/>
      </w:pPr>
      <w:r>
        <w:rPr/>
        <w:t xml:space="preserve">V raziskavi je sodelovalo 4 086 ljudi na okroglo mizo. Cilj 3600 v celoti izpolnjenih vprašalnikov je torej dosežen.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Odzivi po regijah COROP in starosti</w:t>
            </w:r>
          </w:p>
        </w:tc>
        <w:tc>
          <w:tcPr>
            <w:tcW w:w="1348" w:type="dxa"/>
            <w:tcBorders/>
            <w:shd w:fill="auto" w:val="clear"/>
            <w:vAlign w:val="bottom"/>
          </w:tcPr>
          <w:p>
            <w:pPr>
              <w:pStyle w:val="P68B1DB1Contenudetableau122"/>
              <w:spacing w:before="57" w:after="57"/>
              <w:jc w:val="left"/>
              <w:rPr>
                <w:b/>
                <w:b/>
                <w:color w:val="000000"/>
              </w:rPr>
            </w:pPr>
            <w:r>
              <w:rPr/>
              <w:t>Od 18 do 34 let</w:t>
            </w:r>
          </w:p>
        </w:tc>
        <w:tc>
          <w:tcPr>
            <w:tcW w:w="1348" w:type="dxa"/>
            <w:tcBorders/>
            <w:shd w:fill="auto" w:val="clear"/>
            <w:vAlign w:val="bottom"/>
          </w:tcPr>
          <w:p>
            <w:pPr>
              <w:pStyle w:val="P68B1DB1Contenudetableau122"/>
              <w:spacing w:before="57" w:after="57"/>
              <w:jc w:val="left"/>
              <w:rPr>
                <w:b/>
                <w:b/>
                <w:color w:val="000000"/>
              </w:rPr>
            </w:pPr>
            <w:r>
              <w:rPr/>
              <w:t>Od 35 do 54 let</w:t>
            </w:r>
          </w:p>
        </w:tc>
        <w:tc>
          <w:tcPr>
            <w:tcW w:w="1574" w:type="dxa"/>
            <w:tcBorders/>
            <w:shd w:fill="auto" w:val="clear"/>
            <w:vAlign w:val="bottom"/>
          </w:tcPr>
          <w:p>
            <w:pPr>
              <w:pStyle w:val="P68B1DB1Contenudetableau122"/>
              <w:spacing w:before="57" w:after="57"/>
              <w:jc w:val="left"/>
              <w:rPr>
                <w:b/>
                <w:b/>
                <w:color w:val="000000"/>
              </w:rPr>
            </w:pPr>
            <w:r>
              <w:rPr/>
              <w:t>Od 55 do 75 let</w:t>
            </w:r>
          </w:p>
        </w:tc>
        <w:tc>
          <w:tcPr>
            <w:tcW w:w="1352" w:type="dxa"/>
            <w:tcBorders/>
            <w:shd w:fill="auto" w:val="clear"/>
            <w:vAlign w:val="bottom"/>
          </w:tcPr>
          <w:p>
            <w:pPr>
              <w:pStyle w:val="P68B1DB1Contenudetableau122"/>
              <w:spacing w:before="57" w:after="57"/>
              <w:jc w:val="left"/>
              <w:rPr>
                <w:b/>
                <w:b/>
                <w:color w:val="000000"/>
              </w:rPr>
            </w:pPr>
            <w:r>
              <w:rPr/>
              <w:t xml:space="preserve"> </w:t>
            </w:r>
            <w:r>
              <w:rPr/>
              <w:t>starejši od 75 let</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Severni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Drentheja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Drentheja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Severni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Frieslanda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Frieslanda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Gelderlanda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Vzhodni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Ostanek v Groningenu</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Osrednji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Severni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Južni 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Razišči bližnjo okolico North 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Odzivi po regijah COROP in starosti </w:t>
            </w:r>
          </w:p>
        </w:tc>
        <w:tc>
          <w:tcPr>
            <w:tcW w:w="1393" w:type="dxa"/>
            <w:tcBorders/>
            <w:shd w:fill="auto" w:val="clear"/>
            <w:vAlign w:val="bottom"/>
          </w:tcPr>
          <w:p>
            <w:pPr>
              <w:pStyle w:val="P68B1DB1Contenudetableau122"/>
              <w:spacing w:before="57" w:after="57"/>
              <w:jc w:val="left"/>
              <w:rPr>
                <w:b/>
                <w:b/>
                <w:color w:val="000000"/>
              </w:rPr>
            </w:pPr>
            <w:r>
              <w:rPr/>
              <w:t>Od 18 do 34 let</w:t>
            </w:r>
          </w:p>
        </w:tc>
        <w:tc>
          <w:tcPr>
            <w:tcW w:w="1393" w:type="dxa"/>
            <w:tcBorders/>
            <w:shd w:fill="auto" w:val="clear"/>
            <w:vAlign w:val="bottom"/>
          </w:tcPr>
          <w:p>
            <w:pPr>
              <w:pStyle w:val="P68B1DB1Contenudetableau122"/>
              <w:spacing w:before="57" w:after="57"/>
              <w:jc w:val="left"/>
              <w:rPr>
                <w:b/>
                <w:b/>
                <w:color w:val="000000"/>
              </w:rPr>
            </w:pPr>
            <w:r>
              <w:rPr/>
              <w:t>Od 35 do 54 let</w:t>
            </w:r>
          </w:p>
        </w:tc>
        <w:tc>
          <w:tcPr>
            <w:tcW w:w="1370" w:type="dxa"/>
            <w:tcBorders/>
            <w:shd w:fill="auto" w:val="clear"/>
            <w:vAlign w:val="bottom"/>
          </w:tcPr>
          <w:p>
            <w:pPr>
              <w:pStyle w:val="P68B1DB1Contenudetableau122"/>
              <w:spacing w:before="57" w:after="57"/>
              <w:jc w:val="left"/>
              <w:rPr>
                <w:b/>
                <w:b/>
                <w:color w:val="000000"/>
              </w:rPr>
            </w:pPr>
            <w:r>
              <w:rPr/>
              <w:t>Od 55 do 75 let</w:t>
            </w:r>
          </w:p>
        </w:tc>
        <w:tc>
          <w:tcPr>
            <w:tcW w:w="1376" w:type="dxa"/>
            <w:tcBorders/>
            <w:shd w:fill="auto" w:val="clear"/>
            <w:vAlign w:val="bottom"/>
          </w:tcPr>
          <w:p>
            <w:pPr>
              <w:pStyle w:val="P68B1DB1Contenudetableau122"/>
              <w:spacing w:before="57" w:after="57"/>
              <w:jc w:val="left"/>
              <w:rPr>
                <w:b/>
                <w:b/>
                <w:color w:val="000000"/>
              </w:rPr>
            </w:pPr>
            <w:r>
              <w:rPr/>
              <w:t>starejši od 75 let</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Severovzhodno od severnega Brabanta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Zahodno od severnega Brabanta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severnega Brabanta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in njegova okolica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Odličen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in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Konica severne Nizozemske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Regija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North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Ostalo v Zelandiji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Leidna in območje žarnic</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Haag</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in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Vzhodno od južne Nizozemske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Južne Nizozemske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Odzivi glede na stopnjo izobrazbe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Nizka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Posrednik</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Neznano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Zanesljivost in reprezentativnost </w:t>
      </w:r>
    </w:p>
    <w:p>
      <w:pPr>
        <w:pStyle w:val="P68B1DB1Normal104"/>
        <w:widowControl w:val="false"/>
        <w:spacing w:lineRule="auto" w:line="240" w:before="87" w:after="0"/>
        <w:ind w:left="0" w:right="0" w:hanging="0"/>
        <w:jc w:val="left"/>
        <w:rPr/>
      </w:pPr>
      <w:r>
        <w:rPr/>
        <w:t xml:space="preserve">Število anketirancev, ki je znašalo 4886, omogoča opažanja za populacijo kot celoto s 95-odstotno stopnjo zaupanja in stopnjo napake 1,53 %. Stopnja zaupanja in stopnja napake pri rezultatih se določita glede na velikost vzorca. Večji kot je vzorec, bolj zanesljivi in točni rezultati se lahko ekstrapolirajo na celotno populacijo.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Stopnja zaupanja je opredeljena kot 1 (100 %) minus raven pomena. To je običajno, da temelji na ravni 5 % pomen. Govorimo o 95-odstotni stopnji zaupanja. Z drugimi besedami, če bi se raziskava ponovila na enak način in pod enakimi pogoji, bi bili rezultati enaki v 95 % primerov. </w:t>
      </w:r>
    </w:p>
    <w:p>
      <w:pPr>
        <w:pStyle w:val="P68B1DB1Normal104"/>
        <w:widowControl w:val="false"/>
        <w:spacing w:lineRule="auto" w:line="240"/>
        <w:ind w:left="0" w:right="0" w:hanging="0"/>
        <w:jc w:val="left"/>
        <w:rPr/>
      </w:pPr>
      <w:r>
        <w:rPr/>
        <w:t xml:space="preserve">Natančnost (izražena s toleranco napake) označuje obseg vrednosti, v katerem se nahaja dejanska vrednost v populaciji. Z drugimi besedami: kakšna bi bila največja razlika med rezultati vzorca in rezultati, pridobljenimi iz populacije kot celote? Stopnja napake 1,53 % pomeni, da je dejanska vrednost v celotni populaciji lahko 1,53 % višja ali nižja od vrednosti vzorca. Na primer, če raziskava na vzorcu ljudi kaže, da 50 % anketirancev meni, da je določena tema pomembna, je dejanski odstotek 1,53 % višji ali nižji od 50 %, tj. med 48,47 in 51,53 %. Največja dovoljena stopnja napake v višini 5 % je pogosta in splošno sprejeta v kvantitativnih študijah (statistiki). </w:t>
      </w:r>
    </w:p>
    <w:p>
      <w:pPr>
        <w:pStyle w:val="P68B1DB1Normal104"/>
        <w:widowControl w:val="false"/>
        <w:spacing w:lineRule="auto" w:line="240"/>
        <w:ind w:left="0" w:right="0" w:hanging="0"/>
        <w:jc w:val="left"/>
        <w:rPr/>
      </w:pPr>
      <w:r>
        <w:rPr/>
        <w:t xml:space="preserve">Poleg zanesljivosti je pomembna tudi reprezentativnost vzorca. Ker so bila povabila k sodelovanju poslana v svežnjih in stratificirana, so rezultati reprezentativni glede na značilnosti regije COROP in starostne skupine po regijah COROP. Odzivi so reprezentativni tudi z vidika stopnje izobrazbe v primerjavi z najvišjo stopnjo izobrazbe, doseženo na nacionalni ravni. </w:t>
      </w:r>
    </w:p>
    <w:p>
      <w:pPr>
        <w:pStyle w:val="P68B1DB1Normal107"/>
        <w:widowControl w:val="false"/>
        <w:spacing w:lineRule="auto" w:line="240"/>
        <w:ind w:left="0" w:right="0" w:hanging="0"/>
        <w:jc w:val="left"/>
        <w:rPr>
          <w:rFonts w:ascii="Calibri" w:hAnsi="Calibri"/>
          <w:i/>
          <w:i/>
          <w:color w:val="000000"/>
          <w:sz w:val="24"/>
        </w:rPr>
      </w:pPr>
      <w:r>
        <w:rPr/>
        <w:t xml:space="preserve">Druge splošne značilnosti </w:t>
      </w:r>
    </w:p>
    <w:p>
      <w:pPr>
        <w:pStyle w:val="P68B1DB1Normal104"/>
        <w:widowControl w:val="false"/>
        <w:spacing w:lineRule="auto" w:line="240" w:before="5" w:after="0"/>
        <w:ind w:left="0" w:right="0" w:hanging="0"/>
        <w:jc w:val="left"/>
        <w:rPr/>
      </w:pPr>
      <w:r>
        <w:rPr/>
        <w:t xml:space="preserve">Okrogla miza je udeležencem ankete zastavila številna dodatna kontekstualna vprašanja. Ti vključujejo spol, položaj v EU, poreklo, glavno okupacijo in politično stranko, za katero bi oseba glasovala v primeru volitev. </w:t>
      </w:r>
    </w:p>
    <w:p>
      <w:pPr>
        <w:pStyle w:val="P68B1DB1Normal104"/>
        <w:widowControl w:val="false"/>
        <w:spacing w:lineRule="auto" w:line="240"/>
        <w:ind w:left="0" w:right="0" w:hanging="0"/>
        <w:jc w:val="left"/>
        <w:rPr/>
      </w:pPr>
      <w:r>
        <w:rPr/>
        <w:t xml:space="preserve">49 % anketirancev je moških, 50 % žensk in 1 % jih raje ne odgovori na to vprašanje. </w:t>
      </w:r>
    </w:p>
    <w:p>
      <w:pPr>
        <w:pStyle w:val="Normal"/>
        <w:widowControl w:val="false"/>
        <w:spacing w:lineRule="auto" w:line="240"/>
        <w:ind w:left="0" w:right="0" w:hanging="0"/>
        <w:jc w:val="left"/>
        <w:rPr/>
      </w:pPr>
      <w:r>
        <w:rPr>
          <w:rFonts w:ascii="Calibri" w:hAnsi="Calibri"/>
          <w:color w:val="000000"/>
          <w:sz w:val="21"/>
        </w:rPr>
        <w:t xml:space="preserve">51 % vprašanih meni, da je dobro, da je Nizozemska članica EU, 13 % jih meni, da je slaba stvar, 36 % pa jih je nevtralnih ali pa nimajo mnenja. </w:t>
      </w:r>
      <w:r>
        <w:br w:type="page"/>
      </w:r>
    </w:p>
    <w:p>
      <w:pPr>
        <w:pStyle w:val="P68B1DB1Normal104"/>
        <w:spacing w:lineRule="auto" w:line="240"/>
        <w:ind w:left="0" w:right="0" w:hanging="0"/>
        <w:rPr/>
      </w:pPr>
      <w:r>
        <w:rPr/>
        <w:t xml:space="preserve">95 % anketirancev je bilo rojenih na Nizozemskem. 89 % vprašanih je navedlo, da sta bila oba starša rojena na Nizozemskem. 5 % se jih je rodilo dvema staršema, rojenima v tujini.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Trenutna politična usmeritev anketirancev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Zabava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(Ljudska stranka za svobodo in demokracijo)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(stranka za svobodo)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(socialistična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(Krščanski demokratski klic)</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(delovna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(Živalska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(Zelena levica)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(Krščanska zveza)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(Farmer-državljan Gibanje)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za demokracijo)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(reformirana politična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Drugo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Beli glas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Raje ne odgovarjam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 glasujem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Kateri je trenutno vaš glavni poklic?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Zasedba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Študent/študent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 s krajšim delovnim časom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 s polnim delovnim časom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Neodvisni izvajalec</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Oseba doma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Iskalec zaposlitve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Prostovoljec</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Nezmožnost za delo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Upokojeni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Drugo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Raje ne odgovarjam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Vprašalnik</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Vprašalnik in to poročilo je pripravila neodvisna zunanja organizacija na zahtevo Ministrstva za zunanje zadeve. Vprašalnik predstavlja modularno strukturo in vključuje naslednje sklope vprašanj v skladu s temami, opredeljenimi za konferenco o prihodnosti Evrope: Pomembne teme in vloga Evrope </w:t>
      </w:r>
    </w:p>
    <w:p>
      <w:pPr>
        <w:pStyle w:val="P68B1DB1Normal104"/>
        <w:widowControl w:val="false"/>
        <w:spacing w:lineRule="auto" w:line="240" w:before="1" w:after="0"/>
        <w:ind w:left="0" w:right="0" w:hanging="0"/>
        <w:jc w:val="left"/>
        <w:rPr>
          <w:rFonts w:ascii="Calibri" w:hAnsi="Calibri"/>
          <w:color w:val="000000"/>
          <w:sz w:val="21"/>
        </w:rPr>
      </w:pPr>
      <w:r>
        <w:rPr/>
        <w:t xml:space="preserve">Podnebne spremembe in okolje </w:t>
      </w:r>
    </w:p>
    <w:p>
      <w:pPr>
        <w:pStyle w:val="P68B1DB1Normal104"/>
        <w:widowControl w:val="false"/>
        <w:spacing w:lineRule="auto" w:line="240"/>
        <w:ind w:left="0" w:right="0" w:hanging="0"/>
        <w:jc w:val="left"/>
        <w:rPr>
          <w:rFonts w:ascii="Calibri" w:hAnsi="Calibri"/>
          <w:color w:val="000000"/>
          <w:sz w:val="21"/>
        </w:rPr>
      </w:pPr>
      <w:r>
        <w:rPr/>
        <w:t xml:space="preserve">Zdravje </w:t>
      </w:r>
    </w:p>
    <w:p>
      <w:pPr>
        <w:pStyle w:val="P68B1DB1Normal104"/>
        <w:widowControl w:val="false"/>
        <w:spacing w:lineRule="auto" w:line="240" w:before="1" w:after="0"/>
        <w:ind w:left="0" w:right="0" w:hanging="0"/>
        <w:jc w:val="left"/>
        <w:rPr>
          <w:rFonts w:ascii="Calibri" w:hAnsi="Calibri"/>
          <w:color w:val="000000"/>
          <w:sz w:val="21"/>
        </w:rPr>
      </w:pPr>
      <w:r>
        <w:rPr/>
        <w:t xml:space="preserve">Ekonomija in zaposlovanje </w:t>
      </w:r>
    </w:p>
    <w:p>
      <w:pPr>
        <w:pStyle w:val="P68B1DB1Normal104"/>
        <w:widowControl w:val="false"/>
        <w:spacing w:lineRule="auto" w:line="240"/>
        <w:ind w:left="0" w:right="0" w:hanging="0"/>
        <w:jc w:val="left"/>
        <w:rPr>
          <w:rFonts w:ascii="Calibri" w:hAnsi="Calibri"/>
          <w:color w:val="000000"/>
          <w:sz w:val="21"/>
        </w:rPr>
      </w:pPr>
      <w:r>
        <w:rPr/>
        <w:t xml:space="preserve">Vloga Evropske unije v svetu </w:t>
      </w:r>
    </w:p>
    <w:p>
      <w:pPr>
        <w:pStyle w:val="P68B1DB1Normal104"/>
        <w:widowControl w:val="false"/>
        <w:spacing w:lineRule="auto" w:line="240" w:before="1" w:after="0"/>
        <w:ind w:left="0" w:right="0" w:hanging="0"/>
        <w:jc w:val="left"/>
        <w:rPr>
          <w:rFonts w:ascii="Calibri" w:hAnsi="Calibri"/>
          <w:color w:val="000000"/>
          <w:sz w:val="21"/>
        </w:rPr>
      </w:pPr>
      <w:r>
        <w:rPr/>
        <w:t xml:space="preserve">Varnost in pravna država </w:t>
      </w:r>
    </w:p>
    <w:p>
      <w:pPr>
        <w:pStyle w:val="P68B1DB1Normal104"/>
        <w:widowControl w:val="false"/>
        <w:spacing w:lineRule="auto" w:line="240"/>
        <w:ind w:left="0" w:right="0" w:hanging="0"/>
        <w:jc w:val="left"/>
        <w:rPr>
          <w:rFonts w:ascii="Calibri" w:hAnsi="Calibri"/>
          <w:color w:val="000000"/>
          <w:sz w:val="21"/>
        </w:rPr>
      </w:pPr>
      <w:r>
        <w:rPr/>
        <w:t xml:space="preserve">Virtualni svet </w:t>
      </w:r>
    </w:p>
    <w:p>
      <w:pPr>
        <w:pStyle w:val="P68B1DB1Normal104"/>
        <w:widowControl w:val="false"/>
        <w:spacing w:lineRule="auto" w:line="240" w:before="1" w:after="0"/>
        <w:ind w:left="0" w:right="0" w:hanging="0"/>
        <w:jc w:val="left"/>
        <w:rPr>
          <w:rFonts w:ascii="Calibri" w:hAnsi="Calibri"/>
          <w:color w:val="000000"/>
          <w:sz w:val="21"/>
        </w:rPr>
      </w:pPr>
      <w:r>
        <w:rPr/>
        <w:t xml:space="preserve">Evropska demokracija </w:t>
      </w:r>
    </w:p>
    <w:p>
      <w:pPr>
        <w:pStyle w:val="P68B1DB1Normal104"/>
        <w:widowControl w:val="false"/>
        <w:spacing w:lineRule="auto" w:line="240"/>
        <w:ind w:left="0" w:right="0" w:hanging="0"/>
        <w:jc w:val="left"/>
        <w:rPr>
          <w:rFonts w:ascii="Calibri" w:hAnsi="Calibri"/>
          <w:color w:val="000000"/>
          <w:sz w:val="21"/>
        </w:rPr>
      </w:pPr>
      <w:r>
        <w:rPr/>
        <w:t xml:space="preserve">Migracije in begunci </w:t>
      </w:r>
    </w:p>
    <w:p>
      <w:pPr>
        <w:pStyle w:val="P68B1DB1Normal104"/>
        <w:widowControl w:val="false"/>
        <w:spacing w:lineRule="auto" w:line="240" w:before="1" w:after="0"/>
        <w:ind w:left="0" w:right="0" w:hanging="0"/>
        <w:jc w:val="left"/>
        <w:rPr>
          <w:rFonts w:ascii="Calibri" w:hAnsi="Calibri"/>
          <w:color w:val="000000"/>
          <w:sz w:val="21"/>
        </w:rPr>
      </w:pPr>
      <w:r>
        <w:rPr/>
        <w:t xml:space="preserve">Izobraževanje/kultura/mladi/šport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Med pripravo vprašalnika je bila velika pozornost namenjena kakovosti, zanesljivosti in veljavnosti vprašanj. Zato je bila zahtevana nevtralna, nevodena formulacija vprašanj, trditev in odgovorov, pri čemer je bilo preverjeno, ali so bila vprašanja oblikovana v razumljivem jeziku (raven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Na vprašalniku so bili opravljeni preizkusi kakovosti z osebnimi razgovori z udeleženci testov, ki spadajo v ciljno skupino. To nam je omogočilo, da preučimo, kako vprašanja razumejo različne vrste anketirancev. Če se je zdelo, da vprašanje predstavlja preveliko (prekompleksno) kognitivno obremenitev, je bilo primerno. </w:t>
      </w:r>
      <w:r>
        <w:br w:type="page"/>
      </w:r>
    </w:p>
    <w:p>
      <w:pPr>
        <w:pStyle w:val="P68B1DB1Normal107"/>
        <w:spacing w:lineRule="auto" w:line="240"/>
        <w:ind w:left="0" w:right="0" w:hanging="0"/>
        <w:rPr>
          <w:rFonts w:ascii="Calibri" w:hAnsi="Calibri"/>
          <w:i/>
          <w:i/>
          <w:color w:val="000000"/>
          <w:sz w:val="24"/>
        </w:rPr>
      </w:pPr>
      <w:r>
        <w:rPr/>
        <w:t xml:space="preserve">Metode analize </w:t>
      </w:r>
    </w:p>
    <w:p>
      <w:pPr>
        <w:pStyle w:val="P68B1DB1Normal104"/>
        <w:widowControl w:val="false"/>
        <w:spacing w:lineRule="auto" w:line="240" w:before="127" w:after="0"/>
        <w:ind w:left="0" w:right="0" w:hanging="0"/>
        <w:jc w:val="left"/>
        <w:rPr>
          <w:rFonts w:ascii="Calibri" w:hAnsi="Calibri"/>
          <w:color w:val="000000"/>
          <w:sz w:val="21"/>
        </w:rPr>
      </w:pPr>
      <w:r>
        <w:rPr/>
        <w:t xml:space="preserve">V tej raziskavi sta bili uporabljeni dve metodi analize: </w:t>
      </w:r>
    </w:p>
    <w:p>
      <w:pPr>
        <w:pStyle w:val="P68B1DB1Normal111"/>
        <w:widowControl w:val="false"/>
        <w:spacing w:lineRule="auto" w:line="240" w:before="38" w:after="0"/>
        <w:ind w:left="0" w:right="0" w:hanging="0"/>
        <w:jc w:val="left"/>
        <w:rPr>
          <w:rFonts w:ascii="Calibri" w:hAnsi="Calibri"/>
          <w:b/>
          <w:b/>
          <w:color w:val="000000"/>
          <w:sz w:val="22"/>
        </w:rPr>
      </w:pPr>
      <w:r>
        <w:rPr/>
        <w:t xml:space="preserve">Enosmerne analize </w:t>
      </w:r>
    </w:p>
    <w:p>
      <w:pPr>
        <w:pStyle w:val="P68B1DB1Normal104"/>
        <w:widowControl w:val="false"/>
        <w:spacing w:lineRule="auto" w:line="240" w:before="97" w:after="0"/>
        <w:ind w:left="0" w:right="0" w:hanging="0"/>
        <w:jc w:val="left"/>
        <w:rPr/>
      </w:pPr>
      <w:r>
        <w:rPr/>
        <w:t xml:space="preserve">Opisni statistični podatki se uporabljajo za opis spremenljivk raziskave. V tej raziskavi se uporabljajo frekvence in povprečja.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Bivariatne analize </w:t>
      </w:r>
    </w:p>
    <w:p>
      <w:pPr>
        <w:pStyle w:val="P68B1DB1Normal104"/>
        <w:widowControl w:val="false"/>
        <w:spacing w:lineRule="auto" w:line="240" w:before="95" w:after="0"/>
        <w:ind w:left="0" w:right="0" w:hanging="0"/>
        <w:jc w:val="left"/>
        <w:rPr/>
      </w:pPr>
      <w:r>
        <w:rPr/>
        <w:t xml:space="preserve">Na podlagi dvospremenljivih analiz je mogoče preučiti razmerje med dvema spremenljivkama, v tem primeru razmerjem med pomembnostjo različnih tem in vprašanjem, ali naj EU posreduje na tem področju, in splošno značilnostjo starosti. Opravljen je bil pregled, da bi se ugotovilo, ali različne starostne skupine pripisujejo temu vprašanju drugačen pomen in ali obstajajo različna stališča o tem, v kolikšni meri bi morala biti ta vprašanja vključena v EU. </w:t>
      </w:r>
    </w:p>
    <w:p>
      <w:pPr>
        <w:pStyle w:val="P68B1DB1Normal107"/>
        <w:widowControl w:val="false"/>
        <w:spacing w:lineRule="auto" w:line="240" w:before="43" w:after="0"/>
        <w:ind w:left="0" w:right="0" w:hanging="0"/>
        <w:jc w:val="left"/>
        <w:rPr>
          <w:rFonts w:ascii="Calibri" w:hAnsi="Calibri"/>
          <w:i/>
          <w:i/>
          <w:color w:val="000000"/>
          <w:sz w:val="24"/>
        </w:rPr>
      </w:pPr>
      <w:r>
        <w:rPr/>
        <w:t xml:space="preserve">Objava informacij in popolnost </w:t>
      </w:r>
    </w:p>
    <w:p>
      <w:pPr>
        <w:pStyle w:val="P68B1DB1Normal104"/>
        <w:widowControl w:val="false"/>
        <w:spacing w:lineRule="auto" w:line="240" w:before="123" w:after="0"/>
        <w:ind w:left="0" w:right="0" w:hanging="0"/>
        <w:jc w:val="left"/>
        <w:rPr/>
      </w:pPr>
      <w:r>
        <w:rPr/>
        <w:t xml:space="preserve">To poročilo vključuje (vizualno) predstavitev rezultatov vseh vprašanj, naslovljenih na anketirance. Pri nekaterih vprašanjih je imel anketiranec možnost, da predloži „odprte“ (tj. ne vnaprej določene) odgovore. Odprti odgovori so bili nato kategorizirani in vključeni v publikacijo. Zamisli, ki so jih anketiranci izrazili v brezplačnih pripombah, se uporabljajo za prispevek k različnim tematskim dialogom, ki so bili organizirani kot nadaljevanje procesa dialoga z državljani „Vizija Evrope“.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Spletni tematski dialogi za poglobitev </w:t>
      </w:r>
    </w:p>
    <w:p>
      <w:pPr>
        <w:pStyle w:val="P68B1DB1Normal104"/>
        <w:widowControl w:val="false"/>
        <w:spacing w:lineRule="auto" w:line="240" w:before="17" w:after="0"/>
        <w:ind w:left="0" w:right="0" w:hanging="0"/>
        <w:jc w:val="left"/>
        <w:rPr/>
      </w:pPr>
      <w:r>
        <w:rPr/>
        <w:t xml:space="preserve">Teme v središču konference o prihodnosti Evrope so bile poglobljene z osmimi spletnimi tematskimi dialogi. Namen teh dialogov je bil odkriti razloge za izražena mnenja ter motivacije in občutke za njimi. Kakšne so zaznane skrbi in priložnosti? Udeleženci so lahko na razpravah oblikovali predloge in zamisli o teh temah ter izpostavili vprašanja, ki niso del konference, vendar so zanje še vedno pomembna.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Tematski dialogi so potekali 12. in 14. oktobra ter 9. in 11. novembra. Oktobra so bili organizirani štirje spletni tematski dialogi na temo „Ekonomika“ in „Demokracija“. Novembra so potekali štirje spletni tematski dialogi na temo „Podnebje“ in „EU v svetu“. V povprečju se je v vsaki razpravi udeležilo 29 ljudi (skupaj 231). Udeleženci so bili izbrani med člani komisije (glej točko 1) in prek družbenih medijev.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Dialogi s posebnimi skupinami </w:t>
      </w:r>
    </w:p>
    <w:p>
      <w:pPr>
        <w:pStyle w:val="P68B1DB1Normal104"/>
        <w:widowControl w:val="false"/>
        <w:spacing w:lineRule="auto" w:line="240" w:before="12" w:after="0"/>
        <w:ind w:left="0" w:right="0" w:hanging="0"/>
        <w:jc w:val="left"/>
        <w:rPr/>
      </w:pPr>
      <w:r>
        <w:rPr/>
        <w:t xml:space="preserve">Znano je, da so nekatere nizozemske skupine manj navajene na sodelovanje v anketah in panelih (online). Da bi pridobili reprezentativno podobo „glasa Nizozemske“, je bilo pomembno, da imajo ti državljani možnost izraziti svoje zamisli in mnenja. Zato smo za raziskavo „Vizija Evrope“ organizirali tudi številne dialoge na kraju samem. Mnenja in ideje, ki smo jih lahko zbrali, so bili (med drugim) uporabljeni kot podlaga za oblikovanje priporočil.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Ciljne skupine </w:t>
      </w:r>
    </w:p>
    <w:p>
      <w:pPr>
        <w:pStyle w:val="P68B1DB1Normal110"/>
        <w:widowControl w:val="false"/>
        <w:spacing w:lineRule="auto" w:line="240" w:before="22" w:after="0"/>
        <w:ind w:left="0" w:right="0" w:hanging="0"/>
        <w:jc w:val="left"/>
        <w:rPr/>
      </w:pPr>
      <w:r>
        <w:rPr>
          <w:sz w:val="21"/>
        </w:rPr>
        <w:t xml:space="preserve">Težko dosegljivih ciljnih skupin ni mogoče nedvoumno opredeliti. Študije in izkušnje nam omogočajo, da vemo, da nizozemski </w:t>
      </w:r>
      <w:r>
        <w:rPr>
          <w:b/>
          <w:sz w:val="21"/>
        </w:rPr>
        <w:t>ljudje nezahodnega porekla</w:t>
      </w:r>
      <w:r>
        <w:rPr>
          <w:sz w:val="21"/>
        </w:rPr>
        <w:t>veliko manj sodelujejo v preiskavah in razpravah. Ker to predstavlja veliko skupino (14 % Nizozemcev</w:t>
      </w:r>
      <w:r>
        <w:rPr>
          <w:position w:val="6"/>
          <w:sz w:val="14"/>
        </w:rPr>
        <w:t>1</w:t>
      </w:r>
      <w:r>
        <w:rPr>
          <w:sz w:val="21"/>
        </w:rPr>
        <w:t xml:space="preserve">), so bili izbrani za sodelovanje v dialogu Vizija Evrope. Enako je bilo v zvezi z </w:t>
      </w:r>
      <w:r>
        <w:rPr>
          <w:b/>
          <w:sz w:val="21"/>
        </w:rPr>
        <w:t>osebami z nizko izobrazbo</w:t>
      </w:r>
      <w:r>
        <w:rPr>
          <w:sz w:val="21"/>
        </w:rPr>
        <w:t>. Je tudi velika skupina (2,5 milijona nizozemskih</w:t>
      </w:r>
      <w:r>
        <w:rPr>
          <w:position w:val="6"/>
          <w:sz w:val="14"/>
        </w:rPr>
        <w:t>2</w:t>
      </w:r>
      <w:r>
        <w:rPr>
          <w:sz w:val="21"/>
        </w:rPr>
        <w:t xml:space="preserve">), ki se delno prekriva s skupino migrantov (39 %). Nazadnje je potekal dialog s skupino ljudi, ki jih redko najdemo v raziskavah in razpravah, </w:t>
      </w:r>
      <w:r>
        <w:rPr>
          <w:b/>
          <w:sz w:val="21"/>
        </w:rPr>
        <w:t>ki so kritični do Evrope, vendar imajo Evropa pomembno vlogo na strokovnem področju.</w:t>
      </w:r>
      <w:r>
        <w:rPr>
          <w:sz w:val="21"/>
        </w:rPr>
        <w:t xml:space="preserve"> Izbrani so bili podjetniki iz kmetijskega sektorja.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K zgoraj navedenim skupinam so pristopile organizacije, katerih člani so, kot so organizacije migrantov, združenja zagovorništva in poklicne organizacije. Ker smo omejili število dialogov na osem, nismo mogli biti popolnoma „izčrpni“. Zaradi tega je izbira udeležencev nekoliko arbitrarna. Pri tej izbiri smo upoštevali tudi navdušenje za sodelovanje in pomoč pri mobilizaciji njihove baze, pa tudi praktična vprašanja, kot je razpoložljivost glede na datume in lokacijo.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Potekali so dialogi na kraju samem s člani naslednjih organizacij: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Fundacija Hakder, skupnost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hindujska skupnost, Utrecht (dve razpravi)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organizacija civilne družbe,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organizacija za nizko izobražene ljudi,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združenje kmetijskih skupin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maroška skupnost,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Ženske za svobodo, organizacija za zagovorništvo žensk z migrantskim ozadjem, Haag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Na teh srečanjih se je udeležilo 110 ljudi.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Dialogi z mladimi </w:t>
      </w:r>
    </w:p>
    <w:p>
      <w:pPr>
        <w:pStyle w:val="P68B1DB1Normal104"/>
        <w:widowControl w:val="false"/>
        <w:spacing w:lineRule="auto" w:line="240" w:before="118" w:after="0"/>
        <w:ind w:left="0" w:right="0" w:hanging="0"/>
        <w:jc w:val="both"/>
        <w:rPr/>
      </w:pPr>
      <w:r>
        <w:rPr/>
        <w:t xml:space="preserve">Mladi so prednostna ciljna skupina konference o prihodnosti Evrope. Da bi dejavno spodbudili njihovo udeležbo v dialogu z državljani „Vizija Evrope“ in da bi bili mnenja in ideje te skupine dobro upoštevani, je bilo organiziranih pet fizičnih srečanj za razprave, namenjenih mladim. Šesto načrtovano srečanje z mladimi zaradi omejevalnih ukrepov, povezanih s koronavirusom, ni bilo mogoče.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Srečanja so potekala v naslednjih institucijah: </w:t>
      </w:r>
    </w:p>
    <w:p>
      <w:pPr>
        <w:pStyle w:val="P68B1DB1Normal104"/>
        <w:widowControl w:val="false"/>
        <w:spacing w:lineRule="auto" w:line="240"/>
        <w:ind w:left="0" w:right="0" w:hanging="0"/>
        <w:jc w:val="both"/>
        <w:rPr>
          <w:rFonts w:ascii="Calibri" w:hAnsi="Calibri"/>
          <w:color w:val="000000"/>
          <w:sz w:val="21"/>
        </w:rPr>
      </w:pPr>
      <w:r>
        <w:rPr/>
        <w:t xml:space="preserve">Združenje študentov zgodovine, Univerza v Leidnu </w:t>
      </w:r>
    </w:p>
    <w:p>
      <w:pPr>
        <w:pStyle w:val="P68B1DB1Normal104"/>
        <w:widowControl w:val="false"/>
        <w:spacing w:lineRule="auto" w:line="240"/>
        <w:ind w:left="0" w:right="0" w:hanging="0"/>
        <w:jc w:val="both"/>
        <w:rPr>
          <w:rFonts w:ascii="Calibri" w:hAnsi="Calibri"/>
          <w:color w:val="000000"/>
          <w:sz w:val="21"/>
        </w:rPr>
      </w:pPr>
      <w:r>
        <w:rPr/>
        <w:t xml:space="preserve">Dr. Knippenberg College, gimnazija, Helmond </w:t>
      </w:r>
    </w:p>
    <w:p>
      <w:pPr>
        <w:pStyle w:val="P68B1DB1Normal104"/>
        <w:widowControl w:val="false"/>
        <w:spacing w:lineRule="auto" w:line="240" w:before="1" w:after="0"/>
        <w:ind w:left="0" w:right="0" w:hanging="0"/>
        <w:jc w:val="left"/>
        <w:rPr>
          <w:rFonts w:ascii="Calibri" w:hAnsi="Calibri"/>
          <w:color w:val="000000"/>
          <w:sz w:val="21"/>
        </w:rPr>
      </w:pPr>
      <w:r>
        <w:rPr/>
        <w:t xml:space="preserve">Mladinska platforma Ekonomskega in socialnega sveta Coalitie-Y </w:t>
      </w:r>
    </w:p>
    <w:p>
      <w:pPr>
        <w:pStyle w:val="P68B1DB1Normal104"/>
        <w:widowControl w:val="false"/>
        <w:spacing w:lineRule="auto" w:line="240"/>
        <w:ind w:left="0" w:right="0" w:hanging="0"/>
        <w:jc w:val="left"/>
        <w:rPr>
          <w:rFonts w:ascii="Calibri" w:hAnsi="Calibri"/>
          <w:color w:val="000000"/>
          <w:sz w:val="21"/>
        </w:rPr>
      </w:pPr>
      <w:r>
        <w:rPr/>
        <w:t xml:space="preserve">Graafschap College, poklicno srednješolsko izobraževanje,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srednješolsko izobraževanje s poudarkom na tehnoloških predmetih,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Na razpravah se je udeležilo 95 mladih. </w:t>
      </w:r>
      <w:r>
        <w:br w:type="page"/>
      </w:r>
    </w:p>
    <w:p>
      <w:pPr>
        <w:pStyle w:val="P68B1DB1Normal107"/>
        <w:spacing w:lineRule="auto" w:line="240"/>
        <w:ind w:left="0" w:right="0" w:hanging="0"/>
        <w:rPr>
          <w:rFonts w:ascii="Calibri" w:hAnsi="Calibri"/>
          <w:i/>
          <w:i/>
          <w:color w:val="000000"/>
          <w:sz w:val="24"/>
        </w:rPr>
      </w:pPr>
      <w:r>
        <w:rPr/>
        <w:t xml:space="preserve">Uporabljene tehnike vzdrževanja </w:t>
      </w:r>
    </w:p>
    <w:p>
      <w:pPr>
        <w:pStyle w:val="P68B1DB1Normal104"/>
        <w:widowControl w:val="false"/>
        <w:spacing w:lineRule="auto" w:line="240" w:before="10" w:after="0"/>
        <w:ind w:left="0" w:right="0" w:hanging="0"/>
        <w:jc w:val="left"/>
        <w:rPr/>
      </w:pPr>
      <w:r>
        <w:rPr/>
        <w:t xml:space="preserve">Spletni tematski dialogi, dialogi s posebnimi skupinami in dialogi z mladimi so bili izvedeni z uporabo t. i. metode „sokratskega“ razgovora. Ta metoda se že vrsto let uporablja na dan dialoga, kjer ljudje po vsej Nizozemski sodelujejo pri vprašanjih, ki jih zadevajo. V okviru metode Sokratskega vzdrževanja moderator upošteva naslednja načela: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Naj drugi pove svojo zgodbo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w:t>
      </w:r>
      <w:r>
        <w:rPr/>
        <w:t xml:space="preserve"> </w:t>
      </w:r>
      <w:r>
        <w:rPr>
          <w:rFonts w:ascii="Calibri" w:hAnsi="Calibri"/>
        </w:rPr>
        <w:t xml:space="preserve">odgovarjajte takoj z drugo zgodbo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Obravnavajte se s spoštovanjem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Govoriti o lastnem mnenju („Jaz najdem“ namesto „rečejo“)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Prositi za več pojasnil, če so izražena stališča omejena na splošne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Izogibajte se sodbam in jih analizirajte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Omogočite trenutke tišine, če morajo ljudje razmišljati za trenutek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Med dialogi se uporablja naslednji ritem: razlike – konvergenca – razhajanja. Načelo je, da se morate najprej razlikovati (neposredno izraziti individualna čustva in mnenja), preden se lahko zbližate (pogovorite možne poti) in se nato končno spet razhajate (na primer zbiranje posameznih priporočil). Izkušnje in teorija kažejo, da ta ritem zagotavlja optimalen pretok dialoga.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Vse dialoge so vodili strokovni moderatorji.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Spletna javna anketa: Vprašalnik in „Swipen naar de toekomst“ (Swipen naar de toekomst)</w:t>
      </w:r>
    </w:p>
    <w:p>
      <w:pPr>
        <w:pStyle w:val="P68B1DB1Normal104"/>
        <w:widowControl w:val="false"/>
        <w:spacing w:lineRule="auto" w:line="240" w:before="229" w:after="0"/>
        <w:ind w:left="0" w:right="0" w:hanging="0"/>
        <w:jc w:val="both"/>
        <w:rPr/>
      </w:pPr>
      <w:r>
        <w:rPr/>
        <w:t xml:space="preserve">Anketni vprašalnik odbora je bil odprt tudi za vse Nizozemce, vključno s tistimi, ki prebivajo v tujini. Ta vprašalnik je bil na voljo od 1. septembra 2021 do 14. novembra 2021. Poleg tega je lahko v istem obdobju vsak Nizozemec sodeloval v ukrepu „Swipen naar de toekomst“ (Swipen naar de toekomst), spletnemu orodju, v katerem je bilo predstavljenih 20 zahtevkov. </w:t>
      </w:r>
    </w:p>
    <w:p>
      <w:pPr>
        <w:pStyle w:val="P68B1DB1Normal107"/>
        <w:widowControl w:val="false"/>
        <w:spacing w:lineRule="auto" w:line="240" w:before="41" w:after="0"/>
        <w:ind w:left="0" w:right="0" w:hanging="0"/>
        <w:jc w:val="left"/>
        <w:rPr>
          <w:rFonts w:ascii="Calibri" w:hAnsi="Calibri"/>
          <w:i/>
          <w:i/>
          <w:color w:val="000000"/>
          <w:sz w:val="24"/>
        </w:rPr>
      </w:pPr>
      <w:r>
        <w:rPr/>
        <w:t xml:space="preserve">Odgovori in uporaba </w:t>
      </w:r>
    </w:p>
    <w:p>
      <w:pPr>
        <w:pStyle w:val="P68B1DB1Normal104"/>
        <w:widowControl w:val="false"/>
        <w:spacing w:lineRule="auto" w:line="240" w:before="7" w:after="0"/>
        <w:ind w:left="0" w:right="0" w:hanging="0"/>
        <w:jc w:val="left"/>
        <w:rPr/>
      </w:pPr>
      <w:r>
        <w:rPr/>
        <w:t xml:space="preserve">Vprašalnik je izpolnilo 1.967 udeležencev, na koncu orodja za skeniranje zaslona pa 6.968 udeležencev. Vprašalnik in orodje za skeniranje zaslona sta bila odprta za vse: za sodelovanje ni bilo pogojev ali meril za izbor. V vprašalniku je bilo mogoče odgovoriti na vprašanja (ni bilo obveznih vprašanj), da bi se čim bolj povečala stopnja odgovorov. Udeleženci so se odločili, da se „ne želim odzivati“ veliko pogosteje kot v anketi o predstavniški okrogli mizi. </w:t>
      </w:r>
    </w:p>
    <w:p>
      <w:pPr>
        <w:pStyle w:val="P68B1DB1Normal104"/>
        <w:widowControl w:val="false"/>
        <w:spacing w:lineRule="auto" w:line="240"/>
        <w:ind w:left="0" w:right="0" w:hanging="0"/>
        <w:jc w:val="left"/>
        <w:rPr/>
      </w:pPr>
      <w:r>
        <w:rPr/>
        <w:t xml:space="preserve">Splošne značilnosti udeležencev v odprtem vprašalniku in orodju za skeniranje zaslona se v več pogledih razlikujejo od značilnosti udeležencev v predstavniškem panelu. Za razliko od ankete panela rezultati odprtega vprašalnika in orodja za skeniranje zaslona niso reprezentativni. Rezultati odprte spletne ankete so bili uporabljeni za dopolnitev ankete okrogle mize. Podajajo pregled občutkov in idej, ki krožijo na Nizozemskem. Predlogi za izboljšave, navedeni v poljih za vnos, so bili uporabljeni v razdelku „Razprave in zamisli na spletu in na spletni strani“. Orodje za skeniranje zaslona je bilo uporabljeno za boljše razumevanje nekaterih občutkov, ki krožijo na Nizozemskem. Ti rezultati so bili upoštevani pri pripravi priporočil. Zaradi zahteve po reprezentativnosti so bili rezultati preiskave, ki se je začela na spletu, v tem poročilu v omejenem obsegu upoštevani.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To poročilo je objavilo Ministrstvo za zunanje zadeve. </w:t>
      </w:r>
      <w:hyperlink r:id="rId116">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Slika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ika 47" descr=""/>
                    <pic:cNvPicPr>
                      <a:picLocks noChangeAspect="1" noChangeArrowheads="1"/>
                    </pic:cNvPicPr>
                  </pic:nvPicPr>
                  <pic:blipFill>
                    <a:blip r:embed="rId117"/>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Nacionalna vlada Nizozemske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Naša vizija Evrope </w:t>
      </w:r>
    </w:p>
    <w:p>
      <w:pPr>
        <w:pStyle w:val="Titre4"/>
        <w:numPr>
          <w:ilvl w:val="3"/>
          <w:numId w:val="2"/>
        </w:numPr>
        <w:rPr/>
      </w:pPr>
      <w:bookmarkStart w:id="237" w:name="__RefHeading___Toc298386_1346298689"/>
      <w:bookmarkEnd w:id="237"/>
      <w:r>
        <w:rPr/>
        <w:t>Poročilo iz januarja 2022</w:t>
      </w:r>
    </w:p>
    <w:p>
      <w:pPr>
        <w:pStyle w:val="P68B1DB1Normal20"/>
        <w:widowControl w:val="false"/>
        <w:spacing w:lineRule="auto" w:line="240" w:before="105" w:after="0"/>
        <w:ind w:left="0" w:right="0" w:hanging="0"/>
        <w:jc w:val="left"/>
        <w:rPr>
          <w:rFonts w:ascii="Calibri" w:hAnsi="Calibri"/>
          <w:color w:val="000000"/>
          <w:sz w:val="24"/>
        </w:rPr>
      </w:pPr>
      <w:r>
        <w:rPr/>
        <w:t xml:space="preserve">Mnenja, ideje in priporočila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Teme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Podnebne spremembe in okolje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Zdravje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 v svetu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januar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Ta dokument je prevod poročila z naslovom „Elze kijk op Europa; Meningen, ideeën en Aanbevelingen“ (Naša vizija Evrope: mnenja, ideje in priporočila"), ki je bila 14. januarja 2022 objavljena v nizozemščini na spletni strani www.kijkopeuropa.nl. Ta prevod je poenostavljena različica poročila, v kateri je bila izvirna predstavitev (ilustracije in drugi grafični elementi) spremenjena za namene prevajanja.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Naša vizija o... </w:t>
      </w:r>
    </w:p>
    <w:p>
      <w:pPr>
        <w:pStyle w:val="P68B1DB1Normal126"/>
        <w:widowControl w:val="false"/>
        <w:spacing w:lineRule="auto" w:line="240" w:before="101" w:after="0"/>
        <w:ind w:left="0" w:right="0" w:hanging="0"/>
        <w:jc w:val="left"/>
        <w:rPr>
          <w:rFonts w:ascii="Calibri" w:hAnsi="Calibri"/>
          <w:color w:val="0070C0"/>
          <w:sz w:val="24"/>
        </w:rPr>
      </w:pPr>
      <w:r>
        <w:rPr/>
        <w:t xml:space="preserve">Povzetek poročila: vsa priporočila na kratko </w:t>
      </w:r>
    </w:p>
    <w:p>
      <w:pPr>
        <w:pStyle w:val="P68B1DB1Normal104"/>
        <w:widowControl w:val="false"/>
        <w:spacing w:lineRule="auto" w:line="240" w:before="109" w:after="0"/>
        <w:ind w:left="0" w:right="0" w:hanging="0"/>
        <w:jc w:val="both"/>
        <w:rPr/>
      </w:pPr>
      <w:r>
        <w:rPr/>
        <w:t xml:space="preserve">Z dialogom z državljani, organiziranim na temo „Vizija Evrope“, smo zbrali stališča in ideje nizozemskih državljanov o prihodnosti Evrope. To je privedlo do naslednjih priporočil Evropski uniji za zadnje štiri teme (od skupno devetih tem). </w:t>
      </w:r>
    </w:p>
    <w:p>
      <w:pPr>
        <w:pStyle w:val="P68B1DB1Normal126"/>
        <w:widowControl w:val="false"/>
        <w:spacing w:lineRule="auto" w:line="240" w:before="108" w:after="0"/>
        <w:ind w:left="0" w:right="0" w:hanging="0"/>
        <w:jc w:val="left"/>
        <w:rPr>
          <w:rFonts w:ascii="Calibri" w:hAnsi="Calibri"/>
          <w:color w:val="0070C0"/>
          <w:sz w:val="24"/>
        </w:rPr>
      </w:pPr>
      <w:r>
        <w:rPr/>
        <w:t xml:space="preserve">Podnebne spremembe in okolje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Izbrati jasno usmeritev za evropski pristop k podnebnim spremembam</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Zagotoviti, da države in podjetja tesneje sodelujejo pri iskanju ciljno usmerjenih rešitev 3.</w:t>
      </w:r>
      <w:r>
        <w:rPr/>
        <w:t xml:space="preserve"> </w:t>
      </w:r>
      <w:r>
        <w:rPr>
          <w:rFonts w:ascii="Calibri" w:hAnsi="Calibri"/>
        </w:rPr>
        <w:t>Ustvariti sistem CO2, ki je pravičen in izvedljiv v praksi</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Jasnejše in bolj pozitivno obveščanje o podnebnem pristopu</w:t>
      </w:r>
    </w:p>
    <w:p>
      <w:pPr>
        <w:pStyle w:val="P68B1DB1Normal104"/>
        <w:widowControl w:val="false"/>
        <w:spacing w:lineRule="auto" w:line="240" w:before="93" w:after="0"/>
        <w:ind w:left="0" w:right="0" w:hanging="0"/>
        <w:jc w:val="left"/>
        <w:rPr/>
      </w:pPr>
      <w:r>
        <w:rPr/>
        <w:t xml:space="preserve">Nizozemska meni, da mora imeti EU vodilno vlogo v boju proti podnebnim spremembam. Države članice morajo imeti možnost, da se same odločijo, vendar morajo kljub temu sodelovati pri doseganju istih ciljev. Države EU bi morale namesto medsebojnega opozarjanja nameniti več energije izmenjavi znanja in iskanju skupnih rešitev. Sistem obdavčitve emisij CO2 je lahko učinkovit, vendar mora biti pravičen, praktičen in jasen. Nizozemska na splošno meni, da bi morala EU učinkoviteje in bolj pozitivno komunicirati o podnebnih vprašanjih. </w:t>
      </w:r>
    </w:p>
    <w:p>
      <w:pPr>
        <w:pStyle w:val="P68B1DB1Normal126"/>
        <w:widowControl w:val="false"/>
        <w:spacing w:lineRule="auto" w:line="240" w:before="108" w:after="0"/>
        <w:ind w:left="0" w:right="0" w:hanging="0"/>
        <w:jc w:val="left"/>
        <w:rPr>
          <w:rFonts w:ascii="Calibri" w:hAnsi="Calibri"/>
          <w:color w:val="0070C0"/>
          <w:sz w:val="24"/>
        </w:rPr>
      </w:pPr>
      <w:r>
        <w:rPr/>
        <w:t xml:space="preserve">Migracije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Preprečevanje, da bi razprave o begunskem vprašanju postale manj diferencirane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Opredelitev, kaj je poštena in praktična porazdelitev beguncev</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Izkoriščanje znanja in izkušenj, pridobljenih za pomoč regijam, iz katerih prihajajo begunci</w:t>
      </w:r>
    </w:p>
    <w:p>
      <w:pPr>
        <w:pStyle w:val="P68B1DB1Normal104"/>
        <w:widowControl w:val="false"/>
        <w:spacing w:lineRule="auto" w:line="240"/>
        <w:ind w:left="0" w:right="0" w:hanging="0"/>
        <w:jc w:val="left"/>
        <w:rPr/>
      </w:pPr>
      <w:r>
        <w:rPr/>
        <w:t xml:space="preserve">Nizozemci menijo, da je pomembno razlikovati med ljudmi, ki bežijo pred nevarnimi območji, in gospodarskimi begunci. Razprave o migracijah in vključevanju pogosto nimajo odtenkov. Če želimo doseči pravično porazdelitev beguncev v Evropi, se je treba v EU dogovoriti o jasnih merilih, ki upoštevajo države članice in tiste, ki so pobegnili. Nazadnje, Nizozemci predlagajo, naj EU podpre regije, iz katerih begunci prihajajo ne le finančno, ampak tudi z znanjem. </w:t>
      </w:r>
    </w:p>
    <w:p>
      <w:pPr>
        <w:pStyle w:val="P68B1DB1Normal126"/>
        <w:widowControl w:val="false"/>
        <w:spacing w:lineRule="auto" w:line="240" w:before="108" w:after="0"/>
        <w:ind w:left="0" w:right="0" w:hanging="0"/>
        <w:jc w:val="left"/>
        <w:rPr>
          <w:rFonts w:ascii="Calibri" w:hAnsi="Calibri"/>
          <w:color w:val="0070C0"/>
          <w:sz w:val="24"/>
        </w:rPr>
      </w:pPr>
      <w:r>
        <w:rPr/>
        <w:t xml:space="preserve">Zdravje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Boljši nadzor nad obvladovanjem pandemije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Zagotoviti razpoložljivost cenovno dostopnih in zanesljivih zdravil za vse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Države se morajo osredotočiti na izboljšanje svojih zdravstvenih sistemov in njihovo večjo pravičnost.</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t>Nizozemska</w:t>
      </w:r>
      <w:r>
        <w:rPr>
          <w:rFonts w:ascii="Calibri" w:hAnsi="Calibri"/>
          <w:color w:val="000000"/>
          <w:sz w:val="21"/>
        </w:rPr>
        <w:t xml:space="preserve">meni, da morajo države EU tesneje sodelovati v boju proti pandemiji. Način reševanja koronavirusne krize včasih povzroča zmedo. Pravila bi morala biti bolj usklajena med seboj, ne da bi morala biti povsod enaka. Ko gre za cepiva ali zdravila, želijo Nizozemci čim nižje cene, vendar se želijo zanašati na kakovost in odgovorno proizvodnjo. Poleg tega menimo, da je pomembno, da velika podjetja ne zlorabljajo svoje moči, in verjamemo, da mora biti zdravstveno varstvo še naprej na nacionalni ravni. </w:t>
      </w:r>
      <w:r>
        <w:br w:type="page"/>
      </w:r>
    </w:p>
    <w:p>
      <w:pPr>
        <w:pStyle w:val="P68B1DB1Normal126"/>
        <w:widowControl w:val="false"/>
        <w:spacing w:lineRule="auto" w:line="240"/>
        <w:ind w:left="0" w:right="0" w:hanging="0"/>
        <w:jc w:val="left"/>
        <w:rPr>
          <w:rFonts w:ascii="Calibri" w:hAnsi="Calibri"/>
          <w:color w:val="0070C0"/>
          <w:sz w:val="24"/>
        </w:rPr>
      </w:pPr>
      <w:r>
        <w:rPr/>
        <w:t xml:space="preserve">Vloga EU v svetu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Izkoriščanje moči EU v ključnih mednarodnih temah, predvsem</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V Evropi in zunaj nje se raje odločite za sodelovanje, namesto da bi se borili</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Na premišljen način nuditi pomoč v primeru konflikta</w:t>
      </w:r>
    </w:p>
    <w:p>
      <w:pPr>
        <w:pStyle w:val="P68B1DB1Normal104"/>
        <w:widowControl w:val="false"/>
        <w:spacing w:lineRule="auto" w:line="240" w:before="84" w:after="0"/>
        <w:ind w:left="0" w:right="0" w:hanging="0"/>
        <w:jc w:val="left"/>
        <w:rPr/>
      </w:pPr>
      <w:r>
        <w:rPr/>
        <w:t xml:space="preserve">Nizozemci menijo, da bi se moralo evropsko sodelovanje osredotočiti predvsem na glavne skupne interese. Del tega pristopa mora biti tudi sodelovanje EU s tretjimi državami. Poleg podnebnih sprememb in pandemije koronavirusa ti vključujejo na primer mednarodno varnost in zaščito evropskega gospodarstva pred nepoštenimi trgovinskimi praksami. V Evropi in zunaj nje se Nizozemci raje borijo. Kar zadeva pristop k konfliktom, je vedno bolje, da jih rešimo brez nasilja. </w:t>
      </w:r>
    </w:p>
    <w:p>
      <w:pPr>
        <w:pStyle w:val="P68B1DB1Normal125"/>
        <w:widowControl w:val="false"/>
        <w:spacing w:lineRule="auto" w:line="240" w:before="96" w:after="0"/>
        <w:ind w:left="0" w:right="0" w:hanging="0"/>
        <w:jc w:val="left"/>
        <w:rPr>
          <w:rFonts w:ascii="Calibri" w:hAnsi="Calibri"/>
          <w:b/>
          <w:b/>
          <w:color w:val="0070C0"/>
          <w:sz w:val="32"/>
        </w:rPr>
      </w:pPr>
      <w:r>
        <w:rPr/>
        <w:t xml:space="preserve">Uvod </w:t>
      </w:r>
    </w:p>
    <w:p>
      <w:pPr>
        <w:pStyle w:val="P68B1DB1Normal104"/>
        <w:widowControl w:val="false"/>
        <w:spacing w:lineRule="auto" w:line="240" w:before="183" w:after="0"/>
        <w:ind w:left="0" w:right="0" w:hanging="0"/>
        <w:jc w:val="left"/>
        <w:rPr/>
      </w:pPr>
      <w:r>
        <w:rPr/>
        <w:t xml:space="preserve">Dialog z državljani „Vizija Evrope“, ki je potekal od 1. septembra do sredine novembra, je vsem Nizozemcem omogočil, da izrazijo svoja mnenja in zamisli o prihodnosti Evrope. Nizozemska Evropski uniji (EU) predstavi priporočila, na podlagi katerih je potekal dialog, ter izražene zamisli in stališča. V tem poročilu obravnavamo zadnje štiri teme (od skupno devetih tem). Prvih pet tem je bilo obravnavanih že v poročilu, objavljenem 3. decembra 2021. </w:t>
      </w:r>
    </w:p>
    <w:p>
      <w:pPr>
        <w:pStyle w:val="P68B1DB1Normal126"/>
        <w:widowControl w:val="false"/>
        <w:spacing w:lineRule="auto" w:line="240" w:before="79" w:after="0"/>
        <w:ind w:left="0" w:right="0" w:hanging="0"/>
        <w:jc w:val="left"/>
        <w:rPr>
          <w:rFonts w:ascii="Calibri" w:hAnsi="Calibri"/>
          <w:color w:val="0070C0"/>
          <w:sz w:val="24"/>
        </w:rPr>
      </w:pPr>
      <w:r>
        <w:rPr/>
        <w:t xml:space="preserve">O viziji Evrope </w:t>
      </w:r>
    </w:p>
    <w:p>
      <w:pPr>
        <w:pStyle w:val="P68B1DB1Normal104"/>
        <w:widowControl w:val="false"/>
        <w:spacing w:lineRule="auto" w:line="240" w:before="78" w:after="0"/>
        <w:ind w:left="0" w:right="0" w:hanging="0"/>
        <w:jc w:val="left"/>
        <w:rPr/>
      </w:pPr>
      <w:r>
        <w:rPr/>
        <w:t xml:space="preserve">Evropska unija želi, da njeni državljani delijo svoje mnenje o Evropi. Zato EU organizira konferenco o prihodnosti Evrope. Mnenja in ideje državljanov po vsej Evropski uniji bodo nato vključeni v načrte za prihodnost Evrope. Nizozemska je v okviru konference organizirala dialog z državljani „Vizija Evrope“ na nacionalni ravni. </w:t>
      </w:r>
    </w:p>
    <w:p>
      <w:pPr>
        <w:pStyle w:val="P68B1DB1Normal104"/>
        <w:widowControl w:val="false"/>
        <w:spacing w:lineRule="auto" w:line="240"/>
        <w:ind w:left="0" w:right="0" w:hanging="0"/>
        <w:jc w:val="left"/>
        <w:rPr/>
      </w:pPr>
      <w:r>
        <w:rPr/>
        <w:t xml:space="preserve">Dialog o viziji Evrope se je začel 1. septembra s spletnim zbiranjem mnenj in zamisli prek ankete, ki jo je opravila reprezentativna okrogla miza. Da bi poglobili prve rezultate ankete okrogle mize in pripravili konkretna priporočila, smo organizirali tematske dialoge na spletu. Vsakdo, ki je želel sodelovati, lahko sodeluje. Potovali smo tudi po državi, kjer smo se pogovarjali z mladimi in drugimi skupinami (težko dosegljivi).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Od šolarjev, dijakov in dijakov poklicnega izobraževanja do ministra, kmetov in migrantov </w:t>
      </w:r>
    </w:p>
    <w:p>
      <w:pPr>
        <w:pStyle w:val="P68B1DB1Normal104"/>
        <w:widowControl w:val="false"/>
        <w:spacing w:lineRule="auto" w:line="240" w:before="91" w:after="0"/>
        <w:ind w:left="0" w:right="0" w:hanging="0"/>
        <w:jc w:val="both"/>
        <w:rPr/>
      </w:pPr>
      <w:r>
        <w:rPr/>
        <w:t xml:space="preserve">Oktobra in novembra je potekalo skupno osem spletnih tematskih dialogov s povprečno 30 udeleženci na srečanje. Organizirali smo tudi spletni tematski dialog in sedem tematskih dialogov na kraju samem z različnimi skupinami nizozemskih državljanov. Pogovarjali smo se s turško skupnostjo v Schiedamu, prostovoljci fundacije Piëzo pa so jih povabili v Zoetermeer. Ob tej priložnosti je bil na koncu dialoga prisoten tudi zunanji minister Ben Knapen. Ministrica je z udeleženci razpravljala o dialogu in stališčih o prihodnosti Evrope. Na koncu smo organizirali šest srečanj z različnimi skupinami mladih. Na primer, dobrodošli smo bili na srednji šoli v Helmondu, poklicni srednji šoli v Doetinchemu in na Univerzi v Leidnu. </w:t>
      </w:r>
    </w:p>
    <w:p>
      <w:pPr>
        <w:pStyle w:val="P68B1DB1Normal113"/>
        <w:widowControl w:val="false"/>
        <w:spacing w:lineRule="auto" w:line="240" w:before="160" w:after="0"/>
        <w:ind w:left="0" w:right="0" w:hanging="0"/>
        <w:jc w:val="center"/>
        <w:rPr/>
      </w:pPr>
      <w:r>
        <w:rPr/>
        <w:t xml:space="preserve">To je prihodnost naših otrok. Zato mislim, da je pomembno sodelovati. </w:t>
      </w:r>
    </w:p>
    <w:p>
      <w:pPr>
        <w:pStyle w:val="P68B1DB1Normal104"/>
        <w:widowControl w:val="false"/>
        <w:spacing w:lineRule="auto" w:line="240" w:before="127" w:after="0"/>
        <w:ind w:left="0" w:right="0" w:hanging="0"/>
        <w:jc w:val="left"/>
        <w:rPr>
          <w:rFonts w:ascii="Calibri" w:hAnsi="Calibri"/>
          <w:color w:val="000000"/>
          <w:sz w:val="21"/>
        </w:rPr>
      </w:pPr>
      <w:r>
        <w:rPr/>
        <w:t xml:space="preserve">Udeleženec v tematskem dialogu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 tem poročilu </w:t>
      </w:r>
    </w:p>
    <w:p>
      <w:pPr>
        <w:pStyle w:val="P68B1DB1Normal104"/>
        <w:widowControl w:val="false"/>
        <w:spacing w:lineRule="auto" w:line="240" w:before="88" w:after="0"/>
        <w:ind w:left="0" w:right="0" w:hanging="0"/>
        <w:jc w:val="left"/>
        <w:rPr/>
      </w:pPr>
      <w:r>
        <w:rPr/>
        <w:t xml:space="preserve">Na podlagi zamisli in mnenj, ki smo jih zbrali v zadnjih mesecih, smo pripravili vrsto priporočil, ki jih nizozemski državljani predložijo Evropski uniji. Med razpravami med nizozemskimi državljani so potekale zanimive izmenjave mnenj in podane so bile inovativne zamisli in predlogi. Nekatere od teh zamisli in predlogov so bile vključene v to poročilo. Vsebina tega poročila je zato glas Nizozemske: naša vizija Evrope.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Tako kot obstajajo razlike v stališčih med državami in evropskimi državljani, se tudi na Nizozemskem ne strinjamo vedno. Prav te razlike v stališčih so dragocene: to je pomembna značilnost demokracije. Priporočila temeljijo na najpogosteje izraženih zamislih in mnenjih udeležencev raziskave Vizija Evrope. Opisujemo tudi skrbi, ideje in občutke, ki so lahko manj razširjeni, vendar so pritegnili našo pozornost med dialogi in spletno anketo. </w:t>
      </w:r>
    </w:p>
    <w:p>
      <w:pPr>
        <w:pStyle w:val="P68B1DB1Normal113"/>
        <w:widowControl w:val="false"/>
        <w:spacing w:lineRule="auto" w:line="240" w:before="181" w:after="0"/>
        <w:ind w:left="0" w:right="0" w:hanging="0"/>
        <w:jc w:val="center"/>
        <w:rPr/>
      </w:pPr>
      <w:r>
        <w:rPr/>
        <w:t xml:space="preserve">Všeč mi je bilo, da sem lahko podal svoje mnenje o temah, ki se mi zdijo pomembne. In da sem imel občutek, da so ga poslušali. </w:t>
      </w:r>
    </w:p>
    <w:p>
      <w:pPr>
        <w:pStyle w:val="P68B1DB1Normal104"/>
        <w:widowControl w:val="false"/>
        <w:spacing w:lineRule="auto" w:line="240" w:before="300" w:after="0"/>
        <w:ind w:left="0" w:right="0" w:hanging="0"/>
        <w:jc w:val="left"/>
        <w:rPr>
          <w:rFonts w:ascii="Calibri" w:hAnsi="Calibri"/>
          <w:color w:val="000000"/>
          <w:sz w:val="21"/>
        </w:rPr>
      </w:pPr>
      <w:r>
        <w:rPr/>
        <w:t xml:space="preserve">Udeleženec v tematskem dialogu </w:t>
      </w:r>
    </w:p>
    <w:p>
      <w:pPr>
        <w:pStyle w:val="P68B1DB1Normal104"/>
        <w:widowControl w:val="false"/>
        <w:spacing w:lineRule="auto" w:line="240"/>
        <w:ind w:left="0" w:right="0" w:hanging="0"/>
        <w:jc w:val="left"/>
        <w:rPr/>
      </w:pPr>
      <w:r>
        <w:rPr/>
        <w:t xml:space="preserve">Za konferenco o prihodnosti Evrope je bilo opredeljenih devet tem. Te teme so tudi v središču dialoga Vizija Evrope z nizozemskimi državljani. Sodišče je oktobra objavilo vmesno poročilo z začetnim pregledom rezultatov in dopolnilnih vprašanj na podlagi ankete odbora. V začetku decembra je bilo objavljeno novo poročilo z mnenji, zamislimi in priporočili o prvih petih temah. To poročilo obravnava preostale štiri teme.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Prejšnje poročilo – december 2021 </w:t>
      </w:r>
    </w:p>
    <w:p>
      <w:pPr>
        <w:pStyle w:val="P68B1DB1Normal104"/>
        <w:widowControl w:val="false"/>
        <w:spacing w:lineRule="auto" w:line="240"/>
        <w:ind w:left="0" w:right="0" w:hanging="0"/>
        <w:jc w:val="left"/>
        <w:rPr>
          <w:rFonts w:ascii="Calibri" w:hAnsi="Calibri"/>
          <w:color w:val="000000"/>
          <w:sz w:val="21"/>
        </w:rPr>
      </w:pPr>
      <w:r>
        <w:rPr/>
        <w:t xml:space="preserve">Vrednote in pravice, pravna država in varnost </w:t>
      </w:r>
    </w:p>
    <w:p>
      <w:pPr>
        <w:pStyle w:val="P68B1DB1Normal104"/>
        <w:widowControl w:val="false"/>
        <w:spacing w:lineRule="auto" w:line="240"/>
        <w:ind w:left="0" w:right="0" w:hanging="0"/>
        <w:jc w:val="left"/>
        <w:rPr/>
      </w:pPr>
      <w:r>
        <w:rPr/>
        <w:t xml:space="preserve">Močnejše gospodarstvo, socialna pravičnost in zaposlovanje Evropska demokracija </w:t>
      </w:r>
    </w:p>
    <w:p>
      <w:pPr>
        <w:pStyle w:val="P68B1DB1Normal104"/>
        <w:widowControl w:val="false"/>
        <w:spacing w:lineRule="auto" w:line="240"/>
        <w:ind w:left="0" w:right="0" w:hanging="0"/>
        <w:jc w:val="left"/>
        <w:rPr>
          <w:rFonts w:ascii="Calibri" w:hAnsi="Calibri"/>
          <w:color w:val="000000"/>
          <w:sz w:val="21"/>
        </w:rPr>
      </w:pPr>
      <w:r>
        <w:rPr/>
        <w:t xml:space="preserve">Digitalna transformacija </w:t>
      </w:r>
    </w:p>
    <w:p>
      <w:pPr>
        <w:pStyle w:val="P68B1DB1Normal104"/>
        <w:widowControl w:val="false"/>
        <w:spacing w:lineRule="auto" w:line="240"/>
        <w:ind w:left="0" w:right="0" w:hanging="0"/>
        <w:jc w:val="left"/>
        <w:rPr>
          <w:rFonts w:ascii="Calibri" w:hAnsi="Calibri"/>
          <w:color w:val="000000"/>
          <w:sz w:val="21"/>
        </w:rPr>
      </w:pPr>
      <w:r>
        <w:rPr/>
        <w:t xml:space="preserve">Izobraževanje, kultura, mladi in šport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To poročilo – januar 2022</w:t>
      </w:r>
    </w:p>
    <w:p>
      <w:pPr>
        <w:pStyle w:val="P68B1DB1Normal104"/>
        <w:widowControl w:val="false"/>
        <w:spacing w:lineRule="auto" w:line="240"/>
        <w:ind w:left="0" w:right="0" w:hanging="0"/>
        <w:jc w:val="left"/>
        <w:rPr/>
      </w:pPr>
      <w:r>
        <w:rPr/>
        <w:t xml:space="preserve">Podnebne spremembe in okolje </w:t>
      </w:r>
    </w:p>
    <w:p>
      <w:pPr>
        <w:pStyle w:val="P68B1DB1Normal104"/>
        <w:widowControl w:val="false"/>
        <w:spacing w:lineRule="auto" w:line="240"/>
        <w:ind w:left="0" w:right="0" w:hanging="0"/>
        <w:jc w:val="left"/>
        <w:rPr>
          <w:rFonts w:ascii="Calibri" w:hAnsi="Calibri"/>
          <w:color w:val="000000"/>
          <w:sz w:val="21"/>
        </w:rPr>
      </w:pPr>
      <w:r>
        <w:rPr/>
        <w:t xml:space="preserve">Migracije </w:t>
      </w:r>
    </w:p>
    <w:p>
      <w:pPr>
        <w:pStyle w:val="P68B1DB1Normal104"/>
        <w:widowControl w:val="false"/>
        <w:spacing w:lineRule="auto" w:line="240"/>
        <w:ind w:left="0" w:right="0" w:hanging="0"/>
        <w:jc w:val="left"/>
        <w:rPr>
          <w:rFonts w:ascii="Calibri" w:hAnsi="Calibri"/>
          <w:color w:val="000000"/>
          <w:sz w:val="21"/>
        </w:rPr>
      </w:pPr>
      <w:r>
        <w:rPr/>
        <w:t xml:space="preserve">Zdravje </w:t>
      </w:r>
    </w:p>
    <w:p>
      <w:pPr>
        <w:pStyle w:val="P68B1DB1Normal104"/>
        <w:widowControl w:val="false"/>
        <w:spacing w:lineRule="auto" w:line="240"/>
        <w:ind w:left="0" w:right="0" w:hanging="0"/>
        <w:jc w:val="left"/>
        <w:rPr>
          <w:rFonts w:ascii="Calibri" w:hAnsi="Calibri"/>
          <w:color w:val="000000"/>
          <w:sz w:val="21"/>
        </w:rPr>
      </w:pPr>
      <w:r>
        <w:rPr/>
        <w:t xml:space="preserve">EU v svetu </w:t>
      </w:r>
    </w:p>
    <w:p>
      <w:pPr>
        <w:pStyle w:val="P68B1DB1Normal126"/>
        <w:widowControl w:val="false"/>
        <w:spacing w:lineRule="auto" w:line="240" w:before="105" w:after="0"/>
        <w:ind w:left="0" w:right="0" w:hanging="0"/>
        <w:jc w:val="left"/>
        <w:rPr>
          <w:rFonts w:ascii="Calibri" w:hAnsi="Calibri"/>
          <w:color w:val="0070C0"/>
          <w:sz w:val="24"/>
        </w:rPr>
      </w:pPr>
      <w:r>
        <w:rPr/>
        <w:t xml:space="preserve">Naslednji koraki </w:t>
      </w:r>
    </w:p>
    <w:p>
      <w:pPr>
        <w:pStyle w:val="Normal"/>
        <w:widowControl w:val="false"/>
        <w:spacing w:lineRule="auto" w:line="240" w:before="107" w:after="0"/>
        <w:ind w:left="0" w:right="0" w:hanging="0"/>
        <w:jc w:val="left"/>
        <w:rPr/>
      </w:pPr>
      <w:r>
        <w:rPr>
          <w:rFonts w:ascii="Calibri" w:hAnsi="Calibri"/>
          <w:color w:val="000000"/>
          <w:sz w:val="21"/>
        </w:rPr>
        <w:t xml:space="preserve">Konferenca o prihodnosti Evrope združuje zamisli, mnenja in priporočila vseh državljanov EU. Srečanja ne bodo namenjena le rezultatom vseh dialogov z državljani na nacionalni ravni, temveč tudi rezultatom drugih pobud, sproženih v okviru konference. Na primer, obstajajo tudi paneli evropskih državljanov, vsi državljani EU (vključno z nizozemskimi državljani) pa lahko dostopajo do evropske digitalne platforme.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Upam, da bodo voditelji EU upoštevali moje stališče. In to jim bo pomagalo pri sprejemanju pravih odločitev. </w:t>
      </w:r>
    </w:p>
    <w:p>
      <w:pPr>
        <w:pStyle w:val="P68B1DB1Normal104"/>
        <w:widowControl w:val="false"/>
        <w:spacing w:lineRule="auto" w:line="240" w:before="300" w:after="0"/>
        <w:ind w:left="0" w:right="0" w:hanging="0"/>
        <w:jc w:val="left"/>
        <w:rPr>
          <w:rFonts w:ascii="Calibri" w:hAnsi="Calibri"/>
          <w:color w:val="000000"/>
          <w:sz w:val="21"/>
        </w:rPr>
      </w:pPr>
      <w:r>
        <w:rPr/>
        <w:t xml:space="preserve">Udeleženec v tematskem dialogu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Konferenca se bo končala spomladi 2022. Nizozemska bo nato pripravila končno poročilo o dialogu z državljani: povzetek tega poročila in prejšnjega poročila, vključno s priporočili za vseh devet tem. Po konferenci bodo podana priporočila predsedniku konference: predsedniki Evropskega parlamenta, Sveta ministrov in Evropske komisije. Zavezali so se, da bodo preučili načine in sredstva za izvajanje priporočil. Za nizozemsko vlado so rezultati tudi dragocen prispevek k razvoju nizozemskih evropskih politik.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Če povzamemo, postopek do pomladi 2022 bo organiziran na naslednji način: </w:t>
      </w:r>
      <w:r>
        <w:br w:type="page"/>
      </w:r>
    </w:p>
    <w:p>
      <w:pPr>
        <w:pStyle w:val="P68B1DB1Normal127"/>
        <w:widowControl w:val="false"/>
        <w:spacing w:lineRule="auto" w:line="240" w:before="0" w:after="0"/>
        <w:ind w:left="0" w:right="0" w:hanging="0"/>
        <w:jc w:val="left"/>
        <w:rPr/>
      </w:pPr>
      <w:r>
        <w:rPr>
          <w:color w:val="0070C0"/>
          <w:sz w:val="24"/>
        </w:rPr>
        <w:t>Kronologija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Vizija Evrope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oktober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oktober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december</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januar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 in 22. januar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Februar</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 in 19. februar</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 in 12. marec</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 in 24. april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Zbiranje idej na spletu</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Tematski dialogi</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Vmesni rezultati (vmesno poročilo)</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Vmesno poročilo o „gospodarstvu“ in „demokraciji“</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Vmesno poročilo „Podnebje“ in „EU v svetu“</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Končno poročilo „Naša vizija za Evropo“</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OGLAŠUJETE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OGLAŠUJETE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OGLAŠUJETE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OGLAŠUJETE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OGLAŠUJETE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Srečanje konference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Srečanje konference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Srečanje </w:t>
              <w:br/>
              <w:t>konferenca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(morda) srečanje konference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Zaključni dogodek konference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KAJ JE?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Priporočila za predsednike </w:t>
            </w:r>
          </w:p>
          <w:p>
            <w:pPr>
              <w:pStyle w:val="P68B1DB1Contenudetableau128"/>
              <w:spacing w:before="57" w:after="57"/>
              <w:jc w:val="left"/>
              <w:rPr>
                <w:color w:val="000000"/>
                <w:sz w:val="14"/>
              </w:rPr>
            </w:pPr>
            <w:r>
              <w:rPr/>
              <w:t xml:space="preserve">• </w:t>
            </w:r>
            <w:r>
              <w:rPr/>
              <w:t xml:space="preserve">Evropski parlament </w:t>
              <w:br/>
              <w:t xml:space="preserve">• Evropska komisija </w:t>
              <w:br/>
              <w:t>• Svet ministrov</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(V ANGLEŠČINI)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(V ANGLEŠČINI)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(V ANGLEŠČINI)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Več mnenj in idej o prihodnosti Evrope:</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 z državljani</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Forumi evropskih državljanov</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Evropska digitalna platforma (tudi za nizozemske državljane)</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Pojasnila za lažje branje </w:t>
      </w:r>
    </w:p>
    <w:p>
      <w:pPr>
        <w:pStyle w:val="P68B1DB1Normal104"/>
        <w:widowControl w:val="false"/>
        <w:spacing w:lineRule="exact" w:line="281" w:before="116" w:after="0"/>
        <w:ind w:left="0" w:right="772" w:hanging="0"/>
        <w:jc w:val="left"/>
        <w:rPr/>
      </w:pPr>
      <w:r>
        <w:rPr/>
        <w:t xml:space="preserve">V tem poročilu smo razpravljali o štirih temah. Za vsako temo smo zaporedoma vključili: </w:t>
      </w:r>
    </w:p>
    <w:p>
      <w:pPr>
        <w:pStyle w:val="P68B1DB1Normal104"/>
        <w:widowControl w:val="false"/>
        <w:spacing w:lineRule="exact" w:line="339" w:before="1" w:after="0"/>
        <w:ind w:left="0" w:right="0" w:hanging="0"/>
        <w:jc w:val="left"/>
        <w:rPr>
          <w:rFonts w:ascii="Calibri" w:hAnsi="Calibri"/>
          <w:color w:val="000000"/>
          <w:sz w:val="21"/>
        </w:rPr>
      </w:pPr>
      <w:r>
        <w:rPr/>
        <w:t xml:space="preserve">priporočila, ki temeljijo na vseh vidikih dialoga z državljani; </w:t>
      </w:r>
    </w:p>
    <w:p>
      <w:pPr>
        <w:pStyle w:val="P68B1DB1Normal104"/>
        <w:widowControl w:val="false"/>
        <w:spacing w:lineRule="exact" w:line="283"/>
        <w:ind w:left="0" w:right="137" w:hanging="0"/>
        <w:jc w:val="left"/>
        <w:rPr/>
      </w:pPr>
      <w:r>
        <w:rPr/>
        <w:t xml:space="preserve">razprave in zamisli na spletu in na kraju samem: pregled mnenj, zamisli in mnenj, izmenjanih (spletno in s fizično prisotnostjo) v okviru tematskih dialogov.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Opis metodologije, uporabljene v raziskavi, je na voljo na koncu tega poročila.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Podnebne spremembe in okolje </w:t>
      </w:r>
    </w:p>
    <w:p>
      <w:pPr>
        <w:pStyle w:val="P68B1DB1Normal126"/>
        <w:widowControl w:val="false"/>
        <w:spacing w:lineRule="auto" w:line="240" w:before="48" w:after="0"/>
        <w:ind w:left="0" w:right="0" w:hanging="0"/>
        <w:jc w:val="left"/>
        <w:rPr>
          <w:rFonts w:ascii="Calibri" w:hAnsi="Calibri"/>
          <w:color w:val="0070C0"/>
          <w:sz w:val="24"/>
        </w:rPr>
      </w:pPr>
      <w:r>
        <w:rPr/>
        <w:t xml:space="preserve">Priporočila – Naša vizija za podnebne spremembe in okolje </w:t>
      </w:r>
    </w:p>
    <w:p>
      <w:pPr>
        <w:pStyle w:val="P68B1DB1Normal120"/>
        <w:widowControl w:val="false"/>
        <w:spacing w:lineRule="auto" w:line="240" w:before="61" w:after="0"/>
        <w:ind w:left="0" w:right="0" w:hanging="0"/>
        <w:jc w:val="left"/>
        <w:rPr/>
      </w:pPr>
      <w:r>
        <w:rPr/>
        <w:t xml:space="preserve">71 % Nizozemcev meni, da so podnebne spremembe in okolje pomembno vprašanje in da mora EU posredovati na tem področju. </w:t>
      </w:r>
    </w:p>
    <w:p>
      <w:pPr>
        <w:pStyle w:val="P68B1DB1Normal110"/>
        <w:widowControl w:val="false"/>
        <w:spacing w:lineRule="auto" w:line="240" w:before="57" w:after="0"/>
        <w:ind w:left="0" w:right="0" w:hanging="0"/>
        <w:jc w:val="left"/>
        <w:rPr/>
      </w:pPr>
      <w:r>
        <w:rPr>
          <w:b/>
        </w:rPr>
        <w:t xml:space="preserve">1. Izbira jasne usmeritve za evropski pristop k podnebnim spremembam </w:t>
      </w:r>
      <w:r>
        <w:rPr>
          <w:sz w:val="21"/>
        </w:rPr>
        <w:t xml:space="preserve">68 % Nizozemcev meni, da mora imeti EU vodilno vlogo v boju proti podnebnim spremembam. Globalno segrevanje je problem in nobena država ga ne more rešiti sama. Tudi če se Nizozemci ne strinjajo glede podnebnih sprememb, menimo, da mora EU vseeno imeti jasnejšo vizijo prihodnosti. Kljub zelenemu dogovoru trenutno vidimo, da države članice pogosto niso usklajene. Medtem ko morajo države imeti možnost, da še naprej sprejemajo svoje odločitve, morajo kljub temu sodelovati pri doseganju istih ciljev. Prav tako menimo, da imamo kot državljani tudi svoj delež odgovornosti, na primer v smislu prilagajanja naših potrošniških navad. </w:t>
      </w:r>
    </w:p>
    <w:p>
      <w:pPr>
        <w:pStyle w:val="P68B1DB1Normal113"/>
        <w:widowControl w:val="false"/>
        <w:spacing w:lineRule="auto" w:line="240" w:before="135" w:after="0"/>
        <w:ind w:left="0" w:right="0" w:hanging="0"/>
        <w:jc w:val="center"/>
        <w:rPr/>
      </w:pPr>
      <w:r>
        <w:rPr/>
        <w:t xml:space="preserve">Nizozemska želi opustiti zemeljski plin, medtem ko je v Nemčiji prav spodbujena k njegovi uporabi. Včasih ni treba ničesar razumeti. </w:t>
      </w:r>
    </w:p>
    <w:p>
      <w:pPr>
        <w:pStyle w:val="P68B1DB1Normal111"/>
        <w:widowControl w:val="false"/>
        <w:spacing w:lineRule="auto" w:line="240" w:before="109" w:after="0"/>
        <w:ind w:left="0" w:right="0" w:hanging="0"/>
        <w:jc w:val="left"/>
        <w:rPr/>
      </w:pPr>
      <w:r>
        <w:rPr/>
        <w:t xml:space="preserve">2. Zagotoviti, da države in podjetja tesneje sodelujejo pri iskanju ciljno usmerjenih rešitev </w:t>
      </w:r>
    </w:p>
    <w:p>
      <w:pPr>
        <w:pStyle w:val="P68B1DB1Normal104"/>
        <w:widowControl w:val="false"/>
        <w:spacing w:lineRule="auto" w:line="240"/>
        <w:ind w:left="0" w:right="0" w:hanging="0"/>
        <w:jc w:val="left"/>
        <w:rPr/>
      </w:pPr>
      <w:r>
        <w:rPr/>
        <w:t xml:space="preserve">Ko gre za podnebne spremembe in okolje, Nizozemci ugotavljajo, da države pogosto kažejo na prste. Poudarek je pogosto na razlikah, na primer med revnimi in bogatimi državami v EU. Ali med visoko industrializiranimi ali slabo industrializiranimi državami. Raje poskušamo doseči dogovore. Podobna podjetja v različnih državah lahko na primer izmenjujejo znanje in skupaj razmišljajo o rešitvah. Če bi to storili, bi lahko bile revnejše države bolj vključene v pristop k podnebnim spremembam. Lahko bi sodelovali pri razmisleku in bi lahko izkoristili tudi skupne rešitve. </w:t>
      </w:r>
    </w:p>
    <w:p>
      <w:pPr>
        <w:pStyle w:val="P68B1DB1Normal113"/>
        <w:widowControl w:val="false"/>
        <w:spacing w:lineRule="auto" w:line="240" w:before="143" w:after="0"/>
        <w:ind w:left="0" w:right="0" w:hanging="0"/>
        <w:jc w:val="center"/>
        <w:rPr/>
      </w:pPr>
      <w:r>
        <w:rPr/>
        <w:t xml:space="preserve">Pristop k podnebnim spremembam ne bi smel biti dirka, temveč sodelovanje.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Ustvariti sistem CO2, ki je pravičen in izvedljiv v praksi </w:t>
      </w:r>
    </w:p>
    <w:p>
      <w:pPr>
        <w:pStyle w:val="P68B1DB1Normal104"/>
        <w:widowControl w:val="false"/>
        <w:spacing w:lineRule="auto" w:line="240"/>
        <w:ind w:left="0" w:right="0" w:hanging="0"/>
        <w:jc w:val="left"/>
        <w:rPr/>
      </w:pPr>
      <w:r>
        <w:rPr/>
        <w:t xml:space="preserve">Pristop EU k podnebnim spremembam namenja veliko pozornosti zmanjšanju emisij CO2. Nizozemci menijo, da je v ta namen potreben boljši sistem, ki bi omogočil pravično obdavčitev proizvajalcev in potrošnikov. Nizozemci so razdeljeni glede tega, ali imajo države z največ prebivalci pravico, da izpustijo več CO2. Nekatere države imajo na primer industrijo, ki zelo onesnažuje okolje. Po drugi strani pa imajo druge države veliko priložnosti za proizvodnjo zelene energije. Te razlike je treba upoštevati. Ne da bi to postalo preveč zapleteno, ker mora biti sistem razumljiv vsem. </w:t>
      </w:r>
    </w:p>
    <w:p>
      <w:pPr>
        <w:pStyle w:val="P68B1DB1Normal129"/>
        <w:widowControl w:val="false"/>
        <w:spacing w:lineRule="auto" w:line="240" w:before="135" w:after="0"/>
        <w:ind w:left="0" w:right="0" w:hanging="0"/>
        <w:jc w:val="center"/>
        <w:rPr/>
      </w:pPr>
      <w:r>
        <w:rPr>
          <w:sz w:val="26"/>
        </w:rPr>
        <w:t>Industrijsko razvite države veliko izvažajo. Ali morajo zato plačati davek na CO2</w:t>
      </w:r>
      <w:r>
        <w:rPr>
          <w:position w:val="0"/>
          <w:sz w:val="17"/>
        </w:rPr>
        <w:t>samo</w:t>
      </w:r>
      <w:r>
        <w:rPr>
          <w:sz w:val="26"/>
        </w:rPr>
        <w:t xml:space="preserve">? Po mojem mnenju bi moral plačati tudi potrošnik.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Komunicirajte na jasnejši in bolj pozitiven način o podnebnem pristopu </w:t>
      </w:r>
      <w:r>
        <w:rPr>
          <w:sz w:val="21"/>
        </w:rPr>
        <w:t xml:space="preserve">Nizozemci veliko slišijo o podnebnih spremembah in o tem veliko berejo. Vendar pa to ostaja abstraktna in kompleksna tema za mnoge ljudi. Pogosto se dojema kot nekaj, kar stane veliko denarja, medtem ko pristop k podnebnim spremembam ustvarja priložnosti. Razmišljamo na primer o spodbujanju lokalne proizvodnje hrane ter razvoju novih in trajnostnih tehnologij. EU bi lahko ta vidik pogosteje in učinkoviteje izpostavila. Menimo tudi, da bi voditelji vlad držav članic lahko bili boljši zgled. Manj potovanj – na primer med Brusljem in Strasbourgom – in pogostejših srečanj prek spleta bi lahko na primer prispevalo k podpiranju trajnosti. </w:t>
      </w:r>
    </w:p>
    <w:p>
      <w:pPr>
        <w:pStyle w:val="P68B1DB1Normal113"/>
        <w:widowControl w:val="false"/>
        <w:spacing w:lineRule="auto" w:line="240" w:before="61" w:after="0"/>
        <w:ind w:left="0" w:right="0" w:hanging="0"/>
        <w:jc w:val="center"/>
        <w:rPr/>
      </w:pPr>
      <w:r>
        <w:rPr/>
        <w:t xml:space="preserve">Trajnost je še vedno prepogosto razumljena kot strošek. To je treba razumeti kot priložnost in ne kot grožnjo. </w:t>
      </w:r>
    </w:p>
    <w:p>
      <w:pPr>
        <w:pStyle w:val="P68B1DB1Normal126"/>
        <w:widowControl w:val="false"/>
        <w:spacing w:lineRule="auto" w:line="240" w:before="129" w:after="0"/>
        <w:ind w:left="0" w:right="0" w:hanging="0"/>
        <w:jc w:val="left"/>
        <w:rPr>
          <w:rFonts w:ascii="Calibri" w:hAnsi="Calibri"/>
          <w:color w:val="0070C0"/>
          <w:sz w:val="24"/>
        </w:rPr>
      </w:pPr>
      <w:r>
        <w:rPr/>
        <w:t xml:space="preserve">Spletne razprave in ideje ter razprave na kraju samem </w:t>
      </w:r>
    </w:p>
    <w:p>
      <w:pPr>
        <w:pStyle w:val="P68B1DB1Normal129"/>
        <w:widowControl w:val="false"/>
        <w:spacing w:lineRule="auto" w:line="240" w:before="78" w:after="0"/>
        <w:ind w:left="0" w:right="0" w:hanging="0"/>
        <w:jc w:val="left"/>
        <w:rPr/>
      </w:pPr>
      <w:r>
        <w:rPr>
          <w:sz w:val="21"/>
        </w:rPr>
        <w:t>Emisij CO2 ne smemo obravnavati kot pravico</w:t>
      </w:r>
      <w:r>
        <w:rPr>
          <w:position w:val="0"/>
          <w:sz w:val="14"/>
        </w:rPr>
        <w:t>,</w:t>
      </w:r>
      <w:r>
        <w:rPr>
          <w:sz w:val="21"/>
        </w:rPr>
        <w:t xml:space="preserve"> ampak kot nerodno posledico.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Imam vtis, da v Evropi porabimo več časa za pogovor o podnebnih spremembah, kot pa za resnične ukrepe za njihovo reševanje.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Strožja podnebna pravila bi lahko bila koristna tudi za nas. Kot celina, ki se ukvarja s trgovino, moramo poskusiti videti priložnosti tam.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Komaj čakamo na druge kontinente. Nimamo časa čakati.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Finančno nagraditi države, če dokažejo, da se njihova narava in biotska raznovrstnost povečujeta.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„Spodbujanje naravi prijaznega turizma v revnih regijah EU.“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Srednja šola: Potovanja na daljavo morajo ostati dostopna vsem.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Teza, da bi morali leti znotraj EU postati dražji, je bila predložena študentom na Graafschap College v Doetinchemu. Nekateri študenti so se strinjali, da bi dražje vstopnice spodbudile ljudi, da iščejo cenejše alternative. Poleg tega je bilo poudarjeno, da bi morala EU nato zagotoviti okolju prijaznejše možnosti, kot so boljše železniške povezave. Drugi udeleženci so navedli, da ne podpirajo višjih cen letalskih vozovnic. „Bogati ljudje so tisti, ki danes najbolj potujejo in bodo lahko plačali za to,“ je dejal eden od udeležencev. Visoke cene jih ne bodo ustavile pri potovanju. Medtem ko bodo oddaljene počitnice postale nemogoče za „običajne“ državljane. </w:t>
      </w:r>
    </w:p>
    <w:p>
      <w:pPr>
        <w:pStyle w:val="P68B1DB1Normal118"/>
        <w:widowControl w:val="false"/>
        <w:spacing w:lineRule="auto" w:line="240"/>
        <w:ind w:left="0" w:right="0" w:hanging="0"/>
        <w:jc w:val="left"/>
        <w:rPr/>
      </w:pPr>
      <w:r>
        <w:rPr/>
        <w:t xml:space="preserve">Naravnim prijaznim kmetom: „EU bi lahko prispevala k širjenju znanja o trajnostnih rešitvah.“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je združenje skupin kmetov. Med tematskim dialogom je bil pogovor osredotočen na podnebne spremembe in okolje. </w:t>
      </w:r>
    </w:p>
    <w:p>
      <w:pPr>
        <w:pStyle w:val="Normal"/>
        <w:widowControl w:val="false"/>
        <w:spacing w:lineRule="auto" w:line="240"/>
        <w:ind w:left="0" w:right="0" w:hanging="0"/>
        <w:jc w:val="left"/>
        <w:rPr/>
      </w:pPr>
      <w:r>
        <w:rPr>
          <w:rFonts w:ascii="Calibri" w:hAnsi="Calibri"/>
          <w:color w:val="000000"/>
          <w:sz w:val="21"/>
        </w:rPr>
        <w:t>Kar se bo po mnenju udeležencev verjetno izboljšalo, je uporaba zakonodaje in predpisov EU v različnih državah. Kot primer je bila navedena dokumentacija o dušiku. „Zakonodaja EU navaja le, da se naravno območje ne more poslabšati.“ Toda v južni Evropi se ta pojem razlaga drugače kot na Nizozemskem.“ Večina prisotnih se strinja, da mora imeti Evropa vodilno vlogo v boju proti podnebnim spremembam. In ne smemo biti zadovoljni z govorom, moramo doseči rezultate. Predvsem z izmenjavo znanja, kmetje verjamejo. V kmetijskem sektorju delamo na rešitvah za</w:t>
      </w:r>
      <w:r>
        <w:rPr>
          <w:rFonts w:ascii="Calibri" w:hAnsi="Calibri"/>
          <w:color w:val="000000"/>
          <w:sz w:val="21"/>
        </w:rPr>
        <w:commentReference w:id="27"/>
      </w:r>
      <w:r>
        <w:rPr>
          <w:rFonts w:ascii="Calibri" w:hAnsi="Calibri"/>
          <w:color w:val="000000"/>
          <w:sz w:val="21"/>
        </w:rPr>
        <w:t xml:space="preserve"> čistejše kmetijstvo. EU mora pomagati pri hitrem širjenju znanja na tem področju.“ </w:t>
      </w:r>
      <w:r>
        <w:br w:type="page"/>
      </w:r>
    </w:p>
    <w:p>
      <w:pPr>
        <w:pStyle w:val="P68B1DB1Normal127"/>
        <w:widowControl w:val="false"/>
        <w:spacing w:lineRule="auto" w:line="240"/>
        <w:ind w:left="0" w:right="0" w:hanging="0"/>
        <w:jc w:val="left"/>
        <w:rPr/>
      </w:pPr>
      <w:r>
        <w:rPr>
          <w:b/>
          <w:color w:val="0070C0"/>
          <w:sz w:val="32"/>
        </w:rPr>
        <w:t>Migracije</w:t>
      </w:r>
      <w:r>
        <w:rPr>
          <w:color w:val="365F91"/>
          <w:sz w:val="28"/>
        </w:rPr>
        <w:t xml:space="preserve"> </w:t>
      </w:r>
      <w:r>
        <w:rPr>
          <w:color w:val="0070C0"/>
          <w:sz w:val="21"/>
        </w:rPr>
        <w:t xml:space="preserve">(migracije in begunci)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Meje med državami članicami EU so odprte. Zato se znotraj EU izvaja sodelovanje, na primer na področju upravljanja zunanjih meja in boja proti tihotapljenju migrantov. Prav tako poteka razprava o pravični porazdelitvi beguncev med različnimi državami članicami EU. Kakšno je stališče Nizozemske glede tega? </w:t>
      </w:r>
    </w:p>
    <w:p>
      <w:pPr>
        <w:pStyle w:val="P68B1DB1Normal126"/>
        <w:widowControl w:val="false"/>
        <w:spacing w:lineRule="auto" w:line="240" w:before="93" w:after="0"/>
        <w:ind w:left="0" w:right="0" w:hanging="0"/>
        <w:jc w:val="left"/>
        <w:rPr>
          <w:rFonts w:ascii="Calibri" w:hAnsi="Calibri"/>
          <w:color w:val="0070C0"/>
          <w:sz w:val="24"/>
        </w:rPr>
      </w:pPr>
      <w:r>
        <w:rPr/>
        <w:t xml:space="preserve">Priporočila – Naša vizija o migracijah in beguncih </w:t>
      </w:r>
    </w:p>
    <w:p>
      <w:pPr>
        <w:pStyle w:val="P68B1DB1Normal120"/>
        <w:widowControl w:val="false"/>
        <w:spacing w:lineRule="auto" w:line="240" w:before="90" w:after="0"/>
        <w:ind w:left="0" w:right="0" w:hanging="0"/>
        <w:jc w:val="left"/>
        <w:rPr/>
      </w:pPr>
      <w:r>
        <w:rPr/>
        <w:t xml:space="preserve">65 % Nizozemcev meni, da so migracije in begunci pomembno vprašanje in da mora EU posredovati na tem področju.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Izogibajte se temu, da bi bile razprave o vprašanju beguncev premajhne </w:t>
      </w:r>
    </w:p>
    <w:p>
      <w:pPr>
        <w:pStyle w:val="P68B1DB1Normal104"/>
        <w:widowControl w:val="false"/>
        <w:spacing w:lineRule="auto" w:line="240"/>
        <w:ind w:left="0" w:right="0" w:hanging="0"/>
        <w:jc w:val="left"/>
        <w:rPr/>
      </w:pPr>
      <w:r>
        <w:rPr/>
        <w:t xml:space="preserve">70 % Nizozemcev meni, da je treba evropske zunanje meje bolje zaščititi. 72 odstotkov jih meni, da to pomeni vrnitev več beguncev v negotove države. Nizozemci menijo, da je treba več pozornosti nameniti razlogom, zaradi katerih ljudje bežijo iz nevarne države. Ti razlogi so včasih povezani s podnebnimi spremembami, včasih z vojnami. Te okoliščine so pogosto omenjene le v omejenem obsegu v razpravi o begunskem vprašanju. Prav tako se redko obravnava dodana vrednost, ki jo ti begunci prinašajo državi. Nazadnje menimo, da mora EU jasneje razlikovati med ljudmi iz negotovih regij, ki se nahajajo na mejah, in gospodarskimi begunci. Če povzamemo, ugotavljamo, da razprave o migracijah in beguncih na splošno nimajo konteksta in nians. Evropski politiki bi lahko to situacijo popravili z zgledom. </w:t>
      </w:r>
    </w:p>
    <w:p>
      <w:pPr>
        <w:pStyle w:val="P68B1DB1Normal113"/>
        <w:widowControl w:val="false"/>
        <w:spacing w:lineRule="auto" w:line="240" w:before="173" w:after="0"/>
        <w:ind w:left="0" w:right="0" w:hanging="0"/>
        <w:jc w:val="center"/>
        <w:rPr/>
      </w:pPr>
      <w:r>
        <w:rPr/>
        <w:t xml:space="preserve">Begunce moramo še naprej obravnavati predvsem kot naše sodržavljane. Kajti skoraj nihče ne bo zapustil osebe v stiski.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Opredelitev pravične in praktične porazdelitve beguncev </w:t>
      </w:r>
    </w:p>
    <w:p>
      <w:pPr>
        <w:pStyle w:val="P68B1DB1Normal104"/>
        <w:widowControl w:val="false"/>
        <w:spacing w:lineRule="auto" w:line="240"/>
        <w:ind w:left="0" w:right="0" w:hanging="0"/>
        <w:jc w:val="both"/>
        <w:rPr/>
      </w:pPr>
      <w:r>
        <w:rPr/>
        <w:t xml:space="preserve">Evropska služba za priseljevanje bi morala zagotoviti pravično porazdelitev beguncev med državami članicami EU. Nizozemci tudi menijo, da bi bilo treba določiti jasna merila za opredelitev, kaj je pravična porazdelitev. Dober socialni sistem lahko na primer naredi državo privlačno za begunce, vendar so pomembni tudi drugi dejavniki tako za begunce kot za zadevno državo. Na Nizozemskem se soočamo s pomanjkanjem stanovanj, medtem ko nekatere države ali sektorji preprosto potrebujejo več delavcev migrantov. Menimo, da je pomembno, da EU to upošteva pri razdeljevanju beguncev. Jasni mehanizmi ne zagotavljajo le preglednosti, temveč tudi manj sporov, kar je navsezadnje v interesu vseh. </w:t>
      </w:r>
    </w:p>
    <w:p>
      <w:pPr>
        <w:pStyle w:val="P68B1DB1Normal113"/>
        <w:widowControl w:val="false"/>
        <w:spacing w:lineRule="auto" w:line="240" w:before="173" w:after="0"/>
        <w:ind w:left="0" w:right="0" w:hanging="0"/>
        <w:jc w:val="center"/>
        <w:rPr/>
      </w:pPr>
      <w:r>
        <w:rPr/>
        <w:t xml:space="preserve">Begunci morajo biti sposobni izraziti svoje talente tudi v ciljni državi.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Na podlagi znanja in izkušenj, pridobljenih za pomoč begunskim regijam izvora </w:t>
      </w:r>
    </w:p>
    <w:p>
      <w:pPr>
        <w:pStyle w:val="P68B1DB1Normal104"/>
        <w:widowControl w:val="false"/>
        <w:spacing w:lineRule="auto" w:line="240" w:before="86" w:after="0"/>
        <w:ind w:left="0" w:right="0" w:hanging="0"/>
        <w:jc w:val="left"/>
        <w:rPr/>
      </w:pPr>
      <w:r>
        <w:rPr/>
        <w:t xml:space="preserve">67 % Nizozemcev meni, da mora EU še naprej pomagati negotovim regijam, da bi zajezila tokove beguncev. Zavedamo se, da begunci ne zapustijo svoje države po preprosti izbiri. Zato moramo preučiti vzroke, kot so podnebne spremembe ali konflikti, zaradi katerih so regije nevarne ali nežive. EU lahko begunskim regijam pomaga ne le s finančno podporo, ampak tudi z znanjem. Na Nizozemskem imamo na primer močno znanje in spretnosti v kmetijstvu. S sodobnimi kmetijskimi tehnikami lahko drugim državam pomagamo bolje obvladovati sušo in zasoljevanje. In ljudje, ki so se zatekli v Evropo, se lahko udeležijo usposabljanja v evropski državi in nato sami pomagajo svoji državi izvora.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Spletne razprave in ideje ter razprave na kraju samem </w:t>
      </w:r>
    </w:p>
    <w:p>
      <w:pPr>
        <w:pStyle w:val="P68B1DB1Normal118"/>
        <w:widowControl w:val="false"/>
        <w:spacing w:lineRule="auto" w:line="240" w:before="85" w:after="0"/>
        <w:ind w:left="0" w:right="0" w:hanging="0"/>
        <w:jc w:val="left"/>
        <w:rPr/>
      </w:pPr>
      <w:r>
        <w:rPr/>
        <w:t>„</w:t>
      </w:r>
      <w:r>
        <w:rPr/>
        <w:t xml:space="preserve">EU mora uvesti hitrejše azilne postopke. Tako bo več prostora za ljudi, ki ga resnično potrebujejo. </w:t>
      </w:r>
    </w:p>
    <w:p>
      <w:pPr>
        <w:pStyle w:val="P68B1DB1Normal118"/>
        <w:widowControl w:val="false"/>
        <w:spacing w:lineRule="auto" w:line="240"/>
        <w:ind w:left="0" w:right="0" w:hanging="0"/>
        <w:jc w:val="left"/>
        <w:rPr/>
      </w:pPr>
      <w:r>
        <w:rPr/>
        <w:t xml:space="preserve">Poznam veliko mladih okoli mene, ki želijo kupiti hišo, vendar ne najdejo ničesar cenovno dostopnega, medtem ko begunci vidijo, da ponujajo stanovanja. Težko ga sprejmem. </w:t>
      </w:r>
    </w:p>
    <w:p>
      <w:pPr>
        <w:pStyle w:val="P68B1DB1Normal118"/>
        <w:widowControl w:val="false"/>
        <w:spacing w:lineRule="auto" w:line="240"/>
        <w:ind w:left="0" w:right="0" w:hanging="0"/>
        <w:jc w:val="left"/>
        <w:rPr/>
      </w:pPr>
      <w:r>
        <w:rPr/>
        <w:t xml:space="preserve">Podnebne spremembe bodo v vsakem primeru povzročile razseljevanje prebivalstva. Ne moremo ustaviti teh tokov, vendar jih verjetno lahko bolje uredimo. </w:t>
      </w:r>
    </w:p>
    <w:p>
      <w:pPr>
        <w:pStyle w:val="P68B1DB1Normal118"/>
        <w:widowControl w:val="false"/>
        <w:spacing w:lineRule="auto" w:line="240"/>
        <w:ind w:left="0" w:right="0" w:hanging="0"/>
        <w:jc w:val="left"/>
        <w:rPr/>
      </w:pPr>
      <w:r>
        <w:rPr/>
        <w:t xml:space="preserve">Živim v Betuweju. V sezoni hrušk in jabolk potrebujemo le veliko delavcev migrantov. </w:t>
      </w:r>
    </w:p>
    <w:p>
      <w:pPr>
        <w:pStyle w:val="P68B1DB1Normal118"/>
        <w:widowControl w:val="false"/>
        <w:spacing w:lineRule="auto" w:line="240"/>
        <w:ind w:left="0" w:right="0" w:hanging="0"/>
        <w:jc w:val="left"/>
        <w:rPr/>
      </w:pPr>
      <w:r>
        <w:rPr/>
        <w:t xml:space="preserve">Negotove regije niso nevarne za nič, javni organi so pogosto nezanesljivi. Kako vemo, kam gre naša pomoč in denar? </w:t>
      </w:r>
    </w:p>
    <w:p>
      <w:pPr>
        <w:pStyle w:val="P68B1DB1Normal104"/>
        <w:widowControl w:val="false"/>
        <w:spacing w:lineRule="auto" w:line="240"/>
        <w:ind w:left="0" w:right="0" w:hanging="0"/>
        <w:jc w:val="left"/>
        <w:rPr/>
      </w:pPr>
      <w:r>
        <w:rPr/>
        <w:t xml:space="preserve">IDEJA: </w:t>
      </w:r>
      <w:r>
        <w:rPr>
          <w:i/>
        </w:rPr>
        <w:t>Razmisliti je treba tudi o lokalnih strategijah, kot sta udeležba državljanov pri lokalnem sprejemu beguncev in financiranje lokalnih pobud za vključevanje.</w:t>
      </w:r>
    </w:p>
    <w:p>
      <w:pPr>
        <w:pStyle w:val="P68B1DB1Normal104"/>
        <w:widowControl w:val="false"/>
        <w:spacing w:lineRule="auto" w:line="240"/>
        <w:ind w:left="0" w:right="0" w:hanging="0"/>
        <w:jc w:val="left"/>
        <w:rPr/>
      </w:pPr>
      <w:r>
        <w:rPr/>
        <w:t>IDEJA:</w:t>
      </w:r>
      <w:r>
        <w:rPr>
          <w:i/>
        </w:rPr>
        <w:t xml:space="preserve"> Vzpostavitev mini hiš v mestih, kjer bi lahko begunci živeli ob prihodu. To bi zmanjšalo pritisk na stanovanjski trg in povečalo javno podporo za sprejem teh ljudi. </w:t>
      </w:r>
    </w:p>
    <w:p>
      <w:pPr>
        <w:pStyle w:val="P68B1DB1Normal118"/>
        <w:widowControl w:val="false"/>
        <w:spacing w:lineRule="auto" w:line="240"/>
        <w:ind w:left="0" w:right="0" w:hanging="0"/>
        <w:jc w:val="left"/>
        <w:rPr/>
      </w:pPr>
      <w:r>
        <w:rPr/>
        <w:t xml:space="preserve">Prostovoljci, ki so bili sami begunci: V Evropi se ljudje pogosto izogibajo drug drugemu.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je prostovoljna organizacija, ki zagotavlja, da lahko novi alofonski prebivalci Utrechta sodelujejo v družbi. Tematski dialog s to organizacijo se ni osredotočal le na migracije, temveč tudi in predvsem na vključevanje. Več udeležencev je na Nizozemsko prispelo kot begunci, tudi eden iz Sirije. Po sedmih letih se še vedno ne počutim nizozemsko. Tudi jaz nisem našel službe, čeprav sem dobil magisterij. Ugotavljam, da so evropske države predvsem zaskrbljene zaradi sebe in niso zelo odprte za druge države in kulture.“ Drugi udeleženec je opozoril, da Evropejci pogosto ostajajo oddaljeni drug od drugega. Večina ljudi je sama; vsi ostanejo v svojem kotu. Zdi se mi, da se moramo pogovarjati drug z drugim in da se lahko učimo drug od drugega.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Mladi iz nacionalnega mladinskega sveta: Ljudje bi morali vstopiti le, če lahko zanje skrbite. </w:t>
      </w:r>
    </w:p>
    <w:p>
      <w:pPr>
        <w:pStyle w:val="P68B1DB1Normal104"/>
        <w:widowControl w:val="false"/>
        <w:spacing w:lineRule="auto" w:line="240"/>
        <w:ind w:left="0" w:right="0" w:hanging="0"/>
        <w:jc w:val="both"/>
        <w:rPr/>
      </w:pPr>
      <w:r>
        <w:rPr/>
        <w:t xml:space="preserve">V Utrechtu so člani različnih delovnih skupin nacionalnega mladinskega sveta (CNJ) razpravljali. Udeleženci (stari od 16 do 23 let) menijo, da je treba pri razdeljevanju beguncev v Evropi upoštevati več vidikov, kot so število prebivalcev, velikost države, blaginja in število centrov za prosilce za azil. „Beguncem bi bilo treba dovoliti vstop v državo le, če jim je potem poskrbljeno,“ je dejal eden od njih. </w:t>
      </w:r>
    </w:p>
    <w:p>
      <w:pPr>
        <w:pStyle w:val="Normal"/>
        <w:widowControl w:val="false"/>
        <w:spacing w:lineRule="auto" w:line="240"/>
        <w:ind w:left="0" w:right="0" w:hanging="0"/>
        <w:jc w:val="left"/>
        <w:rPr/>
      </w:pPr>
      <w:r>
        <w:rPr>
          <w:rFonts w:ascii="Calibri" w:hAnsi="Calibri"/>
          <w:color w:val="000000"/>
          <w:sz w:val="21"/>
        </w:rPr>
        <w:t xml:space="preserve">Mladi tudi menijo, da morajo imeti posledice, če države ne izpolnijo svojih obveznosti glede sprejema beguncev. Zato jih je treba na primer oglobiti. „In begunci morajo imeti tudi besedo, kam bodo šli,“ je dejal nekdo. Na primer, če že imajo družino nekje, jih ne moremo poslati kam drugam.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Zdravje </w:t>
      </w:r>
    </w:p>
    <w:p>
      <w:pPr>
        <w:pStyle w:val="P68B1DB1Normal130"/>
        <w:widowControl w:val="false"/>
        <w:spacing w:lineRule="auto" w:line="240"/>
        <w:ind w:left="0" w:right="0" w:hanging="0"/>
        <w:jc w:val="left"/>
        <w:rPr>
          <w:rFonts w:ascii="Calibri" w:hAnsi="Calibri"/>
          <w:color w:val="0070C0"/>
          <w:sz w:val="21"/>
        </w:rPr>
      </w:pPr>
      <w:r>
        <w:rPr/>
        <w:t xml:space="preserve">(Zdravstveno varstvo) </w:t>
      </w:r>
    </w:p>
    <w:p>
      <w:pPr>
        <w:pStyle w:val="P68B1DB1Normal104"/>
        <w:widowControl w:val="false"/>
        <w:spacing w:lineRule="auto" w:line="240"/>
        <w:ind w:left="0" w:right="0" w:hanging="0"/>
        <w:jc w:val="left"/>
        <w:rPr/>
      </w:pPr>
      <w:r>
        <w:rPr/>
        <w:t xml:space="preserve">Čeprav je zdravstveno varstvo v prvi vrsti v pristojnosti posameznih držav, ga je mogoče podpreti in okrepiti s politikami EU, na primer v odziv na pandemijo COVID-19 ali druge (prihodnje) zdravstvene krize ali v partnerskih raziskavah o hudih boleznih. Kakšno je stališče Nizozemske glede tega? </w:t>
      </w:r>
    </w:p>
    <w:p>
      <w:pPr>
        <w:pStyle w:val="P68B1DB1Normal126"/>
        <w:widowControl w:val="false"/>
        <w:spacing w:lineRule="auto" w:line="240" w:before="14" w:after="0"/>
        <w:ind w:left="0" w:right="0" w:hanging="0"/>
        <w:jc w:val="left"/>
        <w:rPr>
          <w:rFonts w:ascii="Calibri" w:hAnsi="Calibri"/>
          <w:color w:val="0070C0"/>
          <w:sz w:val="24"/>
        </w:rPr>
      </w:pPr>
      <w:r>
        <w:rPr/>
        <w:t xml:space="preserve">Priporočila – Naša vizija zdravstvenega varstva </w:t>
      </w:r>
    </w:p>
    <w:p>
      <w:pPr>
        <w:pStyle w:val="P68B1DB1Normal120"/>
        <w:widowControl w:val="false"/>
        <w:spacing w:lineRule="auto" w:line="240"/>
        <w:ind w:left="0" w:right="0" w:hanging="0"/>
        <w:jc w:val="left"/>
        <w:rPr/>
      </w:pPr>
      <w:r>
        <w:rPr/>
        <w:t xml:space="preserve">64 % Nizozemcev meni, da je zdravstveno varstvo pomembno vprašanje in da mora EU posredovati na tem področju. </w:t>
      </w:r>
    </w:p>
    <w:p>
      <w:pPr>
        <w:pStyle w:val="P68B1DB1Normal111"/>
        <w:widowControl w:val="false"/>
        <w:spacing w:lineRule="auto" w:line="240" w:before="2" w:after="0"/>
        <w:ind w:left="0" w:right="0" w:hanging="0"/>
        <w:jc w:val="left"/>
        <w:rPr>
          <w:rFonts w:ascii="Calibri" w:hAnsi="Calibri"/>
          <w:b/>
          <w:b/>
          <w:color w:val="000000"/>
          <w:sz w:val="22"/>
        </w:rPr>
      </w:pPr>
      <w:r>
        <w:rPr/>
        <w:t xml:space="preserve">1. Boljši nadzor nad obvladovanjem pandemije </w:t>
      </w:r>
    </w:p>
    <w:p>
      <w:pPr>
        <w:pStyle w:val="P68B1DB1Normal104"/>
        <w:widowControl w:val="false"/>
        <w:spacing w:lineRule="auto" w:line="240"/>
        <w:ind w:left="0" w:right="0" w:hanging="0"/>
        <w:jc w:val="left"/>
        <w:rPr/>
      </w:pPr>
      <w:r>
        <w:rPr/>
        <w:t xml:space="preserve">83 % Nizozemcev meni, da morajo države EU bolj sodelovati, da bi preprečile širjenje nalezljive bolezni po vsem svetu. Ker virus ne pozna meja. To lahko vidimo med sedanjo pandemijo. Politike znotraj EU so včasih zmedene. To ni dobro za skladnost s pravili. Menimo, da je treba pravila za boj proti širjenju virusa v Evropi bolje uskladiti, ne da bi bili povsod enaki. Obstajati mora prostor za lokalne odločitve. Ne samo zato, ker se število kontaminacij lahko razlikuje, ampak tudi zato, ker v Evropi obstajajo različne kulture. Nekateri ukrepi v nekaterih državah delujejo bolje kot v drugih. </w:t>
      </w:r>
    </w:p>
    <w:p>
      <w:pPr>
        <w:pStyle w:val="P68B1DB1Normal113"/>
        <w:widowControl w:val="false"/>
        <w:spacing w:lineRule="auto" w:line="240" w:before="164" w:after="0"/>
        <w:ind w:left="0" w:right="0" w:hanging="0"/>
        <w:jc w:val="center"/>
        <w:rPr/>
      </w:pPr>
      <w:r>
        <w:rPr/>
        <w:t xml:space="preserve">Živim na Nizozemskem, na meji z Nemčijo. Različni ukrepi, ki sta jih državi sprejeli za boj proti koronavirusu, me spravljajo ob živce.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Zagotoviti razpoložljivost cenovno dostopnih in zanesljivih zdravil za vse</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Nizozemcev meni, da mora EU zagotoviti, da za razvoj, proizvodnjo in dostavo zdravil potrebujemo manj tretjih držav. Toda, če to pomeni, da čakamo dlje, da imajo zdravila, so mnenja razdeljena. Nizozemci menijo, da je proizvodnja in distribucija zdravil zapleteno vprašanje. Po eni strani stroški zdravstvenega varstva na Nizozemskem strmo naraščajo, zato menimo, da je pomembno, da se ohranijo na najnižji možni ravni. Po drugi strani pa želimo biti sposobni zaupati drogam, tudi če prihajajo od daleč. Ne smejo biti samo kakovostni, temveč morajo biti proizvedeni tudi na trajnosten in etično odgovoren način. Na splošno menimo, da morajo biti pomembna zdravila dostopna vsem, tudi v revnejših državah. </w:t>
      </w:r>
    </w:p>
    <w:p>
      <w:pPr>
        <w:pStyle w:val="P68B1DB1Normal113"/>
        <w:widowControl w:val="false"/>
        <w:spacing w:lineRule="auto" w:line="240" w:before="167" w:after="0"/>
        <w:ind w:left="0" w:right="0" w:hanging="0"/>
        <w:jc w:val="both"/>
        <w:rPr/>
      </w:pPr>
      <w:r>
        <w:rPr/>
        <w:t>Stroški zdravstvenega varstva so že nedostopni. Zato moramo poskusiti kupiti tudi nova zdravila po najnižji možni ceni.</w:t>
      </w:r>
      <w:r>
        <w:rPr>
          <w:b/>
        </w:rPr>
        <w:t xml:space="preserve"> </w:t>
      </w:r>
    </w:p>
    <w:p>
      <w:pPr>
        <w:pStyle w:val="P68B1DB1Normal111"/>
        <w:widowControl w:val="false"/>
        <w:spacing w:lineRule="auto" w:line="240" w:before="131" w:after="0"/>
        <w:ind w:left="0" w:right="0" w:hanging="0"/>
        <w:jc w:val="left"/>
        <w:rPr/>
      </w:pPr>
      <w:r>
        <w:rPr/>
        <w:t xml:space="preserve">3. Države se morajo osredotočiti na izboljšanje svojih zdravstvenih sistemov in njihovo večjo pravičnost. </w:t>
      </w:r>
    </w:p>
    <w:p>
      <w:pPr>
        <w:pStyle w:val="P68B1DB1Normal104"/>
        <w:widowControl w:val="false"/>
        <w:spacing w:lineRule="auto" w:line="240" w:before="85" w:after="0"/>
        <w:ind w:left="0" w:right="0" w:hanging="0"/>
        <w:jc w:val="left"/>
        <w:rPr/>
      </w:pPr>
      <w:r>
        <w:rPr/>
        <w:t xml:space="preserve">Nizozemska veliko skrbi za zdravstveno varstvo, ta skrb pa presega učinek pandemije COVID-19. Poznamo na primer težave s strukturnimi zmogljivostmi v bolnišnicah. Nekateri Nizozemci nimajo zaupanja v učinke tržnih sil v zdravstvenem sektorju. Zavedamo se, da morajo farmacevtska podjetja povrniti svoje naložbe in da skladi zdravstvenega zavarovanja želijo poceni zdravstveno varstvo, vendar velika podjetja ne bi smela zlorabljati svoje moči. EU bi morala v zvezi s tem sprejeti pravila. Menimo tudi, da je zdravstveno varstvo predvsem nacionalno vprašanje. Države bolje vedo, kakšne so težave in prednostne naloge na lokalni ravni. Vendar se nam zdi pomembno, da se lahko evropske države učijo drug od drugega, da bi izboljšale zdravstveno varstvo.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Spletne razprave in ideje ter razprave na kraju samem </w:t>
      </w:r>
    </w:p>
    <w:p>
      <w:pPr>
        <w:pStyle w:val="P68B1DB1Normal118"/>
        <w:widowControl w:val="false"/>
        <w:spacing w:lineRule="auto" w:line="240" w:before="95" w:after="0"/>
        <w:ind w:left="0" w:right="0" w:hanging="0"/>
        <w:jc w:val="left"/>
        <w:rPr/>
      </w:pPr>
      <w:r>
        <w:rPr/>
        <w:t xml:space="preserve">Kar zadeva razpoložljivost zdravil v Evropi, bi lahko bili tudi nekoliko bolj ekonomični. Danes ga preveč vržemo.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Zelo dobro je, da je Nemčija pozdravila bolnike iz Nizozemske s COVID-19. Želim si več takšne solidarnosti v Evropi.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Ne glede na to, ali živite v EU in ste bogati ali revni, ima vsakdo pravico do kakovostne oskrbe.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Pri nakupu drog morate upoštevati ne le stroške, ampak tudi etiko. To na primer pomeni, da se delo otrok ne sme uporabljati.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„Izboljšanje zdravja Evropejcev z zagotavljanjem, da so pod manjšim stresom. Na primer, skrajšajte trajanje delovnega tedna.“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Omogočanje mladim, da sprejemajo bolj zdrave odločitve z resnimi igrami obogatene resničnosti.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Od prebivalcev Utrechta maroškega porekla: Zdravje ima lahko določeno ceno.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Fundacija „Marokkaans Dialoog Overvecht“ (MDO) (Marokkaans Dialoog Overvecht) je posvečena sodelovanju maroške skupnosti v okrožju Overvecht v Utrechtu. V ta namen spodbuja dialog v sosedstvu in se tako bori proti neenakostim. Udeleženci tematskega dialoga v okviru Vizije Evrope menijo, da je evropsko sodelovanje zelo koristno. Vendar pa nekateri menijo, da je Nizozemska včasih preveč odvisna od drugih držav. V zvezi s tem je bilo kot primer navedeno obvladovanje krize zaradi COVID-19. Po mnenju udeležencev so številna posvetovanja v Evropi povzročila, da je Nizozemska prepozno začela cepljenje proti COVID-19. „Morda bo stalo več, če se bo Nizozemska odločila sama,“ je dejal nekdo. Ampak gre za zdravje, lahko stane malo več.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Iz Helmondovih študentov: Bolje je, da se inteligentno učimo drug od drugega, kot da vzamemo enak pristop.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Na kolidžu Dr. Knippenberg v Helmondu so študenti, stari približno 16 let, razpravljali o evropskem obvladovanju pandemije COVID-19. Nekateri menijo, da bi morale države članice EU program cepljenja opredeliti skupaj. Večina udeležencev je menila, da imajo države same boljšo predstavo o tem, kaj je potrebno in kaj deluje. Zato se lahko po njihovem mnenju bolje odločijo, kaj je za prebivalstvo prav. Bolje vedo, na primer, kateri sektorji potrebujejo cepljenje in katere lahko počakajo. „Seveda je zelo dobro, da se države posvetujejo med seboj,“ je dejal eden od študentov. Če ima veliko držav svoj pristop, lahko opazujejo, kaj druge počnejo in se učijo drug od drugega.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Vloga EU v svetu </w:t>
      </w:r>
    </w:p>
    <w:p>
      <w:pPr>
        <w:pStyle w:val="P68B1DB1Normal104"/>
        <w:widowControl w:val="false"/>
        <w:spacing w:lineRule="auto" w:line="240" w:before="126" w:after="0"/>
        <w:ind w:left="0" w:right="0" w:hanging="0"/>
        <w:jc w:val="left"/>
        <w:rPr/>
      </w:pPr>
      <w:r>
        <w:rPr/>
        <w:t xml:space="preserve">Svet se sooča z velikimi izzivi. EU je prepričana, da je vprašanja, kot so podnebne spremembe in pandemije, mogoče obravnavati le s sodelovanjem na svetovni ravni. EU želi v zvezi s tem izraziti svoje mnenje na svetovnem prizorišču, na primer skupaj z ZDA in Kitajsko. Kakšno je stališče Nizozemske glede tega? </w:t>
      </w:r>
    </w:p>
    <w:p>
      <w:pPr>
        <w:pStyle w:val="P68B1DB1Normal126"/>
        <w:widowControl w:val="false"/>
        <w:spacing w:lineRule="auto" w:line="240" w:before="125" w:after="0"/>
        <w:ind w:left="0" w:right="0" w:hanging="0"/>
        <w:jc w:val="left"/>
        <w:rPr>
          <w:rFonts w:ascii="Calibri" w:hAnsi="Calibri"/>
          <w:color w:val="0070C0"/>
          <w:sz w:val="24"/>
        </w:rPr>
      </w:pPr>
      <w:r>
        <w:rPr/>
        <w:t xml:space="preserve">Priporočila – Naša vizija vloge EU v svetu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Nizozemcev meni, da je vloga EU v svetu pomembna tema in da mora EU posredovati na tem področju.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Izkoriščanje moči EU, predvsem v okviru pomembnih mednarodnih tem </w:t>
      </w:r>
    </w:p>
    <w:p>
      <w:pPr>
        <w:pStyle w:val="P68B1DB1Normal104"/>
        <w:widowControl w:val="false"/>
        <w:spacing w:lineRule="auto" w:line="240"/>
        <w:ind w:left="0" w:right="0" w:hanging="0"/>
        <w:jc w:val="left"/>
        <w:rPr/>
      </w:pPr>
      <w:r>
        <w:rPr/>
        <w:t xml:space="preserve">Dejstvo, da je njegova ustanovitev prispevala k temu, da Evropejci živijo v miru že več kot 75 let, je po mnenju mnogih Nizozemcev glavna dodana vrednost EU. Nizozemci prav tako menijo, da je moč EU v skupnem upravljanju velikih mednarodnih izzivov. Razmišljamo na primer o podnebnih spremembah, pandemiji COVID-19 in begunski krizi. Države članice EU imajo lahko tudi večji vpliv na tretje države s skupnim sklepanjem mednarodnih sporazumov EU. Menimo, da je naša država premajhna, da bi samo na teh področjih naredila razliko. Nizozemci želijo, da bi Nizozemska še naprej sprejemala lastne odločitve, ki temeljijo na lastni kulturi in interesih. Sodelovanje v Evropi mora zato predvsem zagotoviti učinkovitost in politično moč. </w:t>
      </w:r>
    </w:p>
    <w:p>
      <w:pPr>
        <w:pStyle w:val="P68B1DB1Normal113"/>
        <w:widowControl w:val="false"/>
        <w:spacing w:lineRule="auto" w:line="240" w:before="200" w:after="0"/>
        <w:ind w:left="0" w:right="0" w:hanging="0"/>
        <w:jc w:val="center"/>
        <w:rPr/>
      </w:pPr>
      <w:r>
        <w:rPr/>
        <w:t xml:space="preserve">Lažje je sklepati sporazume o sodelovanju znotraj EU kot pa kot izolirana država.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V Evropi in zunaj nje se raje odločite za sodelovanje, namesto da bi se borili </w:t>
      </w:r>
    </w:p>
    <w:p>
      <w:pPr>
        <w:pStyle w:val="P68B1DB1Normal104"/>
        <w:widowControl w:val="false"/>
        <w:spacing w:lineRule="auto" w:line="240" w:before="1" w:after="0"/>
        <w:ind w:left="0" w:right="0" w:hanging="0"/>
        <w:jc w:val="left"/>
        <w:rPr/>
      </w:pPr>
      <w:r>
        <w:rPr/>
        <w:t xml:space="preserve">66 % Nizozemcev meni, da mora EU oblikovati močnejši blok proti drugim mednarodnim blokom. Priča smo slabitvi ravnovesja v svetu. Države, kot sta Kitajska in Rusija, nenehno širijo svojo moč na različnih področjih. To nas zelo skrbi. EU mora zato več pozornosti nameniti mednarodni varnosti in zaščiti evropskega gospodarstva pred nepoštenimi trgovinskimi praksami. Menimo, da je v zvezi s tem pomembno, da se države članice bolje in hitreje usklajujejo. To nam bo omogočilo, da bo naš glas bolj slišan. Dejstvo, da smo skupaj močnejši kot evropske države, še ne pomeni, da si želimo konflikta. Prav tako želimo, kolikor je mogoče, dobro sodelovanje s tretjimi državami. </w:t>
      </w:r>
    </w:p>
    <w:p>
      <w:pPr>
        <w:pStyle w:val="P68B1DB1Normal113"/>
        <w:widowControl w:val="false"/>
        <w:spacing w:lineRule="auto" w:line="240" w:before="200" w:after="0"/>
        <w:ind w:left="0" w:right="0" w:hanging="0"/>
        <w:jc w:val="center"/>
        <w:rPr/>
      </w:pPr>
      <w:r>
        <w:rPr/>
        <w:t>„</w:t>
      </w:r>
      <w:r>
        <w:rPr/>
        <w:t xml:space="preserve">Zmanjšanje notranjih sporov in sporov bo povečalo ugled in vpliv EU na svetovnem prizorišču.“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Na premišljen način nuditi pomoč v primeru konflikta </w:t>
      </w:r>
    </w:p>
    <w:p>
      <w:pPr>
        <w:pStyle w:val="Normal"/>
        <w:widowControl w:val="false"/>
        <w:spacing w:lineRule="auto" w:line="240"/>
        <w:ind w:left="0" w:right="0" w:hanging="0"/>
        <w:jc w:val="left"/>
        <w:rPr/>
      </w:pPr>
      <w:r>
        <w:rPr>
          <w:rFonts w:ascii="Calibri" w:hAnsi="Calibri"/>
          <w:color w:val="000000"/>
          <w:sz w:val="21"/>
        </w:rPr>
        <w:t xml:space="preserve">Kot del krepitve vloge EU na mednarodnem prizorišču 50 % Nizozemcev meni, da je pristop k konfliktom v svetu pomembna tema. Najboljši način za odzivanje na konflikte je po njihovem mnenju težko določiti. Preteklost je pokazala, da vojaško posredovanje v državi ni vedno koristno. To lahko na primer povzroči nepredvidene visoke stroške in ustvari dodatne tokove beguncev. Države bi se morale glede na ta lokalni vpliv same odločiti, ali bodo sodelovale v vojni. Na splošno nas zanima okrepljeno sodelovanje med evropskimi vojskami: menimo, da je pomembno, da se Evropa dobro brani. Vendar vedno raje rešujemo konflikte, ne da bi se zatekali k nasilju. </w:t>
      </w:r>
      <w:r>
        <w:br w:type="page"/>
      </w:r>
    </w:p>
    <w:p>
      <w:pPr>
        <w:pStyle w:val="P68B1DB1Normal113"/>
        <w:widowControl w:val="false"/>
        <w:spacing w:lineRule="auto" w:line="240"/>
        <w:ind w:left="0" w:right="0" w:hanging="0"/>
        <w:jc w:val="left"/>
        <w:rPr/>
      </w:pPr>
      <w:r>
        <w:rPr/>
        <w:t xml:space="preserve">Med evakuacijo Afganistana je vsaka država delovala v svojem kotu. Še vedno bi lahko bila boljša, kajne? </w:t>
      </w:r>
    </w:p>
    <w:p>
      <w:pPr>
        <w:pStyle w:val="P68B1DB1Normal126"/>
        <w:widowControl w:val="false"/>
        <w:spacing w:lineRule="auto" w:line="240" w:before="85" w:after="0"/>
        <w:ind w:left="0" w:right="0" w:hanging="0"/>
        <w:jc w:val="left"/>
        <w:rPr>
          <w:rFonts w:ascii="Calibri" w:hAnsi="Calibri"/>
          <w:color w:val="0070C0"/>
          <w:sz w:val="24"/>
        </w:rPr>
      </w:pPr>
      <w:r>
        <w:rPr/>
        <w:t xml:space="preserve">Spletne razprave in ideje ter razprave na kraju samem </w:t>
      </w:r>
    </w:p>
    <w:p>
      <w:pPr>
        <w:pStyle w:val="P68B1DB1Normal118"/>
        <w:widowControl w:val="false"/>
        <w:spacing w:lineRule="auto" w:line="240" w:before="78" w:after="0"/>
        <w:ind w:left="0" w:right="0" w:hanging="0"/>
        <w:jc w:val="left"/>
        <w:rPr>
          <w:rFonts w:ascii="Calibri" w:hAnsi="Calibri"/>
          <w:i/>
          <w:i/>
          <w:color w:val="000000"/>
          <w:sz w:val="21"/>
        </w:rPr>
      </w:pPr>
      <w:r>
        <w:rPr/>
        <w:t xml:space="preserve">EU mora najprej urediti svoje zadeve, preden se sooči z drugimi.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Z množičnim nakupom kitajskih izdelkov kot Evropejci podpiramo Kitajsko.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ZDA imajo še naprej zelo pomembno vlogo pri obrambi Evrope.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Biti članica EU pomeni tudi sedeti za pogajalsko mizo. To omogoča razpravo o pomembnih odločitvah.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EU se mora nehati obravnavati kot osamljen subjekt, ker to ni. Je združenje evropskih držav članic in bi se moralo tako obnašati.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Tako kot redna svetovna konferenca o podnebju bi bilo treba organizirati tudi konferenco o človekovih pravicah.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IDEJA: </w:t>
      </w:r>
      <w:r>
        <w:rPr>
          <w:i/>
        </w:rPr>
        <w:t>„Narediti večjo učinkovitost evropskih vojsk, na primer z večjo uporabo skupnega nakupa opreme.“</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Nizozemsko-maroške ženske: Spodbujanje človekovih pravic.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Ženske za</w:t>
      </w:r>
      <w:r>
        <w:rPr>
          <w:rFonts w:ascii="Calibri" w:hAnsi="Calibri"/>
          <w:color w:val="000000"/>
          <w:sz w:val="21"/>
        </w:rPr>
      </w:r>
      <w:commentRangeEnd w:id="28"/>
      <w:r>
        <w:commentReference w:id="28"/>
      </w:r>
      <w:r>
        <w:rPr>
          <w:rFonts w:ascii="Calibri" w:hAnsi="Calibri"/>
          <w:color w:val="000000"/>
          <w:sz w:val="21"/>
        </w:rPr>
        <w:t xml:space="preserve">svobodo“ je nizozemska fundacija, ki se bori proti prisilnim porokam, spolnemu zatiranju in finančnim zlorabam deklet in žensk z bikulturnim ozadjem. V sodelovanju s to fundacijo je bilo organizirano srečanje s skupino nizozemsko-maroških žensk. Udeleženci menijo, da je EU trenutno preveč odvisna od Rusije in Kitajske. „Ugotovili smo, da si EU na splošno ne upa predlagati ničesar, zaradi strahu pred sankcijami,“ je dejal eden od njih. Proizvodnja drog, ki je pogosto lahko veliko cenejša, je bila navedena kot primer. „V primeru konflikta lahko Kitajska zaustavi pipo in ne bomo imeli ničesar,“ je dejal eden od udeležencev. Izpostavljeno je bilo tudi vprašanje človekovih pravic. „Vsi se obnašamo, kot da se nam zdi zelo pomembno, vendar zapremo oči na to, kar Kitajska počne Ujgurom,“ vzklikne nekdo.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Študenti iz Tehnika Alkmaar: Ni skupne vojske.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V svojem tematskem dialogu so študenti Tehnike Jan Arentz v Alkmaarju razpravljali o prednostih in slabostih skupne evropske vojske. Udeleženci so navedli, da tega ne podpirajo. Ko se država EU prepira s tretjo državo, bi morali imeti možnost, da samodejno sodelujemo v vojni. Mislim, da morajo biti države sposobne same odločati," je dejal nekdo. Razpravljalo se je tudi o možnosti tretje svetovne vojne. Študenti te možnosti ne štejejo za zelo veliko, vendar menijo, da bi lahko, če bi prišli tja, kljub temu hitro našli rešitev. Tudi vojska lahko dobro sodeluje. Po mojem mnenju ni potrebe po evropski vojski.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Metodologija, uporabljena v raziskavi </w:t>
      </w:r>
    </w:p>
    <w:p>
      <w:pPr>
        <w:pStyle w:val="P68B1DB1Normal104"/>
        <w:widowControl w:val="false"/>
        <w:spacing w:lineRule="auto" w:line="240" w:before="150" w:after="0"/>
        <w:ind w:left="0" w:right="0" w:hanging="0"/>
        <w:jc w:val="left"/>
        <w:rPr/>
      </w:pPr>
      <w:r>
        <w:rPr/>
        <w:t xml:space="preserve">Vizija Evrope je sestavljena iz različnih oblik medsebojno povezanih dialogov, ki združujejo stališča in ideje nizozemskih državljanov o prihodnosti Evrope in EU. V tem poglavju je opisano, kako se ti tesno povezani dialogi izvajajo v skladu s smernicami, ki se uporabljajo za nacionalne okrogle mize državljanov v okviru konference o prihodnosti Evrope. </w:t>
      </w:r>
    </w:p>
    <w:p>
      <w:pPr>
        <w:pStyle w:val="P68B1DB1Normal126"/>
        <w:widowControl w:val="false"/>
        <w:spacing w:lineRule="auto" w:line="240" w:before="43" w:after="0"/>
        <w:ind w:left="0" w:right="0" w:hanging="0"/>
        <w:jc w:val="left"/>
        <w:rPr>
          <w:rFonts w:ascii="Calibri" w:hAnsi="Calibri"/>
          <w:color w:val="0070C0"/>
          <w:sz w:val="24"/>
        </w:rPr>
      </w:pPr>
      <w:r>
        <w:rPr/>
        <w:t xml:space="preserve">Struktura tesno povezanih dialogov </w:t>
      </w:r>
    </w:p>
    <w:p>
      <w:pPr>
        <w:pStyle w:val="P68B1DB1Normal104"/>
        <w:widowControl w:val="false"/>
        <w:spacing w:lineRule="auto" w:line="240" w:before="114" w:after="0"/>
        <w:ind w:left="0" w:right="0" w:hanging="0"/>
        <w:jc w:val="left"/>
        <w:rPr>
          <w:rFonts w:ascii="Calibri" w:hAnsi="Calibri"/>
          <w:color w:val="000000"/>
          <w:sz w:val="21"/>
        </w:rPr>
      </w:pPr>
      <w:r>
        <w:rPr/>
        <w:t xml:space="preserve">Organizirane so naslednje oblike dialoga: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Anketa o panelu</w:t>
      </w:r>
    </w:p>
    <w:p>
      <w:pPr>
        <w:pStyle w:val="P68B1DB1Normal104"/>
        <w:widowControl w:val="false"/>
        <w:spacing w:lineRule="auto" w:line="240"/>
        <w:ind w:left="0" w:right="0" w:hanging="0"/>
        <w:jc w:val="left"/>
        <w:rPr>
          <w:rFonts w:ascii="Calibri" w:hAnsi="Calibri"/>
          <w:color w:val="000000"/>
          <w:sz w:val="21"/>
        </w:rPr>
      </w:pPr>
      <w:r>
        <w:rPr/>
        <w:t xml:space="preserve">Spletna anketa reprezentativnega dela nizozemskega prebivalstva.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Spletni tematski dialogi za poglobitev</w:t>
      </w:r>
    </w:p>
    <w:p>
      <w:pPr>
        <w:pStyle w:val="P68B1DB1Normal104"/>
        <w:widowControl w:val="false"/>
        <w:spacing w:lineRule="auto" w:line="240"/>
        <w:ind w:left="0" w:right="0" w:hanging="0"/>
        <w:jc w:val="left"/>
        <w:rPr/>
      </w:pPr>
      <w:r>
        <w:rPr/>
        <w:t xml:space="preserve">Dialogi, v katerih so rezultati prvega vmesnega poročila "Naša vizija za Evropo: o mnenjih, zamislih in priporočilih" (8. oktober 2021) se podrobno razpravlja s skupino Nizozemcev.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Dialogi s posebnimi skupinami</w:t>
      </w:r>
    </w:p>
    <w:p>
      <w:pPr>
        <w:pStyle w:val="P68B1DB1Normal104"/>
        <w:widowControl w:val="false"/>
        <w:spacing w:lineRule="auto" w:line="240"/>
        <w:ind w:left="0" w:right="0" w:hanging="0"/>
        <w:jc w:val="left"/>
        <w:rPr>
          <w:rFonts w:ascii="Calibri" w:hAnsi="Calibri"/>
          <w:color w:val="000000"/>
          <w:sz w:val="21"/>
        </w:rPr>
      </w:pPr>
      <w:r>
        <w:rPr/>
        <w:t xml:space="preserve">Srečanja z Nizozemci, ki niso vajeni sodelovanja v anketah ali okroglih mizah (spletno).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Dialogi z mladimi</w:t>
      </w:r>
    </w:p>
    <w:p>
      <w:pPr>
        <w:pStyle w:val="P68B1DB1Normal104"/>
        <w:widowControl w:val="false"/>
        <w:spacing w:lineRule="auto" w:line="240"/>
        <w:ind w:left="0" w:right="0" w:hanging="0"/>
        <w:jc w:val="left"/>
        <w:rPr>
          <w:rFonts w:ascii="Calibri" w:hAnsi="Calibri"/>
          <w:color w:val="000000"/>
          <w:sz w:val="21"/>
        </w:rPr>
      </w:pPr>
      <w:r>
        <w:rPr/>
        <w:t xml:space="preserve">Srečanja, na katerih se razpravlja o evropskih temah, ki so za te mlade najbolj pomembne.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Spletna javna anketa: Vprašalnik in „Swipen naar de toekomst“</w:t>
      </w:r>
      <w:commentRangeStart w:id="29"/>
      <w:r>
        <w:rPr>
          <w:rFonts w:ascii="Calibri" w:hAnsi="Calibri"/>
          <w:b/>
          <w:color w:val="000000"/>
          <w:sz w:val="21"/>
        </w:rPr>
        <w:t>(</w:t>
      </w:r>
      <w:r>
        <w:rPr>
          <w:rFonts w:ascii="Calibri" w:hAnsi="Calibri"/>
          <w:b/>
          <w:color w:val="000000"/>
          <w:sz w:val="21"/>
        </w:rPr>
      </w:r>
      <w:commentRangeEnd w:id="29"/>
      <w:r>
        <w:commentReference w:id="29"/>
      </w:r>
      <w:r>
        <w:rPr>
          <w:rFonts w:ascii="Calibri" w:hAnsi="Calibri"/>
          <w:b/>
          <w:color w:val="000000"/>
          <w:sz w:val="21"/>
        </w:rPr>
        <w:t xml:space="preserve"> brisalec v prihodnost) </w:t>
      </w:r>
    </w:p>
    <w:p>
      <w:pPr>
        <w:pStyle w:val="P68B1DB1Normal104"/>
        <w:widowControl w:val="false"/>
        <w:spacing w:lineRule="auto" w:line="240"/>
        <w:ind w:left="0" w:right="0" w:hanging="0"/>
        <w:jc w:val="left"/>
        <w:rPr/>
      </w:pPr>
      <w:r>
        <w:rPr/>
        <w:t xml:space="preserve">Anketni vprašalnik odbora bi lahko izpolnili tudi vsi Nizozemci, vključno s tistimi, ki prebivajo v tujini. Ta vprašalnik je bil na voljo od 1. septembra 2021 do 14. novembra 2021. Poleg tega je lahko v istem obdobju vsak Nizozemec sodeloval v ukrepu „Swipen naar de toekomst“ (Swipen naar de toekomst), spletnemu orodju, v katerem je bilo predstavljenih 20 zahtevkov.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Anketa o panelu </w:t>
      </w:r>
    </w:p>
    <w:p>
      <w:pPr>
        <w:pStyle w:val="P68B1DB1Normal104"/>
        <w:widowControl w:val="false"/>
        <w:spacing w:lineRule="auto" w:line="240" w:before="150" w:after="0"/>
        <w:ind w:left="0" w:right="0" w:hanging="0"/>
        <w:jc w:val="left"/>
        <w:rPr/>
      </w:pPr>
      <w:r>
        <w:rPr/>
        <w:t xml:space="preserve">Nizozemski državljanski dialog „Vizija Evrope“ se je začel 1. septembra z anketo okrogle mize. V tem opisu metodologije ankete na kratko pojasnimo zasnovo in izvajanje te ankete odboru. </w:t>
      </w:r>
    </w:p>
    <w:p>
      <w:pPr>
        <w:pStyle w:val="P68B1DB1Normal126"/>
        <w:widowControl w:val="false"/>
        <w:spacing w:lineRule="auto" w:line="240" w:before="43" w:after="0"/>
        <w:ind w:left="0" w:right="0" w:hanging="0"/>
        <w:jc w:val="left"/>
        <w:rPr>
          <w:rFonts w:ascii="Calibri" w:hAnsi="Calibri"/>
          <w:color w:val="0070C0"/>
          <w:sz w:val="24"/>
        </w:rPr>
      </w:pPr>
      <w:r>
        <w:rPr/>
        <w:t xml:space="preserve">Ciljna in ciljna populacija </w:t>
      </w:r>
    </w:p>
    <w:p>
      <w:pPr>
        <w:pStyle w:val="Normal"/>
        <w:widowControl w:val="false"/>
        <w:spacing w:lineRule="auto" w:line="240" w:before="114" w:after="0"/>
        <w:ind w:left="0" w:right="0" w:hanging="0"/>
        <w:jc w:val="left"/>
        <w:rPr/>
      </w:pPr>
      <w:r>
        <w:rPr>
          <w:rFonts w:ascii="Calibri" w:hAnsi="Calibri"/>
          <w:color w:val="000000"/>
          <w:sz w:val="21"/>
        </w:rPr>
        <w:t>Raziskava „Vizija Evrope“ se je začela s spletnim vprašalnikom o tem, kako Nizozemci vidijo prihodnost Evrope. Ta vprašalnik je bil predložen predstavniškemu odboru in je odprt tudi za vse nizozemce (vključno s tistimi, ki prebivajo v tujini). Poleg tega je vsaka oseba lahko sodelovala v akciji „Swipen naar de toekomst“</w:t>
      </w:r>
      <w:commentRangeStart w:id="30"/>
      <w:r>
        <w:rPr>
          <w:rFonts w:ascii="Calibri" w:hAnsi="Calibri"/>
          <w:color w:val="000000"/>
          <w:sz w:val="21"/>
        </w:rPr>
        <w:t>(Swiper</w:t>
      </w:r>
      <w:r>
        <w:rPr>
          <w:rFonts w:ascii="Calibri" w:hAnsi="Calibri"/>
          <w:color w:val="000000"/>
          <w:sz w:val="21"/>
        </w:rPr>
      </w:r>
      <w:commentRangeEnd w:id="30"/>
      <w:r>
        <w:commentReference w:id="30"/>
      </w:r>
      <w:r>
        <w:rPr>
          <w:rFonts w:ascii="Calibri" w:hAnsi="Calibri"/>
          <w:color w:val="000000"/>
          <w:sz w:val="21"/>
        </w:rPr>
        <w:t xml:space="preserve"> v prihodnost), spletnem orodju, ki predstavlja 20 zahtevkov. Rezultati ankete okrogle mize so bili podlaga za več tematskih dialogov, organiziranih kot nadaljevanje procesa dialoga z državljani „Vizija Evrope“.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Ciljna populacija panelne raziskave vključuje vse nizozemske ljudi, stare 18 let ali več, ki so bili ob začetku terenskega dela vpisani kot rezidenti v registru prebivalstva. Po podatkih nizozemskega nacionalnega statističnega urada (Centraal Bureau voor de Statistiek – CBS) je imela ta ciljna skupina od 1. januarja 2021 14.190.874 ljudi. Spodnja meja 18 let ustreza volilni večini. Temu pravimo populacija panelne ankete.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Terensko delo </w:t>
      </w:r>
    </w:p>
    <w:p>
      <w:pPr>
        <w:pStyle w:val="P68B1DB1Normal104"/>
        <w:widowControl w:val="false"/>
        <w:spacing w:lineRule="auto" w:line="240" w:before="116" w:after="0"/>
        <w:ind w:left="0" w:right="0" w:hanging="0"/>
        <w:jc w:val="left"/>
        <w:rPr/>
      </w:pPr>
      <w:r>
        <w:rPr/>
        <w:t xml:space="preserve">Odbor z več kot 100.000 udeleženci iz vse države (ISO certificiran, Research Keurmerk groep, Nederlandse marktonderzoek Associatie) je bil uporabljen za pridobitev digitalne slike „srednje nizozemskega“. Ti udeleženci so se vpisali na okroglo mizo, da bi redno predstavili svoja stališča o najrazličnejših temah. Poleg lastne motivacije za prispevanje so plačani tudi za izpolnjevanje vprašalnikov. Več znanstvenih študij kaže, da anketiranci, ki prejmejo nadomestilo za izpolnjevanje vprašalnika, ne dajo bistveno drugačnih odgovorov (vir: </w:t>
      </w:r>
      <w:r>
        <w:rPr>
          <w:i/>
        </w:rPr>
        <w:t>Ali uporaba anketnih spodbud zmanjšuje kakovost podatkov?</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Terensko delo se je začelo 11. avgusta 2021 in končalo 19. septembra 2021. Za izvajanje je bila uporabljena le ena metoda zbiranja podatkov, tj. spletna raziskava. Člani anketne komisije so prejeli elektronsko sporočilo z osebno povezavo do spletnega vprašalnika. Po dveh tednih so udeleženci prejeli opomnik. Povabila k sodelovanju so bila poslana v serijah in stratificirana (z zagotavljanjem enake porazdelitve podskupin), dokler ni bilo doseženo zahtevano število anketirancev. </w:t>
      </w:r>
    </w:p>
    <w:p>
      <w:pPr>
        <w:pStyle w:val="P68B1DB1Normal126"/>
        <w:widowControl w:val="false"/>
        <w:spacing w:lineRule="auto" w:line="240" w:before="42" w:after="0"/>
        <w:ind w:left="0" w:right="0" w:hanging="0"/>
        <w:jc w:val="left"/>
        <w:rPr>
          <w:rFonts w:ascii="Calibri" w:hAnsi="Calibri"/>
          <w:color w:val="0070C0"/>
          <w:sz w:val="24"/>
        </w:rPr>
      </w:pPr>
      <w:r>
        <w:rPr/>
        <w:t xml:space="preserve">Vzorčenje in distribucija </w:t>
      </w:r>
    </w:p>
    <w:p>
      <w:pPr>
        <w:pStyle w:val="P68B1DB1Normal104"/>
        <w:widowControl w:val="false"/>
        <w:spacing w:lineRule="auto" w:line="240" w:before="114" w:after="0"/>
        <w:ind w:left="0" w:right="0" w:hanging="0"/>
        <w:jc w:val="left"/>
        <w:rPr/>
      </w:pPr>
      <w:r>
        <w:rPr/>
        <w:t xml:space="preserve">Zasnova ankete temelji na načelu, da mora v anketo sodelovati najmanj 3600 anketirancev, da se zagotovi dobra statistična zanesljivost. Poleg tega ta številka omogoča dobro porazdelitev med različnimi splošnimi značilnostmi prebivalstva. Ne obstaja samo ena vrsta Nizozemca. Zato smo vnaprej zagotovili, da je vzorec dobro porazdeljen po številnih značilnostih. Nizozemska je razmeroma majhna država, vendar se mnenja lahko razlikujejo glede na regijo. Položaj in pomen tem lahko (delno) določi regija, v kateri živite. Ljudje, ki živijo na podeželju, lahko na primer temo, kot je varnost, razumejo drugače kot na mestnih območjih. Raziskave nizozemskega urada za socialno in kulturno načrtovanje prav tako kažejo, da so ljudje z višjo stopnjo študija pogosteje podporniki EU kot tisti z nižjo stopnjo študija in da mladi bolj podpirajo EU kot starejši (vir: </w:t>
      </w:r>
      <w:r>
        <w:rPr>
          <w:i/>
        </w:rPr>
        <w:t>Wat Willen Nederlanders van de Europese Unie?</w:t>
      </w:r>
      <w:r>
        <w:rPr/>
        <w:t xml:space="preserve">, Nizozemski urad za socialno in kulturno načrtovanje,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Zato smo predhodno sorazmerno dodelili naslednje tri značilnosti, da bi zagotovili reprezentativnost vzorca: (1) prebivanje v regijah COROP, (2) starost in (3) stopnja izobrazbe. Porazdelitev vzorca je bila predstavljena tudi v skladu z naslednjimi splošnimi značilnostmi: spol, poreklo, glavna okupacija, politična usmeritev.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Regije COROP so bile razvite na podlagi načela vozlišča (srce z območjem privlačnosti ali regionalno funkcijo), ki temelji na toku ljudi, ki se vozijo na delo. Nekaj kršitev načela vozlišča je bilo odobrenih, tako da regije sledijo pokrajinskim mejam. Po reorganizaciji občin, ki presegajo omejitve COROP, je bila porazdelitev prilagojena (vir: Nizozemski statistični urad). V regijah COROP smo zagotovili dobro porazdelitev med starostne skupine z naslednjo razčlenitvijo: starost 18–34, 35–54, 55–75 in več kot 75 let.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Na koncu smo poskrbeli za reprezentativno porazdelitev izobrazbenih stopenj. V vzorcu porazdelitev anketirancev ustreza porazdelitvi najvišje stopnje izobrazbe na nacionalni ravni, ki je naslednja: </w:t>
      </w:r>
      <w:r>
        <w:br w:type="page"/>
      </w:r>
    </w:p>
    <w:p>
      <w:pPr>
        <w:pStyle w:val="P68B1DB1Normal120"/>
        <w:spacing w:lineRule="auto" w:line="240"/>
        <w:ind w:left="0" w:right="0" w:hanging="0"/>
        <w:rPr>
          <w:rFonts w:ascii="Calibri" w:hAnsi="Calibri"/>
          <w:b/>
          <w:b/>
          <w:color w:val="000000"/>
          <w:sz w:val="21"/>
        </w:rPr>
      </w:pPr>
      <w:r>
        <w:rPr/>
        <w:t xml:space="preserve">Najvišja stopnja izobrazbe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Nizka vrednost: osnovnošolsko izobraževanje, pripravljalno poklicno izobraževanje, 1. do 3. razred splošnega srednješolskega/preduniverzitetnega izobraževanja, srednješolsko poklicno izobraževanje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Vmesna številka: splošno višje sekundarno izobraževanje/preduniverzitetno izobraževanje, srednješolsko poklicno izobraževanje 2 do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Visoko: visokošolsko poklicno izobraževanje ali univerzitetno izobraževanje</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Neznano</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Stopnja odziva </w:t>
      </w:r>
    </w:p>
    <w:p>
      <w:pPr>
        <w:pStyle w:val="P68B1DB1Normal104"/>
        <w:widowControl w:val="false"/>
        <w:spacing w:lineRule="exact" w:line="386" w:before="116" w:after="0"/>
        <w:ind w:left="0" w:right="368" w:hanging="0"/>
        <w:jc w:val="left"/>
        <w:rPr/>
      </w:pPr>
      <w:r>
        <w:rPr/>
        <w:t xml:space="preserve">V raziskavi je sodelovalo 4 086 ljudi na okroglo mizo. Cilj 3600 v celoti izpolnjenih vprašalnikov je torej dosežen.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Odzivi po regijah COROP in starosti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 18 do 34 let</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 35 do 54 let</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 55 do 75 let</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starejši od 75 let</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Severni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Drentheja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Drentheja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Severni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Frieslanda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Frieslanda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Gelderlanda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Vzhodni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Ostanek v Groningenu</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Osrednji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Severni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Južni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Razišči bližnjo okolico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Severovzhodno od severnega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Zahodno od severnega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severnega Brabanta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in njegova okolica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Odličen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in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Konica severne Nizozemske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Regija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North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Jugozahodno od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Ostalo v Zelandiji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Flandrija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Leidna in območje žarnic</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Aglomeracija Haag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in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Vzhodno od južne Nizozemske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Jugovzhodno od Južne Nizozemske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Odzivi glede na stopnjo izobrazbe</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Nizka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Posrednik</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Visoka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Neznano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Zanesljivost in reprezentativnost </w:t>
      </w:r>
    </w:p>
    <w:p>
      <w:pPr>
        <w:pStyle w:val="P68B1DB1Normal104"/>
        <w:widowControl w:val="false"/>
        <w:spacing w:lineRule="auto" w:line="240" w:before="119" w:after="0"/>
        <w:ind w:left="0" w:right="0" w:hanging="0"/>
        <w:jc w:val="left"/>
        <w:rPr/>
      </w:pPr>
      <w:r>
        <w:rPr/>
        <w:t xml:space="preserve">Število anketirancev, ki je znašalo 4886, omogoča opažanja za populacijo kot celoto s 95-odstotno stopnjo zaupanja in stopnjo napake 1,53 %. Stopnja zaupanja in stopnja napake pri rezultatih se določita glede na velikost vzorca. Večji kot je vzorec, bolj zanesljivi in točni rezultati se lahko ekstrapolirajo na celotno populacijo.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Stopnja zaupanja je opredeljena kot 1 (100 %) minus raven pomena. To je običajno, da temelji na ravni 5 % pomen. Govorimo o 95-odstotni stopnji zaupanja. Z drugimi besedami, če bi se raziskava ponovila na enak način in pod enakimi pogoji, bi bili rezultati enaki v 95 % primerov. </w:t>
      </w:r>
    </w:p>
    <w:p>
      <w:pPr>
        <w:pStyle w:val="P68B1DB1Normal104"/>
        <w:widowControl w:val="false"/>
        <w:spacing w:lineRule="auto" w:line="240"/>
        <w:ind w:left="0" w:right="0" w:hanging="0"/>
        <w:jc w:val="left"/>
        <w:rPr/>
      </w:pPr>
      <w:r>
        <w:rPr/>
        <w:t xml:space="preserve">Natančnost (izražena s toleranco napake) označuje obseg vrednosti, v katerem se nahaja dejanska vrednost v populaciji. Z drugimi besedami: kakšna bi bila največja razlika med rezultati vzorca in rezultati, pridobljenimi iz populacije kot celote? Stopnja napake 1,53 % pomeni, da je dejanska vrednost v celotni populaciji lahko 1,53 % višja ali nižja od vrednosti vzorca. Na primer, če raziskava na vzorcu ljudi kaže, da 50 % anketirancev meni, da je določena tema pomembna, je dejanski odstotek 1,53 % višji ali nižji od 50 %, tj. med 48,47 in 51,53 %. Največja dovoljena stopnja napake v višini 5 % je pogosta in splošno sprejeta v kvantitativnih študijah (statistiki).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Poleg zanesljivosti je pomembna tudi reprezentativnost vzorca. Ker so bila povabila k sodelovanju poslana v svežnjih in stratificirana, so rezultati reprezentativni glede na značilnosti regije COROP in starostne skupine po regijah COROP. Odzivi so reprezentativni tudi z vidika stopnje izobrazbe v primerjavi z najvišjo stopnjo izobrazbe, doseženo na nacionalni ravni.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Druge splošne značilnosti </w:t>
      </w:r>
    </w:p>
    <w:p>
      <w:pPr>
        <w:pStyle w:val="P68B1DB1Normal104"/>
        <w:widowControl w:val="false"/>
        <w:spacing w:lineRule="auto" w:line="240"/>
        <w:ind w:left="0" w:right="0" w:hanging="0"/>
        <w:jc w:val="left"/>
        <w:rPr/>
      </w:pPr>
      <w:r>
        <w:rPr/>
        <w:t xml:space="preserve">Okrogla miza je udeležencem ankete zastavila številna dodatna kontekstualna vprašanja. Ti vključujejo spol, položaj v EU, poreklo, glavno okupacijo in politično stranko, za katero bi oseba glasovala v primeru volitev.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anketirancev je moških, 50 % žensk in 1 % jih raje ne odgovori na to vprašanje.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vprašanih meni, da je dobro, da je Nizozemska članica EU, 13 % jih meni, da je slaba stvar, 36 % pa jih je nevtralnih ali pa nimajo mnenja.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anketirancev je bilo rojenih na Nizozemskem. 89 % vprašanih je navedlo, da sta bila oba starša rojena na Nizozemskem. 5 % se jih je rodilo dvema staršema, rojenima v tujini.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Trenutna politična usmeritev anketirancev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Zabava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(Ljudska stranka za svobodo in demokracijo)</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(stranka za svobodo)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(socialistična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(Krščanski demokratski klic)</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(delovna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(Živalska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(Zelena levica)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(Krščanska zveza)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(Farmer-državljan Gibanje)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za demokracijo)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(reformirana politična stranka)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Drugo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Beli glas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Raje ne odgovarjam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 glasujem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Kateri je trenutno vaš glavni poklic?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Zasedba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Študent/študent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 s krajšim delovnim časom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Zaposleni s polnim delovnim časom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Neodvisni izvajalec</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Oseba doma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Iskalec zaposlitve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Prostovoljec</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Nezmožnost za delo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Upokojeni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Drugo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Raje ne odgovarjam</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Vprašalnik </w:t>
      </w:r>
    </w:p>
    <w:p>
      <w:pPr>
        <w:pStyle w:val="P68B1DB1Normal104"/>
        <w:widowControl w:val="false"/>
        <w:spacing w:lineRule="exact" w:line="339" w:before="1" w:after="0"/>
        <w:ind w:left="0" w:right="0" w:hanging="0"/>
        <w:jc w:val="left"/>
        <w:rPr/>
      </w:pPr>
      <w:r>
        <w:rPr/>
        <w:t xml:space="preserve">Vprašalnik in to poročilo je pripravila neodvisna zunanja organizacija na zahtevo Ministrstva za zunanje zadeve. Vprašalnik predstavlja modularno strukturo in vključuje naslednje sklope vprašanj v skladu s temami, opredeljenimi za konferenco o prihodnosti Evrope: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Pomembne teme in vloga Evrope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Podnebne spremembe in okolje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Zdravje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Ekonomija in zaposlovanje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Vloga Evropske unije v svetu </w:t>
      </w:r>
    </w:p>
    <w:p>
      <w:pPr>
        <w:pStyle w:val="P68B1DB1Normal105"/>
        <w:widowControl w:val="false"/>
        <w:spacing w:lineRule="exact" w:line="349"/>
        <w:ind w:left="0" w:right="0" w:hanging="0"/>
        <w:jc w:val="left"/>
        <w:rPr/>
      </w:pPr>
      <w:r>
        <w:rPr>
          <w:rFonts w:ascii="Verdana" w:hAnsi="Verdana"/>
        </w:rPr>
        <w:t>•</w:t>
      </w:r>
      <w:r>
        <w:rPr/>
        <w:t xml:space="preserve"> </w:t>
      </w:r>
      <w:r>
        <w:rPr/>
        <w:t xml:space="preserve">Varnost in pravna država </w:t>
      </w:r>
      <w:r>
        <w:rPr>
          <w:rFonts w:ascii="Calibri" w:hAnsi="Calibri"/>
        </w:rPr>
        <w:t xml:space="preserv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Virtualni svet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Evropska demokracija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Migracije in begunci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Izobraževanje/kultura/mladi/šport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Med pripravo vprašalnika je bila velika pozornost namenjena kakovosti, zanesljivosti in veljavnosti vprašanj. Zato je bila zahtevana nevtralna, nevodena formulacija vprašanj, trditev in odgovorov, pri čemer je bilo preverjeno, ali so bila vprašanja oblikovana v razumljivem jeziku (raven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Na vprašalniku so bili opravljeni preizkusi kakovosti z osebnimi razgovori z udeleženci testov, ki spadajo v ciljno skupino. To nam je omogočilo, da preučimo, kako vprašanja razumejo različne vrste anketirancev. Če se je zdelo, da vprašanje predstavlja preveliko (prekompleksno) kognitivno obremenitev, je bilo primerno. </w:t>
      </w:r>
    </w:p>
    <w:p>
      <w:pPr>
        <w:pStyle w:val="P68B1DB1Normal126"/>
        <w:widowControl w:val="false"/>
        <w:spacing w:lineRule="auto" w:line="240" w:before="333" w:after="0"/>
        <w:ind w:left="0" w:right="0" w:hanging="0"/>
        <w:jc w:val="left"/>
        <w:rPr>
          <w:rFonts w:ascii="Calibri" w:hAnsi="Calibri"/>
          <w:color w:val="0070C0"/>
          <w:sz w:val="24"/>
        </w:rPr>
      </w:pPr>
      <w:r>
        <w:rPr/>
        <w:t xml:space="preserve">Metode analize </w:t>
      </w:r>
    </w:p>
    <w:p>
      <w:pPr>
        <w:pStyle w:val="P68B1DB1Normal104"/>
        <w:widowControl w:val="false"/>
        <w:spacing w:lineRule="auto" w:line="240" w:before="80" w:after="0"/>
        <w:ind w:left="0" w:right="0" w:hanging="0"/>
        <w:jc w:val="left"/>
        <w:rPr>
          <w:rFonts w:ascii="Calibri" w:hAnsi="Calibri"/>
          <w:color w:val="000000"/>
          <w:sz w:val="21"/>
        </w:rPr>
      </w:pPr>
      <w:r>
        <w:rPr/>
        <w:t xml:space="preserve">V tej raziskavi sta bili uporabljeni dve metodi analize: </w:t>
      </w:r>
    </w:p>
    <w:p>
      <w:pPr>
        <w:pStyle w:val="P68B1DB1Normal111"/>
        <w:widowControl w:val="false"/>
        <w:spacing w:lineRule="auto" w:line="240" w:before="48" w:after="0"/>
        <w:ind w:left="0" w:right="0" w:hanging="0"/>
        <w:jc w:val="left"/>
        <w:rPr>
          <w:rFonts w:ascii="Calibri" w:hAnsi="Calibri"/>
          <w:b/>
          <w:b/>
          <w:color w:val="000000"/>
          <w:sz w:val="22"/>
        </w:rPr>
      </w:pPr>
      <w:r>
        <w:rPr/>
        <w:t xml:space="preserve">Enosmerne analize </w:t>
      </w:r>
    </w:p>
    <w:p>
      <w:pPr>
        <w:pStyle w:val="P68B1DB1Normal104"/>
        <w:widowControl w:val="false"/>
        <w:spacing w:lineRule="auto" w:line="240" w:before="6" w:after="0"/>
        <w:ind w:left="0" w:right="0" w:hanging="0"/>
        <w:jc w:val="left"/>
        <w:rPr>
          <w:rFonts w:ascii="Calibri" w:hAnsi="Calibri"/>
          <w:color w:val="000000"/>
          <w:sz w:val="21"/>
        </w:rPr>
      </w:pPr>
      <w:r>
        <w:rPr/>
        <w:t xml:space="preserve">Opisni statistični podatki se uporabljajo za opis spremenljivk raziskave. V tej raziskavi se uporabljajo frekvence in povprečja.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Bivariatne analize </w:t>
      </w:r>
    </w:p>
    <w:p>
      <w:pPr>
        <w:pStyle w:val="P68B1DB1Normal104"/>
        <w:widowControl w:val="false"/>
        <w:spacing w:lineRule="auto" w:line="240" w:before="6" w:after="0"/>
        <w:ind w:left="0" w:right="0" w:hanging="0"/>
        <w:jc w:val="left"/>
        <w:rPr/>
      </w:pPr>
      <w:r>
        <w:rPr/>
        <w:t xml:space="preserve">Na podlagi dvospremenljivih analiz je mogoče preučiti razmerje med dvema spremenljivkama, v tem primeru razmerjem med pomembnostjo različnih tem in vprašanjem, ali naj EU posreduje na tem področju, in splošno značilnostjo starosti. Opravljen je bil pregled, da bi se ugotovilo, ali različne starostne skupine pripisujejo temu vprašanju drugačen pomen in ali obstajajo različna stališča o tem, v kolikšni meri bi morala biti ta vprašanja vključena v EU.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Objava informacij in popolnost </w:t>
      </w:r>
    </w:p>
    <w:p>
      <w:pPr>
        <w:pStyle w:val="P68B1DB1Normal76"/>
        <w:widowControl w:val="false"/>
        <w:spacing w:lineRule="auto" w:line="240" w:before="116" w:after="0"/>
        <w:ind w:left="0" w:right="0" w:hanging="0"/>
        <w:jc w:val="left"/>
        <w:rPr/>
      </w:pPr>
      <w:r>
        <w:rPr>
          <w:rFonts w:ascii="Calibri" w:hAnsi="Calibri"/>
          <w:sz w:val="21"/>
        </w:rPr>
        <w:t>To poročilo vključuje rezultate vseh vprašanj, ki so bila zastavljena anketirancem. Pri nekaterih vprašanjih je imel anketiranec možnost, da predloži „odprte“ (tj. ne vnaprej določene) odgovore. Odprti odgovori so bili nato kategorizirani in vključeni v publikacijo. Zamisli, ki so jih anketiranci izrazili v brezplačnih pripombah, se uporabljajo za prispevek k različnim tematskim dialogom, ki so bili organizirani kot nadaljevanje procesa dialoga z državljani „Vizija Evrope“.</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Spletni tematski dialogi za poglobitev </w:t>
      </w:r>
    </w:p>
    <w:p>
      <w:pPr>
        <w:pStyle w:val="P68B1DB1Normal104"/>
        <w:widowControl w:val="false"/>
        <w:spacing w:lineRule="auto" w:line="240"/>
        <w:ind w:left="0" w:right="0" w:hanging="0"/>
        <w:jc w:val="left"/>
        <w:rPr/>
      </w:pPr>
      <w:r>
        <w:rPr/>
        <w:t xml:space="preserve">Teme v središču konference o prihodnosti Evrope so bile poglobljene z osmimi spletnimi tematskimi dialogi. Namen teh dialogov je bil odkriti </w:t>
      </w:r>
      <w:r>
        <w:rPr>
          <w:i/>
        </w:rPr>
        <w:t>razloge</w:t>
      </w:r>
      <w:r>
        <w:rPr/>
        <w:t xml:space="preserve"> za izražena mnenja ter motivacije in občutke za njimi. Kakšne so zaznane skrbi in priložnosti? Udeleženci so lahko na razpravah oblikovali predloge in zamisli o teh temah ter izpostavili vprašanja, ki niso del konference, vendar so zanje še vedno pomembna.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Tematski dialogi so potekali 12. in 14. oktobra ter 9. in 11. novembra. Oktobra so bili organizirani štirje spletni tematski dialogi na temo „Ekonomika“ in „Demokracija“. </w:t>
      </w:r>
    </w:p>
    <w:p>
      <w:pPr>
        <w:pStyle w:val="Normal"/>
        <w:widowControl w:val="false"/>
        <w:spacing w:lineRule="auto" w:line="240" w:before="10" w:after="0"/>
        <w:ind w:left="0" w:right="0" w:hanging="0"/>
        <w:jc w:val="left"/>
        <w:rPr/>
      </w:pPr>
      <w:r>
        <w:rPr>
          <w:rFonts w:ascii="Calibri" w:hAnsi="Calibri"/>
          <w:color w:val="000000"/>
          <w:sz w:val="21"/>
        </w:rPr>
        <w:t xml:space="preserve">Novembra so potekali štirje spletni tematski dialogi na temo „Podnebje“ in „EU v svetu“. V povprečju se je v vsaki razpravi udeležilo 29 ljudi (skupaj 231). Udeleženci so bili izbrani med člani komisije (glej točko 1) in prek družbenih medijev. </w:t>
      </w:r>
      <w:r>
        <w:br w:type="page"/>
      </w:r>
    </w:p>
    <w:p>
      <w:pPr>
        <w:pStyle w:val="P68B1DB1Normal125"/>
        <w:spacing w:lineRule="auto" w:line="240"/>
        <w:ind w:left="0" w:right="0" w:hanging="0"/>
        <w:rPr>
          <w:rFonts w:ascii="Calibri" w:hAnsi="Calibri"/>
          <w:b/>
          <w:b/>
          <w:color w:val="0070C0"/>
          <w:sz w:val="32"/>
        </w:rPr>
      </w:pPr>
      <w:r>
        <w:rPr/>
        <w:t xml:space="preserve">3. Dialogi s posebnimi skupinami </w:t>
      </w:r>
    </w:p>
    <w:p>
      <w:pPr>
        <w:pStyle w:val="P68B1DB1Normal104"/>
        <w:widowControl w:val="false"/>
        <w:spacing w:lineRule="auto" w:line="240" w:before="73" w:after="0"/>
        <w:ind w:left="0" w:right="0" w:hanging="0"/>
        <w:jc w:val="left"/>
        <w:rPr/>
      </w:pPr>
      <w:r>
        <w:rPr/>
        <w:t xml:space="preserve">Znano je, da so nekatere nizozemske skupine manj navajene na sodelovanje v anketah in panelih (online). Da bi pridobili reprezentativno podobo „glasa Nizozemske“, je bilo pomembno, da imajo ti državljani možnost izraziti svoje zamisli in mnenja. Zato smo za raziskavo „Vizija Evrope“ organizirali tudi številne dialoge na kraju samem. Mnenja in ideje, ki smo jih lahko zbrali, so bili (med drugim) uporabljeni kot podlaga za oblikovanje priporočil. </w:t>
      </w:r>
    </w:p>
    <w:p>
      <w:pPr>
        <w:pStyle w:val="P68B1DB1Normal126"/>
        <w:widowControl w:val="false"/>
        <w:spacing w:lineRule="auto" w:line="240" w:before="94" w:after="0"/>
        <w:ind w:left="0" w:right="0" w:hanging="0"/>
        <w:jc w:val="left"/>
        <w:rPr>
          <w:rFonts w:ascii="Calibri" w:hAnsi="Calibri"/>
          <w:color w:val="0070C0"/>
          <w:sz w:val="24"/>
        </w:rPr>
      </w:pPr>
      <w:r>
        <w:rPr/>
        <w:t xml:space="preserve">Ciljne skupine </w:t>
      </w:r>
    </w:p>
    <w:p>
      <w:pPr>
        <w:pStyle w:val="P68B1DB1Normal110"/>
        <w:widowControl w:val="false"/>
        <w:spacing w:lineRule="auto" w:line="240" w:before="88" w:after="0"/>
        <w:ind w:left="0" w:right="0" w:hanging="0"/>
        <w:jc w:val="left"/>
        <w:rPr/>
      </w:pPr>
      <w:r>
        <w:rPr>
          <w:sz w:val="21"/>
        </w:rPr>
        <w:t xml:space="preserve">Težko dosegljivih ciljnih skupin ni mogoče nedvoumno opredeliti. Študije in izkušnje nam omogočajo, da vemo, da nizozemski </w:t>
      </w:r>
      <w:r>
        <w:rPr>
          <w:b/>
          <w:sz w:val="21"/>
        </w:rPr>
        <w:t>ljudje nezahodnega porekla</w:t>
      </w:r>
      <w:r>
        <w:rPr>
          <w:sz w:val="21"/>
        </w:rPr>
        <w:t>veliko manj sodelujejo v preiskavah in razpravah. Ker to predstavlja veliko skupino (14 % Nizozemcev</w:t>
      </w:r>
      <w:r>
        <w:rPr>
          <w:b/>
          <w:position w:val="6"/>
          <w:sz w:val="14"/>
        </w:rPr>
        <w:t>1</w:t>
      </w:r>
      <w:r>
        <w:rPr>
          <w:sz w:val="21"/>
        </w:rPr>
        <w:t xml:space="preserve">), so bili izbrani za sodelovanje v dialogu Vizija Evrope. Enako je bilo v zvezi z </w:t>
      </w:r>
      <w:r>
        <w:rPr>
          <w:b/>
          <w:sz w:val="21"/>
        </w:rPr>
        <w:t>osebami z nizko izobrazbo</w:t>
      </w:r>
      <w:r>
        <w:rPr>
          <w:sz w:val="21"/>
        </w:rPr>
        <w:t>. Je tudi velika skupina (2,5 milijona nizozemskih</w:t>
      </w:r>
      <w:r>
        <w:rPr>
          <w:position w:val="6"/>
          <w:sz w:val="14"/>
        </w:rPr>
        <w:t>2</w:t>
      </w:r>
      <w:r>
        <w:rPr>
          <w:sz w:val="21"/>
        </w:rPr>
        <w:t xml:space="preserve">), ki se delno prekriva s skupino migrantov (39 %). Nazadnje je potekal dialog s skupino ljudi, ki jih redko najdemo v raziskavah in razpravah, </w:t>
      </w:r>
      <w:r>
        <w:rPr>
          <w:b/>
          <w:sz w:val="21"/>
        </w:rPr>
        <w:t>ki so kritični do Evrope, vendar imajo Evropa pomembno vlogo na strokovnem področju.</w:t>
      </w:r>
      <w:r>
        <w:rPr>
          <w:sz w:val="21"/>
        </w:rPr>
        <w:t xml:space="preserve"> Izbrani so bili podjetniki iz kmetijskega sektorja.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 zgoraj navedenim skupinam so pristopile organizacije, katerih člani so, kot so organizacije migrantov, združenja zagovorništva in poklicne organizacije. Ker smo omejili število dialogov na osem, nismo mogli biti popolnoma „izčrpni“. Zaradi tega je izbira udeležencev nekoliko arbitrarna. Pri tej izbiri smo upoštevali tudi navdušenje za sodelovanje in pomoč pri mobilizaciji njihove baze, pa tudi praktična vprašanja, kot je razpoložljivost glede na datume in lokacijo.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Potekali so dialogi na kraju samem s člani naslednjih organizacij: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Fundacija Hakder, skupnost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hindujska skupnost, Utrecht (dve razpravi)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organizacija civilne družbe,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organizacija za nizko izobražene ljudi,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združenje kmetijskih skupin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maroška skupnost,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Ženske za svobodo, organizacija za zagovorništvo žensk z migrantskim ozadjem, Haag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Na teh srečanjih se je udeležilo 110 ljudi.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Dialogi z mladimi </w:t>
      </w:r>
    </w:p>
    <w:p>
      <w:pPr>
        <w:pStyle w:val="P68B1DB1Normal104"/>
        <w:widowControl w:val="false"/>
        <w:spacing w:lineRule="auto" w:line="240" w:before="145" w:after="0"/>
        <w:ind w:left="0" w:right="0" w:hanging="0"/>
        <w:jc w:val="both"/>
        <w:rPr/>
      </w:pPr>
      <w:r>
        <w:rPr/>
        <w:t xml:space="preserve">Mladi so prednostna ciljna skupina konference o prihodnosti Evrope. Da bi dejavno spodbudili njihovo udeležbo v dialogu z državljani „Vizija Evrope“ in da bi bili mnenja in ideje te skupine dobro upoštevani, je bilo organiziranih šest fizičnih srečanj za razprave, namenjenih mladim.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Srečanja so potekala v naslednjih institucijah: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Združenje študentov zgodovine, Univerza v Leidnu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gimnazija,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Platforma za mlade Koalitie-Y, Ekonomsko-socialnega sveta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poklicno srednješolsko izobraževanje,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srednješolsko izobraževanje s poudarkom na tehnoloških predmetih,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Nacionalni mladinski svet (seja je potekala zunaj kraja samem)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Na razpravah se je udeležilo 110 mladih. </w:t>
      </w:r>
      <w:r>
        <w:br w:type="page"/>
      </w:r>
    </w:p>
    <w:p>
      <w:pPr>
        <w:pStyle w:val="P68B1DB1Normal126"/>
        <w:spacing w:lineRule="auto" w:line="240"/>
        <w:ind w:left="0" w:right="0" w:hanging="0"/>
        <w:rPr>
          <w:rFonts w:ascii="Calibri" w:hAnsi="Calibri"/>
          <w:color w:val="0070C0"/>
          <w:sz w:val="24"/>
        </w:rPr>
      </w:pPr>
      <w:r>
        <w:rPr/>
        <w:t xml:space="preserve">Uporabljene tehnike vzdrževanja </w:t>
      </w:r>
    </w:p>
    <w:p>
      <w:pPr>
        <w:pStyle w:val="P68B1DB1Normal104"/>
        <w:widowControl w:val="false"/>
        <w:spacing w:lineRule="auto" w:line="240" w:before="92" w:after="0"/>
        <w:ind w:left="0" w:right="0" w:hanging="0"/>
        <w:jc w:val="left"/>
        <w:rPr/>
      </w:pPr>
      <w:r>
        <w:rPr/>
        <w:t xml:space="preserve">Spletni tematski dialogi, dialogi s posebnimi skupinami in dialogi z mladimi so bili izvedeni z uporabo t. i. metode „sokratskega“ razgovora. Ta metoda se že vrsto let uporablja na dan dialoga, kjer ljudje po vsej Nizozemski sodelujejo pri vprašanjih, ki jih zadevajo. V okviru metode Sokratskega vzdrževanja moderator upošteva naslednja načela: </w:t>
      </w:r>
    </w:p>
    <w:p>
      <w:pPr>
        <w:pStyle w:val="P68B1DB1Normal105"/>
        <w:widowControl w:val="false"/>
        <w:spacing w:lineRule="auto" w:line="240"/>
        <w:ind w:left="0" w:right="0" w:hanging="0"/>
        <w:jc w:val="left"/>
        <w:rPr/>
      </w:pPr>
      <w:r>
        <w:rPr>
          <w:rFonts w:ascii="Verdana" w:hAnsi="Verdana"/>
        </w:rPr>
        <w:t>•</w:t>
      </w:r>
      <w:r>
        <w:rPr/>
        <w:t xml:space="preserve"> </w:t>
      </w:r>
      <w:r>
        <w:rPr/>
        <w:t xml:space="preserve">Naj drugi pove svojo zgodbo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w:t>
      </w:r>
      <w:r>
        <w:rPr/>
        <w:t xml:space="preserve"> </w:t>
      </w:r>
      <w:r>
        <w:rPr>
          <w:rFonts w:ascii="Calibri" w:hAnsi="Calibri"/>
        </w:rPr>
        <w:t xml:space="preserve">odgovarjajte takoj z drugo zgodbo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Obravnavajte se s spoštovanjem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Govoriti o lastnem mnenju („Jaz najdem“ namesto „rečejo“)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Prositi za več pojasnil, če so izražena stališča omejena na splošne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Izogibajte se sodbam in jih analizirajte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Omogočite trenutke tišine, če morajo ljudje razmišljati za trenutek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Med dialogi se uporablja naslednji ritem: razlike – konvergenca – razhajanja. Načelo je, da se morate najprej razlikovati (neposredno izraziti individualna čustva in mnenja), preden se lahko zbližate (pogovorite možne poti) in se nato končno spet razhajate (na primer zbiranje posameznih priporočil). Izkušnje in teorija kažejo, da ta ritem zagotavlja optimalen pretok dialoga.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Vse dialoge so vodili strokovni moderatorji. </w:t>
      </w:r>
    </w:p>
    <w:p>
      <w:pPr>
        <w:pStyle w:val="Normal"/>
        <w:widowControl w:val="false"/>
        <w:spacing w:lineRule="auto" w:line="240" w:before="197" w:after="0"/>
        <w:ind w:left="0" w:right="0" w:hanging="0"/>
        <w:jc w:val="left"/>
        <w:rPr/>
      </w:pPr>
      <w:r>
        <w:rPr>
          <w:rFonts w:ascii="Calibri" w:hAnsi="Calibri"/>
          <w:b/>
          <w:color w:val="0070C0"/>
          <w:sz w:val="32"/>
        </w:rPr>
        <w:t>5. Spletna javna anketa: Vprašalnik in „Swipen naar de toekomst“</w:t>
      </w:r>
      <w:commentRangeStart w:id="31"/>
      <w:r>
        <w:rPr>
          <w:rFonts w:ascii="Calibri" w:hAnsi="Calibri"/>
          <w:b/>
          <w:color w:val="0070C0"/>
          <w:sz w:val="32"/>
        </w:rPr>
        <w:t>(</w:t>
      </w:r>
      <w:r>
        <w:rPr>
          <w:rFonts w:ascii="Calibri" w:hAnsi="Calibri"/>
          <w:b/>
          <w:color w:val="0070C0"/>
          <w:sz w:val="32"/>
        </w:rPr>
      </w:r>
      <w:commentRangeEnd w:id="31"/>
      <w:r>
        <w:commentReference w:id="31"/>
      </w:r>
      <w:r>
        <w:rPr>
          <w:rFonts w:ascii="Calibri" w:hAnsi="Calibri"/>
          <w:b/>
          <w:color w:val="0070C0"/>
          <w:sz w:val="32"/>
        </w:rPr>
        <w:t xml:space="preserve"> brisalec v prihodnost) </w:t>
      </w:r>
    </w:p>
    <w:p>
      <w:pPr>
        <w:pStyle w:val="P68B1DB1Normal110"/>
        <w:widowControl w:val="false"/>
        <w:spacing w:lineRule="auto" w:line="240"/>
        <w:ind w:left="0" w:right="0" w:hanging="0"/>
        <w:jc w:val="left"/>
        <w:rPr/>
      </w:pPr>
      <w:r>
        <w:rPr>
          <w:sz w:val="21"/>
        </w:rPr>
        <w:t>Anketni vprašalnik odbora je bil odprt tudi za vse Nizozemce, vključno s tistimi, ki prebivajo v tujini. Navedeni vprašalnik je bil na voljo</w:t>
      </w:r>
      <w:r>
        <w:rPr>
          <w:position w:val="6"/>
          <w:sz w:val="14"/>
        </w:rPr>
        <w:t>od</w:t>
      </w:r>
      <w:r>
        <w:rPr>
          <w:sz w:val="21"/>
        </w:rPr>
        <w:t xml:space="preserve"> 1. septembra 2021 do 14. novembra 2021. Poleg tega je lahko v istem obdobju vsak Nizozemec sodeloval v ukrepu „Swipen naar de toekomst“ (Swipen naar de toekomst), spletnemu orodju, v katerem je bilo predstavljenih 20 zahtevkov. </w:t>
      </w:r>
    </w:p>
    <w:p>
      <w:pPr>
        <w:pStyle w:val="P68B1DB1Normal126"/>
        <w:widowControl w:val="false"/>
        <w:spacing w:lineRule="auto" w:line="240" w:before="14" w:after="0"/>
        <w:ind w:left="0" w:right="0" w:hanging="0"/>
        <w:jc w:val="left"/>
        <w:rPr>
          <w:rFonts w:ascii="Calibri" w:hAnsi="Calibri"/>
          <w:color w:val="0070C0"/>
          <w:sz w:val="24"/>
        </w:rPr>
      </w:pPr>
      <w:r>
        <w:rPr/>
        <w:t xml:space="preserve">Odgovori in uporaba </w:t>
      </w:r>
    </w:p>
    <w:p>
      <w:pPr>
        <w:pStyle w:val="P68B1DB1Normal104"/>
        <w:widowControl w:val="false"/>
        <w:spacing w:lineRule="auto" w:line="240"/>
        <w:ind w:left="0" w:right="0" w:hanging="0"/>
        <w:jc w:val="left"/>
        <w:rPr/>
      </w:pPr>
      <w:r>
        <w:rPr/>
        <w:t xml:space="preserve">Vprašalnik je izpolnilo 1.967 udeležencev, na koncu orodja za skeniranje zaslona pa 6.968 udeležencev. Vprašalnik in orodje za skeniranje zaslona sta bila odprta za vse: za sodelovanje ni bilo pogojev ali meril za izbor. V vprašalniku je bilo mogoče odgovoriti na vprašanja (ni bilo obveznih vprašanj), da bi se čim bolj povečala stopnja odgovorov. Udeleženci so se odločili, da se „ne želim odzivati“ veliko pogosteje kot v anketi o predstavniški okrogli mizi. </w:t>
      </w:r>
    </w:p>
    <w:p>
      <w:pPr>
        <w:pStyle w:val="P68B1DB1Normal104"/>
        <w:widowControl w:val="false"/>
        <w:spacing w:lineRule="auto" w:line="240"/>
        <w:ind w:left="0" w:right="0" w:hanging="0"/>
        <w:jc w:val="left"/>
        <w:rPr/>
      </w:pPr>
      <w:r>
        <w:rPr/>
        <w:t xml:space="preserve">Splošne značilnosti udeležencev v odprtem vprašalniku in orodju za skeniranje zaslona se v več pogledih razlikujejo od značilnosti udeležencev v predstavniškem panelu. Za razliko od ankete panela rezultati odprtega vprašalnika in orodja za skeniranje zaslona niso reprezentativni. Rezultati odprte spletne ankete so bili uporabljeni za dopolnitev ankete okrogle mize. Podajajo pregled občutkov in idej, ki krožijo na Nizozemskem. Predlogi za izboljšave, navedeni v poljih za vnos, so bili uporabljeni v razdelku „Razprave in zamisli na spletu in na spletni strani“. Orodje za skeniranje zaslona je bilo uporabljeno za boljše razumevanje nekaterih občutkov, ki krožijo na Nizozemskem. Ti rezultati so bili upoštevani pri pripravi priporočil. Zaradi zahteve po reprezentativnosti so bili rezultati preiskave, ki se je začela na spletu, v tem poročilu v omejenem obsegu upoštevani.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To poročilo je objavilo Ministrstvo za zunanje zadeve.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Sklicevanje na rezultate nacionalnih dogodkov </w:t>
      </w:r>
    </w:p>
    <w:p>
      <w:pPr>
        <w:pStyle w:val="Normal"/>
        <w:widowControl w:val="false"/>
        <w:spacing w:lineRule="auto" w:line="240"/>
        <w:ind w:left="360" w:right="6617" w:hanging="0"/>
        <w:jc w:val="both"/>
        <w:rPr/>
      </w:pPr>
      <w:r>
        <w:rPr>
          <w:rFonts w:ascii="Times New Roman" w:hAnsi="Times New Roman"/>
          <w:color w:val="000000"/>
        </w:rPr>
        <w:t xml:space="preserve">• </w:t>
      </w:r>
      <w:hyperlink r:id="rId118">
        <w:r>
          <w:rPr>
            <w:rStyle w:val="LienInternet"/>
            <w:rFonts w:ascii="Times New Roman" w:hAnsi="Times New Roman"/>
            <w:b/>
            <w:color w:val="0000FF"/>
          </w:rPr>
          <w:t>Belgija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19">
        <w:r>
          <w:rPr>
            <w:rStyle w:val="LienInternet"/>
            <w:rFonts w:ascii="Times New Roman" w:hAnsi="Times New Roman"/>
            <w:b/>
            <w:color w:val="0000FF"/>
          </w:rPr>
          <w:t>Bolgarija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Češka</w:t>
        </w:r>
      </w:hyperlink>
      <w:hyperlink r:id="rId121">
        <w:r>
          <w:rPr>
            <w:rStyle w:val="LienInternet"/>
            <w:rFonts w:ascii="Times New Roman" w:hAnsi="Times New Roman"/>
            <w:b/>
            <w:color w:val="0000FF"/>
          </w:rPr>
          <w:t>republika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2">
        <w:r>
          <w:rPr>
            <w:rStyle w:val="LienInternet"/>
            <w:rFonts w:ascii="Times New Roman" w:hAnsi="Times New Roman"/>
            <w:b/>
            <w:color w:val="0000FF"/>
          </w:rPr>
          <w:t>Danska</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3">
        <w:r>
          <w:rPr>
            <w:rStyle w:val="LienInternet"/>
            <w:rFonts w:ascii="Times New Roman" w:hAnsi="Times New Roman"/>
            <w:b/>
            <w:color w:val="0000FF"/>
          </w:rPr>
          <w:t>V</w:t>
        </w:r>
      </w:hyperlink>
      <w:hyperlink r:id="rId124">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Estonija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6">
        <w:r>
          <w:rPr>
            <w:rStyle w:val="LienInternet"/>
            <w:rFonts w:ascii="Times New Roman" w:hAnsi="Times New Roman"/>
            <w:b/>
            <w:color w:val="0000FF"/>
          </w:rPr>
          <w:t>Irska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7">
        <w:r>
          <w:rPr>
            <w:rStyle w:val="LienInternet"/>
            <w:rFonts w:ascii="Times New Roman" w:hAnsi="Times New Roman"/>
            <w:b/>
            <w:color w:val="0000FF"/>
          </w:rPr>
          <w:t>Grčija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Španija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Francija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Hrvaška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Italija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Slovenija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Latvija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Litva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5">
        <w:r>
          <w:rPr>
            <w:rStyle w:val="LienInternet"/>
            <w:rFonts w:ascii="Times New Roman" w:hAnsi="Times New Roman"/>
            <w:b/>
            <w:color w:val="0000FF"/>
          </w:rPr>
          <w:t>Luksemburg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6">
        <w:r>
          <w:rPr>
            <w:rStyle w:val="LienInternet"/>
            <w:rFonts w:ascii="Times New Roman" w:hAnsi="Times New Roman"/>
            <w:b/>
            <w:color w:val="0000FF"/>
          </w:rPr>
          <w:t>Madžarska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7">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8">
        <w:r>
          <w:rPr>
            <w:rStyle w:val="LienInternet"/>
            <w:rFonts w:ascii="Times New Roman" w:hAnsi="Times New Roman"/>
            <w:b/>
            <w:color w:val="0000FF"/>
          </w:rPr>
          <w:t>Nizozemska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Avstrija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Poljska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Portugalska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Romunija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Slovenija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Slovaška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Finska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Švedska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Sklicevanje na poročilo večjezične digitalne platforme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7">
        <w:r>
          <w:rPr>
            <w:rStyle w:val="LienInternet"/>
            <w:color w:val="0000FF"/>
            <w:sz w:val="24"/>
          </w:rPr>
          <w:t>PL</w:t>
        </w:r>
      </w:hyperlink>
      <w:hyperlink r:id="rId148">
        <w:r>
          <w:rPr>
            <w:rStyle w:val="LienInternet"/>
            <w:color w:val="0000FF"/>
            <w:sz w:val="24"/>
          </w:rPr>
          <w:t>večjezična</w:t>
        </w:r>
      </w:hyperlink>
      <w:hyperlink r:id="rId149">
        <w:r>
          <w:rPr>
            <w:rStyle w:val="LienInternet"/>
            <w:color w:val="0000FF"/>
            <w:sz w:val="24"/>
          </w:rPr>
          <w:t xml:space="preserve">numeforma konference o prihodnosti Evrope – poročilo izfebruarja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Slika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48" descr=""/>
                    <pic:cNvPicPr>
                      <a:picLocks noChangeAspect="1" noChangeArrowheads="1"/>
                    </pic:cNvPicPr>
                  </pic:nvPicPr>
                  <pic:blipFill>
                    <a:blip r:embed="rId150"/>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tiskanje ISBN 978–92–824–8729–7 doi:10.2860/533066 QC-05–22–131-EN-C</w:t>
      </w:r>
    </w:p>
    <w:p>
      <w:pPr>
        <w:pStyle w:val="P68B1DB1Normal132"/>
        <w:widowControl w:val="false"/>
        <w:spacing w:lineRule="exact" w:line="330" w:before="117" w:after="0"/>
        <w:ind w:left="1668" w:right="0" w:firstLine="2132"/>
        <w:jc w:val="right"/>
        <w:rPr/>
      </w:pPr>
      <w:r>
        <w:rPr/>
        <w:t>© Evropska unija, 2022 Ponovna uporaba dovoljena, pod pogojem, da je naveden vir.</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Ta izraz „medevropski“ je zmeden.</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čudno združevanje</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čudno združevanje</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čudno združevanje</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v poševnem tisku v prvotnem poročilu v francoščini</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izvirnik je bil „tovariš“</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Dodal sem „s“ (množina odobrena z davki)</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Dodala sem pomišljaj</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dodajanje velike črke</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Odstranil sem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izvirnik je imel armaturno ploščo; Ne vem, kaj je armaturna plošča; Zato sem od Googla zahteval prevod angleškega besedila, v katerem je navedeno „dashboard“, ki je razumljivo v francoščini.</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Napisala sem veliko črko.</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Dodala sem še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Dodala sem še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izvirnik je bil „referenda“; kot drugje je „referendum“ z naglasi, množina mora biti „referenda“ pri uporabi latinske deklinacije.</w:t>
      </w:r>
    </w:p>
    <w:p>
      <w:r>
        <w:rPr>
          <w:rFonts w:ascii="Times New Roman" w:hAnsi="Times New Roman" w:eastAsia="Segoe UI" w:cs="Tahoma"/>
          <w:color w:val="auto"/>
          <w:kern w:val="0"/>
          <w:sz w:val="24"/>
          <w:szCs w:val="24"/>
          <w:lang w:val="en-US" w:eastAsia="en-US" w:bidi="en-US"/>
        </w:rPr>
        <w:t xml:space="preserve">glej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tam je bil tudi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Original je imel „na seznamih mehanizmov predala“? Ne razumem, zato sem prevedel iz angleške različice.</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Original v francoščini je bil „Spletna stran varuha človekovih pravic je dobro izdelana, vendar ni evropska blagovna znamka“. Izraz „blagovna znamka“ je nerazumljiv. Spletna stran varuha človekovih pravic je dobro izdelana, vendar nima ustrezne evropske „podobe“, zato jo nadomeščam z bolj razumljivim neposrednim prevodom v angleščino.</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izvirnik v francoščini je bil „javen“, ki ni bil odobren s „posvetovanjem“. Ali je šlo za javno posvetovanje ali javno posvetovanje?</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obstajal je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dodane velike črke (komercialna imena)</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nadomesti „la“ z besedo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nadomesti „sprejmi“ z besedo „sprejmi“.</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odstrani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dodajanje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Ne razumem „brisati“</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dodajanje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naslov v dveh tujih jezikih: čudaški</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Priporočila državljanov, na katerih temelji predlog: #3, #17, #18, #19</w:t>
      </w:r>
    </w:p>
  </w:endnote>
  <w:endnote w:id="3">
    <w:p>
      <w:pPr>
        <w:pStyle w:val="Notedefin"/>
        <w:suppressLineNumbers/>
        <w:spacing w:before="57" w:after="57"/>
        <w:ind w:left="339" w:right="0" w:hanging="339"/>
        <w:rPr/>
      </w:pPr>
      <w:r>
        <w:rPr>
          <w:rStyle w:val="Caractresdenotedefin"/>
        </w:rPr>
        <w:endnoteRef/>
      </w:r>
      <w:r>
        <w:rPr/>
        <w:tab/>
      </w:r>
      <w:r>
        <w:rPr/>
        <w:t># = priporočilo evropskih državljanskih forumov.</w:t>
      </w:r>
    </w:p>
  </w:endnote>
  <w:endnote w:id="4">
    <w:p>
      <w:pPr>
        <w:pStyle w:val="Notedefin"/>
        <w:suppressLineNumbers/>
        <w:spacing w:before="57" w:after="57"/>
        <w:ind w:left="339" w:right="0" w:hanging="339"/>
        <w:rPr/>
      </w:pPr>
      <w:r>
        <w:rPr>
          <w:rStyle w:val="Caractresdenotedefin"/>
        </w:rPr>
        <w:endnoteRef/>
      </w:r>
      <w:r>
        <w:rPr/>
        <w:tab/>
      </w:r>
      <w:r>
        <w:rPr/>
        <w:t>Priporočila državljanov, na katerih temelji predlog: #39, #40, #41, #42, #43, NL1, NL2, #51</w:t>
      </w:r>
    </w:p>
  </w:endnote>
  <w:endnote w:id="5">
    <w:p>
      <w:pPr>
        <w:pStyle w:val="Notedefin"/>
        <w:suppressLineNumbers/>
        <w:spacing w:before="57" w:after="57"/>
        <w:ind w:left="339" w:right="0" w:hanging="339"/>
        <w:rPr/>
      </w:pPr>
      <w:r>
        <w:rPr>
          <w:rStyle w:val="Caractresdenotedefin"/>
        </w:rPr>
        <w:endnoteRef/>
      </w:r>
      <w:r>
        <w:rPr/>
        <w:tab/>
      </w:r>
      <w:r>
        <w:rPr/>
        <w:t>Priporočilo nacionalne državljanske okrogle mize</w:t>
      </w:r>
    </w:p>
  </w:endnote>
  <w:endnote w:id="6">
    <w:p>
      <w:pPr>
        <w:pStyle w:val="Notedefin"/>
        <w:suppressLineNumbers/>
        <w:spacing w:before="57" w:after="57"/>
        <w:ind w:left="339" w:right="0" w:hanging="339"/>
        <w:rPr/>
      </w:pPr>
      <w:r>
        <w:rPr>
          <w:rStyle w:val="Caractresdenotedefin"/>
        </w:rPr>
        <w:endnoteRef/>
      </w:r>
      <w:r>
        <w:rPr/>
        <w:tab/>
      </w:r>
      <w:r>
        <w:rPr/>
        <w:t>Priporočila državljanov, na katerih temelji predlog: #44, #45, #46, #47, #50</w:t>
      </w:r>
    </w:p>
  </w:endnote>
  <w:endnote w:id="7">
    <w:p>
      <w:pPr>
        <w:pStyle w:val="Notedefin"/>
        <w:suppressLineNumbers/>
        <w:spacing w:before="57" w:after="57"/>
        <w:ind w:left="339" w:right="0" w:hanging="339"/>
        <w:rPr/>
      </w:pPr>
      <w:r>
        <w:rPr>
          <w:rStyle w:val="Caractresdenotedefin"/>
        </w:rPr>
        <w:endnoteRef/>
      </w:r>
      <w:r>
        <w:rPr/>
        <w:tab/>
      </w:r>
      <w:r>
        <w:rPr/>
        <w:t>Priporočila državljanov, na katerih temelji predlog: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Priporočila nizozemske državljanske okrogle mize se razlikujejo od priporočil evropske državljanske okrogle mize: trdi, da bi morala biti zdravstvena in zdravstvena oskrba v prvi vrsti v nacionalni pristojnosti [NL3].</w:t>
      </w:r>
    </w:p>
  </w:endnote>
  <w:endnote w:id="9">
    <w:p>
      <w:pPr>
        <w:pStyle w:val="Notedefin"/>
        <w:suppressLineNumbers/>
        <w:spacing w:before="57" w:after="57"/>
        <w:ind w:left="339" w:right="0" w:hanging="339"/>
        <w:rPr/>
      </w:pPr>
      <w:r>
        <w:rPr>
          <w:rStyle w:val="Caractresdenotedefin"/>
        </w:rPr>
        <w:endnoteRef/>
      </w:r>
      <w:r>
        <w:rPr/>
        <w:tab/>
      </w:r>
      <w:r>
        <w:rPr/>
        <w:t>Priporočila državljanov, na katerih temelji predlog: Okrogla miza za evropske državljane 1: 9, 10, 11, 12, 14; Nizozemska: 1; Italija: 1.1; Litva: 3, 8.</w:t>
      </w:r>
    </w:p>
  </w:endnote>
  <w:endnote w:id="10">
    <w:p>
      <w:pPr>
        <w:pStyle w:val="Notedefin"/>
        <w:suppressLineNumbers/>
        <w:spacing w:before="57" w:after="57"/>
        <w:ind w:left="339" w:right="0" w:hanging="339"/>
        <w:rPr/>
      </w:pPr>
      <w:r>
        <w:rPr>
          <w:rStyle w:val="Caractresdenotedefin"/>
        </w:rPr>
        <w:endnoteRef/>
      </w:r>
      <w:r>
        <w:rPr/>
        <w:tab/>
      </w:r>
      <w:r>
        <w:rPr/>
        <w:t>Priporočila državljanov, na katerih temelji predlog: Okrogla miza za evropske državljane 1: 10, 11 in 14; Nemčija: 2.1, 2.2; Nizozemska: 1, 2; Francija: 3, 9; Italija: 1,2, 1.3, 1.4, 1.5, 2.1, 2.2, 2,4, 4.a.2, 6.1; Litva: 1, 7.</w:t>
      </w:r>
    </w:p>
  </w:endnote>
  <w:endnote w:id="11">
    <w:p>
      <w:pPr>
        <w:pStyle w:val="Notedefin"/>
        <w:suppressLineNumbers/>
        <w:spacing w:before="57" w:after="57"/>
        <w:ind w:left="339" w:right="0" w:hanging="339"/>
        <w:rPr/>
      </w:pPr>
      <w:r>
        <w:rPr>
          <w:rStyle w:val="Caractresdenotedefin"/>
        </w:rPr>
        <w:endnoteRef/>
      </w:r>
      <w:r>
        <w:rPr/>
        <w:tab/>
      </w:r>
      <w:r>
        <w:rPr/>
        <w:t>Priporočila državljanov, na katerih temelji predlog: Okrogla miza za evropske državljane 1: 1, 2, 7, 28, 30; Nemčija: 4.1, 4.2; Nizozemska: 4; Francija: 6; Italija: 5.a.1, 5.a.4, 6.1, 6.2.</w:t>
      </w:r>
    </w:p>
  </w:endnote>
  <w:endnote w:id="12">
    <w:p>
      <w:pPr>
        <w:pStyle w:val="Notedefin"/>
        <w:suppressLineNumbers/>
        <w:spacing w:before="57" w:after="57"/>
        <w:ind w:left="339" w:right="0" w:hanging="339"/>
        <w:rPr/>
      </w:pPr>
      <w:r>
        <w:rPr>
          <w:rStyle w:val="Caractresdenotedefin"/>
        </w:rPr>
        <w:endnoteRef/>
      </w:r>
      <w:r>
        <w:rPr/>
        <w:tab/>
      </w:r>
      <w:r>
        <w:rPr/>
        <w:t>Priporočila državljanov, na katerih temelji predlog: Okrogla miza za evropske državljane 1: 19, 20, 21, 25; Italija: 4.a.1.</w:t>
      </w:r>
    </w:p>
  </w:endnote>
  <w:endnote w:id="13">
    <w:p>
      <w:pPr>
        <w:pStyle w:val="Notedefin"/>
        <w:suppressLineNumbers/>
        <w:spacing w:before="57" w:after="57"/>
        <w:ind w:left="339" w:right="0" w:hanging="339"/>
        <w:rPr/>
      </w:pPr>
      <w:r>
        <w:rPr>
          <w:rStyle w:val="Caractresdenotedefin"/>
        </w:rPr>
        <w:endnoteRef/>
      </w:r>
      <w:r>
        <w:rPr/>
        <w:tab/>
        <w:t xml:space="preserve"> </w:t>
      </w:r>
      <w:r>
        <w:rPr/>
        <w:t>Priporočila državljanov, na katerih temelji predlog: Okrogla miza za evropske državljane 1: 21, 22, 23, 26, 27; Italija: 5.a.1.</w:t>
      </w:r>
    </w:p>
  </w:endnote>
  <w:endnote w:id="14">
    <w:p>
      <w:pPr>
        <w:pStyle w:val="Notedefin"/>
        <w:suppressLineNumbers/>
        <w:spacing w:before="57" w:after="57"/>
        <w:ind w:left="339" w:right="0" w:hanging="339"/>
        <w:rPr/>
      </w:pPr>
      <w:r>
        <w:rPr>
          <w:rStyle w:val="Caractresdenotedefin"/>
        </w:rPr>
        <w:endnoteRef/>
      </w:r>
      <w:r>
        <w:rPr/>
        <w:tab/>
        <w:t xml:space="preserve"> </w:t>
      </w:r>
      <w:r>
        <w:rPr/>
        <w:t>Priporočila državljanov, na katerih temelji predlog: Okrogla miza za evropske državljane 1: 13, 31; Nizozemska: 2.3; Italija: 4.b.3, 4.b.6; Litva: 9, 10.</w:t>
      </w:r>
    </w:p>
  </w:endnote>
  <w:endnote w:id="15">
    <w:p>
      <w:pPr>
        <w:pStyle w:val="Notedefin"/>
        <w:suppressLineNumbers/>
        <w:spacing w:before="57" w:after="57"/>
        <w:ind w:left="339" w:right="0" w:hanging="339"/>
        <w:rPr/>
      </w:pPr>
      <w:r>
        <w:rPr>
          <w:rStyle w:val="Caractresdenotedefin"/>
        </w:rPr>
        <w:endnoteRef/>
      </w:r>
      <w:r>
        <w:rPr/>
        <w:tab/>
      </w:r>
      <w:r>
        <w:rPr/>
        <w:t>Na podlagi razprav delovne skupine in plenarnega zasedanja.</w:t>
      </w:r>
    </w:p>
  </w:endnote>
  <w:endnote w:id="16">
    <w:p>
      <w:pPr>
        <w:pStyle w:val="Notedefin"/>
        <w:suppressLineNumbers/>
        <w:spacing w:before="57" w:after="57"/>
        <w:ind w:left="339" w:right="0" w:hanging="339"/>
        <w:rPr/>
      </w:pPr>
      <w:r>
        <w:rPr>
          <w:rStyle w:val="Caractresdenotedefin"/>
        </w:rPr>
        <w:endnoteRef/>
      </w:r>
      <w:r>
        <w:rPr/>
        <w:tab/>
      </w:r>
      <w:r>
        <w:rPr/>
        <w:t>Glej Priporočilo št. 1 ECP4, Priporočilo št. 2 nacionalne kontaktne točke Nemčije, Svet 1 „EU v svetu“, in italijansko nacionalno kontaktno točko, skupina 2, rec. 1, ki je bila razvita v okviru delovne skupine.</w:t>
      </w:r>
    </w:p>
  </w:endnote>
  <w:endnote w:id="17">
    <w:p>
      <w:pPr>
        <w:pStyle w:val="Notedefin"/>
        <w:suppressLineNumbers/>
        <w:spacing w:before="57" w:after="57"/>
        <w:ind w:left="339" w:right="0" w:hanging="339"/>
        <w:rPr/>
      </w:pPr>
      <w:r>
        <w:rPr>
          <w:rStyle w:val="Caractresdenotedefin"/>
        </w:rPr>
        <w:endnoteRef/>
      </w:r>
      <w:r>
        <w:rPr/>
        <w:tab/>
      </w:r>
      <w:r>
        <w:rPr/>
        <w:t>Glej priporočilo 4 ECP4 in priporočili 5 in 6 nacionalne kontaktne točke Italije, skupina 2, pripravljena v okviru delovne skupine.</w:t>
      </w:r>
    </w:p>
  </w:endnote>
  <w:endnote w:id="18">
    <w:p>
      <w:pPr>
        <w:pStyle w:val="Notedefin"/>
        <w:suppressLineNumbers/>
        <w:spacing w:before="57" w:after="57"/>
        <w:ind w:left="339" w:right="0" w:hanging="339"/>
        <w:rPr/>
      </w:pPr>
      <w:r>
        <w:rPr>
          <w:rStyle w:val="Caractresdenotedefin"/>
        </w:rPr>
        <w:endnoteRef/>
      </w:r>
      <w:r>
        <w:rPr/>
        <w:tab/>
      </w:r>
      <w:r>
        <w:rPr/>
        <w:t xml:space="preserve">Glej digitalno platformo in priporočili 2 in 3 italijanske nacionalne kontaktne točke, skupina 2, razvita v okviru delovne skupine,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Glej priporočilo 14 ECP 4, ki ga je pripravila delovna skupina.</w:t>
      </w:r>
    </w:p>
  </w:endnote>
  <w:endnote w:id="20">
    <w:p>
      <w:pPr>
        <w:pStyle w:val="Notedefin"/>
        <w:suppressLineNumbers/>
        <w:spacing w:before="57" w:after="57"/>
        <w:ind w:left="339" w:right="0" w:hanging="339"/>
        <w:rPr/>
      </w:pPr>
      <w:r>
        <w:rPr>
          <w:rStyle w:val="Caractresdenotedefin"/>
        </w:rPr>
        <w:endnoteRef/>
      </w:r>
      <w:r>
        <w:rPr/>
        <w:tab/>
      </w:r>
      <w:r>
        <w:rPr/>
        <w:t>Glej Priporočilo št. 2 ECP4 in Priporočilo št. 4 italijanske nacionalne kontaktne točke, skupina 2, pripravljena v okviru delovne skupine.</w:t>
      </w:r>
    </w:p>
  </w:endnote>
  <w:endnote w:id="21">
    <w:p>
      <w:pPr>
        <w:pStyle w:val="Notedefin"/>
        <w:suppressLineNumbers/>
        <w:spacing w:before="57" w:after="57"/>
        <w:ind w:left="339" w:right="0" w:hanging="339"/>
        <w:rPr/>
      </w:pPr>
      <w:r>
        <w:rPr>
          <w:rStyle w:val="Caractresdenotedefin"/>
        </w:rPr>
        <w:endnoteRef/>
      </w:r>
      <w:r>
        <w:rPr/>
        <w:tab/>
      </w:r>
      <w:r>
        <w:rPr/>
        <w:t>Glej Priporočilo št. 17 ECP4 in Priporočilo št. 4 italijanske nacionalne kontaktne točke, skupina 2, pripravljena v okviru delovne skupine.</w:t>
      </w:r>
    </w:p>
  </w:endnote>
  <w:endnote w:id="22">
    <w:p>
      <w:pPr>
        <w:pStyle w:val="Notedefin"/>
        <w:suppressLineNumbers/>
        <w:spacing w:before="57" w:after="57"/>
        <w:ind w:left="339" w:right="0" w:hanging="339"/>
        <w:rPr/>
      </w:pPr>
      <w:r>
        <w:rPr>
          <w:rStyle w:val="Caractresdenotedefin"/>
        </w:rPr>
        <w:endnoteRef/>
      </w:r>
      <w:r>
        <w:rPr/>
        <w:tab/>
      </w:r>
      <w:r>
        <w:rPr/>
        <w:t>Glej priporočilo 1 nacionalne kontaktne točke Nemčije, panel 1 „EU v svetu“, ki ga je razvila delovna skupina.</w:t>
      </w:r>
    </w:p>
  </w:endnote>
  <w:endnote w:id="23">
    <w:p>
      <w:pPr>
        <w:pStyle w:val="Notedefin"/>
        <w:suppressLineNumbers/>
        <w:spacing w:before="57" w:after="57"/>
        <w:ind w:left="339" w:right="0" w:hanging="339"/>
        <w:rPr/>
      </w:pPr>
      <w:r>
        <w:rPr>
          <w:rStyle w:val="Caractresdenotedefin"/>
        </w:rPr>
        <w:endnoteRef/>
      </w:r>
      <w:r>
        <w:rPr/>
        <w:tab/>
      </w:r>
      <w:r>
        <w:rPr/>
        <w:t>Glej priporočilo 3 ECP 4, ki ga je pripravila delovna skupina.</w:t>
      </w:r>
    </w:p>
  </w:endnote>
  <w:endnote w:id="24">
    <w:p>
      <w:pPr>
        <w:pStyle w:val="Notedefin"/>
        <w:suppressLineNumbers/>
        <w:spacing w:before="57" w:after="57"/>
        <w:ind w:left="339" w:right="0" w:hanging="339"/>
        <w:rPr/>
      </w:pPr>
      <w:r>
        <w:rPr>
          <w:rStyle w:val="Caractresdenotedefin"/>
        </w:rPr>
        <w:endnoteRef/>
      </w:r>
      <w:r>
        <w:rPr/>
        <w:tab/>
      </w:r>
      <w:r>
        <w:rPr/>
        <w:t>Glej priporočilo 11 ECP 4, ki ga je pripravila delovna skupina.</w:t>
      </w:r>
    </w:p>
  </w:endnote>
  <w:endnote w:id="25">
    <w:p>
      <w:pPr>
        <w:pStyle w:val="Notedefin"/>
        <w:suppressLineNumbers/>
        <w:spacing w:before="57" w:after="57"/>
        <w:ind w:left="339" w:right="0" w:hanging="339"/>
        <w:rPr/>
      </w:pPr>
      <w:r>
        <w:rPr>
          <w:rStyle w:val="Caractresdenotedefin"/>
        </w:rPr>
        <w:endnoteRef/>
      </w:r>
      <w:r>
        <w:rPr/>
        <w:tab/>
      </w:r>
      <w:r>
        <w:rPr/>
        <w:t>Glej priporočilo 13 ECP 4, ki ga je pripravila delovna skupina.</w:t>
      </w:r>
    </w:p>
  </w:endnote>
  <w:endnote w:id="26">
    <w:p>
      <w:pPr>
        <w:pStyle w:val="Notedefin"/>
        <w:suppressLineNumbers/>
        <w:spacing w:before="57" w:after="57"/>
        <w:ind w:left="339" w:right="0" w:hanging="339"/>
        <w:rPr/>
      </w:pPr>
      <w:r>
        <w:rPr>
          <w:rStyle w:val="Caractresdenotedefin"/>
        </w:rPr>
        <w:endnoteRef/>
      </w:r>
      <w:r>
        <w:rPr/>
        <w:tab/>
      </w:r>
      <w:r>
        <w:rPr/>
        <w:t>Glej priporočilo 15 ECP 4, ki ga je pripravila delovna skupina.</w:t>
      </w:r>
    </w:p>
  </w:endnote>
  <w:endnote w:id="27">
    <w:p>
      <w:pPr>
        <w:pStyle w:val="Notedefin"/>
        <w:suppressLineNumbers/>
        <w:spacing w:before="57" w:after="57"/>
        <w:ind w:left="339" w:right="0" w:hanging="339"/>
        <w:rPr/>
      </w:pPr>
      <w:r>
        <w:rPr>
          <w:rStyle w:val="Caractresdenotedefin"/>
        </w:rPr>
        <w:endnoteRef/>
      </w:r>
      <w:r>
        <w:rPr/>
        <w:tab/>
      </w:r>
      <w:r>
        <w:rPr/>
        <w:t>Glej priporočilo 16 ECP 4, ki ga je pripravila delovna skupina.</w:t>
      </w:r>
    </w:p>
  </w:endnote>
  <w:endnote w:id="28">
    <w:p>
      <w:pPr>
        <w:pStyle w:val="Notedefin"/>
        <w:suppressLineNumbers/>
        <w:spacing w:before="57" w:after="57"/>
        <w:ind w:left="339" w:right="0" w:hanging="339"/>
        <w:rPr/>
      </w:pPr>
      <w:r>
        <w:rPr>
          <w:rStyle w:val="Caractresdenotedefin"/>
        </w:rPr>
        <w:endnoteRef/>
      </w:r>
      <w:r>
        <w:rPr/>
        <w:tab/>
      </w:r>
      <w:r>
        <w:rPr/>
        <w:t>Glej priporočilo 12 ECP 4, ki ga je pripravila delovna skupina.</w:t>
      </w:r>
    </w:p>
  </w:endnote>
  <w:endnote w:id="29">
    <w:p>
      <w:pPr>
        <w:pStyle w:val="Notedefin"/>
        <w:suppressLineNumbers/>
        <w:spacing w:before="57" w:after="57"/>
        <w:ind w:left="339" w:right="0" w:hanging="339"/>
        <w:rPr/>
      </w:pPr>
      <w:r>
        <w:rPr>
          <w:rStyle w:val="Caractresdenotedefin"/>
        </w:rPr>
        <w:endnoteRef/>
      </w:r>
      <w:r>
        <w:rPr/>
        <w:tab/>
      </w:r>
      <w:r>
        <w:rPr/>
        <w:t>Glej priporočilo 21 ECP 4, ki ga je pripravila delovna skupina.</w:t>
      </w:r>
    </w:p>
  </w:endnote>
  <w:endnote w:id="30">
    <w:p>
      <w:pPr>
        <w:pStyle w:val="Notedefin"/>
        <w:suppressLineNumbers/>
        <w:spacing w:before="57" w:after="57"/>
        <w:ind w:left="339" w:right="0" w:hanging="339"/>
        <w:rPr/>
      </w:pPr>
      <w:r>
        <w:rPr>
          <w:rStyle w:val="Caractresdenotedefin"/>
        </w:rPr>
        <w:endnoteRef/>
      </w:r>
      <w:r>
        <w:rPr/>
        <w:tab/>
      </w:r>
      <w:r>
        <w:rPr/>
        <w:t>Oglejte si digitalno platformo, razvito v okviru delovne skupine.</w:t>
      </w:r>
    </w:p>
  </w:endnote>
  <w:endnote w:id="31">
    <w:p>
      <w:pPr>
        <w:pStyle w:val="Notedefin"/>
        <w:suppressLineNumbers/>
        <w:spacing w:before="57" w:after="57"/>
        <w:ind w:left="339" w:right="0" w:hanging="339"/>
        <w:rPr/>
      </w:pPr>
      <w:r>
        <w:rPr>
          <w:rStyle w:val="Caractresdenotedefin"/>
        </w:rPr>
        <w:endnoteRef/>
      </w:r>
      <w:r>
        <w:rPr/>
        <w:tab/>
      </w:r>
      <w:r>
        <w:rPr/>
        <w:t>Oglejte si digitalno platformo, razvito v okviru delovne skupine.</w:t>
      </w:r>
    </w:p>
  </w:endnote>
  <w:endnote w:id="32">
    <w:p>
      <w:pPr>
        <w:pStyle w:val="Notedefin"/>
        <w:suppressLineNumbers/>
        <w:spacing w:before="57" w:after="57"/>
        <w:ind w:left="339" w:right="0" w:hanging="339"/>
        <w:rPr/>
      </w:pPr>
      <w:r>
        <w:rPr>
          <w:rStyle w:val="Caractresdenotedefin"/>
        </w:rPr>
        <w:endnoteRef/>
      </w:r>
      <w:r>
        <w:rPr/>
        <w:tab/>
      </w:r>
      <w:r>
        <w:rPr/>
        <w:t>Glej priporočilo 26 ECP 4, ki ga je pripravila delovna skupina.</w:t>
      </w:r>
    </w:p>
  </w:endnote>
  <w:endnote w:id="33">
    <w:p>
      <w:pPr>
        <w:pStyle w:val="Notedefin"/>
        <w:suppressLineNumbers/>
        <w:spacing w:before="57" w:after="57"/>
        <w:ind w:left="339" w:right="0" w:hanging="339"/>
        <w:rPr/>
      </w:pPr>
      <w:r>
        <w:rPr>
          <w:rStyle w:val="Caractresdenotedefin"/>
        </w:rPr>
        <w:endnoteRef/>
      </w:r>
      <w:r>
        <w:rPr/>
        <w:tab/>
      </w:r>
      <w:r>
        <w:rPr/>
        <w:t>Glej priporočilo 18 ECP 4, ki ga je pripravila delovna skupina.</w:t>
      </w:r>
    </w:p>
  </w:endnote>
  <w:endnote w:id="34">
    <w:p>
      <w:pPr>
        <w:pStyle w:val="Notedefin"/>
        <w:suppressLineNumbers/>
        <w:spacing w:before="57" w:after="57"/>
        <w:ind w:left="339" w:right="0" w:hanging="339"/>
        <w:rPr/>
      </w:pPr>
      <w:r>
        <w:rPr>
          <w:rStyle w:val="Caractresdenotedefin"/>
        </w:rPr>
        <w:endnoteRef/>
      </w:r>
      <w:r>
        <w:rPr/>
        <w:tab/>
      </w:r>
      <w:r>
        <w:rPr/>
        <w:t>Glej priporočilo 19 ECP 4, ki ga je pripravila delovna skupina.</w:t>
      </w:r>
    </w:p>
  </w:endnote>
  <w:endnote w:id="35">
    <w:p>
      <w:pPr>
        <w:pStyle w:val="Notedefin"/>
        <w:suppressLineNumbers/>
        <w:spacing w:before="57" w:after="57"/>
        <w:ind w:left="339" w:right="0" w:hanging="339"/>
        <w:rPr/>
      </w:pPr>
      <w:r>
        <w:rPr>
          <w:rStyle w:val="Caractresdenotedefin"/>
        </w:rPr>
        <w:endnoteRef/>
      </w:r>
      <w:r>
        <w:rPr/>
        <w:tab/>
      </w:r>
      <w:r>
        <w:rPr/>
        <w:t>Glej priporočilo 19 ECP 4, ki ga je pripravila delovna skupina.</w:t>
      </w:r>
    </w:p>
  </w:endnote>
  <w:endnote w:id="36">
    <w:p>
      <w:pPr>
        <w:pStyle w:val="Notedefin"/>
        <w:suppressLineNumbers/>
        <w:spacing w:before="57" w:after="57"/>
        <w:ind w:left="339" w:right="0" w:hanging="339"/>
        <w:rPr/>
      </w:pPr>
      <w:r>
        <w:rPr>
          <w:rStyle w:val="Caractresdenotedefin"/>
        </w:rPr>
        <w:endnoteRef/>
      </w:r>
      <w:r>
        <w:rPr/>
        <w:tab/>
      </w:r>
      <w:r>
        <w:rPr/>
        <w:t>Glej priporočilo 25 ECP 4.</w:t>
      </w:r>
    </w:p>
  </w:endnote>
  <w:endnote w:id="37">
    <w:p>
      <w:pPr>
        <w:pStyle w:val="Notedefin"/>
        <w:suppressLineNumbers/>
        <w:spacing w:before="57" w:after="57"/>
        <w:ind w:left="339" w:right="0" w:hanging="339"/>
        <w:rPr/>
      </w:pPr>
      <w:r>
        <w:rPr>
          <w:rStyle w:val="Caractresdenotedefin"/>
        </w:rPr>
        <w:endnoteRef/>
      </w:r>
      <w:r>
        <w:rPr/>
        <w:tab/>
      </w:r>
      <w:r>
        <w:rPr/>
        <w:t>Na podlagi razprav delovne skupine in plenarnega zasedanja.</w:t>
      </w:r>
    </w:p>
  </w:endnote>
  <w:endnote w:id="38">
    <w:p>
      <w:pPr>
        <w:pStyle w:val="Notedefin"/>
        <w:suppressLineNumbers/>
        <w:spacing w:before="57" w:after="57"/>
        <w:ind w:left="339" w:right="0" w:hanging="339"/>
        <w:rPr/>
      </w:pPr>
      <w:r>
        <w:rPr>
          <w:rStyle w:val="Caractresdenotedefin"/>
        </w:rPr>
        <w:endnoteRef/>
      </w:r>
      <w:r>
        <w:rPr/>
        <w:tab/>
      </w:r>
      <w:r>
        <w:rPr/>
        <w:t>Glej spremembo 2 francoskega nacionalnega odbora/dogodkov.</w:t>
      </w:r>
    </w:p>
  </w:endnote>
  <w:endnote w:id="39">
    <w:p>
      <w:pPr>
        <w:pStyle w:val="Notedefin"/>
        <w:suppressLineNumbers/>
        <w:spacing w:before="57" w:after="57"/>
        <w:ind w:left="339" w:right="0" w:hanging="339"/>
        <w:rPr/>
      </w:pPr>
      <w:r>
        <w:rPr>
          <w:rStyle w:val="Caractresdenotedefin"/>
        </w:rPr>
        <w:endnoteRef/>
      </w:r>
      <w:r>
        <w:rPr/>
        <w:tab/>
      </w:r>
      <w:r>
        <w:rPr/>
        <w:t>Glej Priporočilo 20 ECP4 in Priporočilo št. 7 Italije, skupina 2 NKT, razvito v okviru delovne skupine.</w:t>
      </w:r>
    </w:p>
  </w:endnote>
  <w:endnote w:id="40">
    <w:p>
      <w:pPr>
        <w:pStyle w:val="Notedefin"/>
        <w:suppressLineNumbers/>
        <w:spacing w:before="57" w:after="57"/>
        <w:ind w:left="339" w:right="0" w:hanging="339"/>
        <w:rPr/>
      </w:pPr>
      <w:r>
        <w:rPr>
          <w:rStyle w:val="Caractresdenotedefin"/>
        </w:rPr>
        <w:endnoteRef/>
      </w:r>
      <w:r>
        <w:rPr/>
        <w:tab/>
      </w:r>
      <w:r>
        <w:rPr/>
        <w:t>Glej spremembo 2 francoskega nacionalnega odbora za državljane.</w:t>
      </w:r>
    </w:p>
  </w:endnote>
  <w:endnote w:id="41">
    <w:p>
      <w:pPr>
        <w:pStyle w:val="Notedefin"/>
        <w:suppressLineNumbers/>
        <w:spacing w:before="57" w:after="57"/>
        <w:ind w:left="339" w:right="0" w:hanging="339"/>
        <w:rPr/>
      </w:pPr>
      <w:r>
        <w:rPr>
          <w:rStyle w:val="Caractresdenotedefin"/>
        </w:rPr>
        <w:endnoteRef/>
      </w:r>
      <w:r>
        <w:rPr/>
        <w:tab/>
      </w:r>
      <w:r>
        <w:rPr/>
        <w:t>Glej Priporočilo 24 ECP4 in Priporočilo št. 7 Italije, skupina 2 NKT, razvito v okviru delovne skupine.</w:t>
      </w:r>
    </w:p>
  </w:endnote>
  <w:endnote w:id="42">
    <w:p>
      <w:pPr>
        <w:pStyle w:val="Notedefin"/>
        <w:suppressLineNumbers/>
        <w:spacing w:before="57" w:after="57"/>
        <w:ind w:left="339" w:right="0" w:hanging="339"/>
        <w:rPr/>
      </w:pPr>
      <w:r>
        <w:rPr>
          <w:rStyle w:val="Caractresdenotedefin"/>
        </w:rPr>
        <w:endnoteRef/>
      </w:r>
      <w:r>
        <w:rPr/>
        <w:tab/>
      </w:r>
      <w:r>
        <w:rPr/>
        <w:t>Glej priporočilo 22 ECP 4, ki ga je pripravila delovna skupina.</w:t>
      </w:r>
    </w:p>
  </w:endnote>
  <w:endnote w:id="43">
    <w:p>
      <w:pPr>
        <w:pStyle w:val="Notedefin"/>
        <w:suppressLineNumbers/>
        <w:spacing w:before="57" w:after="57"/>
        <w:ind w:left="339" w:right="0" w:hanging="339"/>
        <w:rPr/>
      </w:pPr>
      <w:r>
        <w:rPr>
          <w:rStyle w:val="Caractresdenotedefin"/>
        </w:rPr>
        <w:endnoteRef/>
      </w:r>
      <w:r>
        <w:rPr/>
        <w:tab/>
      </w:r>
      <w:r>
        <w:rPr/>
        <w:t>Glej priporočilo št. 1 o EU v svetu nizozemskega nacionalnega odbora državljanov, ki ga je pripravila delovna skupina.</w:t>
      </w:r>
    </w:p>
  </w:endnote>
  <w:endnote w:id="44">
    <w:p>
      <w:pPr>
        <w:pStyle w:val="Notedefin"/>
        <w:suppressLineNumbers/>
        <w:spacing w:before="57" w:after="57"/>
        <w:ind w:left="339" w:right="0" w:hanging="339"/>
        <w:rPr/>
      </w:pPr>
      <w:r>
        <w:rPr>
          <w:rStyle w:val="Caractresdenotedefin"/>
        </w:rPr>
        <w:endnoteRef/>
      </w:r>
      <w:r>
        <w:rPr/>
        <w:tab/>
      </w:r>
      <w:r>
        <w:rPr/>
        <w:t>Glej digitalno platformo in razprave na plenarnih zasedanjih, ki jih je razvila delovna skupina.</w:t>
      </w:r>
    </w:p>
  </w:endnote>
  <w:endnote w:id="45">
    <w:p>
      <w:pPr>
        <w:pStyle w:val="Notedefin"/>
        <w:suppressLineNumbers/>
        <w:spacing w:before="57" w:after="57"/>
        <w:ind w:left="339" w:right="0" w:hanging="339"/>
        <w:rPr/>
      </w:pPr>
      <w:r>
        <w:rPr>
          <w:rStyle w:val="Caractresdenotedefin"/>
        </w:rPr>
        <w:endnoteRef/>
      </w:r>
      <w:r>
        <w:rPr/>
        <w:tab/>
      </w:r>
      <w:r>
        <w:rPr/>
        <w:t>Oglejte si digitalno platformo, razvito v okviru delovne skupine.</w:t>
      </w:r>
    </w:p>
  </w:endnote>
  <w:endnote w:id="46">
    <w:p>
      <w:pPr>
        <w:pStyle w:val="Notedefin"/>
        <w:suppressLineNumbers/>
        <w:spacing w:before="57" w:after="57"/>
        <w:ind w:left="339" w:right="0" w:hanging="339"/>
        <w:rPr/>
      </w:pPr>
      <w:r>
        <w:rPr>
          <w:rStyle w:val="Caractresdenotedefin"/>
        </w:rPr>
        <w:endnoteRef/>
      </w:r>
      <w:r>
        <w:rPr/>
        <w:tab/>
      </w:r>
      <w:r>
        <w:rPr/>
        <w:t>Priporočila državljanov, na katerih temelji predlog: Okrogla miza evropskih državljanov 2 (CEP 2) 10, 11, 14, 30; Belgijska nacionalna državljanska okrogla miza: 1.3.1, 1.4.2, 1.4.3; Nemški NCP: 5.1, 5.2; Nizozemska nacionalna kontaktna točka: 1.2.</w:t>
      </w:r>
    </w:p>
  </w:endnote>
  <w:endnote w:id="47">
    <w:p>
      <w:pPr>
        <w:pStyle w:val="Notedefin"/>
        <w:suppressLineNumbers/>
        <w:spacing w:before="57" w:after="57"/>
        <w:ind w:left="339" w:right="0" w:hanging="339"/>
        <w:rPr/>
      </w:pPr>
      <w:r>
        <w:rPr>
          <w:rStyle w:val="Caractresdenotedefin"/>
        </w:rPr>
        <w:endnoteRef/>
      </w:r>
      <w:r>
        <w:rPr/>
        <w:tab/>
      </w:r>
      <w:r>
        <w:rPr/>
        <w:t>Priporočilo 14 ECP2. Priporočila 1.3.1, 1.4.2 in 1.4.3 belgijske nacionalne kontaktne točke in 1.2 nizozemske nacionalne kontaktne točke.</w:t>
      </w:r>
    </w:p>
  </w:endnote>
  <w:endnote w:id="48">
    <w:p>
      <w:pPr>
        <w:pStyle w:val="Notedefin"/>
        <w:suppressLineNumbers/>
        <w:spacing w:before="57" w:after="57"/>
        <w:ind w:left="339" w:right="0" w:hanging="339"/>
        <w:rPr/>
      </w:pPr>
      <w:r>
        <w:rPr>
          <w:rStyle w:val="Caractresdenotedefin"/>
        </w:rPr>
        <w:endnoteRef/>
      </w:r>
      <w:r>
        <w:rPr/>
        <w:tab/>
      </w:r>
      <w:r>
        <w:rPr/>
        <w:t>Priporočilo ECP št. 112. Priporočili 5.1 in 5.2 nemške nacionalne kontaktne točke. Razprava v delovni skupini.</w:t>
      </w:r>
    </w:p>
  </w:endnote>
  <w:endnote w:id="49">
    <w:p>
      <w:pPr>
        <w:pStyle w:val="Notedefin"/>
        <w:suppressLineNumbers/>
        <w:spacing w:before="57" w:after="57"/>
        <w:ind w:left="339" w:right="0" w:hanging="339"/>
        <w:rPr/>
      </w:pPr>
      <w:r>
        <w:rPr>
          <w:rStyle w:val="Caractresdenotedefin"/>
        </w:rPr>
        <w:endnoteRef/>
      </w:r>
      <w:r>
        <w:rPr/>
        <w:tab/>
      </w:r>
      <w:r>
        <w:rPr/>
        <w:t>Priporočilo ECP št. 112. Razprava v delovni skupini. Razprava na plenarnem zasedanju.</w:t>
      </w:r>
    </w:p>
  </w:endnote>
  <w:endnote w:id="50">
    <w:p>
      <w:pPr>
        <w:pStyle w:val="Notedefin"/>
        <w:suppressLineNumbers/>
        <w:spacing w:before="57" w:after="57"/>
        <w:ind w:left="339" w:right="0" w:hanging="339"/>
        <w:rPr/>
      </w:pPr>
      <w:r>
        <w:rPr>
          <w:rStyle w:val="Caractresdenotedefin"/>
        </w:rPr>
        <w:endnoteRef/>
      </w:r>
      <w:r>
        <w:rPr/>
        <w:tab/>
      </w:r>
      <w:r>
        <w:rPr/>
        <w:t>Priporočilo 10 ECP2.</w:t>
      </w:r>
    </w:p>
  </w:endnote>
  <w:endnote w:id="51">
    <w:p>
      <w:pPr>
        <w:pStyle w:val="Notedefin"/>
        <w:suppressLineNumbers/>
        <w:spacing w:before="57" w:after="57"/>
        <w:ind w:left="339" w:right="0" w:hanging="339"/>
        <w:rPr/>
      </w:pPr>
      <w:r>
        <w:rPr>
          <w:rStyle w:val="Caractresdenotedefin"/>
        </w:rPr>
        <w:endnoteRef/>
      </w:r>
      <w:r>
        <w:rPr/>
        <w:tab/>
      </w:r>
      <w:r>
        <w:rPr/>
        <w:t>Priporočilo ECP št. 302.</w:t>
      </w:r>
    </w:p>
  </w:endnote>
  <w:endnote w:id="52">
    <w:p>
      <w:pPr>
        <w:pStyle w:val="Notedefin"/>
        <w:suppressLineNumbers/>
        <w:spacing w:before="57" w:after="57"/>
        <w:ind w:left="339" w:right="0" w:hanging="339"/>
        <w:rPr/>
      </w:pPr>
      <w:r>
        <w:rPr>
          <w:rStyle w:val="Caractresdenotedefin"/>
        </w:rPr>
        <w:endnoteRef/>
      </w:r>
      <w:r>
        <w:rPr/>
        <w:tab/>
      </w:r>
      <w:r>
        <w:rPr/>
        <w:t>Priporočila državljanov, na katerih temelji predlog: PCE2: 7, 8, 9; Nizozemska nacionalna kontaktna točka: 1.3, 4.3.</w:t>
      </w:r>
    </w:p>
  </w:endnote>
  <w:endnote w:id="53">
    <w:p>
      <w:pPr>
        <w:pStyle w:val="Notedefin"/>
        <w:suppressLineNumbers/>
        <w:spacing w:before="57" w:after="57"/>
        <w:ind w:left="339" w:right="0" w:hanging="339"/>
        <w:rPr/>
      </w:pPr>
      <w:r>
        <w:rPr>
          <w:rStyle w:val="Caractresdenotedefin"/>
        </w:rPr>
        <w:endnoteRef/>
      </w:r>
      <w:r>
        <w:rPr/>
        <w:tab/>
      </w:r>
      <w:r>
        <w:rPr/>
        <w:t>Priporočilo 7 ECP2. Razprava v delovni skupini.</w:t>
      </w:r>
    </w:p>
  </w:endnote>
  <w:endnote w:id="54">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55">
    <w:p>
      <w:pPr>
        <w:pStyle w:val="Notedefin"/>
        <w:suppressLineNumbers/>
        <w:spacing w:before="57" w:after="57"/>
        <w:ind w:left="339" w:right="0" w:hanging="339"/>
        <w:rPr/>
      </w:pPr>
      <w:r>
        <w:rPr>
          <w:rStyle w:val="Caractresdenotedefin"/>
        </w:rPr>
        <w:endnoteRef/>
      </w:r>
      <w:r>
        <w:rPr/>
        <w:tab/>
      </w:r>
      <w:r>
        <w:rPr/>
        <w:t>Priporočilo 9 ECP2.</w:t>
      </w:r>
    </w:p>
  </w:endnote>
  <w:endnote w:id="56">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57">
    <w:p>
      <w:pPr>
        <w:pStyle w:val="Notedefin"/>
        <w:suppressLineNumbers/>
        <w:spacing w:before="57" w:after="57"/>
        <w:ind w:left="339" w:right="0" w:hanging="339"/>
        <w:rPr/>
      </w:pPr>
      <w:r>
        <w:rPr>
          <w:rStyle w:val="Caractresdenotedefin"/>
        </w:rPr>
        <w:endnoteRef/>
      </w:r>
      <w:r>
        <w:rPr/>
        <w:tab/>
      </w:r>
      <w:r>
        <w:rPr/>
        <w:t>Priporočilo 8 ECP2. Priporočili 1.3 in 4.3 nizozemske nacionalne kontaktne točke.</w:t>
      </w:r>
    </w:p>
  </w:endnote>
  <w:endnote w:id="58">
    <w:p>
      <w:pPr>
        <w:pStyle w:val="Notedefin"/>
        <w:suppressLineNumbers/>
        <w:spacing w:before="57" w:after="57"/>
        <w:ind w:left="339" w:right="0" w:hanging="339"/>
        <w:rPr/>
      </w:pPr>
      <w:r>
        <w:rPr>
          <w:rStyle w:val="Caractresdenotedefin"/>
        </w:rPr>
        <w:endnoteRef/>
      </w:r>
      <w:r>
        <w:rPr/>
        <w:tab/>
      </w:r>
      <w:r>
        <w:rPr/>
        <w:t>Priporočili št. 7 in 8 ECP2.</w:t>
      </w:r>
    </w:p>
  </w:endnote>
  <w:endnote w:id="59">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60">
    <w:p>
      <w:pPr>
        <w:pStyle w:val="Notedefin"/>
        <w:suppressLineNumbers/>
        <w:spacing w:before="57" w:after="57"/>
        <w:ind w:left="339" w:right="0" w:hanging="339"/>
        <w:rPr/>
      </w:pPr>
      <w:r>
        <w:rPr>
          <w:rStyle w:val="Caractresdenotedefin"/>
        </w:rPr>
        <w:endnoteRef/>
      </w:r>
      <w:r>
        <w:rPr/>
        <w:tab/>
      </w:r>
      <w:r>
        <w:rPr/>
        <w:t>Priporočila državljanov, na katerih temelji predlog: PCE2: 5, 12, 13, 17, 28; Belgijska nacionalna kontaktna točka: 1.5.1, 2.1.1 do 2.4.3; Nizozemska nacionalna kontaktna točka: 3.1.</w:t>
      </w:r>
    </w:p>
  </w:endnote>
  <w:endnote w:id="61">
    <w:p>
      <w:pPr>
        <w:pStyle w:val="Notedefin"/>
        <w:suppressLineNumbers/>
        <w:spacing w:before="57" w:after="57"/>
        <w:ind w:left="339" w:right="0" w:hanging="339"/>
        <w:rPr/>
      </w:pPr>
      <w:r>
        <w:rPr>
          <w:rStyle w:val="Caractresdenotedefin"/>
        </w:rPr>
        <w:endnoteRef/>
      </w:r>
      <w:r>
        <w:rPr/>
        <w:tab/>
      </w:r>
      <w:r>
        <w:rPr/>
        <w:t>Priporočilo 5 ECP2. Priporočilo 2.1.1 belgijske nacionalne kontaktne točke. Priporočilo 3.1 nizozemske nacionalne kontaktne točke.</w:t>
      </w:r>
    </w:p>
  </w:endnote>
  <w:endnote w:id="62">
    <w:p>
      <w:pPr>
        <w:pStyle w:val="Notedefin"/>
        <w:suppressLineNumbers/>
        <w:spacing w:before="57" w:after="57"/>
        <w:ind w:left="339" w:right="0" w:hanging="339"/>
        <w:rPr/>
      </w:pPr>
      <w:r>
        <w:rPr>
          <w:rStyle w:val="Caractresdenotedefin"/>
        </w:rPr>
        <w:endnoteRef/>
      </w:r>
      <w:r>
        <w:rPr/>
        <w:tab/>
      </w:r>
      <w:r>
        <w:rPr/>
        <w:t>Priporočilo ECP št. 122. Priporočilo 2.1.4 belgijske nacionalne kontaktne točke.</w:t>
      </w:r>
    </w:p>
  </w:endnote>
  <w:endnote w:id="63">
    <w:p>
      <w:pPr>
        <w:pStyle w:val="Notedefin"/>
        <w:suppressLineNumbers/>
        <w:spacing w:before="57" w:after="57"/>
        <w:ind w:left="339" w:right="0" w:hanging="339"/>
        <w:rPr/>
      </w:pPr>
      <w:r>
        <w:rPr>
          <w:rStyle w:val="Caractresdenotedefin"/>
        </w:rPr>
        <w:endnoteRef/>
      </w:r>
      <w:r>
        <w:rPr/>
        <w:tab/>
      </w:r>
      <w:r>
        <w:rPr/>
        <w:t>PCE2 Priporočili št. 17 in 28. Priporočila 1.5.1, 2.1.3, 2.2.1 in 2.2.2 belgijske nacionalne kontaktne točke.</w:t>
      </w:r>
    </w:p>
  </w:endnote>
  <w:endnote w:id="64">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65">
    <w:p>
      <w:pPr>
        <w:pStyle w:val="Notedefin"/>
        <w:suppressLineNumbers/>
        <w:spacing w:before="57" w:after="57"/>
        <w:ind w:left="339" w:right="0" w:hanging="339"/>
        <w:rPr/>
      </w:pPr>
      <w:r>
        <w:rPr>
          <w:rStyle w:val="Caractresdenotedefin"/>
        </w:rPr>
        <w:endnoteRef/>
      </w:r>
      <w:r>
        <w:rPr/>
        <w:tab/>
      </w:r>
      <w:r>
        <w:rPr/>
        <w:t>PCE2 Priporočili št. 5 in 28. Priporočili 2.3.2 in 2.3.3 belgijske nacionalne kontaktne točke.</w:t>
      </w:r>
    </w:p>
  </w:endnote>
  <w:endnote w:id="66">
    <w:p>
      <w:pPr>
        <w:pStyle w:val="Notedefin"/>
        <w:suppressLineNumbers/>
        <w:spacing w:before="57" w:after="57"/>
        <w:ind w:left="339" w:right="0" w:hanging="339"/>
        <w:rPr/>
      </w:pPr>
      <w:r>
        <w:rPr>
          <w:rStyle w:val="Caractresdenotedefin"/>
        </w:rPr>
        <w:endnoteRef/>
      </w:r>
      <w:r>
        <w:rPr/>
        <w:tab/>
      </w:r>
      <w:r>
        <w:rPr/>
        <w:t>Priporočilo ECP št. 282. Priporočila 2.3.1, 2.4.1 in 2.4.2 belgijske nacionalne kontaktne točke.</w:t>
      </w:r>
    </w:p>
  </w:endnote>
  <w:endnote w:id="67">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68">
    <w:p>
      <w:pPr>
        <w:pStyle w:val="Notedefin"/>
        <w:suppressLineNumbers/>
        <w:spacing w:before="57" w:after="57"/>
        <w:ind w:left="339" w:right="0" w:hanging="339"/>
        <w:rPr/>
      </w:pPr>
      <w:r>
        <w:rPr>
          <w:rStyle w:val="Caractresdenotedefin"/>
        </w:rPr>
        <w:endnoteRef/>
      </w:r>
      <w:r>
        <w:rPr/>
        <w:tab/>
      </w:r>
      <w:r>
        <w:rPr/>
        <w:t>Priporočilo ECP št. 132.</w:t>
      </w:r>
    </w:p>
  </w:endnote>
  <w:endnote w:id="69">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70">
    <w:p>
      <w:pPr>
        <w:pStyle w:val="Notedefin"/>
        <w:suppressLineNumbers/>
        <w:spacing w:before="57" w:after="57"/>
        <w:ind w:left="339" w:right="0" w:hanging="339"/>
        <w:rPr/>
      </w:pPr>
      <w:r>
        <w:rPr>
          <w:rStyle w:val="Caractresdenotedefin"/>
        </w:rPr>
        <w:endnoteRef/>
      </w:r>
      <w:r>
        <w:rPr/>
        <w:tab/>
      </w:r>
      <w:r>
        <w:rPr/>
        <w:t>Priporočilo ECP št. 132.</w:t>
      </w:r>
    </w:p>
  </w:endnote>
  <w:endnote w:id="71">
    <w:p>
      <w:pPr>
        <w:pStyle w:val="Notedefin"/>
        <w:suppressLineNumbers/>
        <w:spacing w:before="57" w:after="57"/>
        <w:ind w:left="339" w:right="0" w:hanging="339"/>
        <w:rPr/>
      </w:pPr>
      <w:r>
        <w:rPr>
          <w:rStyle w:val="Caractresdenotedefin"/>
        </w:rPr>
        <w:endnoteRef/>
      </w:r>
      <w:r>
        <w:rPr/>
        <w:tab/>
      </w:r>
      <w:r>
        <w:rPr/>
        <w:t>Vprašanje je obravnavala tudi delovna skupina za digitalno preobrazbo.</w:t>
      </w:r>
    </w:p>
  </w:endnote>
  <w:endnote w:id="72">
    <w:p>
      <w:pPr>
        <w:pStyle w:val="Notedefin"/>
        <w:suppressLineNumbers/>
        <w:spacing w:before="57" w:after="57"/>
        <w:ind w:left="339" w:right="0" w:hanging="339"/>
        <w:rPr/>
      </w:pPr>
      <w:r>
        <w:rPr>
          <w:rStyle w:val="Caractresdenotedefin"/>
        </w:rPr>
        <w:endnoteRef/>
      </w:r>
      <w:r>
        <w:rPr/>
        <w:tab/>
      </w:r>
      <w:r>
        <w:rPr/>
        <w:t>Priporočila državljanov, na katerih temelji predlog: PCE2: 1, 2, 21, 22, 23; Nizozemska nacionalna kontaktna točka: 1.1.</w:t>
      </w:r>
    </w:p>
  </w:endnote>
  <w:endnote w:id="73">
    <w:p>
      <w:pPr>
        <w:pStyle w:val="Notedefin"/>
        <w:suppressLineNumbers/>
        <w:spacing w:before="57" w:after="57"/>
        <w:ind w:left="339" w:right="0" w:hanging="339"/>
        <w:rPr/>
      </w:pPr>
      <w:r>
        <w:rPr>
          <w:rStyle w:val="Caractresdenotedefin"/>
        </w:rPr>
        <w:endnoteRef/>
      </w:r>
      <w:r>
        <w:rPr/>
        <w:tab/>
      </w:r>
      <w:r>
        <w:rPr/>
        <w:t>Priporočilo ECP št. 222. Razprava v delovni skupini.</w:t>
      </w:r>
    </w:p>
  </w:endnote>
  <w:endnote w:id="74">
    <w:p>
      <w:pPr>
        <w:pStyle w:val="Notedefin"/>
        <w:suppressLineNumbers/>
        <w:spacing w:before="57" w:after="57"/>
        <w:ind w:left="339" w:right="0" w:hanging="339"/>
        <w:rPr/>
      </w:pPr>
      <w:r>
        <w:rPr>
          <w:rStyle w:val="Caractresdenotedefin"/>
        </w:rPr>
        <w:endnoteRef/>
      </w:r>
      <w:r>
        <w:rPr/>
        <w:tab/>
      </w:r>
      <w:r>
        <w:rPr/>
        <w:t>Vprašanje je obravnavala tudi delovna skupina za močnejše gospodarstvo, socialno pravičnost in zaposlovanje.</w:t>
      </w:r>
    </w:p>
  </w:endnote>
  <w:endnote w:id="75">
    <w:p>
      <w:pPr>
        <w:pStyle w:val="Notedefin"/>
        <w:suppressLineNumbers/>
        <w:spacing w:before="57" w:after="57"/>
        <w:ind w:left="339" w:right="0" w:hanging="339"/>
        <w:rPr/>
      </w:pPr>
      <w:r>
        <w:rPr>
          <w:rStyle w:val="Caractresdenotedefin"/>
        </w:rPr>
        <w:endnoteRef/>
      </w:r>
      <w:r>
        <w:rPr/>
        <w:tab/>
      </w:r>
      <w:r>
        <w:rPr/>
        <w:t>Priporočilo ECP št. 212. Priporočilo 1.1 nizozemske nacionalne kontaktne točke.</w:t>
      </w:r>
    </w:p>
  </w:endnote>
  <w:endnote w:id="76">
    <w:p>
      <w:pPr>
        <w:pStyle w:val="Notedefin"/>
        <w:suppressLineNumbers/>
        <w:spacing w:before="57" w:after="57"/>
        <w:ind w:left="339" w:right="0" w:hanging="339"/>
        <w:rPr/>
      </w:pPr>
      <w:r>
        <w:rPr>
          <w:rStyle w:val="Caractresdenotedefin"/>
        </w:rPr>
        <w:endnoteRef/>
      </w:r>
      <w:r>
        <w:rPr/>
        <w:tab/>
      </w:r>
      <w:r>
        <w:rPr/>
        <w:t>Priporočilo ECP št. 232.</w:t>
      </w:r>
    </w:p>
  </w:endnote>
  <w:endnote w:id="77">
    <w:p>
      <w:pPr>
        <w:pStyle w:val="Notedefin"/>
        <w:suppressLineNumbers/>
        <w:spacing w:before="57" w:after="57"/>
        <w:ind w:left="339" w:right="0" w:hanging="339"/>
        <w:rPr/>
      </w:pPr>
      <w:r>
        <w:rPr>
          <w:rStyle w:val="Caractresdenotedefin"/>
        </w:rPr>
        <w:endnoteRef/>
      </w:r>
      <w:r>
        <w:rPr/>
        <w:tab/>
      </w:r>
      <w:r>
        <w:rPr/>
        <w:t>Vprašanje je obravnavala tudi delovna skupina za močnejše gospodarstvo, socialno pravičnost in zaposlovanje.</w:t>
      </w:r>
    </w:p>
  </w:endnote>
  <w:endnote w:id="78">
    <w:p>
      <w:pPr>
        <w:pStyle w:val="Notedefin"/>
        <w:suppressLineNumbers/>
        <w:spacing w:before="57" w:after="57"/>
        <w:ind w:left="339" w:right="0" w:hanging="339"/>
        <w:rPr/>
      </w:pPr>
      <w:r>
        <w:rPr>
          <w:rStyle w:val="Caractresdenotedefin"/>
        </w:rPr>
        <w:endnoteRef/>
      </w:r>
      <w:r>
        <w:rPr/>
        <w:tab/>
      </w:r>
      <w:r>
        <w:rPr/>
        <w:t>Priporočilo 1 ECP2. Razprava v delovni skupini.</w:t>
      </w:r>
    </w:p>
  </w:endnote>
  <w:endnote w:id="79">
    <w:p>
      <w:pPr>
        <w:pStyle w:val="Notedefin"/>
        <w:suppressLineNumbers/>
        <w:spacing w:before="57" w:after="57"/>
        <w:ind w:left="339" w:right="0" w:hanging="339"/>
        <w:rPr/>
      </w:pPr>
      <w:r>
        <w:rPr>
          <w:rStyle w:val="Caractresdenotedefin"/>
        </w:rPr>
        <w:endnoteRef/>
      </w:r>
      <w:r>
        <w:rPr/>
        <w:tab/>
      </w:r>
      <w:r>
        <w:rPr/>
        <w:t>Priporočilo 2 ECP2. Razprava v delovni skupini.</w:t>
      </w:r>
    </w:p>
  </w:endnote>
  <w:endnote w:id="80">
    <w:p>
      <w:pPr>
        <w:pStyle w:val="Notedefin"/>
        <w:suppressLineNumbers/>
        <w:spacing w:before="57" w:after="57"/>
        <w:ind w:left="339" w:right="0" w:hanging="339"/>
        <w:rPr/>
      </w:pPr>
      <w:r>
        <w:rPr>
          <w:rStyle w:val="Caractresdenotedefin"/>
        </w:rPr>
        <w:endnoteRef/>
      </w:r>
      <w:r>
        <w:rPr/>
        <w:tab/>
      </w:r>
      <w:r>
        <w:rPr/>
        <w:t>Priporočila državljanov, na katerih temelji predlog: PCE2: 3, 4, 6.</w:t>
      </w:r>
    </w:p>
  </w:endnote>
  <w:endnote w:id="81">
    <w:p>
      <w:pPr>
        <w:pStyle w:val="Notedefin"/>
        <w:suppressLineNumbers/>
        <w:spacing w:before="57" w:after="57"/>
        <w:ind w:left="339" w:right="0" w:hanging="339"/>
        <w:rPr/>
      </w:pPr>
      <w:r>
        <w:rPr>
          <w:rStyle w:val="Caractresdenotedefin"/>
        </w:rPr>
        <w:endnoteRef/>
      </w:r>
      <w:r>
        <w:rPr/>
        <w:tab/>
      </w:r>
      <w:r>
        <w:rPr/>
        <w:t>Priporočilo 3 ECP2.</w:t>
      </w:r>
    </w:p>
  </w:endnote>
  <w:endnote w:id="82">
    <w:p>
      <w:pPr>
        <w:pStyle w:val="Notedefin"/>
        <w:suppressLineNumbers/>
        <w:spacing w:before="57" w:after="57"/>
        <w:ind w:left="339" w:right="0" w:hanging="339"/>
        <w:rPr/>
      </w:pPr>
      <w:r>
        <w:rPr>
          <w:rStyle w:val="Caractresdenotedefin"/>
        </w:rPr>
        <w:endnoteRef/>
      </w:r>
      <w:r>
        <w:rPr/>
        <w:tab/>
      </w:r>
      <w:r>
        <w:rPr/>
        <w:t>Vprašanje je obravnavala tudi delovna skupina za podnebne spremembe in okolje.</w:t>
      </w:r>
    </w:p>
  </w:endnote>
  <w:endnote w:id="83">
    <w:p>
      <w:pPr>
        <w:pStyle w:val="Notedefin"/>
        <w:suppressLineNumbers/>
        <w:spacing w:before="57" w:after="57"/>
        <w:ind w:left="339" w:right="0" w:hanging="339"/>
        <w:rPr/>
      </w:pPr>
      <w:r>
        <w:rPr>
          <w:rStyle w:val="Caractresdenotedefin"/>
        </w:rPr>
        <w:endnoteRef/>
      </w:r>
      <w:r>
        <w:rPr/>
        <w:tab/>
      </w:r>
      <w:r>
        <w:rPr/>
        <w:t>Priporočilo 4 ECP2.</w:t>
      </w:r>
    </w:p>
  </w:endnote>
  <w:endnote w:id="84">
    <w:p>
      <w:pPr>
        <w:pStyle w:val="Notedefin"/>
        <w:suppressLineNumbers/>
        <w:spacing w:before="57" w:after="57"/>
        <w:ind w:left="339" w:right="0" w:hanging="339"/>
        <w:rPr/>
      </w:pPr>
      <w:r>
        <w:rPr>
          <w:rStyle w:val="Caractresdenotedefin"/>
        </w:rPr>
        <w:endnoteRef/>
      </w:r>
      <w:r>
        <w:rPr/>
        <w:tab/>
      </w:r>
      <w:r>
        <w:rPr/>
        <w:t>Priporočilo 6 ECP2.</w:t>
      </w:r>
    </w:p>
  </w:endnote>
  <w:endnote w:id="85">
    <w:p>
      <w:pPr>
        <w:pStyle w:val="Notedefin"/>
        <w:suppressLineNumbers/>
        <w:spacing w:before="57" w:after="57"/>
        <w:ind w:left="339" w:right="0" w:hanging="339"/>
        <w:rPr/>
      </w:pPr>
      <w:r>
        <w:rPr>
          <w:rStyle w:val="Caractresdenotedefin"/>
        </w:rPr>
        <w:endnoteRef/>
      </w:r>
      <w:r>
        <w:rPr/>
        <w:tab/>
      </w:r>
      <w:r>
        <w:rPr/>
        <w:t>Vprašanje je obravnavala tudi delovna skupina za podnebne spremembe in okolje.</w:t>
      </w:r>
    </w:p>
  </w:endnote>
  <w:endnote w:id="86">
    <w:p>
      <w:pPr>
        <w:pStyle w:val="Notedefin"/>
        <w:suppressLineNumbers/>
        <w:spacing w:before="57" w:after="57"/>
        <w:ind w:left="339" w:right="0" w:hanging="339"/>
        <w:rPr/>
      </w:pPr>
      <w:r>
        <w:rPr>
          <w:rStyle w:val="Caractresdenotedefin"/>
        </w:rPr>
        <w:endnoteRef/>
      </w:r>
      <w:r>
        <w:rPr/>
        <w:tab/>
      </w:r>
      <w:r>
        <w:rPr/>
        <w:t>Priporočila državljanov, na katerih temelji predlog: Okrogla miza za evropske državljane 1 (ECP 1): 17, 40, 47; Nizozemska nacionalna državljanska okrogla miza št. 1.</w:t>
      </w:r>
    </w:p>
  </w:endnote>
  <w:endnote w:id="87">
    <w:p>
      <w:pPr>
        <w:pStyle w:val="Notedefin"/>
        <w:suppressLineNumbers/>
        <w:spacing w:before="57" w:after="57"/>
        <w:ind w:left="339" w:right="0" w:hanging="339"/>
        <w:rPr/>
      </w:pPr>
      <w:r>
        <w:rPr>
          <w:rStyle w:val="Caractresdenotedefin"/>
        </w:rPr>
        <w:endnoteRef/>
      </w:r>
      <w:r>
        <w:rPr/>
        <w:tab/>
      </w:r>
      <w:r>
        <w:rPr/>
        <w:t>Glej povezavo do priporočila 38 ECP 3 v zvezi z infrastrukturo za električna vozila.</w:t>
      </w:r>
    </w:p>
  </w:endnote>
  <w:endnote w:id="88">
    <w:p>
      <w:pPr>
        <w:pStyle w:val="Notedefin"/>
        <w:suppressLineNumbers/>
        <w:spacing w:before="57" w:after="57"/>
        <w:ind w:left="339" w:right="0" w:hanging="339"/>
        <w:rPr/>
      </w:pPr>
      <w:r>
        <w:rPr>
          <w:rStyle w:val="Caractresdenotedefin"/>
        </w:rPr>
        <w:endnoteRef/>
      </w:r>
      <w:r>
        <w:rPr/>
        <w:tab/>
      </w:r>
      <w:r>
        <w:rPr/>
        <w:t>Priporočila državljanov, na katerih temelji predlog: Okrogla miza za evropske državljane 1 (ECP 1): 8, 34 in 47; Italijanska nacionalna državljanska okrogla miza 5.2.</w:t>
      </w:r>
    </w:p>
  </w:endnote>
  <w:endnote w:id="89">
    <w:p>
      <w:pPr>
        <w:pStyle w:val="Notedefin"/>
        <w:suppressLineNumbers/>
        <w:spacing w:before="57" w:after="57"/>
        <w:ind w:left="339" w:right="0" w:hanging="339"/>
        <w:rPr/>
      </w:pPr>
      <w:r>
        <w:rPr>
          <w:rStyle w:val="Caractresdenotedefin"/>
        </w:rPr>
        <w:endnoteRef/>
      </w:r>
      <w:r>
        <w:rPr/>
        <w:tab/>
      </w:r>
      <w:r>
        <w:rPr/>
        <w:t>Priporočila državljanov, na katerih temelji predlog: priporočili 39 in 46 evropske državljanske okrogle mize 1 (CEP 1) ter priporočila 2.6 litovske nacionalne državljanske okrogle mize in nizozemske nacionalne kontaktne točke.</w:t>
      </w:r>
    </w:p>
  </w:endnote>
  <w:endnote w:id="90">
    <w:p>
      <w:pPr>
        <w:pStyle w:val="Notedefin"/>
        <w:suppressLineNumbers/>
        <w:spacing w:before="57" w:after="57"/>
        <w:ind w:left="339" w:right="0" w:hanging="339"/>
        <w:rPr/>
      </w:pPr>
      <w:r>
        <w:rPr>
          <w:rStyle w:val="Caractresdenotedefin"/>
        </w:rPr>
        <w:endnoteRef/>
      </w:r>
      <w:r>
        <w:rPr/>
        <w:tab/>
      </w:r>
      <w:r>
        <w:rPr/>
        <w:t>Priporočila državljanov, na katerih temelji predlog: priporočila 42, 43, 44 in 45 evropske državljanske okrogle mize št. 1 (PCE 1) in priporočilo št. 2 nizozemskega nacionalnega državljanskega foruma (NCP).</w:t>
      </w:r>
    </w:p>
  </w:endnote>
  <w:endnote w:id="91">
    <w:p>
      <w:pPr>
        <w:pStyle w:val="Notedefin"/>
        <w:suppressLineNumbers/>
        <w:spacing w:before="57" w:after="57"/>
        <w:ind w:left="339" w:right="0" w:hanging="339"/>
        <w:rPr/>
      </w:pPr>
      <w:r>
        <w:rPr>
          <w:rStyle w:val="Caractresdenotedefin"/>
        </w:rPr>
        <w:endnoteRef/>
      </w:r>
      <w:r>
        <w:rPr/>
        <w:tab/>
      </w:r>
      <w:r>
        <w:rPr/>
        <w:t>Priporočila državljanov, na katerih temelji predlog: Evropski državljanski forum št. 1 (PCE 1) št. 7, 16 in 17 ter nacionalni državljanski forum Nemčije in Italije 1.3.</w:t>
      </w:r>
    </w:p>
  </w:endnote>
  <w:endnote w:id="92">
    <w:p>
      <w:pPr>
        <w:pStyle w:val="Notedefin"/>
        <w:suppressLineNumbers/>
        <w:spacing w:before="57" w:after="57"/>
        <w:ind w:left="339" w:right="0" w:hanging="339"/>
        <w:rPr/>
      </w:pPr>
      <w:r>
        <w:rPr>
          <w:rStyle w:val="Caractresdenotedefin"/>
        </w:rPr>
        <w:endnoteRef/>
      </w:r>
      <w:r>
        <w:rPr/>
        <w:tab/>
      </w:r>
      <w:r>
        <w:rPr/>
        <w:t>Obravnavati v povezavi s predlogi delovne skupine za močnejše gospodarstvo.</w:t>
      </w:r>
    </w:p>
  </w:endnote>
  <w:endnote w:id="93">
    <w:p>
      <w:pPr>
        <w:pStyle w:val="Notedefin"/>
        <w:suppressLineNumbers/>
        <w:spacing w:before="57" w:after="57"/>
        <w:ind w:left="339" w:right="0" w:hanging="339"/>
        <w:rPr/>
      </w:pPr>
      <w:r>
        <w:rPr>
          <w:rStyle w:val="Caractresdenotedefin"/>
        </w:rPr>
        <w:endnoteRef/>
      </w:r>
      <w:r>
        <w:rPr/>
        <w:tab/>
      </w:r>
      <w:r>
        <w:rPr/>
        <w:t>Spremembi št. 3A in 3B delovne skupine.</w:t>
      </w:r>
    </w:p>
  </w:endnote>
  <w:endnote w:id="94">
    <w:p>
      <w:pPr>
        <w:pStyle w:val="Notedefin"/>
        <w:suppressLineNumbers/>
        <w:spacing w:before="57" w:after="57"/>
        <w:ind w:left="339" w:right="0" w:hanging="339"/>
        <w:rPr/>
      </w:pPr>
      <w:r>
        <w:rPr>
          <w:rStyle w:val="Caractresdenotedefin"/>
        </w:rPr>
        <w:endnoteRef/>
      </w:r>
      <w:r>
        <w:rPr/>
        <w:tab/>
      </w:r>
      <w:r>
        <w:rPr/>
        <w:t>Priporočili 32 in 37 evropske državljanske okrogle mize 2 (PCE 2); nacionalni odbori BE, FR in NL.</w:t>
      </w:r>
    </w:p>
  </w:endnote>
  <w:endnote w:id="95">
    <w:p>
      <w:pPr>
        <w:pStyle w:val="Notedefin"/>
        <w:suppressLineNumbers/>
        <w:spacing w:before="57" w:after="57"/>
        <w:ind w:left="339" w:right="0" w:hanging="339"/>
        <w:rPr/>
      </w:pPr>
      <w:r>
        <w:rPr>
          <w:rStyle w:val="Caractresdenotedefin"/>
        </w:rPr>
        <w:endnoteRef/>
      </w:r>
      <w:r>
        <w:rPr/>
        <w:tab/>
      </w:r>
      <w:r>
        <w:rPr/>
        <w:t>Nacionalni odbor FR.</w:t>
      </w:r>
    </w:p>
  </w:endnote>
  <w:endnote w:id="96">
    <w:p>
      <w:pPr>
        <w:pStyle w:val="Notedefin"/>
        <w:suppressLineNumbers/>
        <w:spacing w:before="57" w:after="57"/>
        <w:ind w:left="339" w:right="0" w:hanging="339"/>
        <w:rPr/>
      </w:pPr>
      <w:r>
        <w:rPr>
          <w:rStyle w:val="Caractresdenotedefin"/>
        </w:rPr>
        <w:endnoteRef/>
      </w:r>
      <w:r>
        <w:rPr/>
        <w:tab/>
      </w:r>
      <w:r>
        <w:rPr/>
        <w:t>Predlog spremembe št. 8 delovne skupine, bolj jedrnato besedilo.</w:t>
      </w:r>
    </w:p>
  </w:endnote>
  <w:endnote w:id="97">
    <w:p>
      <w:pPr>
        <w:pStyle w:val="Notedefin"/>
        <w:suppressLineNumbers/>
        <w:spacing w:before="57" w:after="57"/>
        <w:ind w:left="339" w:right="0" w:hanging="339"/>
        <w:rPr/>
      </w:pPr>
      <w:r>
        <w:rPr>
          <w:rStyle w:val="Caractresdenotedefin"/>
        </w:rPr>
        <w:endnoteRef/>
      </w:r>
      <w:r>
        <w:rPr/>
        <w:tab/>
      </w:r>
      <w:r>
        <w:rPr/>
        <w:t>Priporočilo ECP št. 29 2.</w:t>
      </w:r>
    </w:p>
  </w:endnote>
  <w:endnote w:id="98">
    <w:p>
      <w:pPr>
        <w:pStyle w:val="Notedefin"/>
        <w:suppressLineNumbers/>
        <w:spacing w:before="57" w:after="57"/>
        <w:ind w:left="339" w:right="0" w:hanging="339"/>
        <w:rPr/>
      </w:pPr>
      <w:r>
        <w:rPr>
          <w:rStyle w:val="Caractresdenotedefin"/>
        </w:rPr>
        <w:endnoteRef/>
      </w:r>
      <w:r>
        <w:rPr/>
        <w:tab/>
      </w:r>
      <w:r>
        <w:rPr/>
        <w:t>Priporočili 19 in 32 ECP 2; nacionalni odbori BE in FR ter predstavnik DK za nacionalne dogodke.</w:t>
      </w:r>
    </w:p>
  </w:endnote>
  <w:endnote w:id="99">
    <w:p>
      <w:pPr>
        <w:pStyle w:val="Notedefin"/>
        <w:suppressLineNumbers/>
        <w:spacing w:before="57" w:after="57"/>
        <w:ind w:left="339" w:right="0" w:hanging="339"/>
        <w:rPr/>
      </w:pPr>
      <w:r>
        <w:rPr>
          <w:rStyle w:val="Caractresdenotedefin"/>
        </w:rPr>
        <w:endnoteRef/>
      </w:r>
      <w:r>
        <w:rPr/>
        <w:tab/>
      </w:r>
      <w:r>
        <w:rPr/>
        <w:t>Nacionalni odbor BE.</w:t>
      </w:r>
    </w:p>
  </w:endnote>
  <w:endnote w:id="100">
    <w:p>
      <w:pPr>
        <w:pStyle w:val="Notedefin"/>
        <w:suppressLineNumbers/>
        <w:spacing w:before="57" w:after="57"/>
        <w:ind w:left="339" w:right="0" w:hanging="339"/>
        <w:rPr/>
      </w:pPr>
      <w:r>
        <w:rPr>
          <w:rStyle w:val="Caractresdenotedefin"/>
        </w:rPr>
        <w:endnoteRef/>
      </w:r>
      <w:r>
        <w:rPr/>
        <w:tab/>
      </w:r>
      <w:r>
        <w:rPr/>
        <w:t>Sprememba št. 7B delovne skupine.</w:t>
      </w:r>
    </w:p>
  </w:endnote>
  <w:endnote w:id="101">
    <w:p>
      <w:pPr>
        <w:pStyle w:val="Notedefin"/>
        <w:suppressLineNumbers/>
        <w:spacing w:before="57" w:after="57"/>
        <w:ind w:left="339" w:right="0" w:hanging="339"/>
        <w:rPr/>
      </w:pPr>
      <w:r>
        <w:rPr>
          <w:rStyle w:val="Caractresdenotedefin"/>
        </w:rPr>
        <w:endnoteRef/>
      </w:r>
      <w:r>
        <w:rPr/>
        <w:tab/>
      </w:r>
      <w:r>
        <w:rPr/>
        <w:t>Nacionalni odbor BE.</w:t>
      </w:r>
    </w:p>
  </w:endnote>
  <w:endnote w:id="102">
    <w:p>
      <w:pPr>
        <w:pStyle w:val="Notedefin"/>
        <w:suppressLineNumbers/>
        <w:spacing w:before="57" w:after="57"/>
        <w:ind w:left="339" w:right="0" w:hanging="339"/>
        <w:rPr/>
      </w:pPr>
      <w:r>
        <w:rPr>
          <w:rStyle w:val="Caractresdenotedefin"/>
        </w:rPr>
        <w:endnoteRef/>
      </w:r>
      <w:r>
        <w:rPr/>
        <w:tab/>
      </w:r>
      <w:r>
        <w:rPr/>
        <w:t>Končno poročilo Kantar, str. 85.</w:t>
      </w:r>
    </w:p>
  </w:endnote>
  <w:endnote w:id="103">
    <w:p>
      <w:pPr>
        <w:pStyle w:val="Notedefin"/>
        <w:suppressLineNumbers/>
        <w:spacing w:before="57" w:after="57"/>
        <w:ind w:left="339" w:right="0" w:hanging="339"/>
        <w:rPr/>
      </w:pPr>
      <w:r>
        <w:rPr>
          <w:rStyle w:val="Caractresdenotedefin"/>
        </w:rPr>
        <w:endnoteRef/>
      </w:r>
      <w:r>
        <w:rPr/>
        <w:tab/>
      </w:r>
      <w:r>
        <w:rPr/>
        <w:t>Priporočilo 39 ECP 2; nacionalna komisija št. 3 BE.</w:t>
      </w:r>
    </w:p>
  </w:endnote>
  <w:endnote w:id="104">
    <w:p>
      <w:pPr>
        <w:pStyle w:val="Notedefin"/>
        <w:suppressLineNumbers/>
        <w:spacing w:before="57" w:after="57"/>
        <w:ind w:left="339" w:right="0" w:hanging="339"/>
        <w:rPr/>
      </w:pPr>
      <w:r>
        <w:rPr>
          <w:rStyle w:val="Caractresdenotedefin"/>
        </w:rPr>
        <w:endnoteRef/>
      </w:r>
      <w:r>
        <w:rPr/>
        <w:tab/>
      </w:r>
      <w:r>
        <w:rPr/>
        <w:t>Delovna skupina, predlog spremembe 10A, bolj jedrnato besedilo.</w:t>
      </w:r>
    </w:p>
  </w:endnote>
  <w:endnote w:id="105">
    <w:p>
      <w:pPr>
        <w:pStyle w:val="Notedefin"/>
        <w:suppressLineNumbers/>
        <w:spacing w:before="57" w:after="57"/>
        <w:ind w:left="339" w:right="0" w:hanging="339"/>
        <w:rPr/>
      </w:pPr>
      <w:r>
        <w:rPr>
          <w:rStyle w:val="Caractresdenotedefin"/>
        </w:rPr>
        <w:endnoteRef/>
      </w:r>
      <w:r>
        <w:rPr/>
        <w:tab/>
      </w:r>
      <w:r>
        <w:rPr/>
        <w:t>DK predstavnik nacionalnih dogodkov.</w:t>
      </w:r>
    </w:p>
  </w:endnote>
  <w:endnote w:id="106">
    <w:p>
      <w:pPr>
        <w:pStyle w:val="Notedefin"/>
        <w:suppressLineNumbers/>
        <w:spacing w:before="57" w:after="57"/>
        <w:ind w:left="339" w:right="0" w:hanging="339"/>
        <w:rPr/>
      </w:pPr>
      <w:r>
        <w:rPr>
          <w:rStyle w:val="Caractresdenotedefin"/>
        </w:rPr>
        <w:endnoteRef/>
      </w:r>
      <w:r>
        <w:rPr/>
        <w:tab/>
      </w:r>
      <w:r>
        <w:rPr/>
        <w:t>Sprememba št. 54C delovne skupine.</w:t>
      </w:r>
    </w:p>
  </w:endnote>
  <w:endnote w:id="107">
    <w:p>
      <w:pPr>
        <w:pStyle w:val="Notedefin"/>
        <w:suppressLineNumbers/>
        <w:spacing w:before="57" w:after="57"/>
        <w:ind w:left="339" w:right="0" w:hanging="339"/>
        <w:rPr/>
      </w:pPr>
      <w:r>
        <w:rPr>
          <w:rStyle w:val="Caractresdenotedefin"/>
        </w:rPr>
        <w:endnoteRef/>
      </w:r>
      <w:r>
        <w:rPr/>
        <w:tab/>
      </w:r>
      <w:r>
        <w:rPr/>
        <w:t>DK predstavnik nacionalnih dogodkov.</w:t>
      </w:r>
    </w:p>
  </w:endnote>
  <w:endnote w:id="108">
    <w:p>
      <w:pPr>
        <w:pStyle w:val="Notedefin"/>
        <w:suppressLineNumbers/>
        <w:spacing w:before="57" w:after="57"/>
        <w:ind w:left="339" w:right="0" w:hanging="339"/>
        <w:rPr/>
      </w:pPr>
      <w:r>
        <w:rPr>
          <w:rStyle w:val="Caractresdenotedefin"/>
        </w:rPr>
        <w:endnoteRef/>
      </w:r>
      <w:r>
        <w:rPr/>
        <w:tab/>
      </w:r>
      <w:r>
        <w:rPr/>
        <w:t>DK predstavnik nacionalnih dogodkov.</w:t>
      </w:r>
    </w:p>
  </w:endnote>
  <w:endnote w:id="109">
    <w:p>
      <w:pPr>
        <w:pStyle w:val="Notedefin"/>
        <w:suppressLineNumbers/>
        <w:spacing w:before="57" w:after="57"/>
        <w:ind w:left="339" w:right="0" w:hanging="339"/>
        <w:rPr/>
      </w:pPr>
      <w:r>
        <w:rPr>
          <w:rStyle w:val="Caractresdenotedefin"/>
        </w:rPr>
        <w:endnoteRef/>
      </w:r>
      <w:r>
        <w:rPr/>
        <w:tab/>
      </w:r>
      <w:r>
        <w:rPr/>
        <w:t>Predlog spremembe št. 15A delovne skupine, kompromisno besedilo.</w:t>
      </w:r>
    </w:p>
  </w:endnote>
  <w:endnote w:id="110">
    <w:p>
      <w:pPr>
        <w:pStyle w:val="Notedefin"/>
        <w:suppressLineNumbers/>
        <w:spacing w:before="57" w:after="57"/>
        <w:ind w:left="339" w:right="0" w:hanging="339"/>
        <w:rPr/>
      </w:pPr>
      <w:r>
        <w:rPr>
          <w:rStyle w:val="Caractresdenotedefin"/>
        </w:rPr>
        <w:endnoteRef/>
      </w:r>
      <w:r>
        <w:rPr/>
        <w:tab/>
      </w:r>
      <w:r>
        <w:rPr/>
        <w:t>Priporočila PCE 2 24, 36 in 38; nacionalni odbor BE.</w:t>
      </w:r>
    </w:p>
  </w:endnote>
  <w:endnote w:id="111">
    <w:p>
      <w:pPr>
        <w:pStyle w:val="Notedefin"/>
        <w:suppressLineNumbers/>
        <w:spacing w:before="57" w:after="57"/>
        <w:ind w:left="339" w:right="0" w:hanging="339"/>
        <w:rPr/>
      </w:pPr>
      <w:r>
        <w:rPr>
          <w:rStyle w:val="Caractresdenotedefin"/>
        </w:rPr>
        <w:endnoteRef/>
      </w:r>
      <w:r>
        <w:rPr/>
        <w:tab/>
      </w:r>
      <w:r>
        <w:rPr/>
        <w:t>Sprememba št. 16C delovne skupine.</w:t>
      </w:r>
    </w:p>
  </w:endnote>
  <w:endnote w:id="112">
    <w:p>
      <w:pPr>
        <w:pStyle w:val="Notedefin"/>
        <w:suppressLineNumbers/>
        <w:spacing w:before="57" w:after="57"/>
        <w:ind w:left="339" w:right="0" w:hanging="339"/>
        <w:rPr/>
      </w:pPr>
      <w:r>
        <w:rPr>
          <w:rStyle w:val="Caractresdenotedefin"/>
        </w:rPr>
        <w:endnoteRef/>
      </w:r>
      <w:r>
        <w:rPr/>
        <w:tab/>
      </w:r>
      <w:r>
        <w:rPr/>
        <w:t>Priporočilo 33 ECP 2; nacionalni odbori BE, FR in NL.</w:t>
      </w:r>
    </w:p>
  </w:endnote>
  <w:endnote w:id="113">
    <w:p>
      <w:pPr>
        <w:pStyle w:val="Notedefin"/>
        <w:suppressLineNumbers/>
        <w:spacing w:before="57" w:after="57"/>
        <w:ind w:left="339" w:right="0" w:hanging="339"/>
        <w:rPr/>
      </w:pPr>
      <w:r>
        <w:rPr>
          <w:rStyle w:val="Caractresdenotedefin"/>
        </w:rPr>
        <w:endnoteRef/>
      </w:r>
      <w:r>
        <w:rPr/>
        <w:tab/>
      </w:r>
      <w:r>
        <w:rPr/>
        <w:t>Priporočilo ECP št. 26 2.</w:t>
      </w:r>
    </w:p>
  </w:endnote>
  <w:endnote w:id="114">
    <w:p>
      <w:pPr>
        <w:pStyle w:val="Notedefin"/>
        <w:suppressLineNumbers/>
        <w:spacing w:before="57" w:after="57"/>
        <w:ind w:left="339" w:right="0" w:hanging="339"/>
        <w:rPr/>
      </w:pPr>
      <w:r>
        <w:rPr>
          <w:rStyle w:val="Caractresdenotedefin"/>
        </w:rPr>
        <w:endnoteRef/>
      </w:r>
      <w:r>
        <w:rPr/>
        <w:tab/>
      </w:r>
      <w:r>
        <w:rPr/>
        <w:t>Sprememba št. 17 delovne skupine.</w:t>
      </w:r>
    </w:p>
  </w:endnote>
  <w:endnote w:id="115">
    <w:p>
      <w:pPr>
        <w:pStyle w:val="Notedefin"/>
        <w:suppressLineNumbers/>
        <w:spacing w:before="57" w:after="57"/>
        <w:ind w:left="339" w:right="0" w:hanging="339"/>
        <w:rPr/>
      </w:pPr>
      <w:r>
        <w:rPr>
          <w:rStyle w:val="Caractresdenotedefin"/>
        </w:rPr>
        <w:endnoteRef/>
      </w:r>
      <w:r>
        <w:rPr/>
        <w:tab/>
      </w:r>
      <w:r>
        <w:rPr/>
        <w:t>Nacionalni odbor BE.</w:t>
      </w:r>
    </w:p>
  </w:endnote>
  <w:endnote w:id="116">
    <w:p>
      <w:pPr>
        <w:pStyle w:val="Notedefin"/>
        <w:suppressLineNumbers/>
        <w:spacing w:before="57" w:after="57"/>
        <w:ind w:left="339" w:right="0" w:hanging="339"/>
        <w:rPr/>
      </w:pPr>
      <w:r>
        <w:rPr>
          <w:rStyle w:val="Caractresdenotedefin"/>
        </w:rPr>
        <w:endnoteRef/>
      </w:r>
      <w:r>
        <w:rPr/>
        <w:tab/>
      </w:r>
      <w:r>
        <w:rPr/>
        <w:t>Predlog spremembe delovne skupine št. 18A.</w:t>
      </w:r>
    </w:p>
  </w:endnote>
  <w:endnote w:id="117">
    <w:p>
      <w:pPr>
        <w:pStyle w:val="Notedefin"/>
        <w:suppressLineNumbers/>
        <w:spacing w:before="57" w:after="57"/>
        <w:ind w:left="339" w:right="0" w:hanging="339"/>
        <w:rPr/>
      </w:pPr>
      <w:r>
        <w:rPr>
          <w:rStyle w:val="Caractresdenotedefin"/>
        </w:rPr>
        <w:endnoteRef/>
      </w:r>
      <w:r>
        <w:rPr/>
        <w:tab/>
      </w:r>
      <w:r>
        <w:rPr/>
        <w:t>Priporočilo ECP št. 252.</w:t>
      </w:r>
    </w:p>
  </w:endnote>
  <w:endnote w:id="118">
    <w:p>
      <w:pPr>
        <w:pStyle w:val="Notedefin"/>
        <w:suppressLineNumbers/>
        <w:spacing w:before="57" w:after="57"/>
        <w:ind w:left="339" w:right="0" w:hanging="339"/>
        <w:rPr/>
      </w:pPr>
      <w:r>
        <w:rPr>
          <w:rStyle w:val="Caractresdenotedefin"/>
        </w:rPr>
        <w:endnoteRef/>
      </w:r>
      <w:r>
        <w:rPr/>
        <w:tab/>
      </w:r>
      <w:r>
        <w:rPr/>
        <w:t>Predlog spremembe št. 18B delovne skupine.</w:t>
      </w:r>
    </w:p>
  </w:endnote>
  <w:endnote w:id="119">
    <w:p>
      <w:pPr>
        <w:pStyle w:val="Notedefin"/>
        <w:suppressLineNumbers/>
        <w:spacing w:before="57" w:after="57"/>
        <w:ind w:left="339" w:right="0" w:hanging="339"/>
        <w:rPr/>
      </w:pPr>
      <w:r>
        <w:rPr>
          <w:rStyle w:val="Caractresdenotedefin"/>
        </w:rPr>
        <w:endnoteRef/>
      </w:r>
      <w:r>
        <w:rPr/>
        <w:tab/>
      </w:r>
      <w:r>
        <w:rPr/>
        <w:t>Priporočilo 31 ECP 2; nacionalni odbori BE in NL.</w:t>
      </w:r>
    </w:p>
  </w:endnote>
  <w:endnote w:id="120">
    <w:p>
      <w:pPr>
        <w:pStyle w:val="Notedefin"/>
        <w:suppressLineNumbers/>
        <w:spacing w:before="57" w:after="57"/>
        <w:ind w:left="339" w:right="0" w:hanging="339"/>
        <w:rPr/>
      </w:pPr>
      <w:r>
        <w:rPr>
          <w:rStyle w:val="Caractresdenotedefin"/>
        </w:rPr>
        <w:endnoteRef/>
      </w:r>
      <w:r>
        <w:rPr/>
        <w:tab/>
      </w:r>
      <w:r>
        <w:rPr/>
        <w:t>Predlog spremembe št. 19A delovne skupine, ki je preoblikoval besedilo, da bi bilo besedilo ustreznejše.</w:t>
      </w:r>
    </w:p>
  </w:endnote>
  <w:endnote w:id="121">
    <w:p>
      <w:pPr>
        <w:pStyle w:val="Notedefin"/>
        <w:suppressLineNumbers/>
        <w:spacing w:before="57" w:after="57"/>
        <w:ind w:left="339" w:right="0" w:hanging="339"/>
        <w:rPr/>
      </w:pPr>
      <w:r>
        <w:rPr>
          <w:rStyle w:val="Caractresdenotedefin"/>
        </w:rPr>
        <w:endnoteRef/>
      </w:r>
      <w:r>
        <w:rPr/>
        <w:tab/>
      </w:r>
      <w:r>
        <w:rPr/>
        <w:t>Predlog spremembe št. 21 delovne skupine, kompromis.</w:t>
      </w:r>
    </w:p>
  </w:endnote>
  <w:endnote w:id="122">
    <w:p>
      <w:pPr>
        <w:pStyle w:val="Notedefin"/>
        <w:suppressLineNumbers/>
        <w:spacing w:before="57" w:after="57"/>
        <w:ind w:left="339" w:right="0" w:hanging="339"/>
        <w:rPr/>
      </w:pPr>
      <w:r>
        <w:rPr>
          <w:rStyle w:val="Caractresdenotedefin"/>
        </w:rPr>
        <w:endnoteRef/>
      </w:r>
      <w:r>
        <w:rPr/>
        <w:tab/>
      </w:r>
      <w:r>
        <w:rPr/>
        <w:t>Nacionalni odbori BE in FR.</w:t>
      </w:r>
    </w:p>
  </w:endnote>
  <w:endnote w:id="123">
    <w:p>
      <w:pPr>
        <w:pStyle w:val="Notedefin"/>
        <w:suppressLineNumbers/>
        <w:spacing w:before="57" w:after="57"/>
        <w:ind w:left="339" w:right="0" w:hanging="339"/>
        <w:rPr/>
      </w:pPr>
      <w:r>
        <w:rPr>
          <w:rStyle w:val="Caractresdenotedefin"/>
        </w:rPr>
        <w:endnoteRef/>
      </w:r>
      <w:r>
        <w:rPr/>
        <w:tab/>
      </w:r>
      <w:r>
        <w:rPr/>
        <w:t>Predlog spremembe št. 23B delovne skupine.</w:t>
      </w:r>
    </w:p>
  </w:endnote>
  <w:endnote w:id="124">
    <w:p>
      <w:pPr>
        <w:pStyle w:val="Notedefin"/>
        <w:suppressLineNumbers/>
        <w:spacing w:before="57" w:after="57"/>
        <w:ind w:left="339" w:right="0" w:hanging="339"/>
        <w:rPr/>
      </w:pPr>
      <w:r>
        <w:rPr>
          <w:rStyle w:val="Caractresdenotedefin"/>
        </w:rPr>
        <w:endnoteRef/>
      </w:r>
      <w:r>
        <w:rPr/>
        <w:tab/>
      </w:r>
      <w:r>
        <w:rPr/>
        <w:t>Priporočilo 27 ECP 2; nacionalni odbor BE.</w:t>
      </w:r>
    </w:p>
  </w:endnote>
  <w:endnote w:id="125">
    <w:p>
      <w:pPr>
        <w:pStyle w:val="Notedefin"/>
        <w:suppressLineNumbers/>
        <w:spacing w:before="57" w:after="57"/>
        <w:ind w:left="339" w:right="0" w:hanging="339"/>
        <w:rPr/>
      </w:pPr>
      <w:r>
        <w:rPr>
          <w:rStyle w:val="Caractresdenotedefin"/>
        </w:rPr>
        <w:endnoteRef/>
      </w:r>
      <w:r>
        <w:rPr/>
        <w:tab/>
      </w:r>
      <w:r>
        <w:rPr/>
        <w:t>Predlog spremembe št. 25C delovne skupine.</w:t>
      </w:r>
    </w:p>
  </w:endnote>
  <w:endnote w:id="126">
    <w:p>
      <w:pPr>
        <w:pStyle w:val="Notedefin"/>
        <w:suppressLineNumbers/>
        <w:spacing w:before="57" w:after="57"/>
        <w:ind w:left="339" w:right="0" w:hanging="339"/>
        <w:rPr/>
      </w:pPr>
      <w:r>
        <w:rPr>
          <w:rStyle w:val="Caractresdenotedefin"/>
        </w:rPr>
        <w:endnoteRef/>
      </w:r>
      <w:r>
        <w:rPr/>
        <w:tab/>
      </w:r>
      <w:r>
        <w:rPr/>
        <w:t>Priporočilo 14 ECP.</w:t>
      </w:r>
    </w:p>
  </w:endnote>
  <w:endnote w:id="127">
    <w:p>
      <w:pPr>
        <w:pStyle w:val="Notedefin"/>
        <w:suppressLineNumbers/>
        <w:spacing w:before="57" w:after="57"/>
        <w:ind w:left="339" w:right="0" w:hanging="339"/>
        <w:rPr/>
      </w:pPr>
      <w:r>
        <w:rPr>
          <w:rStyle w:val="Caractresdenotedefin"/>
        </w:rPr>
        <w:endnoteRef/>
      </w:r>
      <w:r>
        <w:rPr/>
        <w:tab/>
      </w:r>
      <w:r>
        <w:rPr/>
        <w:t>Priporočilo ECP št. 18. OPOMBA: Predstavniki državljanov so pojasnili, da bi bilo treba ta mehanizem oblikovati in uporabljati previdno.</w:t>
      </w:r>
    </w:p>
  </w:endnote>
  <w:endnote w:id="128">
    <w:p>
      <w:pPr>
        <w:pStyle w:val="Notedefin"/>
        <w:suppressLineNumbers/>
        <w:spacing w:before="57" w:after="57"/>
        <w:ind w:left="339" w:right="0" w:hanging="339"/>
        <w:rPr/>
      </w:pPr>
      <w:r>
        <w:rPr>
          <w:rStyle w:val="Caractresdenotedefin"/>
        </w:rPr>
        <w:endnoteRef/>
      </w:r>
      <w:r>
        <w:rPr/>
        <w:tab/>
      </w:r>
      <w:r>
        <w:rPr/>
        <w:t>Amandmaji št. 28E, 28G in 28H delovne skupine.</w:t>
      </w:r>
    </w:p>
  </w:endnote>
  <w:endnote w:id="129">
    <w:p>
      <w:pPr>
        <w:pStyle w:val="Notedefin"/>
        <w:suppressLineNumbers/>
        <w:spacing w:before="57" w:after="57"/>
        <w:ind w:left="339" w:right="0" w:hanging="339"/>
        <w:rPr/>
      </w:pPr>
      <w:r>
        <w:rPr>
          <w:rStyle w:val="Caractresdenotedefin"/>
        </w:rPr>
        <w:endnoteRef/>
      </w:r>
      <w:r>
        <w:rPr/>
        <w:tab/>
      </w:r>
      <w:r>
        <w:rPr/>
        <w:t>Priporočilo 16 ECP 2; Nacionalni odbor NL št. 20, razdeljen na nadnacionalne sezname.</w:t>
      </w:r>
    </w:p>
  </w:endnote>
  <w:endnote w:id="130">
    <w:p>
      <w:pPr>
        <w:pStyle w:val="Notedefin"/>
        <w:suppressLineNumbers/>
        <w:spacing w:before="57" w:after="57"/>
        <w:ind w:left="339" w:right="0" w:hanging="339"/>
        <w:rPr/>
      </w:pPr>
      <w:r>
        <w:rPr>
          <w:rStyle w:val="Caractresdenotedefin"/>
        </w:rPr>
        <w:endnoteRef/>
      </w:r>
      <w:r>
        <w:rPr/>
        <w:tab/>
      </w:r>
      <w:r>
        <w:rPr/>
        <w:t>Na podlagi priporočila 16 ECP 2; diskusija v GT.</w:t>
      </w:r>
    </w:p>
  </w:endnote>
  <w:endnote w:id="131">
    <w:p>
      <w:pPr>
        <w:pStyle w:val="Notedefin"/>
        <w:suppressLineNumbers/>
        <w:spacing w:before="57" w:after="57"/>
        <w:ind w:left="339" w:right="0" w:hanging="339"/>
        <w:rPr/>
      </w:pPr>
      <w:r>
        <w:rPr>
          <w:rStyle w:val="Caractresdenotedefin"/>
        </w:rPr>
        <w:endnoteRef/>
      </w:r>
      <w:r>
        <w:rPr/>
        <w:tab/>
      </w:r>
      <w:r>
        <w:rPr/>
        <w:t>Priporočilo št. 19 ECP 2 in večjezična digitalna platforma (MNP).</w:t>
      </w:r>
    </w:p>
  </w:endnote>
  <w:endnote w:id="132">
    <w:p>
      <w:pPr>
        <w:pStyle w:val="Notedefin"/>
        <w:suppressLineNumbers/>
        <w:spacing w:before="57" w:after="57"/>
        <w:ind w:left="339" w:right="0" w:hanging="339"/>
        <w:rPr/>
      </w:pPr>
      <w:r>
        <w:rPr>
          <w:rStyle w:val="Caractresdenotedefin"/>
        </w:rPr>
        <w:endnoteRef/>
      </w:r>
      <w:r>
        <w:rPr/>
        <w:tab/>
      </w:r>
      <w:r>
        <w:rPr/>
        <w:t>EVROPSKI EKONOMSKO-SOCIALNI ODBOR (EESO)</w:t>
      </w:r>
    </w:p>
  </w:endnote>
  <w:endnote w:id="133">
    <w:p>
      <w:pPr>
        <w:pStyle w:val="Notedefin"/>
        <w:suppressLineNumbers/>
        <w:spacing w:before="57" w:after="57"/>
        <w:ind w:left="339" w:right="0" w:hanging="339"/>
        <w:rPr/>
      </w:pPr>
      <w:r>
        <w:rPr>
          <w:rStyle w:val="Caractresdenotedefin"/>
        </w:rPr>
        <w:endnoteRef/>
      </w:r>
      <w:r>
        <w:rPr/>
        <w:tab/>
      </w:r>
      <w:r>
        <w:rPr/>
        <w:t>Sprememba št. 32B delovne skupine.</w:t>
      </w:r>
    </w:p>
  </w:endnote>
  <w:endnote w:id="134">
    <w:p>
      <w:pPr>
        <w:pStyle w:val="Notedefin"/>
        <w:suppressLineNumbers/>
        <w:spacing w:before="57" w:after="57"/>
        <w:ind w:left="339" w:right="0" w:hanging="339"/>
        <w:rPr/>
      </w:pPr>
      <w:r>
        <w:rPr>
          <w:rStyle w:val="Caractresdenotedefin"/>
        </w:rPr>
        <w:endnoteRef/>
      </w:r>
      <w:r>
        <w:rPr/>
        <w:tab/>
      </w:r>
      <w:r>
        <w:rPr/>
        <w:t>Priporočilo 36 ECP 2; nacionalni odbori BE in FR.</w:t>
      </w:r>
    </w:p>
  </w:endnote>
  <w:endnote w:id="135">
    <w:p>
      <w:pPr>
        <w:pStyle w:val="Notedefin"/>
        <w:suppressLineNumbers/>
        <w:spacing w:before="57" w:after="57"/>
        <w:ind w:left="339" w:right="0" w:hanging="339"/>
        <w:rPr/>
      </w:pPr>
      <w:r>
        <w:rPr>
          <w:rStyle w:val="Caractresdenotedefin"/>
        </w:rPr>
        <w:endnoteRef/>
      </w:r>
      <w:r>
        <w:rPr/>
        <w:tab/>
      </w:r>
      <w:r>
        <w:rPr/>
        <w:t>Nacionalna komisija FR („izbor predsednika Evropske komisije s splošnimi volitvami“); PNM (končno Kantarsko poročilo: skupina prispevkov zadeva neposredno izvolitev predsednika Komisije s strani državljanov).</w:t>
      </w:r>
    </w:p>
  </w:endnote>
  <w:endnote w:id="136">
    <w:p>
      <w:pPr>
        <w:pStyle w:val="Notedefin"/>
        <w:suppressLineNumbers/>
        <w:spacing w:before="57" w:after="57"/>
        <w:ind w:left="339" w:right="0" w:hanging="339"/>
        <w:rPr/>
      </w:pPr>
      <w:r>
        <w:rPr>
          <w:rStyle w:val="Caractresdenotedefin"/>
        </w:rPr>
        <w:endnoteRef/>
      </w:r>
      <w:r>
        <w:rPr/>
        <w:tab/>
      </w:r>
      <w:r>
        <w:rPr/>
        <w:t>Predlog spremembe št. 34C delovne skupine.</w:t>
      </w:r>
    </w:p>
  </w:endnote>
  <w:endnote w:id="137">
    <w:p>
      <w:pPr>
        <w:pStyle w:val="Notedefin"/>
        <w:suppressLineNumbers/>
        <w:spacing w:before="57" w:after="57"/>
        <w:ind w:left="339" w:right="0" w:hanging="339"/>
        <w:rPr/>
      </w:pPr>
      <w:r>
        <w:rPr>
          <w:rStyle w:val="Caractresdenotedefin"/>
        </w:rPr>
        <w:endnoteRef/>
      </w:r>
      <w:r>
        <w:rPr/>
        <w:tab/>
      </w:r>
      <w:r>
        <w:rPr/>
        <w:t>Nacionalni odbor BE (3.2), nacionalni odbor FR (11) PNM (končno poročilo Kantar: „Kar zadeva Evropski parlament, prispevki najpogosteje zahtevajo, da se mu podeli dejanska pristojnost zakonodajne pobude“).</w:t>
      </w:r>
    </w:p>
  </w:endnote>
  <w:endnote w:id="138">
    <w:p>
      <w:pPr>
        <w:pStyle w:val="Notedefin"/>
        <w:suppressLineNumbers/>
        <w:spacing w:before="57" w:after="57"/>
        <w:ind w:left="339" w:right="0" w:hanging="339"/>
        <w:rPr/>
      </w:pPr>
      <w:r>
        <w:rPr>
          <w:rStyle w:val="Caractresdenotedefin"/>
        </w:rPr>
        <w:endnoteRef/>
      </w:r>
      <w:r>
        <w:rPr/>
        <w:tab/>
      </w:r>
      <w:r>
        <w:rPr/>
        <w:t>PNM (končno Kantarsko poročilo: „V zvezi z Evropskim parlamentom (...) obstajajo tudi zahteve, da se mu podelijo proračunska pooblastila“).</w:t>
      </w:r>
    </w:p>
  </w:endnote>
  <w:endnote w:id="139">
    <w:p>
      <w:pPr>
        <w:pStyle w:val="Notedefin"/>
        <w:suppressLineNumbers/>
        <w:spacing w:before="57" w:after="57"/>
        <w:ind w:left="339" w:right="0" w:hanging="339"/>
        <w:rPr/>
      </w:pPr>
      <w:r>
        <w:rPr>
          <w:rStyle w:val="Caractresdenotedefin"/>
        </w:rPr>
        <w:endnoteRef/>
      </w:r>
      <w:r>
        <w:rPr/>
        <w:tab/>
      </w:r>
      <w:r>
        <w:rPr/>
        <w:t>PNM (končno Kantarsko poročilo: V skladu z drugim prispevkom bi morale pogodbenice postati bolj dostopne ljudem iz različnih kulturnih ali socialno-ekonomskih okolij.</w:t>
      </w:r>
    </w:p>
  </w:endnote>
  <w:endnote w:id="140">
    <w:p>
      <w:pPr>
        <w:pStyle w:val="Notedefin"/>
        <w:suppressLineNumbers/>
        <w:spacing w:before="57" w:after="57"/>
        <w:ind w:left="339" w:right="0" w:hanging="339"/>
        <w:rPr/>
      </w:pPr>
      <w:r>
        <w:rPr>
          <w:rStyle w:val="Caractresdenotedefin"/>
        </w:rPr>
        <w:endnoteRef/>
      </w:r>
      <w:r>
        <w:rPr/>
        <w:tab/>
      </w:r>
      <w:r>
        <w:rPr/>
        <w:t>OR v delovni skupini.</w:t>
      </w:r>
    </w:p>
  </w:endnote>
  <w:endnote w:id="141">
    <w:p>
      <w:pPr>
        <w:pStyle w:val="Notedefin"/>
        <w:suppressLineNumbers/>
        <w:spacing w:before="57" w:after="57"/>
        <w:ind w:left="339" w:right="0" w:hanging="339"/>
        <w:rPr/>
      </w:pPr>
      <w:r>
        <w:rPr>
          <w:rStyle w:val="Caractresdenotedefin"/>
        </w:rPr>
        <w:endnoteRef/>
      </w:r>
      <w:r>
        <w:rPr/>
        <w:tab/>
      </w:r>
      <w:r>
        <w:rPr/>
        <w:t>Predlog spremembe 38 delovne skupine, kompromisno besedilo.</w:t>
      </w:r>
    </w:p>
  </w:endnote>
  <w:endnote w:id="142">
    <w:p>
      <w:pPr>
        <w:pStyle w:val="Notedefin"/>
        <w:suppressLineNumbers/>
        <w:spacing w:before="57" w:after="57"/>
        <w:ind w:left="339" w:right="0" w:hanging="339"/>
        <w:rPr/>
      </w:pPr>
      <w:r>
        <w:rPr>
          <w:rStyle w:val="Caractresdenotedefin"/>
        </w:rPr>
        <w:endnoteRef/>
      </w:r>
      <w:r>
        <w:rPr/>
        <w:tab/>
      </w:r>
      <w:r>
        <w:rPr/>
        <w:t>Priporočilo ECP št. 20 2.</w:t>
      </w:r>
    </w:p>
  </w:endnote>
  <w:endnote w:id="143">
    <w:p>
      <w:pPr>
        <w:pStyle w:val="Notedefin"/>
        <w:suppressLineNumbers/>
        <w:spacing w:before="57" w:after="57"/>
        <w:ind w:left="339" w:right="0" w:hanging="339"/>
        <w:rPr/>
      </w:pPr>
      <w:r>
        <w:rPr>
          <w:rStyle w:val="Caractresdenotedefin"/>
        </w:rPr>
        <w:endnoteRef/>
      </w:r>
      <w:r>
        <w:rPr/>
        <w:tab/>
      </w:r>
      <w:r>
        <w:rPr/>
        <w:t>Priporočilo ECP št. 21 4.</w:t>
      </w:r>
    </w:p>
  </w:endnote>
  <w:endnote w:id="144">
    <w:p>
      <w:pPr>
        <w:pStyle w:val="Notedefin"/>
        <w:suppressLineNumbers/>
        <w:spacing w:before="57" w:after="57"/>
        <w:ind w:left="339" w:right="0" w:hanging="339"/>
        <w:rPr/>
      </w:pPr>
      <w:r>
        <w:rPr>
          <w:rStyle w:val="Caractresdenotedefin"/>
        </w:rPr>
        <w:endnoteRef/>
      </w:r>
      <w:r>
        <w:rPr/>
        <w:tab/>
      </w:r>
      <w:r>
        <w:rPr/>
        <w:t>Predlog spremembe št. 43 delovne skupine.</w:t>
      </w:r>
    </w:p>
  </w:endnote>
  <w:endnote w:id="145">
    <w:p>
      <w:pPr>
        <w:pStyle w:val="Notedefin"/>
        <w:suppressLineNumbers/>
        <w:spacing w:before="57" w:after="57"/>
        <w:ind w:left="339" w:right="0" w:hanging="339"/>
        <w:rPr/>
      </w:pPr>
      <w:r>
        <w:rPr>
          <w:rStyle w:val="Caractresdenotedefin"/>
        </w:rPr>
        <w:endnoteRef/>
      </w:r>
      <w:r>
        <w:rPr/>
        <w:tab/>
      </w:r>
      <w:r>
        <w:rPr/>
        <w:t>Priporočilo 34 ECP 2; nacionalni odbor NL.</w:t>
      </w:r>
    </w:p>
  </w:endnote>
  <w:endnote w:id="146">
    <w:p>
      <w:pPr>
        <w:pStyle w:val="Notedefin"/>
        <w:suppressLineNumbers/>
        <w:spacing w:before="57" w:after="57"/>
        <w:ind w:left="339" w:right="0" w:hanging="339"/>
        <w:rPr/>
      </w:pPr>
      <w:r>
        <w:rPr>
          <w:rStyle w:val="Caractresdenotedefin"/>
        </w:rPr>
        <w:endnoteRef/>
      </w:r>
      <w:r>
        <w:rPr/>
        <w:tab/>
      </w:r>
      <w:r>
        <w:rPr/>
        <w:t>Razprava delovne skupine na podlagi priporočila 34 ECP 2; nacionalni odbor NL; PNM (končno Kantarsko poročilo: „Podpirata se tudi večja preglednost in večja udeležba državljanov v postopku odločanja EU“.</w:t>
      </w:r>
    </w:p>
  </w:endnote>
  <w:endnote w:id="147">
    <w:p>
      <w:pPr>
        <w:pStyle w:val="Notedefin"/>
        <w:suppressLineNumbers/>
        <w:spacing w:before="57" w:after="57"/>
        <w:ind w:left="339" w:right="0" w:hanging="339"/>
        <w:rPr/>
      </w:pPr>
      <w:r>
        <w:rPr>
          <w:rStyle w:val="Caractresdenotedefin"/>
        </w:rPr>
        <w:endnoteRef/>
      </w:r>
      <w:r>
        <w:rPr/>
        <w:tab/>
      </w:r>
      <w:r>
        <w:rPr/>
        <w:t>Predlog spremembe št. 44A delovne skupine.</w:t>
      </w:r>
    </w:p>
  </w:endnote>
  <w:endnote w:id="148">
    <w:p>
      <w:pPr>
        <w:pStyle w:val="Notedefin"/>
        <w:suppressLineNumbers/>
        <w:spacing w:before="57" w:after="57"/>
        <w:ind w:left="339" w:right="0" w:hanging="339"/>
        <w:rPr/>
      </w:pPr>
      <w:r>
        <w:rPr>
          <w:rStyle w:val="Caractresdenotedefin"/>
        </w:rPr>
        <w:endnoteRef/>
      </w:r>
      <w:r>
        <w:rPr/>
        <w:tab/>
      </w:r>
      <w:r>
        <w:rPr/>
        <w:t>Razprava delovne skupine (predstavitev nacionalnih parlamentov in OR).</w:t>
      </w:r>
    </w:p>
  </w:endnote>
  <w:endnote w:id="149">
    <w:p>
      <w:pPr>
        <w:pStyle w:val="Notedefin"/>
        <w:suppressLineNumbers/>
        <w:spacing w:before="57" w:after="57"/>
        <w:ind w:left="339" w:right="0" w:hanging="339"/>
        <w:rPr/>
      </w:pPr>
      <w:r>
        <w:rPr>
          <w:rStyle w:val="Caractresdenotedefin"/>
        </w:rPr>
        <w:endnoteRef/>
      </w:r>
      <w:r>
        <w:rPr/>
        <w:tab/>
      </w:r>
      <w:r>
        <w:rPr/>
        <w:t>Predlog spremembe št. 45C delovne skupine.</w:t>
      </w:r>
    </w:p>
  </w:endnote>
  <w:endnote w:id="150">
    <w:p>
      <w:pPr>
        <w:pStyle w:val="Notedefin"/>
        <w:suppressLineNumbers/>
        <w:spacing w:before="57" w:after="57"/>
        <w:ind w:left="339" w:right="0" w:hanging="339"/>
        <w:rPr/>
      </w:pPr>
      <w:r>
        <w:rPr>
          <w:rStyle w:val="Caractresdenotedefin"/>
        </w:rPr>
        <w:endnoteRef/>
      </w:r>
      <w:r>
        <w:rPr/>
        <w:tab/>
      </w:r>
      <w:r>
        <w:rPr/>
        <w:t>Sprememba št. 46B delovne skupine.</w:t>
      </w:r>
    </w:p>
  </w:endnote>
  <w:endnote w:id="151">
    <w:p>
      <w:pPr>
        <w:pStyle w:val="Notedefin"/>
        <w:suppressLineNumbers/>
        <w:spacing w:before="57" w:after="57"/>
        <w:ind w:left="339" w:right="0" w:hanging="339"/>
        <w:rPr/>
      </w:pPr>
      <w:r>
        <w:rPr>
          <w:rStyle w:val="Caractresdenotedefin"/>
        </w:rPr>
        <w:endnoteRef/>
      </w:r>
      <w:r>
        <w:rPr/>
        <w:tab/>
      </w:r>
      <w:r>
        <w:rPr/>
        <w:t>Priporočilo ECP št. 15 2.</w:t>
      </w:r>
    </w:p>
  </w:endnote>
  <w:endnote w:id="152">
    <w:p>
      <w:pPr>
        <w:pStyle w:val="Notedefin"/>
        <w:suppressLineNumbers/>
        <w:spacing w:before="57" w:after="57"/>
        <w:ind w:left="339" w:right="0" w:hanging="339"/>
        <w:rPr/>
      </w:pPr>
      <w:r>
        <w:rPr>
          <w:rStyle w:val="Caractresdenotedefin"/>
        </w:rPr>
        <w:endnoteRef/>
      </w:r>
      <w:r>
        <w:rPr/>
        <w:tab/>
      </w:r>
      <w:r>
        <w:rPr/>
        <w:t>Razprava delovne skupine na podlagi potrebe, izražene v priporočilu 15 ECP 2, da se „pojasnijo naloge evropskih institucij“; PNM (končno Kantarsko poročilo: „Obstajajo tudi predlogi za poglobitev dvodomne zakonodajne pristojnosti v EU.“)</w:t>
      </w:r>
    </w:p>
  </w:endnote>
  <w:endnote w:id="153">
    <w:p>
      <w:pPr>
        <w:pStyle w:val="Notedefin"/>
        <w:suppressLineNumbers/>
        <w:spacing w:before="57" w:after="57"/>
        <w:ind w:left="339" w:right="0" w:hanging="339"/>
        <w:rPr/>
      </w:pPr>
      <w:r>
        <w:rPr>
          <w:rStyle w:val="Caractresdenotedefin"/>
        </w:rPr>
        <w:endnoteRef/>
      </w:r>
      <w:r>
        <w:rPr/>
        <w:tab/>
      </w:r>
      <w:r>
        <w:rPr/>
        <w:t>Sprememba št. 48B delovne skupine.</w:t>
      </w:r>
    </w:p>
  </w:endnote>
  <w:endnote w:id="154">
    <w:p>
      <w:pPr>
        <w:pStyle w:val="Notedefin"/>
        <w:suppressLineNumbers/>
        <w:spacing w:before="57" w:after="57"/>
        <w:ind w:left="339" w:right="0" w:hanging="339"/>
        <w:rPr/>
      </w:pPr>
      <w:r>
        <w:rPr>
          <w:rStyle w:val="Caractresdenotedefin"/>
        </w:rPr>
        <w:endnoteRef/>
      </w:r>
      <w:r>
        <w:rPr/>
        <w:tab/>
      </w:r>
      <w:r>
        <w:rPr/>
        <w:t>Priporočilo ECP št. 15 2.</w:t>
      </w:r>
    </w:p>
  </w:endnote>
  <w:endnote w:id="155">
    <w:p>
      <w:pPr>
        <w:pStyle w:val="Notedefin"/>
        <w:suppressLineNumbers/>
        <w:spacing w:before="57" w:after="57"/>
        <w:ind w:left="339" w:right="0" w:hanging="339"/>
        <w:rPr/>
      </w:pPr>
      <w:r>
        <w:rPr>
          <w:rStyle w:val="Caractresdenotedefin"/>
        </w:rPr>
        <w:endnoteRef/>
      </w:r>
      <w:r>
        <w:rPr/>
        <w:tab/>
      </w:r>
      <w:r>
        <w:rPr/>
        <w:t>Razprave v delovni skupini.</w:t>
      </w:r>
    </w:p>
  </w:endnote>
  <w:endnote w:id="156">
    <w:p>
      <w:pPr>
        <w:pStyle w:val="Notedefin"/>
        <w:suppressLineNumbers/>
        <w:spacing w:before="57" w:after="57"/>
        <w:ind w:left="339" w:right="0" w:hanging="339"/>
        <w:rPr/>
      </w:pPr>
      <w:r>
        <w:rPr>
          <w:rStyle w:val="Caractresdenotedefin"/>
        </w:rPr>
        <w:endnoteRef/>
      </w:r>
      <w:r>
        <w:rPr/>
        <w:tab/>
      </w:r>
      <w:r>
        <w:rPr/>
        <w:t>Predlog spremembe št. 52A delovne skupine.</w:t>
      </w:r>
    </w:p>
  </w:endnote>
  <w:endnote w:id="157">
    <w:p>
      <w:pPr>
        <w:pStyle w:val="Notedefin"/>
        <w:suppressLineNumbers/>
        <w:spacing w:before="57" w:after="57"/>
        <w:ind w:left="339" w:right="0" w:hanging="339"/>
        <w:rPr/>
      </w:pPr>
      <w:r>
        <w:rPr>
          <w:rStyle w:val="Caractresdenotedefin"/>
        </w:rPr>
        <w:endnoteRef/>
      </w:r>
      <w:r>
        <w:rPr/>
        <w:tab/>
      </w:r>
      <w:r>
        <w:rPr/>
        <w:t>EESO, kompromisna formulacija.</w:t>
      </w:r>
    </w:p>
  </w:endnote>
  <w:endnote w:id="158">
    <w:p>
      <w:pPr>
        <w:pStyle w:val="Notedefin"/>
        <w:suppressLineNumbers/>
        <w:spacing w:before="57" w:after="57"/>
        <w:ind w:left="339" w:right="0" w:hanging="339"/>
        <w:rPr/>
      </w:pPr>
      <w:r>
        <w:rPr>
          <w:rStyle w:val="Caractresdenotedefin"/>
        </w:rPr>
        <w:endnoteRef/>
      </w:r>
      <w:r>
        <w:rPr/>
        <w:tab/>
      </w:r>
      <w:r>
        <w:rPr/>
        <w:t>Priporočilo 35 ECP, nacionalni odbor FR ter združene spremembe Delovne skupine 51C in 51D.</w:t>
      </w:r>
    </w:p>
  </w:endnote>
  <w:endnote w:id="159">
    <w:p>
      <w:pPr>
        <w:pStyle w:val="Notedefin"/>
        <w:suppressLineNumbers/>
        <w:spacing w:before="57" w:after="57"/>
        <w:ind w:left="339" w:right="0" w:hanging="339"/>
        <w:rPr/>
      </w:pPr>
      <w:r>
        <w:rPr>
          <w:rStyle w:val="Caractresdenotedefin"/>
        </w:rPr>
        <w:endnoteRef/>
      </w:r>
      <w:r>
        <w:rPr/>
        <w:tab/>
      </w:r>
      <w:r>
        <w:rPr/>
        <w:t>Predlog spremembe št. 53D delovne skupine.</w:t>
      </w:r>
    </w:p>
  </w:endnote>
  <w:endnote w:id="160">
    <w:p>
      <w:pPr>
        <w:pStyle w:val="Notedefin"/>
        <w:suppressLineNumbers/>
        <w:spacing w:before="57" w:after="57"/>
        <w:ind w:left="339" w:right="0" w:hanging="339"/>
        <w:rPr/>
      </w:pPr>
      <w:r>
        <w:rPr>
          <w:rStyle w:val="Caractresdenotedefin"/>
        </w:rPr>
        <w:endnoteRef/>
      </w:r>
      <w:r>
        <w:rPr/>
        <w:tab/>
      </w:r>
      <w:r>
        <w:rPr/>
        <w:t>Razprava v delovni skupini; nacionalnih parlamentov.</w:t>
      </w:r>
    </w:p>
  </w:endnote>
  <w:endnote w:id="161">
    <w:p>
      <w:pPr>
        <w:pStyle w:val="Notedefin"/>
        <w:spacing w:before="57" w:after="57"/>
        <w:rPr/>
      </w:pPr>
      <w:r>
        <w:rPr>
          <w:rStyle w:val="Caractresdenotedefin"/>
        </w:rPr>
        <w:endnoteRef/>
      </w:r>
      <w:r>
        <w:rPr/>
        <w:tab/>
      </w:r>
      <w:r>
        <w:rPr/>
        <w:t>Razprava v delovni skupini; OR in EESO; Končno poročilo Kantar, str. 85.</w:t>
      </w:r>
    </w:p>
  </w:endnote>
  <w:endnote w:id="162">
    <w:p>
      <w:pPr>
        <w:pStyle w:val="Notedefin"/>
        <w:suppressLineNumbers/>
        <w:spacing w:before="57" w:after="57"/>
        <w:ind w:left="339" w:right="0" w:hanging="339"/>
        <w:rPr/>
      </w:pPr>
      <w:r>
        <w:rPr>
          <w:rStyle w:val="Caractresdenotedefin"/>
        </w:rPr>
        <w:endnoteRef/>
      </w:r>
      <w:r>
        <w:rPr/>
        <w:tab/>
      </w:r>
      <w:r>
        <w:rPr/>
        <w:t>Sprememba št. 58B delovne skupine.</w:t>
      </w:r>
    </w:p>
  </w:endnote>
  <w:endnote w:id="163">
    <w:p>
      <w:pPr>
        <w:pStyle w:val="Notedefin"/>
        <w:suppressLineNumbers/>
        <w:spacing w:before="57" w:after="57"/>
        <w:ind w:left="339" w:right="0" w:hanging="339"/>
        <w:rPr/>
      </w:pPr>
      <w:r>
        <w:rPr>
          <w:rStyle w:val="Caractresdenotedefin"/>
        </w:rPr>
        <w:endnoteRef/>
      </w:r>
      <w:r>
        <w:rPr/>
        <w:tab/>
      </w:r>
      <w:r>
        <w:rPr/>
        <w:t>Sprememba št. 59B delovne skupine.</w:t>
      </w:r>
    </w:p>
  </w:endnote>
  <w:endnote w:id="164">
    <w:p>
      <w:pPr>
        <w:pStyle w:val="Notedefin"/>
        <w:suppressLineNumbers/>
        <w:spacing w:before="57" w:after="57"/>
        <w:ind w:left="339" w:right="0" w:hanging="339"/>
        <w:rPr/>
      </w:pPr>
      <w:r>
        <w:rPr>
          <w:rStyle w:val="Caractresdenotedefin"/>
        </w:rPr>
        <w:endnoteRef/>
      </w:r>
      <w:r>
        <w:rPr/>
        <w:tab/>
      </w:r>
      <w:r>
        <w:rPr/>
        <w:t>Razprava v delovni skupini; socialni partnerji in drugi člani.</w:t>
      </w:r>
    </w:p>
  </w:endnote>
  <w:endnote w:id="165">
    <w:p>
      <w:pPr>
        <w:pStyle w:val="Notedefin"/>
        <w:suppressLineNumbers/>
        <w:spacing w:before="57" w:after="57"/>
        <w:ind w:left="339" w:right="0" w:hanging="339"/>
        <w:rPr/>
      </w:pPr>
      <w:r>
        <w:rPr>
          <w:rStyle w:val="Caractresdenotedefin"/>
        </w:rPr>
        <w:endnoteRef/>
      </w:r>
      <w:r>
        <w:rPr/>
        <w:tab/>
      </w:r>
      <w:r>
        <w:rPr/>
        <w:t>Predlog spremembe 63A delovne skupine, kompromisno besedilo.</w:t>
      </w:r>
    </w:p>
  </w:endnote>
  <w:endnote w:id="166">
    <w:p>
      <w:pPr>
        <w:pStyle w:val="Notedefin"/>
        <w:suppressLineNumbers/>
        <w:spacing w:before="57" w:after="57"/>
        <w:ind w:left="339" w:right="0" w:hanging="339"/>
        <w:rPr/>
      </w:pPr>
      <w:r>
        <w:rPr>
          <w:rStyle w:val="Caractresdenotedefin"/>
        </w:rPr>
        <w:endnoteRef/>
      </w:r>
      <w:r>
        <w:rPr/>
        <w:tab/>
      </w:r>
      <w:r>
        <w:rPr/>
        <w:t>Priporočila državljanov, na katerih temelji predlog: Okrogla miza evropskih državljanov št. 4 (ECP 4) št.</w:t>
      </w:r>
      <w:r>
        <w:rPr>
          <w:vertAlign w:val="superscript"/>
        </w:rPr>
        <w:t>6</w:t>
      </w:r>
      <w:r>
        <w:rPr/>
        <w:t>, 7, 9, 28 in 30, Litva št. 9.</w:t>
      </w:r>
    </w:p>
  </w:endnote>
  <w:endnote w:id="167">
    <w:p>
      <w:pPr>
        <w:pStyle w:val="Notedefin"/>
        <w:suppressLineNumbers/>
        <w:spacing w:before="57" w:after="57"/>
        <w:ind w:left="339" w:right="0" w:hanging="339"/>
        <w:rPr/>
      </w:pPr>
      <w:r>
        <w:rPr>
          <w:rStyle w:val="Caractresdenotedefin"/>
        </w:rPr>
        <w:endnoteRef/>
      </w:r>
      <w:r>
        <w:rPr/>
        <w:tab/>
      </w:r>
      <w:r>
        <w:rPr/>
        <w:t>Priporočila državljanov, na katerih temelji predlog: Okrogla miza evropskih državljanov št. 4 (ECP 4)</w:t>
      </w:r>
      <w:r>
        <w:rPr>
          <w:vertAlign w:val="superscript"/>
        </w:rPr>
        <w:t>št.</w:t>
      </w:r>
      <w:r>
        <w:rPr/>
        <w:t xml:space="preserve"> 8 in 27, Litva št. 10, Nizozemska št. 3.</w:t>
      </w:r>
    </w:p>
  </w:endnote>
  <w:endnote w:id="168">
    <w:p>
      <w:pPr>
        <w:pStyle w:val="Notedefin"/>
        <w:suppressLineNumbers/>
        <w:spacing w:before="57" w:after="57"/>
        <w:ind w:left="339" w:right="0" w:hanging="339"/>
        <w:rPr/>
      </w:pPr>
      <w:r>
        <w:rPr>
          <w:rStyle w:val="Caractresdenotedefin"/>
        </w:rPr>
        <w:endnoteRef/>
      </w:r>
      <w:r>
        <w:rPr/>
        <w:tab/>
        <w:t xml:space="preserve"> </w:t>
      </w:r>
      <w:r>
        <w:rPr/>
        <w:t>Priporočila državljanov, na katerih temelji predlog: Okrogla miza evropskih državljanov št. 4 (PCE 4)</w:t>
      </w:r>
      <w:r>
        <w:rPr>
          <w:vertAlign w:val="superscript"/>
        </w:rPr>
        <w:t>št.</w:t>
      </w:r>
      <w:r>
        <w:rPr/>
        <w:t xml:space="preserve"> 10, 35 in 38.</w:t>
      </w:r>
    </w:p>
  </w:endnote>
  <w:endnote w:id="169">
    <w:p>
      <w:pPr>
        <w:pStyle w:val="Notedefin"/>
        <w:suppressLineNumbers/>
        <w:spacing w:before="57" w:after="57"/>
        <w:ind w:left="339" w:right="0" w:hanging="339"/>
        <w:rPr/>
      </w:pPr>
      <w:r>
        <w:rPr>
          <w:rStyle w:val="Caractresdenotedefin"/>
        </w:rPr>
        <w:endnoteRef/>
      </w:r>
      <w:r>
        <w:rPr/>
        <w:tab/>
        <w:t xml:space="preserve"> </w:t>
      </w:r>
      <w:r>
        <w:rPr/>
        <w:t>Priporočila državljanov, na katerih temelji predlog: Okrogla miza evropskih državljanov št. 4 (ECP 4) št.</w:t>
      </w:r>
      <w:r>
        <w:rPr>
          <w:vertAlign w:val="superscript"/>
        </w:rPr>
        <w:t>29</w:t>
      </w:r>
      <w:r>
        <w:rPr/>
        <w:t>, 31, 33, 36, 37, 38, 39 in 40, Italija</w:t>
      </w:r>
      <w:r>
        <w:rPr>
          <w:vertAlign w:val="superscript"/>
        </w:rPr>
        <w:t>št.</w:t>
      </w:r>
      <w:r>
        <w:rPr/>
        <w:t xml:space="preserve"> 3.8, 4.4 (str. 15) in 5.6 (str. 11), Litva</w:t>
      </w:r>
      <w:r>
        <w:rPr>
          <w:vertAlign w:val="superscript"/>
        </w:rPr>
        <w:t>št.</w:t>
      </w:r>
      <w:r>
        <w:rPr/>
        <w:t xml:space="preserve"> 2 in 3, Nizozemska št. 1 in 2.</w:t>
      </w:r>
    </w:p>
  </w:endnote>
  <w:endnote w:id="170">
    <w:p>
      <w:pPr>
        <w:pStyle w:val="Notedefin"/>
        <w:spacing w:before="57" w:after="57"/>
        <w:rPr/>
      </w:pPr>
      <w:r>
        <w:rPr>
          <w:rStyle w:val="Caractresdenotedefin"/>
        </w:rPr>
        <w:endnoteRef/>
      </w:r>
      <w:r>
        <w:rPr/>
        <w:tab/>
        <w:t xml:space="preserve"> </w:t>
      </w:r>
      <w:r>
        <w:rPr/>
        <w:t>Priporočila državljanov, na katerih temelji predlog: Okrogla miza evropskih državljanov št. 4 (PCE 4)</w:t>
      </w:r>
      <w:r>
        <w:rPr>
          <w:vertAlign w:val="superscript"/>
        </w:rPr>
        <w:t>št.</w:t>
      </w:r>
      <w:r>
        <w:rPr/>
        <w:t xml:space="preserve"> 7 in 32, Francija št. 13.</w:t>
      </w:r>
    </w:p>
  </w:endnote>
  <w:endnote w:id="171">
    <w:p>
      <w:pPr>
        <w:pStyle w:val="Notedefin"/>
        <w:suppressLineNumbers/>
        <w:spacing w:before="57" w:after="57"/>
        <w:ind w:left="339" w:right="0" w:hanging="339"/>
        <w:rPr/>
      </w:pPr>
      <w:r>
        <w:rPr>
          <w:rStyle w:val="Caractresdenotedefin"/>
        </w:rPr>
        <w:endnoteRef/>
      </w:r>
      <w:r>
        <w:rPr/>
        <w:tab/>
        <w:t xml:space="preserve"> </w:t>
      </w:r>
      <w:r>
        <w:rPr/>
        <w:t>Francoska PCN, sprememba 6.</w:t>
      </w:r>
    </w:p>
  </w:endnote>
  <w:endnote w:id="172">
    <w:p>
      <w:pPr>
        <w:pStyle w:val="Notedefin"/>
        <w:suppressLineNumbers/>
        <w:spacing w:before="57" w:after="57"/>
        <w:ind w:left="339" w:right="0" w:hanging="339"/>
        <w:rPr/>
      </w:pPr>
      <w:r>
        <w:rPr>
          <w:rStyle w:val="Caractresdenotedefin"/>
        </w:rPr>
        <w:endnoteRef/>
      </w:r>
      <w:r>
        <w:rPr/>
        <w:tab/>
      </w:r>
      <w:r>
        <w:rPr/>
        <w:t>Priporočilo EP 37 1.</w:t>
      </w:r>
    </w:p>
  </w:endnote>
  <w:endnote w:id="173">
    <w:p>
      <w:pPr>
        <w:pStyle w:val="Notedefin"/>
        <w:suppressLineNumbers/>
        <w:spacing w:before="57" w:after="57"/>
        <w:ind w:left="339" w:right="0" w:hanging="339"/>
        <w:rPr/>
      </w:pPr>
      <w:r>
        <w:rPr>
          <w:rStyle w:val="Caractresdenotedefin"/>
        </w:rPr>
        <w:endnoteRef/>
      </w:r>
      <w:r>
        <w:rPr/>
        <w:tab/>
      </w:r>
      <w:r>
        <w:rPr/>
        <w:t>Priporočilo 3 ECP. Francoska PCN, sprememba 6.</w:t>
      </w:r>
    </w:p>
  </w:endnote>
  <w:endnote w:id="174">
    <w:p>
      <w:pPr>
        <w:pStyle w:val="Notedefin"/>
        <w:suppressLineNumbers/>
        <w:spacing w:before="57" w:after="57"/>
        <w:ind w:left="339" w:right="0" w:hanging="339"/>
        <w:rPr/>
      </w:pPr>
      <w:r>
        <w:rPr>
          <w:rStyle w:val="Caractresdenotedefin"/>
        </w:rPr>
        <w:endnoteRef/>
      </w:r>
      <w:r>
        <w:rPr/>
        <w:tab/>
        <w:t xml:space="preserve"> </w:t>
      </w:r>
      <w:r>
        <w:rPr/>
        <w:t>Priporočilo ECP št. 41 1.</w:t>
      </w:r>
    </w:p>
  </w:endnote>
  <w:endnote w:id="175">
    <w:p>
      <w:pPr>
        <w:pStyle w:val="Notedefin"/>
        <w:suppressLineNumbers/>
        <w:spacing w:before="57" w:after="57"/>
        <w:ind w:left="339" w:right="0" w:hanging="339"/>
        <w:rPr/>
      </w:pPr>
      <w:r>
        <w:rPr>
          <w:rStyle w:val="Caractresdenotedefin"/>
        </w:rPr>
        <w:endnoteRef/>
      </w:r>
      <w:r>
        <w:rPr/>
        <w:tab/>
        <w:t xml:space="preserve"> </w:t>
      </w:r>
      <w:r>
        <w:rPr/>
        <w:t>O tem podrobneje razpravlja delovna skupina za evropsko demokracijo. Glej Priporočilo št. 24 ECP 2, priporočila 1.1, 1.2 in 2.12 belgijske nacionalne kontaktne točke in italijansko priporočilo o politikah vključevanja.</w:t>
      </w:r>
    </w:p>
  </w:endnote>
  <w:endnote w:id="176">
    <w:p>
      <w:pPr>
        <w:pStyle w:val="Notedefin"/>
        <w:suppressLineNumbers/>
        <w:spacing w:before="57" w:after="57"/>
        <w:ind w:left="339" w:right="0" w:hanging="339"/>
        <w:rPr/>
      </w:pPr>
      <w:r>
        <w:rPr>
          <w:rStyle w:val="Caractresdenotedefin"/>
        </w:rPr>
        <w:endnoteRef/>
      </w:r>
      <w:r>
        <w:rPr/>
        <w:tab/>
      </w:r>
      <w:r>
        <w:rPr/>
        <w:t>Priporočilo italijanske nacionalne kontaktne točke o „politiki vključevanja“.</w:t>
      </w:r>
    </w:p>
  </w:endnote>
  <w:endnote w:id="177">
    <w:p>
      <w:pPr>
        <w:pStyle w:val="Notedefin"/>
        <w:suppressLineNumbers/>
        <w:spacing w:before="57" w:after="57"/>
        <w:ind w:left="339" w:right="0" w:hanging="339"/>
        <w:rPr/>
      </w:pPr>
      <w:r>
        <w:rPr>
          <w:rStyle w:val="Caractresdenotedefin"/>
        </w:rPr>
        <w:endnoteRef/>
      </w:r>
      <w:r>
        <w:rPr/>
        <w:tab/>
      </w:r>
      <w:r>
        <w:rPr/>
        <w:t>O tem podrobneje razpravlja delovna skupina za digitalno preobrazbo. Glej priporočili št. 8 in 34 ECP 1.</w:t>
      </w:r>
    </w:p>
  </w:endnote>
  <w:endnote w:id="178">
    <w:p>
      <w:pPr>
        <w:pStyle w:val="Notedefin"/>
        <w:suppressLineNumbers/>
        <w:spacing w:before="57" w:after="57"/>
        <w:ind w:left="339" w:right="0" w:hanging="339"/>
        <w:rPr/>
      </w:pPr>
      <w:r>
        <w:rPr>
          <w:rStyle w:val="Caractresdenotedefin"/>
        </w:rPr>
        <w:endnoteRef/>
      </w:r>
      <w:r>
        <w:rPr/>
        <w:tab/>
      </w:r>
      <w:r>
        <w:rPr/>
        <w:t>Priporočilo italijanske nacionalne kontaktne točke „Spodbujanje mladih k študiju znanstvenih predmetov“.</w:t>
      </w:r>
    </w:p>
  </w:endnote>
  <w:endnote w:id="179">
    <w:p>
      <w:pPr>
        <w:pStyle w:val="Notedefin"/>
        <w:suppressLineNumbers/>
        <w:spacing w:before="57" w:after="57"/>
        <w:ind w:left="339" w:right="0" w:hanging="339"/>
        <w:rPr/>
      </w:pPr>
      <w:r>
        <w:rPr>
          <w:rStyle w:val="Caractresdenotedefin"/>
        </w:rPr>
        <w:endnoteRef/>
      </w:r>
      <w:r>
        <w:rPr/>
        <w:tab/>
      </w:r>
      <w:r>
        <w:rPr/>
        <w:t>PCE Priporočili 33 in 48 1. Obravnavala ga je tudi delovna skupina za digitalno preobrazbo. Glej priporočilo 47 ECP 1 o zdravi uporabi interneta.</w:t>
      </w:r>
    </w:p>
  </w:endnote>
  <w:endnote w:id="180">
    <w:p>
      <w:pPr>
        <w:pStyle w:val="Notedefin"/>
        <w:suppressLineNumbers/>
        <w:spacing w:before="57" w:after="57"/>
        <w:ind w:left="339" w:right="0" w:hanging="339"/>
        <w:rPr/>
      </w:pPr>
      <w:r>
        <w:rPr>
          <w:rStyle w:val="Caractresdenotedefin"/>
        </w:rPr>
        <w:endnoteRef/>
      </w:r>
      <w:r>
        <w:rPr/>
        <w:tab/>
      </w:r>
      <w:r>
        <w:rPr/>
        <w:t>Priporočilo 5 ECP 1.</w:t>
      </w:r>
    </w:p>
  </w:endnote>
  <w:endnote w:id="181">
    <w:p>
      <w:pPr>
        <w:pStyle w:val="Notedefin"/>
        <w:suppressLineNumbers/>
        <w:spacing w:before="57" w:after="57"/>
        <w:ind w:left="339" w:right="0" w:hanging="339"/>
        <w:rPr/>
      </w:pPr>
      <w:r>
        <w:rPr>
          <w:rStyle w:val="Caractresdenotedefin"/>
        </w:rPr>
        <w:endnoteRef/>
      </w:r>
      <w:r>
        <w:rPr/>
        <w:tab/>
      </w:r>
      <w:r>
        <w:rPr/>
        <w:t>Priporočili št. 15 in 18 ECP 1.</w:t>
      </w:r>
    </w:p>
  </w:endnote>
  <w:endnote w:id="182">
    <w:p>
      <w:pPr>
        <w:pStyle w:val="Notedefin"/>
        <w:suppressLineNumbers/>
        <w:spacing w:before="57" w:after="57"/>
        <w:ind w:left="339" w:right="0" w:hanging="339"/>
        <w:rPr/>
      </w:pPr>
      <w:r>
        <w:rPr>
          <w:rStyle w:val="Caractresdenotedefin"/>
        </w:rPr>
        <w:endnoteRef/>
      </w:r>
      <w:r>
        <w:rPr/>
        <w:tab/>
        <w:t xml:space="preserve"> </w:t>
      </w:r>
      <w:r>
        <w:rPr/>
        <w:t>Priporočilo italijanske nacionalne kontaktne točke o „Evropa v svetu“</w:t>
      </w:r>
    </w:p>
  </w:endnote>
  <w:endnote w:id="183">
    <w:p>
      <w:pPr>
        <w:pStyle w:val="Notedefin"/>
        <w:suppressLineNumbers/>
        <w:spacing w:before="57" w:after="57"/>
        <w:ind w:left="339" w:right="0" w:hanging="339"/>
        <w:rPr/>
      </w:pPr>
      <w:r>
        <w:rPr>
          <w:rStyle w:val="Caractresdenotedefin"/>
        </w:rPr>
        <w:endnoteRef/>
      </w:r>
      <w:r>
        <w:rPr/>
        <w:tab/>
      </w:r>
      <w:r>
        <w:rPr/>
        <w:t>Priporočili št.</w:t>
      </w:r>
      <w:r>
        <w:rPr>
          <w:vertAlign w:val="superscript"/>
        </w:rPr>
        <w:t>18</w:t>
      </w:r>
      <w:r>
        <w:rPr/>
        <w:t xml:space="preserve"> in 41 ECP 1 in priporočilo italijanske nacionalne kontaktne točke o vlaganju v usposabljanje vodij usposabljanja.</w:t>
      </w:r>
    </w:p>
  </w:endnote>
  <w:endnote w:id="184">
    <w:p>
      <w:pPr>
        <w:pStyle w:val="Notedefin"/>
        <w:suppressLineNumbers/>
        <w:spacing w:before="57" w:after="57"/>
        <w:ind w:left="339" w:right="0" w:hanging="339"/>
        <w:rPr/>
      </w:pPr>
      <w:r>
        <w:rPr>
          <w:rStyle w:val="Caractresdenotedefin"/>
        </w:rPr>
        <w:endnoteRef/>
      </w:r>
      <w:r>
        <w:rPr/>
        <w:tab/>
      </w:r>
      <w:r>
        <w:rPr/>
        <w:t>PCE 1 Priporočilo št. 17, ki je v celoti naslovljeno na delovno skupino za digitalne tehnologije.</w:t>
      </w:r>
    </w:p>
  </w:endnote>
  <w:endnote w:id="185">
    <w:p>
      <w:pPr>
        <w:pStyle w:val="Notedefin"/>
        <w:suppressLineNumbers/>
        <w:spacing w:before="57" w:after="57"/>
        <w:ind w:left="339" w:right="0" w:hanging="339"/>
        <w:rPr/>
      </w:pPr>
      <w:r>
        <w:rPr>
          <w:rStyle w:val="Caractresdenotedefin"/>
        </w:rPr>
        <w:endnoteRef/>
      </w:r>
      <w:r>
        <w:rPr/>
        <w:tab/>
        <w:t xml:space="preserve"> </w:t>
      </w:r>
      <w:r>
        <w:rPr/>
        <w:t>Priporočilo ECP št. 15 1. Priporočilo nemške nacionalne kontaktne točke o „informacijski platformi za izmenjavo znanja in izkušenj na ravni EU“.</w:t>
      </w:r>
    </w:p>
  </w:endnote>
  <w:endnote w:id="186">
    <w:p>
      <w:pPr>
        <w:pStyle w:val="Notedefin"/>
        <w:suppressLineNumbers/>
        <w:spacing w:before="57" w:after="57"/>
        <w:ind w:left="339" w:right="0" w:hanging="339"/>
        <w:rPr/>
      </w:pPr>
      <w:r>
        <w:rPr>
          <w:rStyle w:val="Caractresdenotedefin"/>
        </w:rPr>
        <w:endnoteRef/>
      </w:r>
      <w:r>
        <w:rPr/>
        <w:tab/>
      </w:r>
      <w:r>
        <w:rPr/>
        <w:t>Priporočilo 6.1 belgijske nacionalne kontaktne točke. Francoska PCN, sprememba 7.</w:t>
      </w:r>
    </w:p>
  </w:endnote>
  <w:endnote w:id="187">
    <w:p>
      <w:pPr>
        <w:pStyle w:val="Notedefin"/>
        <w:suppressLineNumbers/>
        <w:spacing w:before="57" w:after="57"/>
        <w:ind w:left="339" w:right="0" w:hanging="339"/>
        <w:rPr/>
      </w:pPr>
      <w:r>
        <w:rPr>
          <w:rStyle w:val="Caractresdenotedefin"/>
        </w:rPr>
        <w:endnoteRef/>
      </w:r>
      <w:r>
        <w:rPr/>
        <w:tab/>
        <w:t xml:space="preserve"> </w:t>
      </w:r>
      <w:r>
        <w:rPr/>
        <w:t>Priporočilo 7.2 belgijske nacionalne kontaktne točke.</w:t>
      </w:r>
    </w:p>
  </w:endnote>
  <w:endnote w:id="188">
    <w:p>
      <w:pPr>
        <w:pStyle w:val="Notedefin"/>
        <w:suppressLineNumbers/>
        <w:spacing w:before="57" w:after="57"/>
        <w:ind w:left="339" w:right="0" w:hanging="339"/>
        <w:rPr/>
      </w:pPr>
      <w:r>
        <w:rPr>
          <w:rStyle w:val="Caractresdenotedefin"/>
        </w:rPr>
        <w:endnoteRef/>
      </w:r>
      <w:r>
        <w:rPr/>
        <w:tab/>
      </w:r>
      <w:r>
        <w:rPr/>
        <w:t>Priporočilo 4 ECP 1.</w:t>
      </w:r>
    </w:p>
  </w:endnote>
  <w:endnote w:id="189">
    <w:p>
      <w:pPr>
        <w:pStyle w:val="Notedefin"/>
        <w:suppressLineNumbers/>
        <w:spacing w:before="57" w:after="57"/>
        <w:ind w:left="339" w:right="0" w:hanging="339"/>
        <w:rPr/>
      </w:pPr>
      <w:r>
        <w:rPr>
          <w:rStyle w:val="Caractresdenotedefin"/>
        </w:rPr>
        <w:endnoteRef/>
      </w:r>
      <w:r>
        <w:rPr/>
        <w:tab/>
      </w:r>
      <w:r>
        <w:rPr/>
        <w:t>Predlog za dopolnitev priporočil</w:t>
      </w:r>
      <w:r>
        <w:rPr>
          <w:vertAlign w:val="superscript"/>
        </w:rPr>
        <w:t>št.</w:t>
      </w:r>
      <w:r>
        <w:rPr/>
        <w:t xml:space="preserve"> 1 in 30 ECP 1, ki jih je obravnavala Delovna skupina za močnejše gospodarstvo, socialno pravičnost in zaposlovanje.</w:t>
      </w:r>
    </w:p>
  </w:endnote>
  <w:endnote w:id="190">
    <w:p>
      <w:pPr>
        <w:pStyle w:val="Notedefin"/>
        <w:suppressLineNumbers/>
        <w:spacing w:before="57" w:after="57"/>
        <w:ind w:left="339" w:right="0" w:hanging="339"/>
        <w:rPr/>
      </w:pPr>
      <w:r>
        <w:rPr>
          <w:rStyle w:val="Caractresdenotedefin"/>
        </w:rPr>
        <w:endnoteRef/>
      </w:r>
      <w:r>
        <w:rPr/>
        <w:tab/>
        <w:t xml:space="preserve"> </w:t>
      </w:r>
      <w:r>
        <w:rPr/>
        <w:t>Predlog za dopolnitev Priporočila 25 ECP 1, ki ga je obravnavala Delovna skupina za močnejše gospodarstvo, socialno pravičnost in zaposlovanje.</w:t>
      </w:r>
    </w:p>
  </w:endnote>
  <w:endnote w:id="191">
    <w:p>
      <w:pPr>
        <w:pStyle w:val="Notedefin"/>
        <w:suppressLineNumbers/>
        <w:spacing w:before="57" w:after="57"/>
        <w:ind w:left="339" w:right="0" w:hanging="339"/>
        <w:rPr/>
      </w:pPr>
      <w:r>
        <w:rPr>
          <w:rStyle w:val="Caractresdenotedefin"/>
        </w:rPr>
        <w:endnoteRef/>
      </w:r>
      <w:r>
        <w:rPr/>
        <w:tab/>
        <w:t xml:space="preserve"> </w:t>
      </w:r>
      <w:r>
        <w:rPr/>
        <w:t>Priporočilo ECP št. 28 4. Nizozemska NCP („Naša vizija za kulturo, mladino in šport“), priporočilo 1. Francoska PCN, sprememba 6.</w:t>
      </w:r>
    </w:p>
  </w:endnote>
  <w:endnote w:id="192">
    <w:p>
      <w:pPr>
        <w:pStyle w:val="Notedefin"/>
        <w:suppressLineNumbers/>
        <w:spacing w:before="57" w:after="57"/>
        <w:ind w:left="339" w:right="0" w:hanging="339"/>
        <w:rPr/>
      </w:pPr>
      <w:r>
        <w:rPr>
          <w:rStyle w:val="Caractresdenotedefin"/>
        </w:rPr>
        <w:endnoteRef/>
      </w:r>
      <w:r>
        <w:rPr/>
        <w:tab/>
        <w:t xml:space="preserve"> </w:t>
      </w:r>
      <w:r>
        <w:rPr/>
        <w:t>Priporočilo 6 ECP 1.</w:t>
      </w:r>
    </w:p>
  </w:endnote>
  <w:endnote w:id="193">
    <w:p>
      <w:pPr>
        <w:pStyle w:val="Notedefin"/>
        <w:suppressLineNumbers/>
        <w:spacing w:before="57" w:after="57"/>
        <w:ind w:left="339" w:right="0" w:hanging="339"/>
        <w:rPr/>
      </w:pPr>
      <w:r>
        <w:rPr>
          <w:rStyle w:val="Caractresdenotedefin"/>
        </w:rPr>
        <w:endnoteRef/>
      </w:r>
      <w:r>
        <w:rPr/>
        <w:tab/>
      </w:r>
      <w:r>
        <w:rPr/>
        <w:t>Nizozemska NCP („Naša vizija za kulturo, mladino in šport“), priporočilo št. 2.</w:t>
      </w:r>
    </w:p>
  </w:endnote>
  <w:endnote w:id="194">
    <w:p>
      <w:pPr>
        <w:pStyle w:val="Notedefin"/>
        <w:suppressLineNumbers/>
        <w:spacing w:before="57" w:after="57"/>
        <w:ind w:left="339" w:right="0" w:hanging="339"/>
        <w:rPr/>
      </w:pPr>
      <w:r>
        <w:rPr>
          <w:rStyle w:val="Caractresdenotedefin"/>
        </w:rPr>
        <w:endnoteRef/>
      </w:r>
      <w:r>
        <w:rPr/>
        <w:tab/>
      </w:r>
      <w:r>
        <w:rPr/>
        <w:t>Priporočilo št. 361. Francoska PCN, sprememba 6. Priporočili št. 2.10 in 2.11 belgijske nacionalne kontaktne točke. Nemška nacionalna kontaktna točka, „Ustvarjanje več priložnosti za izmenjavo za študente v Evropi“. Nizozemska NCP („Naša vizija za kulturo, mladino in šport“), priporočili</w:t>
      </w:r>
      <w:r>
        <w:rPr>
          <w:vertAlign w:val="superscript"/>
        </w:rPr>
        <w:t>1</w:t>
      </w:r>
      <w:r>
        <w:rPr/>
        <w:t xml:space="preserve"> in 3. Italijanska nacionalna kontaktna točka, priporočilo za „oblikovanje urada sotočja med vzhodom in zahodom, spodbujanje kulturnih izmenjav in skupnih kulturnih pobud“.</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Priporočili</w:t>
      </w:r>
      <w:r>
        <w:rPr/>
        <w:t xml:space="preserve"> 32 in 38 1. Nizozemska NCP („Naša vizija za kulturo, mladino in šport“), priporočilo 3.</w:t>
      </w:r>
    </w:p>
  </w:endnote>
  <w:endnote w:id="196">
    <w:p>
      <w:pPr>
        <w:pStyle w:val="Notedefin"/>
        <w:suppressLineNumbers/>
        <w:spacing w:before="57" w:after="57"/>
        <w:ind w:left="339" w:right="0" w:hanging="339"/>
        <w:rPr/>
      </w:pPr>
      <w:r>
        <w:rPr>
          <w:rStyle w:val="Caractresdenotedefin"/>
        </w:rPr>
        <w:endnoteRef/>
      </w:r>
      <w:r>
        <w:rPr/>
        <w:tab/>
      </w:r>
      <w:r>
        <w:rPr/>
        <w:t>Priporočilo italijanske nacionalne kontaktne točke o „Evropa v svetu“</w:t>
      </w:r>
    </w:p>
  </w:endnote>
  <w:endnote w:id="197">
    <w:p>
      <w:pPr>
        <w:pStyle w:val="Notedefin"/>
        <w:suppressLineNumbers/>
        <w:spacing w:before="57" w:after="57"/>
        <w:ind w:left="339" w:right="0" w:hanging="339"/>
        <w:rPr/>
      </w:pPr>
      <w:r>
        <w:rPr>
          <w:rStyle w:val="Caractresdenotedefin"/>
        </w:rPr>
        <w:endnoteRef/>
      </w:r>
      <w:r>
        <w:rPr/>
        <w:tab/>
      </w:r>
      <w:r>
        <w:rPr/>
        <w:t>Francoska PCN, sprememba 7. Priporočila</w:t>
      </w:r>
      <w:r>
        <w:rPr>
          <w:vertAlign w:val="superscript"/>
        </w:rPr>
        <w:t>2.5</w:t>
      </w:r>
      <w:r>
        <w:rPr/>
        <w:t>, 6.1 in 8.7 belgijske nacionalne kontaktne točke. Priporočilo italijanske nacionalne kontaktne točke o krepitvi evropskih kulturnih vrednot in značilnosti ter regionalnih posebnosti.</w:t>
      </w:r>
    </w:p>
  </w:endnote>
  <w:endnote w:id="198">
    <w:p>
      <w:pPr>
        <w:pStyle w:val="Notedefin"/>
        <w:suppressLineNumbers/>
        <w:spacing w:before="57" w:after="57"/>
        <w:ind w:left="339" w:right="0" w:hanging="339"/>
        <w:rPr/>
      </w:pPr>
      <w:r>
        <w:rPr>
          <w:rStyle w:val="Caractresdenotedefin"/>
        </w:rPr>
        <w:endnoteRef/>
      </w:r>
      <w:r>
        <w:rPr/>
        <w:tab/>
      </w:r>
      <w:r>
        <w:rPr/>
        <w:t>Nizozemska NCP („Naša vizija za kulturo, mladino in šport“), priporočilo št. 2.</w:t>
      </w:r>
    </w:p>
  </w:endnote>
  <w:endnote w:id="199">
    <w:p>
      <w:pPr>
        <w:pStyle w:val="Notedefin"/>
        <w:suppressLineNumbers/>
        <w:spacing w:before="57" w:after="57"/>
        <w:ind w:left="339" w:right="0" w:hanging="339"/>
        <w:rPr/>
      </w:pPr>
      <w:r>
        <w:rPr>
          <w:rStyle w:val="Caractresdenotedefin"/>
        </w:rPr>
        <w:endnoteRef/>
      </w:r>
      <w:r>
        <w:rPr/>
        <w:tab/>
        <w:t xml:space="preserve"> </w:t>
      </w:r>
      <w:r>
        <w:rPr/>
        <w:t>Priporočilo italijanske nacionalne kontaktne točke, da bi „presegli proizvodni model preteklega stoletja“</w:t>
      </w:r>
    </w:p>
  </w:endnote>
  <w:endnote w:id="200">
    <w:p>
      <w:pPr>
        <w:pStyle w:val="Notedefin"/>
        <w:suppressLineNumbers/>
        <w:spacing w:before="57" w:after="57"/>
        <w:ind w:left="339" w:right="0" w:hanging="339"/>
        <w:rPr/>
      </w:pPr>
      <w:r>
        <w:rPr>
          <w:rStyle w:val="Caractresdenotedefin"/>
        </w:rPr>
        <w:endnoteRef/>
      </w:r>
      <w:r>
        <w:rPr/>
        <w:tab/>
      </w:r>
      <w:r>
        <w:rPr/>
        <w:t>Priporočilo ECP št. 29 1.</w:t>
      </w:r>
    </w:p>
  </w:endnote>
  <w:endnote w:id="201">
    <w:p>
      <w:pPr>
        <w:pStyle w:val="Notedefin"/>
        <w:suppressLineNumbers/>
        <w:spacing w:before="57" w:after="57"/>
        <w:ind w:left="339" w:right="0" w:hanging="339"/>
        <w:rPr/>
      </w:pPr>
      <w:r>
        <w:rPr>
          <w:rStyle w:val="Caractresdenotedefin"/>
        </w:rPr>
        <w:endnoteRef/>
      </w:r>
      <w:r>
        <w:rPr/>
        <w:tab/>
      </w:r>
      <w:r>
        <w:rPr/>
        <w:t>Priporočilo št. 361.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286</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287</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OECD, Inovativna državljanska udeležba in nove demokratične institucije,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OECD, Inovativna državljanska udeležba in nove demokratične institucije, 2020 – https://www.oecd.org/gov/open-government/innovative-citizen-participation-new-democratic-institutions-catching-the-deliberative-wave-highlights.pdf</w:t>
      </w:r>
      <w:hyperlink r:id="rId4">
        <w:r>
          <w:rPr>
            <w:rStyle w:val="LienInternet"/>
          </w:rPr>
          <w:t>.</w:t>
        </w:r>
      </w:hyperlink>
      <w:r>
        <w:rPr/>
        <w:t xml:space="preserve"> </w:t>
      </w:r>
    </w:p>
  </w:footnote>
  <w:footnote w:id="6">
    <w:p>
      <w:pPr>
        <w:pStyle w:val="Normal"/>
        <w:spacing w:before="57" w:after="57"/>
        <w:rPr/>
      </w:pPr>
      <w:r>
        <w:rPr>
          <w:rStyle w:val="Caractresdenotedebasdepage"/>
        </w:rPr>
        <w:footnoteRef/>
      </w:r>
      <w:r>
        <w:rPr/>
        <w:tab/>
      </w:r>
      <w:r>
        <w:rPr/>
        <w:t>Obiščite večjezično digitalno platformo za dostop do vseh informacij o teh dogodkih.</w:t>
      </w:r>
    </w:p>
  </w:footnote>
  <w:footnote w:id="7">
    <w:p>
      <w:pPr>
        <w:pStyle w:val="Notedebasdepage"/>
        <w:suppressLineNumbers/>
        <w:spacing w:before="57" w:after="57"/>
        <w:ind w:left="339" w:right="0" w:hanging="339"/>
        <w:rPr/>
      </w:pPr>
      <w:r>
        <w:rPr>
          <w:rStyle w:val="Caractresdenotedebasdepage"/>
        </w:rPr>
        <w:footnoteRef/>
      </w:r>
      <w:r>
        <w:rPr/>
        <w:tab/>
      </w:r>
      <w:r>
        <w:rPr/>
        <w:t>Doseči je treba soglasje vsaj med predstavniki Evropskega parlamenta, Sveta, Evropske komisije in predstavniki nacionalnih parlamentov pod enakimi pogoji. Če so se stališča predstavnikov državljanov nacionalnih dogodkov in/ali evropskih ali nacionalnih okroglih miz državljanov očitno razlikovala, bi bilo treba to stališče vključiti v to poročilo.</w:t>
      </w:r>
    </w:p>
  </w:footnote>
  <w:footnote w:id="8">
    <w:p>
      <w:pPr>
        <w:pStyle w:val="Notedebasdepage"/>
        <w:suppressLineNumbers/>
        <w:spacing w:before="57" w:after="57"/>
        <w:ind w:left="339" w:right="0" w:hanging="339"/>
        <w:rPr/>
      </w:pPr>
      <w:r>
        <w:rPr>
          <w:rStyle w:val="Caractresdenotedebasdepage"/>
        </w:rPr>
        <w:footnoteRef/>
      </w:r>
      <w:r>
        <w:rPr/>
        <w:tab/>
      </w:r>
      <w:r>
        <w:rPr/>
        <w:t>Drugi člani Evropske komisije so bili povabljeni na plenarno zasedanje, zlasti ko so razpravljali o vprašanjih v njihovih resorjih.</w:t>
      </w:r>
    </w:p>
  </w:footnote>
  <w:footnote w:id="9">
    <w:p>
      <w:pPr>
        <w:pStyle w:val="Notedebasdepage"/>
        <w:suppressLineNumbers/>
        <w:spacing w:before="57" w:after="57"/>
        <w:ind w:left="339" w:right="0" w:hanging="339"/>
        <w:rPr/>
      </w:pPr>
      <w:r>
        <w:rPr>
          <w:rStyle w:val="Caractresdenotedebasdepage"/>
        </w:rPr>
        <w:footnoteRef/>
      </w:r>
      <w:r>
        <w:rPr/>
        <w:tab/>
      </w:r>
      <w:r>
        <w:rPr/>
        <w:t>Po ena na državo članico.</w:t>
      </w:r>
    </w:p>
  </w:footnote>
  <w:footnote w:id="10">
    <w:p>
      <w:pPr>
        <w:pStyle w:val="Notedebasdepage"/>
        <w:suppressLineNumbers/>
        <w:spacing w:before="57" w:after="57"/>
        <w:ind w:left="339" w:right="0" w:hanging="339"/>
        <w:rPr/>
      </w:pPr>
      <w:r>
        <w:rPr>
          <w:rStyle w:val="Caractresdenotedebasdepage"/>
        </w:rPr>
        <w:footnoteRef/>
      </w:r>
      <w:r>
        <w:rPr/>
        <w:tab/>
      </w:r>
      <w:r>
        <w:rPr/>
        <w:t>Prvi dogodek, posvečen evropskim državljanom, je potekal 17. junija 2021 v Lizboni v hibridni obliki pred ustanovnim plenarnim zasedanjem 19. junija, da bi se začela udeležba državljanov na konferenci.</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Predstavniki Evropske komisije so pojasnili, da bi bilo treba iti skozi prehodno obdobje, da bi se izognili preveč nenadnemu razvoju dogodkov.</w:t>
      </w:r>
    </w:p>
  </w:footnote>
  <w:footnote w:id="12">
    <w:p>
      <w:pPr>
        <w:pStyle w:val="Notedebasdepage"/>
        <w:suppressLineNumbers/>
        <w:spacing w:before="57" w:after="57"/>
        <w:ind w:left="339" w:right="0" w:hanging="339"/>
        <w:rPr/>
      </w:pPr>
      <w:r>
        <w:rPr>
          <w:rStyle w:val="Caractresdenotedebasdepage"/>
        </w:rPr>
        <w:footnoteRef/>
      </w:r>
      <w:r>
        <w:rPr/>
        <w:tab/>
      </w:r>
      <w:r>
        <w:rPr/>
        <w:t xml:space="preserve">Stališče Parlamenta: za predsednika Evropske komisije bi bilo treba izvoliti vrh evropske politične stranke z največjim številom glasov na evropskih volitvah in podporo večine poslancev Evropskega parlamenta. Če ne bo koalicijske večine, bi se moralo delovno mesto vrniti na naslednji vrh seznama. v ta namen bi lahko evropske politične stranke imenovale kandidate, ki bodo kandidirali za predsedovanje Komisiji. Paulo Rangel: da bi okrepili postopek vodilnih kandidatov, bi bilo treba spremeniti vlogo Evropskega parlamenta in Evropskega sveta, kar pomeni spremembo Pogodb: predsednika Komisije bi predlagal Parlament, odobril pa bi ga Evropski svet. PNM (končno Kantarsko poročilo: „skupina prispevkov zajema volitve predsednika Komisije in imenovanje komisarjev, vključno s sistemom kandidatov na vrhu seznama.“) EYE, str. 23: Kandidati za mesto predsednika Komisije ne bi smeli biti izvoljeni v pogajanjih v ozadju med zmagovalnimi strankami. Uporabiti bi morali sistem vodilnih kandidatov, kjer vsaka stranka pred volilno kampanjo razglasi kandidata, ki bo predsednik Komisije, če bo ta stranka dobila večino. Z dejavnim sodelovanjem v kampanji in neposrednim stikom z evropskimi državljani bi jim lahko bil prihodnji predsednik bliže.“ diskusija v GT. </w:t>
      </w:r>
    </w:p>
  </w:footnote>
  <w:footnote w:id="13">
    <w:p>
      <w:pPr>
        <w:pStyle w:val="Notedebasdepage"/>
        <w:suppressLineNumbers/>
        <w:spacing w:before="57" w:after="57"/>
        <w:ind w:left="339" w:right="0" w:hanging="339"/>
        <w:rPr/>
      </w:pPr>
      <w:r>
        <w:rPr>
          <w:rStyle w:val="Caractresdenotedebasdepage"/>
        </w:rPr>
        <w:footnoteRef/>
      </w:r>
      <w:r>
        <w:rPr/>
        <w:tab/>
      </w:r>
      <w:r>
        <w:rPr/>
        <w:t>Svet meni, da ta predlog ne temelji na priporočilu državljanov. Zato ni v skladu z dogovorjeno metodologijo. Glej tudi stališče državljanske komponente, izraženo na strani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Vzorec državljanov, ki zastopajo Vilno, Kaunas, Klaipėdo, Šiauliai in Panevėžys ter okrožja Vilna, Kaunas, Klaipėda, Šiauliai, Panevėžys, Alytus, Marijampolė, Tauragė, Telšiai in Utena, na podlagi podatkov litovskega oddelka za statistiko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Konferenca o prihodnosti Evrope | POROČILO O KONČNIH REZULTATIh</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sl"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sl"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sl"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sl"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sl"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sl"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sl"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sl"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sl"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sl"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sl"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sl"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sl"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sl"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sl"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sl"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shaping-europe-together" TargetMode="External"/><Relationship Id="rId57" Type="http://schemas.openxmlformats.org/officeDocument/2006/relationships/hyperlink" Target="https://cor.europa.eu/en/our-work/Pages/EURegionalBarometer-Survey-2021.aspx" TargetMode="External"/><Relationship Id="rId58" Type="http://schemas.openxmlformats.org/officeDocument/2006/relationships/hyperlink" Target="https://futureu.europa.eu/profiles/EU_COMMITTEE_REGIONS/activity" TargetMode="External"/><Relationship Id="rId59" Type="http://schemas.openxmlformats.org/officeDocument/2006/relationships/hyperlink" Target="https://cor.europa.eu/en/news/Pages/Report-of-the-High-Level-Group-on-European-Democracy.aspx" TargetMode="External"/><Relationship Id="rId60" Type="http://schemas.openxmlformats.org/officeDocument/2006/relationships/hyperlink" Target="https://cor.europa.eu/en/summits/2022" TargetMode="External"/><Relationship Id="rId61" Type="http://schemas.openxmlformats.org/officeDocument/2006/relationships/hyperlink" Target="https://cor.europa.eu/en/engage/brochures/Documents/Citizens, local politicians and the future of Europe/4666-final report lowres FIN.pdf" TargetMode="External"/><Relationship Id="rId62"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3"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4"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5"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6" Type="http://schemas.openxmlformats.org/officeDocument/2006/relationships/hyperlink" Target="https://urldefense.com/v3/__https:/europeanmovement.eu/__;!!DOxrgLBm!USrgw0ykk4Rr_7OEucFYoNO-h98D1sH5xfD-7Qmm48-t_TKrps6LcRBXC7_VkAjjVVGY7-cLezPKmw$" TargetMode="External"/><Relationship Id="rId67"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8"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69"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0" Type="http://schemas.openxmlformats.org/officeDocument/2006/relationships/hyperlink" Target="https://urldefense.com/v3/__https:/europeanmovement.eu/conference-on-the-future-of-europe/__;!!DOxrgLBm!USrgw0ykk4Rr_7OEucFYoNO-h98D1sH5xfD-7Qmm48-t_TKrps6LcRBXC7_VkAjjVVGY7-coTvKNzA$" TargetMode="External"/><Relationship Id="rId71" Type="http://schemas.openxmlformats.org/officeDocument/2006/relationships/image" Target="media/image21.png"/><Relationship Id="rId72" Type="http://schemas.openxmlformats.org/officeDocument/2006/relationships/image" Target="media/image22.png"/><Relationship Id="rId73" Type="http://schemas.openxmlformats.org/officeDocument/2006/relationships/image" Target="media/image23.png"/><Relationship Id="rId74" Type="http://schemas.openxmlformats.org/officeDocument/2006/relationships/image" Target="media/image24.png"/><Relationship Id="rId75" Type="http://schemas.openxmlformats.org/officeDocument/2006/relationships/image" Target="media/image25.png"/><Relationship Id="rId76" Type="http://schemas.openxmlformats.org/officeDocument/2006/relationships/image" Target="media/image26.png"/><Relationship Id="rId77" Type="http://schemas.openxmlformats.org/officeDocument/2006/relationships/image" Target="media/image27.png"/><Relationship Id="rId78" Type="http://schemas.openxmlformats.org/officeDocument/2006/relationships/image" Target="media/image28.png"/><Relationship Id="rId79" Type="http://schemas.openxmlformats.org/officeDocument/2006/relationships/image" Target="media/image29.png"/><Relationship Id="rId80" Type="http://schemas.openxmlformats.org/officeDocument/2006/relationships/image" Target="media/image30.png"/><Relationship Id="rId81" Type="http://schemas.openxmlformats.org/officeDocument/2006/relationships/image" Target="media/image31.png"/><Relationship Id="rId82" Type="http://schemas.openxmlformats.org/officeDocument/2006/relationships/image" Target="media/image32.png"/><Relationship Id="rId83" Type="http://schemas.openxmlformats.org/officeDocument/2006/relationships/image" Target="media/image33.png"/><Relationship Id="rId84" Type="http://schemas.openxmlformats.org/officeDocument/2006/relationships/hyperlink" Target="https://participation-citoyenne.gouv.fr/sites/default/files/2021-11/20211126 - COFE - Rapport final.pdf" TargetMode="External"/><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image" Target="media/image34.png"/><Relationship Id="rId87" Type="http://schemas.openxmlformats.org/officeDocument/2006/relationships/image" Target="media/image35.png"/><Relationship Id="rId88" Type="http://schemas.openxmlformats.org/officeDocument/2006/relationships/image" Target="media/image36.png"/><Relationship Id="rId89" Type="http://schemas.openxmlformats.org/officeDocument/2006/relationships/image" Target="media/image37.png"/><Relationship Id="rId90" Type="http://schemas.openxmlformats.org/officeDocument/2006/relationships/image" Target="media/image38.png"/><Relationship Id="rId91" Type="http://schemas.openxmlformats.org/officeDocument/2006/relationships/image" Target="media/image39.png"/><Relationship Id="rId92" Type="http://schemas.openxmlformats.org/officeDocument/2006/relationships/image" Target="media/image40.png"/><Relationship Id="rId93" Type="http://schemas.openxmlformats.org/officeDocument/2006/relationships/image" Target="media/image41.png"/><Relationship Id="rId94" Type="http://schemas.openxmlformats.org/officeDocument/2006/relationships/image" Target="media/image42.png"/><Relationship Id="rId95" Type="http://schemas.openxmlformats.org/officeDocument/2006/relationships/image" Target="media/image43.png"/><Relationship Id="rId96" Type="http://schemas.openxmlformats.org/officeDocument/2006/relationships/image" Target="media/image44.png"/><Relationship Id="rId97" Type="http://schemas.openxmlformats.org/officeDocument/2006/relationships/image" Target="media/image45.wmf"/><Relationship Id="rId98" Type="http://schemas.openxmlformats.org/officeDocument/2006/relationships/image" Target="media/image46.png"/><Relationship Id="rId99" Type="http://schemas.openxmlformats.org/officeDocument/2006/relationships/image" Target="media/image47.png"/><Relationship Id="rId100" Type="http://schemas.openxmlformats.org/officeDocument/2006/relationships/image" Target="media/image48.png"/><Relationship Id="rId101" Type="http://schemas.openxmlformats.org/officeDocument/2006/relationships/image" Target="media/image49.png"/><Relationship Id="rId102" Type="http://schemas.openxmlformats.org/officeDocument/2006/relationships/image" Target="media/image50.png"/><Relationship Id="rId103" Type="http://schemas.openxmlformats.org/officeDocument/2006/relationships/image" Target="media/image51.png"/><Relationship Id="rId104" Type="http://schemas.openxmlformats.org/officeDocument/2006/relationships/image" Target="media/image52.png"/><Relationship Id="rId105" Type="http://schemas.openxmlformats.org/officeDocument/2006/relationships/image" Target="media/image53.png"/><Relationship Id="rId106" Type="http://schemas.openxmlformats.org/officeDocument/2006/relationships/image" Target="media/image54.png"/><Relationship Id="rId107" Type="http://schemas.openxmlformats.org/officeDocument/2006/relationships/image" Target="media/image55.png"/><Relationship Id="rId108" Type="http://schemas.openxmlformats.org/officeDocument/2006/relationships/image" Target="media/image56.png"/><Relationship Id="rId109" Type="http://schemas.openxmlformats.org/officeDocument/2006/relationships/image" Target="media/image57.png"/><Relationship Id="rId110" Type="http://schemas.openxmlformats.org/officeDocument/2006/relationships/image" Target="media/image58.png"/><Relationship Id="rId111" Type="http://schemas.openxmlformats.org/officeDocument/2006/relationships/image" Target="media/image59.png"/><Relationship Id="rId112" Type="http://schemas.openxmlformats.org/officeDocument/2006/relationships/hyperlink" Target="https://europa.eu/eurobarometer/surveys/detail/2256" TargetMode="External"/><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532" TargetMode="External"/><Relationship Id="rId115" Type="http://schemas.openxmlformats.org/officeDocument/2006/relationships/image" Target="media/image60.png"/><Relationship Id="rId116" Type="http://schemas.openxmlformats.org/officeDocument/2006/relationships/hyperlink" Target="http://www.kijkopeuropa.nl/" TargetMode="External"/><Relationship Id="rId117" Type="http://schemas.openxmlformats.org/officeDocument/2006/relationships/image" Target="media/image61.png"/><Relationship Id="rId118" Type="http://schemas.openxmlformats.org/officeDocument/2006/relationships/hyperlink" Target="https://futureu.europa.eu/pages/belgium" TargetMode="External"/><Relationship Id="rId119" Type="http://schemas.openxmlformats.org/officeDocument/2006/relationships/hyperlink" Target="https://futureu.europa.eu/pages/bulgaria" TargetMode="External"/><Relationship Id="rId120" Type="http://schemas.openxmlformats.org/officeDocument/2006/relationships/hyperlink" Target="https://futureu.europa.eu/pages/czechia" TargetMode="External"/><Relationship Id="rId121" Type="http://schemas.openxmlformats.org/officeDocument/2006/relationships/hyperlink" Target="https://futureu.europa.eu/pages/czechia" TargetMode="External"/><Relationship Id="rId122" Type="http://schemas.openxmlformats.org/officeDocument/2006/relationships/hyperlink" Target="https://futureu.europa.eu/pages/denmark" TargetMode="External"/><Relationship Id="rId123" Type="http://schemas.openxmlformats.org/officeDocument/2006/relationships/hyperlink" Target="https://futureu.europa.eu/pages/germany" TargetMode="External"/><Relationship Id="rId124" Type="http://schemas.openxmlformats.org/officeDocument/2006/relationships/hyperlink" Target="https://futureu.europa.eu/pages/germany" TargetMode="External"/><Relationship Id="rId125" Type="http://schemas.openxmlformats.org/officeDocument/2006/relationships/hyperlink" Target="https://futureu.europa.eu/pages/estonia" TargetMode="External"/><Relationship Id="rId126" Type="http://schemas.openxmlformats.org/officeDocument/2006/relationships/hyperlink" Target="https://futureu.europa.eu/pages/ireland" TargetMode="External"/><Relationship Id="rId127" Type="http://schemas.openxmlformats.org/officeDocument/2006/relationships/hyperlink" Target="https://futureu.europa.eu/pages/greece" TargetMode="External"/><Relationship Id="rId128" Type="http://schemas.openxmlformats.org/officeDocument/2006/relationships/hyperlink" Target="https://futureu.europa.eu/pages/spain" TargetMode="External"/><Relationship Id="rId129" Type="http://schemas.openxmlformats.org/officeDocument/2006/relationships/hyperlink" Target="https://futureu.europa.eu/pages/france" TargetMode="External"/><Relationship Id="rId130" Type="http://schemas.openxmlformats.org/officeDocument/2006/relationships/hyperlink" Target="https://futureu.europa.eu/pages/croatia" TargetMode="External"/><Relationship Id="rId131" Type="http://schemas.openxmlformats.org/officeDocument/2006/relationships/hyperlink" Target="https://futureu.europa.eu/pages/italy" TargetMode="External"/><Relationship Id="rId132" Type="http://schemas.openxmlformats.org/officeDocument/2006/relationships/hyperlink" Target="https://futureu.europa.eu/pages/cyprus" TargetMode="External"/><Relationship Id="rId133" Type="http://schemas.openxmlformats.org/officeDocument/2006/relationships/hyperlink" Target="https://futureu.europa.eu/pages/latvia" TargetMode="External"/><Relationship Id="rId134" Type="http://schemas.openxmlformats.org/officeDocument/2006/relationships/hyperlink" Target="https://futureu.europa.eu/pages/lithuania" TargetMode="External"/><Relationship Id="rId135" Type="http://schemas.openxmlformats.org/officeDocument/2006/relationships/hyperlink" Target="https://futureu.europa.eu/pages/luxembourg" TargetMode="External"/><Relationship Id="rId136" Type="http://schemas.openxmlformats.org/officeDocument/2006/relationships/hyperlink" Target="https://futureu.europa.eu/pages/hungary" TargetMode="External"/><Relationship Id="rId137" Type="http://schemas.openxmlformats.org/officeDocument/2006/relationships/hyperlink" Target="https://futureu.europa.eu/pages/malta" TargetMode="External"/><Relationship Id="rId138" Type="http://schemas.openxmlformats.org/officeDocument/2006/relationships/hyperlink" Target="https://futureu.europa.eu/pages/netherlands" TargetMode="External"/><Relationship Id="rId139" Type="http://schemas.openxmlformats.org/officeDocument/2006/relationships/hyperlink" Target="https://futureu.europa.eu/pages/austria" TargetMode="External"/><Relationship Id="rId140" Type="http://schemas.openxmlformats.org/officeDocument/2006/relationships/hyperlink" Target="https://futureu.europa.eu/pages/poland" TargetMode="External"/><Relationship Id="rId141" Type="http://schemas.openxmlformats.org/officeDocument/2006/relationships/hyperlink" Target="https://futureu.europa.eu/pages/portugal" TargetMode="External"/><Relationship Id="rId142" Type="http://schemas.openxmlformats.org/officeDocument/2006/relationships/hyperlink" Target="https://futureu.europa.eu/pages/romania" TargetMode="External"/><Relationship Id="rId143" Type="http://schemas.openxmlformats.org/officeDocument/2006/relationships/hyperlink" Target="https://futureu.europa.eu/pages/slovenia" TargetMode="External"/><Relationship Id="rId144" Type="http://schemas.openxmlformats.org/officeDocument/2006/relationships/hyperlink" Target="https://futureu.europa.eu/pages/slovakia" TargetMode="External"/><Relationship Id="rId145" Type="http://schemas.openxmlformats.org/officeDocument/2006/relationships/hyperlink" Target="https://futureu.europa.eu/pages/finland" TargetMode="External"/><Relationship Id="rId146" Type="http://schemas.openxmlformats.org/officeDocument/2006/relationships/hyperlink" Target="https://futureu.europa.eu/pages/sweden" TargetMode="External"/><Relationship Id="rId147"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8"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image" Target="media/image62.png"/><Relationship Id="rId151" Type="http://schemas.openxmlformats.org/officeDocument/2006/relationships/footnotes" Target="footnotes.xml"/><Relationship Id="rId152" Type="http://schemas.openxmlformats.org/officeDocument/2006/relationships/endnotes" Target="endnotes.xml"/><Relationship Id="rId153" Type="http://schemas.openxmlformats.org/officeDocument/2006/relationships/comments" Target="comments.xml"/><Relationship Id="rId154" Type="http://schemas.openxmlformats.org/officeDocument/2006/relationships/numbering" Target="numbering.xml"/><Relationship Id="rId155" Type="http://schemas.openxmlformats.org/officeDocument/2006/relationships/fontTable" Target="fontTable.xml"/><Relationship Id="rId156"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293</Pages>
  <Words>97932</Words>
  <Characters>582838</Characters>
  <CharactersWithSpaces>677659</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2022-09-01T16:49:42Z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