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comments.xml" ContentType="application/vnd.openxmlformats-officedocument.wordprocessingml.comments+xml"/>
  <Override PartName="/word/header2.xml" ContentType="application/vnd.openxmlformats-officedocument.wordprocessingml.header+xml"/>
  <Override PartName="/word/media/image9.png" ContentType="image/png"/>
  <Override PartName="/word/media/image57.png" ContentType="image/png"/>
  <Override PartName="/word/media/image1.png" ContentType="image/png"/>
  <Override PartName="/word/media/image58.png" ContentType="image/png"/>
  <Override PartName="/word/media/image2.png" ContentType="image/png"/>
  <Override PartName="/word/media/image59.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45.wmf" ContentType="image/x-wmf"/>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53.png" ContentType="image/png"/>
  <Override PartName="/word/media/image54.png" ContentType="image/png"/>
  <Override PartName="/word/media/image55.png" ContentType="image/png"/>
  <Override PartName="/word/media/image56.png" ContentType="image/png"/>
  <Override PartName="/word/media/image60.png" ContentType="image/png"/>
  <Override PartName="/word/media/image61.png" ContentType="image/png"/>
  <Override PartName="/word/media/image62.png" ContentType="image/png"/>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_rels/document.xml.rels" ContentType="application/vnd.openxmlformats-package.relationships+xml"/>
  <Override PartName="/word/_rels/footnotes.xml.rels" ContentType="application/vnd.openxmlformats-package.relationships+xml"/>
  <Override PartName="/word/_rels/endnotes.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P68B1DB1Normal1"/>
        <w:widowControl w:val="false"/>
        <w:spacing w:lineRule="exact" w:line="860" w:before="57" w:after="57"/>
        <w:ind w:left="0" w:right="0" w:hanging="0"/>
        <w:jc w:val="left"/>
        <w:rPr>
          <w:rFonts w:ascii="Arial" w:hAnsi="Arial"/>
        </w:rPr>
      </w:pPr>
      <w:r>
        <w:rPr>
          <w:position w:val="6"/>
        </w:rPr>
        <w:t xml:space="preserve">Konference par tematu </w:t>
      </w:r>
      <w:r>
        <w:rPr/>
        <w:br/>
        <w:t>Eiropas nākotne</w:t>
      </w:r>
    </w:p>
    <w:p>
      <w:pPr>
        <w:pStyle w:val="P68B1DB1Normal2"/>
        <w:widowControl w:val="false"/>
        <w:spacing w:lineRule="exact" w:line="557"/>
        <w:ind w:left="56" w:right="1390" w:firstLine="8"/>
        <w:jc w:val="left"/>
        <w:rPr>
          <w:rFonts w:ascii="Arial" w:hAnsi="Arial"/>
          <w:color w:val="0000BE"/>
          <w:sz w:val="44"/>
        </w:rPr>
      </w:pPr>
      <w:r>
        <w:rPr/>
        <w:t xml:space="preserve">GALA REZULTĀTU ZIŅOJUMS </w:t>
      </w:r>
    </w:p>
    <w:p>
      <w:pPr>
        <w:pStyle w:val="P68B1DB1Normal3"/>
        <w:widowControl w:val="false"/>
        <w:spacing w:lineRule="exact" w:line="557"/>
        <w:ind w:left="56" w:right="1390" w:hanging="0"/>
        <w:jc w:val="left"/>
        <w:rPr>
          <w:rFonts w:ascii="Roboto" w:hAnsi="Roboto"/>
          <w:color w:val="0000BE"/>
          <w:sz w:val="28"/>
        </w:rPr>
      </w:pPr>
      <w:r>
        <w:rPr/>
        <w:t>2022. gada maijs</w:t>
      </w:r>
      <w:r>
        <w:rPr>
          <w:rFonts w:ascii="Roboto" w:hAnsi="Roboto"/>
        </w:rPr>
        <w:t xml:space="preserve"> </w:t>
      </w:r>
    </w:p>
    <w:p>
      <w:pPr>
        <w:pStyle w:val="Normal"/>
        <w:rPr/>
      </w:pPr>
      <w:r>
        <w:rPr/>
        <w:drawing>
          <wp:anchor behindDoc="0" distT="0" distB="0" distL="0" distR="0" simplePos="0" locked="0" layoutInCell="1" allowOverlap="1" relativeHeight="65">
            <wp:simplePos x="0" y="0"/>
            <wp:positionH relativeFrom="column">
              <wp:posOffset>88265</wp:posOffset>
            </wp:positionH>
            <wp:positionV relativeFrom="paragraph">
              <wp:posOffset>52070</wp:posOffset>
            </wp:positionV>
            <wp:extent cx="5660390" cy="4556125"/>
            <wp:effectExtent l="0" t="0" r="0" b="0"/>
            <wp:wrapTopAndBottom/>
            <wp:docPr id="1" name="Attēl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1" descr=""/>
                    <pic:cNvPicPr>
                      <a:picLocks noChangeAspect="1" noChangeArrowheads="1"/>
                    </pic:cNvPicPr>
                  </pic:nvPicPr>
                  <pic:blipFill>
                    <a:blip r:embed="rId2"/>
                    <a:stretch>
                      <a:fillRect/>
                    </a:stretch>
                  </pic:blipFill>
                  <pic:spPr bwMode="auto">
                    <a:xfrm>
                      <a:off x="0" y="0"/>
                      <a:ext cx="5660390" cy="4556125"/>
                    </a:xfrm>
                    <a:prstGeom prst="rect">
                      <a:avLst/>
                    </a:prstGeom>
                  </pic:spPr>
                </pic:pic>
              </a:graphicData>
            </a:graphic>
          </wp:anchor>
        </w:drawing>
      </w:r>
    </w:p>
    <w:p>
      <w:pPr>
        <w:pStyle w:val="Normal"/>
        <w:rPr/>
      </w:pPr>
      <w:r>
        <w:rPr/>
      </w:r>
    </w:p>
    <w:p>
      <w:pPr>
        <w:pStyle w:val="Normal"/>
        <w:widowControl w:val="false"/>
        <w:spacing w:lineRule="exact" w:line="576"/>
        <w:ind w:left="51" w:right="0" w:hanging="0"/>
        <w:jc w:val="left"/>
        <w:rPr>
          <w:rFonts w:ascii="Arial" w:hAnsi="Arial"/>
        </w:rPr>
      </w:pPr>
      <w:r>
        <mc:AlternateContent>
          <mc:Choice Requires="wps">
            <w:drawing>
              <wp:anchor behindDoc="0" distT="72390" distB="72390" distL="72390" distR="72390" simplePos="0" locked="0" layoutInCell="1" allowOverlap="1" relativeHeight="10">
                <wp:simplePos x="0" y="0"/>
                <wp:positionH relativeFrom="column">
                  <wp:posOffset>3199765</wp:posOffset>
                </wp:positionH>
                <wp:positionV relativeFrom="paragraph">
                  <wp:posOffset>219710</wp:posOffset>
                </wp:positionV>
                <wp:extent cx="2675890" cy="1109980"/>
                <wp:effectExtent l="0" t="0" r="0" b="0"/>
                <wp:wrapSquare wrapText="bothSides"/>
                <wp:docPr id="2" name="Ietvarstruktūra1"/>
                <a:graphic xmlns:a="http://schemas.openxmlformats.org/drawingml/2006/main">
                  <a:graphicData uri="http://schemas.microsoft.com/office/word/2010/wordprocessingShape">
                    <wps:wsp>
                      <wps:cNvSpPr/>
                      <wps:spPr>
                        <a:xfrm>
                          <a:off x="0" y="0"/>
                          <a:ext cx="2675160" cy="1109520"/>
                        </a:xfrm>
                        <a:prstGeom prst="rect">
                          <a:avLst/>
                        </a:prstGeom>
                        <a:solidFill>
                          <a:srgbClr val="ffffff"/>
                        </a:solidFill>
                        <a:ln>
                          <a:noFill/>
                        </a:ln>
                      </wps:spPr>
                      <wps:style>
                        <a:lnRef idx="0"/>
                        <a:fillRef idx="0"/>
                        <a:effectRef idx="0"/>
                        <a:fontRef idx="minor"/>
                      </wps:style>
                      <wps:txb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4" name="Attēl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Konference par</w:t>
                            </w:r>
                            <w:r>
                              <w:rPr>
                                <w:b/>
                              </w:rPr>
                              <w:t>Eiropas nākotni</w:t>
                            </w:r>
                            <w:r>
                              <w:rPr/>
                              <w:t xml:space="preserve"> </w:t>
                            </w:r>
                          </w:p>
                        </w:txbxContent>
                      </wps:txbx>
                      <wps:bodyPr lIns="54000" rIns="54000" tIns="54000" bIns="54000">
                        <a:noAutofit/>
                      </wps:bodyPr>
                    </wps:wsp>
                  </a:graphicData>
                </a:graphic>
              </wp:anchor>
            </w:drawing>
          </mc:Choice>
          <mc:Fallback>
            <w:pict>
              <v:rect id="shape_0" ID="Ietvarstruktūra1" fillcolor="white" stroked="f" style="position:absolute;margin-left:251.95pt;margin-top:17.3pt;width:210.6pt;height:87.3pt">
                <w10:wrap type="square"/>
                <v:fill o:detectmouseclick="t" type="solid" color2="black"/>
                <v:stroke color="#3465a4" joinstyle="round" endcap="flat"/>
                <v:textbox>
                  <w:txbxContent>
                    <w:p>
                      <w:pPr>
                        <w:pStyle w:val="P68B1DB1Normal4"/>
                        <w:widowControl w:val="false"/>
                        <w:spacing w:lineRule="exact" w:line="370" w:before="57" w:after="57"/>
                        <w:ind w:left="113" w:right="113" w:hanging="0"/>
                        <w:jc w:val="left"/>
                        <w:rPr/>
                      </w:pPr>
                      <w:r>
                        <w:rPr/>
                        <w:drawing>
                          <wp:inline distT="0" distB="0" distL="0" distR="0">
                            <wp:extent cx="1072515" cy="661670"/>
                            <wp:effectExtent l="0" t="0" r="0" b="0"/>
                            <wp:docPr id="5" name="Attēl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2" descr=""/>
                                    <pic:cNvPicPr>
                                      <a:picLocks noChangeAspect="1" noChangeArrowheads="1"/>
                                    </pic:cNvPicPr>
                                  </pic:nvPicPr>
                                  <pic:blipFill>
                                    <a:blip r:embed="rId3"/>
                                    <a:stretch>
                                      <a:fillRect/>
                                    </a:stretch>
                                  </pic:blipFill>
                                  <pic:spPr bwMode="auto">
                                    <a:xfrm>
                                      <a:off x="0" y="0"/>
                                      <a:ext cx="1072515" cy="661670"/>
                                    </a:xfrm>
                                    <a:prstGeom prst="rect">
                                      <a:avLst/>
                                    </a:prstGeom>
                                  </pic:spPr>
                                </pic:pic>
                              </a:graphicData>
                            </a:graphic>
                          </wp:inline>
                        </w:drawing>
                      </w:r>
                      <w:r>
                        <w:rPr/>
                        <w:t>Konference par</w:t>
                      </w:r>
                      <w:r>
                        <w:rPr>
                          <w:b/>
                        </w:rPr>
                        <w:t>Eiropas nākotni</w:t>
                      </w:r>
                      <w:r>
                        <w:rPr/>
                        <w:t xml:space="preserve"> </w:t>
                      </w:r>
                    </w:p>
                  </w:txbxContent>
                </v:textbox>
              </v:rect>
            </w:pict>
          </mc:Fallback>
        </mc:AlternateContent>
      </w:r>
      <w:r>
        <w:rPr>
          <w:b/>
          <w:color w:val="0000BE"/>
          <w:sz w:val="48"/>
        </w:rPr>
        <w:t>Nākotne</w:t>
      </w:r>
      <w:r>
        <w:rPr>
          <w:color w:val="0000BE"/>
          <w:sz w:val="48"/>
        </w:rPr>
        <w:t xml:space="preserve"> ir</w:t>
      </w:r>
      <w:r>
        <w:rPr/>
        <w:t xml:space="preserve"> </w:t>
      </w:r>
    </w:p>
    <w:p>
      <w:pPr>
        <w:pStyle w:val="P68B1DB1Normal5"/>
        <w:widowControl w:val="false"/>
        <w:spacing w:lineRule="exact" w:line="576"/>
        <w:ind w:left="51" w:right="0" w:hanging="0"/>
        <w:jc w:val="left"/>
        <w:rPr>
          <w:rFonts w:ascii="Arial" w:hAnsi="Arial"/>
        </w:rPr>
      </w:pPr>
      <w:r>
        <w:rPr/>
        <w:t>tavās rokās</w:t>
      </w:r>
    </w:p>
    <w:p>
      <w:pPr>
        <w:pStyle w:val="Normal"/>
        <w:rPr/>
      </w:pPr>
      <w:r>
        <w:rPr/>
      </w:r>
      <w:r>
        <w:br w:type="page"/>
      </w:r>
    </w:p>
    <w:p>
      <w:pPr>
        <w:pStyle w:val="Normal"/>
        <w:rPr/>
      </w:pPr>
      <w:r>
        <w:rPr/>
        <mc:AlternateContent>
          <mc:Choice Requires="wps">
            <w:drawing>
              <wp:anchor behindDoc="0" distT="72390" distB="72390" distL="72390" distR="72390" simplePos="0" locked="0" layoutInCell="1" allowOverlap="1" relativeHeight="63">
                <wp:simplePos x="0" y="0"/>
                <wp:positionH relativeFrom="column">
                  <wp:posOffset>4445</wp:posOffset>
                </wp:positionH>
                <wp:positionV relativeFrom="paragraph">
                  <wp:posOffset>85725</wp:posOffset>
                </wp:positionV>
                <wp:extent cx="6020435" cy="8688070"/>
                <wp:effectExtent l="0" t="0" r="0" b="0"/>
                <wp:wrapSquare wrapText="bothSides"/>
                <wp:docPr id="6" name="Ietvarstruktūra16"/>
                <a:graphic xmlns:a="http://schemas.openxmlformats.org/drawingml/2006/main">
                  <a:graphicData uri="http://schemas.microsoft.com/office/word/2010/wordprocessingShape">
                    <wps:wsp>
                      <wps:cNvSpPr/>
                      <wps:spPr>
                        <a:xfrm>
                          <a:off x="0" y="0"/>
                          <a:ext cx="6019920" cy="8687520"/>
                        </a:xfrm>
                        <a:prstGeom prst="rect">
                          <a:avLst/>
                        </a:prstGeom>
                        <a:solidFill>
                          <a:srgbClr val="ffffff"/>
                        </a:solidFill>
                        <a:ln w="720">
                          <a:solidFill>
                            <a:srgbClr val="000000"/>
                          </a:solidFill>
                          <a:round/>
                        </a:ln>
                      </wps:spPr>
                      <wps:style>
                        <a:lnRef idx="0"/>
                        <a:fillRef idx="0"/>
                        <a:effectRef idx="0"/>
                        <a:fontRef idx="minor"/>
                      </wps:style>
                      <wps:txbx>
                        <w:txbxContent>
                          <w:p>
                            <w:pPr>
                              <w:pStyle w:val="P68B1DB1Normal6"/>
                              <w:spacing w:before="57" w:after="57"/>
                              <w:rPr>
                                <w:rFonts w:ascii="Times New Roman" w:hAnsi="Times New Roman"/>
                                <w:b/>
                                <w:b/>
                                <w:sz w:val="24"/>
                              </w:rPr>
                            </w:pPr>
                            <w:r>
                              <w:rPr>
                                <w:color w:val="auto"/>
                              </w:rPr>
                              <w:t>Dokumentu sagatavojis Pierre Dieumegard</w:t>
                            </w:r>
                            <w:r>
                              <w:rPr>
                                <w:color w:val="auto"/>
                              </w:rPr>
                              <w:drawing>
                                <wp:inline distT="0" distB="0" distL="0" distR="0">
                                  <wp:extent cx="2494280" cy="765175"/>
                                  <wp:effectExtent l="0" t="0" r="0" b="0"/>
                                  <wp:docPr id="8" name="Attēls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Eiropas Demokrātija-Esperanto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Šā “pagaidu” dokumenta mērķis ir dot iespēju lielākam skaitam cilvēku Eiropas Savienībā izprast dokumentus, kas sagatavoti Eiropas Savienībai (un ko finansē no viņu iemaksām). </w:t>
                            </w:r>
                            <w:hyperlink r:id="rId5">
                              <w:r>
                                <w:rPr>
                                  <w:rStyle w:val="LienInternet"/>
                                  <w:rFonts w:ascii="Times New Roman" w:hAnsi="Times New Roman"/>
                                  <w:color w:val="auto"/>
                                  <w:sz w:val="24"/>
                                </w:rPr>
                                <w:t xml:space="preserve">Oriģinālais dokumentsfranču valodā PDF formātā </w:t>
                              </w:r>
                            </w:hyperlink>
                            <w:r>
                              <w:rPr>
                                <w:rFonts w:ascii="Times New Roman" w:hAnsi="Times New Roman"/>
                                <w:color w:val="auto"/>
                                <w:sz w:val="24"/>
                              </w:rPr>
                              <w:t xml:space="preserve">ir formatēts, izmantojot Libre Office programmatūru. Tulkojumu visās Eiropas Savienības oficiālajās valodās veic, izmantojot </w:t>
                            </w:r>
                            <w:hyperlink r:id="rId6">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Mēs esam paveikuši šo darbu, jo Eiropas Savienībā ir vajadzīga labāka daudzvalodība: bez tulkojumiem liela daļa iedzīvotāju tiek izslēgti no debatēm. </w:t>
                            </w:r>
                            <w:r>
                              <w:rPr>
                                <w:b/>
                                <w:color w:val="auto"/>
                              </w:rPr>
                              <w:t>Ir vēlams, lai Eiropas Savienības administrācija pārņemtu svarīgu dokumentu tulkojumus, lai visi eiropieši varētu saprast, kas tas ir, un kopīgi apspriest savu kopīgo nākotni.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Labai tiešai saziņai starp Eiropas iedzīvotājiem, uzticamiem tulkojumiem starptautiskā esperanto valoda būtu ļoti noderīga tās vienkāršības, regularitātes un precizitātes dēļ.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Internetā: </w:t>
                            </w:r>
                          </w:p>
                          <w:p>
                            <w:pPr>
                              <w:pStyle w:val="Normal"/>
                              <w:rPr/>
                            </w:pPr>
                            <w:r>
                              <w:rPr>
                                <w:rFonts w:ascii="Times New Roman" w:hAnsi="Times New Roman"/>
                                <w:color w:val="auto"/>
                                <w:sz w:val="24"/>
                              </w:rPr>
                              <w:t xml:space="preserve"> </w:t>
                            </w:r>
                            <w:r>
                              <w:rPr>
                                <w:rFonts w:ascii="Times New Roman" w:hAnsi="Times New Roman"/>
                                <w:color w:val="auto"/>
                                <w:sz w:val="24"/>
                              </w:rPr>
                              <w:t>Federācija E</w:t>
                            </w:r>
                            <w:r>
                              <w:rPr>
                                <w:rFonts w:ascii="Times New Roman" w:hAnsi="Times New Roman"/>
                                <w:color w:val="auto"/>
                                <w:sz w:val="24"/>
                              </w:rPr>
                              <w:t>ŭ</w:t>
                            </w:r>
                            <w:r>
                              <w:rPr>
                                <w:rFonts w:ascii="Times New Roman" w:hAnsi="Times New Roman"/>
                                <w:color w:val="auto"/>
                                <w:sz w:val="24"/>
                              </w:rPr>
                              <w:t xml:space="preserve">ropo-Demokratio-Esperanto:   </w:t>
                            </w:r>
                            <w:hyperlink r:id="rId7">
                              <w:r>
                                <w:rPr>
                                  <w:rStyle w:val="LienInternet"/>
                                  <w:rFonts w:ascii="Times New Roman" w:hAnsi="Times New Roman"/>
                                  <w:color w:val="auto"/>
                                  <w:sz w:val="24"/>
                                </w:rPr>
                                <w:t>https://e-d-e.org/</w:t>
                              </w:r>
                            </w:hyperlink>
                            <w:r>
                              <w:rPr>
                                <w:rFonts w:ascii="Times New Roman" w:hAnsi="Times New Roman"/>
                                <w:color w:val="auto"/>
                                <w:sz w:val="24"/>
                              </w:rPr>
                              <w:t xml:space="preserve"> (vai </w:t>
                            </w:r>
                            <w:hyperlink r:id="rId8">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Eiropas Demokrātijas asociācija-Esperanto (Francija):   </w:t>
                            </w:r>
                            <w:hyperlink r:id="rId9">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Eiropas dokumenti visās oficiālajās valodās: </w:t>
                            </w:r>
                            <w:hyperlink r:id="rId10">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Salīdzinot ar sākotnējo dokumentu, ir dažas izmaiņas (uzlabojumi?): </w:t>
                            </w:r>
                          </w:p>
                          <w:p>
                            <w:pPr>
                              <w:pStyle w:val="P68B1DB1Normal7"/>
                              <w:rPr>
                                <w:rFonts w:ascii="Times New Roman" w:hAnsi="Times New Roman"/>
                                <w:sz w:val="24"/>
                              </w:rPr>
                            </w:pPr>
                            <w:r>
                              <w:rPr>
                                <w:color w:val="auto"/>
                              </w:rPr>
                              <w:t xml:space="preserve">— </w:t>
                            </w:r>
                            <w:r>
                              <w:rPr>
                                <w:color w:val="auto"/>
                              </w:rPr>
                              <w:t>ir izlabotas dažas pareizrakstības kļūdas. Varbūt ir bijušas citas kļūdas?</w:t>
                            </w:r>
                          </w:p>
                          <w:p>
                            <w:pPr>
                              <w:pStyle w:val="P68B1DB1Normal7"/>
                              <w:rPr>
                                <w:rFonts w:ascii="Times New Roman" w:hAnsi="Times New Roman"/>
                                <w:sz w:val="24"/>
                              </w:rPr>
                            </w:pPr>
                            <w:r>
                              <w:rPr>
                                <w:color w:val="auto"/>
                              </w:rPr>
                              <w:t xml:space="preserve">— </w:t>
                            </w:r>
                            <w:r>
                              <w:rPr>
                                <w:color w:val="auto"/>
                              </w:rPr>
                              <w:t>izkārtojums ir saskaņots, un visas lapas ir attiecīgi numurētas (sākotnējais dokuments bija atsevišķu pdf datņu pretstats ar neatkarīgiem numerāciju).</w:t>
                            </w:r>
                          </w:p>
                          <w:p>
                            <w:pPr>
                              <w:pStyle w:val="P68B1DB1Normal7"/>
                              <w:rPr>
                                <w:rFonts w:ascii="Times New Roman" w:hAnsi="Times New Roman"/>
                                <w:sz w:val="24"/>
                              </w:rPr>
                            </w:pPr>
                            <w:r>
                              <w:rPr>
                                <w:color w:val="auto"/>
                              </w:rPr>
                              <w:t xml:space="preserve">— </w:t>
                            </w:r>
                            <w:r>
                              <w:rPr>
                                <w:color w:val="auto"/>
                              </w:rPr>
                              <w:t>beigu piezīmes ir pārveidotas par sadaļas beigu piezīmēm (lapu apakšā).</w:t>
                            </w:r>
                          </w:p>
                          <w:p>
                            <w:pPr>
                              <w:pStyle w:val="P68B1DB1Normal7"/>
                              <w:spacing w:before="57" w:after="57"/>
                              <w:rPr>
                                <w:color w:val="auto"/>
                              </w:rPr>
                            </w:pPr>
                            <w:r>
                              <w:rPr>
                                <w:color w:val="auto"/>
                              </w:rPr>
                              <w:t xml:space="preserve">— </w:t>
                            </w:r>
                            <w:r>
                              <w:rPr>
                                <w:color w:val="auto"/>
                              </w:rPr>
                              <w:t>dokumenti sākotnēji attēlu veidā ir pārveidoti par tabulām, lai tos būtu viegli iztulkot.</w:t>
                            </w:r>
                          </w:p>
                        </w:txbxContent>
                      </wps:txbx>
                      <wps:bodyPr lIns="54000" rIns="54000" tIns="54000" bIns="54000">
                        <a:noAutofit/>
                      </wps:bodyPr>
                    </wps:wsp>
                  </a:graphicData>
                </a:graphic>
              </wp:anchor>
            </w:drawing>
          </mc:Choice>
          <mc:Fallback>
            <w:pict>
              <v:rect id="shape_0" ID="Ietvarstruktūra16" fillcolor="white" stroked="t" style="position:absolute;margin-left:0.35pt;margin-top:6.75pt;width:473.95pt;height:684pt">
                <w10:wrap type="square"/>
                <v:fill o:detectmouseclick="t" type="solid" color2="black"/>
                <v:stroke color="black" weight="720" joinstyle="round" endcap="flat"/>
                <v:textbox>
                  <w:txbxContent>
                    <w:p>
                      <w:pPr>
                        <w:pStyle w:val="P68B1DB1Normal6"/>
                        <w:spacing w:before="57" w:after="57"/>
                        <w:rPr>
                          <w:rFonts w:ascii="Times New Roman" w:hAnsi="Times New Roman"/>
                          <w:b/>
                          <w:b/>
                          <w:sz w:val="24"/>
                        </w:rPr>
                      </w:pPr>
                      <w:r>
                        <w:rPr>
                          <w:color w:val="auto"/>
                        </w:rPr>
                        <w:t>Dokumentu sagatavojis Pierre Dieumegard</w:t>
                      </w:r>
                      <w:r>
                        <w:rPr>
                          <w:color w:val="auto"/>
                        </w:rPr>
                        <w:drawing>
                          <wp:inline distT="0" distB="0" distL="0" distR="0">
                            <wp:extent cx="2494280" cy="765175"/>
                            <wp:effectExtent l="0" t="0" r="0" b="0"/>
                            <wp:docPr id="9" name="Attēls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ēls49" descr=""/>
                                    <pic:cNvPicPr>
                                      <a:picLocks noChangeAspect="1" noChangeArrowheads="1"/>
                                    </pic:cNvPicPr>
                                  </pic:nvPicPr>
                                  <pic:blipFill>
                                    <a:blip r:embed="rId4"/>
                                    <a:stretch>
                                      <a:fillRect/>
                                    </a:stretch>
                                  </pic:blipFill>
                                  <pic:spPr bwMode="auto">
                                    <a:xfrm>
                                      <a:off x="0" y="0"/>
                                      <a:ext cx="2494280" cy="765175"/>
                                    </a:xfrm>
                                    <a:prstGeom prst="rect">
                                      <a:avLst/>
                                    </a:prstGeom>
                                  </pic:spPr>
                                </pic:pic>
                              </a:graphicData>
                            </a:graphic>
                          </wp:inline>
                        </w:drawing>
                      </w:r>
                    </w:p>
                    <w:p>
                      <w:pPr>
                        <w:pStyle w:val="P68B1DB1Normal6"/>
                        <w:rPr>
                          <w:rFonts w:ascii="Times New Roman" w:hAnsi="Times New Roman"/>
                          <w:b/>
                          <w:b/>
                          <w:sz w:val="24"/>
                        </w:rPr>
                      </w:pPr>
                      <w:r>
                        <w:rPr>
                          <w:color w:val="auto"/>
                        </w:rPr>
                        <w:t xml:space="preserve"> </w:t>
                      </w:r>
                      <w:r>
                        <w:rPr>
                          <w:color w:val="auto"/>
                        </w:rPr>
                        <w:t>Eiropas Demokrātija-Esperanto</w:t>
                      </w:r>
                    </w:p>
                    <w:p>
                      <w:pPr>
                        <w:pStyle w:val="P68B1DB1Normal7"/>
                        <w:rPr>
                          <w:rFonts w:ascii="Times New Roman" w:hAnsi="Times New Roman"/>
                          <w:sz w:val="24"/>
                        </w:rPr>
                      </w:pPr>
                      <w:r>
                        <w:rPr>
                          <w:color w:val="auto"/>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pPr>
                      <w:r>
                        <w:rPr>
                          <w:rFonts w:ascii="Times New Roman" w:hAnsi="Times New Roman"/>
                          <w:color w:val="auto"/>
                          <w:sz w:val="24"/>
                        </w:rPr>
                        <w:t xml:space="preserve">Šā “pagaidu” dokumenta mērķis ir dot iespēju lielākam skaitam cilvēku Eiropas Savienībā izprast dokumentus, kas sagatavoti Eiropas Savienībai (un ko finansē no viņu iemaksām). </w:t>
                      </w:r>
                      <w:hyperlink r:id="rId11">
                        <w:r>
                          <w:rPr>
                            <w:rStyle w:val="LienInternet"/>
                            <w:rFonts w:ascii="Times New Roman" w:hAnsi="Times New Roman"/>
                            <w:color w:val="auto"/>
                            <w:sz w:val="24"/>
                          </w:rPr>
                          <w:t xml:space="preserve">Oriģinālais dokumentsfranču valodā PDF formātā </w:t>
                        </w:r>
                      </w:hyperlink>
                      <w:r>
                        <w:rPr>
                          <w:rFonts w:ascii="Times New Roman" w:hAnsi="Times New Roman"/>
                          <w:color w:val="auto"/>
                          <w:sz w:val="24"/>
                        </w:rPr>
                        <w:t xml:space="preserve">ir formatēts, izmantojot Libre Office programmatūru. Tulkojumu visās Eiropas Savienības oficiālajās valodās veic, izmantojot </w:t>
                      </w:r>
                      <w:hyperlink r:id="rId12">
                        <w:r>
                          <w:rPr>
                            <w:rStyle w:val="LienInternet"/>
                            <w:rFonts w:ascii="Times New Roman" w:hAnsi="Times New Roman"/>
                            <w:color w:val="auto"/>
                            <w:sz w:val="24"/>
                          </w:rPr>
                          <w:t>https://webgate.ec.europa.eu/etranslation</w:t>
                        </w:r>
                      </w:hyperlink>
                      <w:r>
                        <w:rPr>
                          <w:rFonts w:ascii="Times New Roman" w:hAnsi="Times New Roman"/>
                          <w:color w:val="auto"/>
                          <w:sz w:val="24"/>
                        </w:rPr>
                        <w:t>.</w:t>
                      </w:r>
                    </w:p>
                    <w:p>
                      <w:pPr>
                        <w:pStyle w:val="P68B1DB1Normal7"/>
                        <w:rPr>
                          <w:rFonts w:ascii="Times New Roman" w:hAnsi="Times New Roman"/>
                          <w:sz w:val="24"/>
                        </w:rPr>
                      </w:pPr>
                      <w:r>
                        <w:rPr>
                          <w:color w:val="auto"/>
                        </w:rPr>
                        <w:t xml:space="preserve">Mēs esam paveikuši šo darbu, jo Eiropas Savienībā ir vajadzīga labāka daudzvalodība: bez tulkojumiem liela daļa iedzīvotāju tiek izslēgti no debatēm. </w:t>
                      </w:r>
                      <w:r>
                        <w:rPr>
                          <w:b/>
                          <w:color w:val="auto"/>
                        </w:rPr>
                        <w:t>Ir vēlams, lai Eiropas Savienības administrācija pārņemtu svarīgu dokumentu tulkojumus, lai visi eiropieši varētu saprast, kas tas ir, un kopīgi apspriest savu kopīgo nākotni.</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Labai tiešai saziņai starp Eiropas iedzīvotājiem, uzticamiem tulkojumiem starptautiskā esperanto valoda būtu ļoti noderīga tās vienkāršības, regularitātes un precizitātes dēļ. </w:t>
                      </w:r>
                    </w:p>
                    <w:p>
                      <w:pPr>
                        <w:pStyle w:val="P68B1DB1Normal7"/>
                        <w:rPr>
                          <w:rFonts w:ascii="Times New Roman" w:hAnsi="Times New Roman"/>
                          <w:sz w:val="24"/>
                        </w:rPr>
                      </w:pPr>
                      <w:r>
                        <w:rPr>
                          <w:color w:val="auto"/>
                        </w:rPr>
                        <w:t xml:space="preserve"> </w:t>
                      </w:r>
                    </w:p>
                    <w:p>
                      <w:pPr>
                        <w:pStyle w:val="P68B1DB1Normal7"/>
                        <w:rPr>
                          <w:rFonts w:ascii="Times New Roman" w:hAnsi="Times New Roman"/>
                          <w:sz w:val="24"/>
                        </w:rPr>
                      </w:pPr>
                      <w:r>
                        <w:rPr>
                          <w:color w:val="auto"/>
                        </w:rPr>
                        <w:t xml:space="preserve"> </w:t>
                      </w:r>
                      <w:r>
                        <w:rPr>
                          <w:color w:val="auto"/>
                        </w:rPr>
                        <w:t xml:space="preserve">Internetā: </w:t>
                      </w:r>
                    </w:p>
                    <w:p>
                      <w:pPr>
                        <w:pStyle w:val="Normal"/>
                        <w:rPr/>
                      </w:pPr>
                      <w:r>
                        <w:rPr>
                          <w:rFonts w:ascii="Times New Roman" w:hAnsi="Times New Roman"/>
                          <w:color w:val="auto"/>
                          <w:sz w:val="24"/>
                        </w:rPr>
                        <w:t xml:space="preserve"> </w:t>
                      </w:r>
                      <w:r>
                        <w:rPr>
                          <w:rFonts w:ascii="Times New Roman" w:hAnsi="Times New Roman"/>
                          <w:color w:val="auto"/>
                          <w:sz w:val="24"/>
                        </w:rPr>
                        <w:t>Federācija E</w:t>
                      </w:r>
                      <w:r>
                        <w:rPr>
                          <w:rFonts w:ascii="Times New Roman" w:hAnsi="Times New Roman"/>
                          <w:color w:val="auto"/>
                          <w:sz w:val="24"/>
                        </w:rPr>
                        <w:t>ŭ</w:t>
                      </w:r>
                      <w:r>
                        <w:rPr>
                          <w:rFonts w:ascii="Times New Roman" w:hAnsi="Times New Roman"/>
                          <w:color w:val="auto"/>
                          <w:sz w:val="24"/>
                        </w:rPr>
                        <w:t xml:space="preserve">ropo-Demokratio-Esperanto:   </w:t>
                      </w:r>
                      <w:hyperlink r:id="rId13">
                        <w:r>
                          <w:rPr>
                            <w:rStyle w:val="LienInternet"/>
                            <w:rFonts w:ascii="Times New Roman" w:hAnsi="Times New Roman"/>
                            <w:color w:val="auto"/>
                            <w:sz w:val="24"/>
                          </w:rPr>
                          <w:t>https://e-d-e.org/</w:t>
                        </w:r>
                      </w:hyperlink>
                      <w:r>
                        <w:rPr>
                          <w:rFonts w:ascii="Times New Roman" w:hAnsi="Times New Roman"/>
                          <w:color w:val="auto"/>
                          <w:sz w:val="24"/>
                        </w:rPr>
                        <w:t xml:space="preserve"> (vai </w:t>
                      </w:r>
                      <w:hyperlink r:id="rId14">
                        <w:r>
                          <w:rPr>
                            <w:rStyle w:val="LienInternet"/>
                            <w:rFonts w:ascii="Times New Roman" w:hAnsi="Times New Roman"/>
                            <w:color w:val="auto"/>
                            <w:sz w:val="24"/>
                          </w:rPr>
                          <w:t>www.demokratio.eu</w:t>
                        </w:r>
                      </w:hyperlink>
                      <w:r>
                        <w:rPr>
                          <w:rFonts w:ascii="Times New Roman" w:hAnsi="Times New Roman"/>
                          <w:color w:val="auto"/>
                          <w:sz w:val="24"/>
                        </w:rPr>
                        <w:t>)</w:t>
                      </w:r>
                    </w:p>
                    <w:p>
                      <w:pPr>
                        <w:pStyle w:val="Normal"/>
                        <w:spacing w:before="62" w:after="62"/>
                        <w:rPr/>
                      </w:pPr>
                      <w:r>
                        <w:rPr>
                          <w:rFonts w:ascii="Times New Roman" w:hAnsi="Times New Roman"/>
                          <w:color w:val="auto"/>
                          <w:sz w:val="24"/>
                        </w:rPr>
                        <w:t xml:space="preserve">Eiropas Demokrātijas asociācija-Esperanto (Francija):   </w:t>
                      </w:r>
                      <w:hyperlink r:id="rId15">
                        <w:r>
                          <w:rPr>
                            <w:rStyle w:val="LienInternet"/>
                            <w:rFonts w:ascii="Times New Roman" w:hAnsi="Times New Roman"/>
                            <w:color w:val="auto"/>
                            <w:sz w:val="24"/>
                          </w:rPr>
                          <w:t>https://e-d-e.fr/</w:t>
                        </w:r>
                      </w:hyperlink>
                      <w:r>
                        <w:rPr>
                          <w:rFonts w:ascii="Times New Roman" w:hAnsi="Times New Roman"/>
                          <w:color w:val="auto"/>
                          <w:sz w:val="24"/>
                        </w:rPr>
                        <w:t xml:space="preserve"> </w:t>
                      </w:r>
                    </w:p>
                    <w:p>
                      <w:pPr>
                        <w:pStyle w:val="Normal"/>
                        <w:spacing w:before="62" w:after="62"/>
                        <w:rPr/>
                      </w:pPr>
                      <w:r>
                        <w:rPr>
                          <w:rFonts w:ascii="Times New Roman" w:hAnsi="Times New Roman"/>
                          <w:color w:val="auto"/>
                          <w:sz w:val="24"/>
                        </w:rPr>
                        <w:t xml:space="preserve">Eiropas dokumenti visās oficiālajās valodās: </w:t>
                      </w:r>
                      <w:hyperlink r:id="rId16">
                        <w:r>
                          <w:rPr>
                            <w:rStyle w:val="LienInternet"/>
                            <w:rFonts w:ascii="Times New Roman" w:hAnsi="Times New Roman"/>
                            <w:color w:val="auto"/>
                            <w:sz w:val="24"/>
                          </w:rPr>
                          <w:t>http://www.europokune.eu/</w:t>
                        </w:r>
                      </w:hyperlink>
                      <w:r>
                        <w:rPr>
                          <w:rFonts w:ascii="Times New Roman" w:hAnsi="Times New Roman"/>
                          <w:color w:val="auto"/>
                          <w:sz w:val="24"/>
                        </w:rPr>
                        <w:t xml:space="preserve"> </w:t>
                      </w:r>
                    </w:p>
                    <w:p>
                      <w:pPr>
                        <w:pStyle w:val="Normal"/>
                        <w:rPr>
                          <w:rFonts w:ascii="Times New Roman" w:hAnsi="Times New Roman"/>
                          <w:color w:val="auto"/>
                          <w:sz w:val="24"/>
                        </w:rPr>
                      </w:pPr>
                      <w:r>
                        <w:rPr>
                          <w:rFonts w:ascii="Times New Roman" w:hAnsi="Times New Roman"/>
                          <w:color w:val="auto"/>
                          <w:sz w:val="24"/>
                        </w:rPr>
                      </w:r>
                    </w:p>
                    <w:p>
                      <w:pPr>
                        <w:pStyle w:val="Normal"/>
                        <w:rPr>
                          <w:rFonts w:ascii="Times New Roman" w:hAnsi="Times New Roman"/>
                          <w:color w:val="auto"/>
                          <w:sz w:val="24"/>
                        </w:rPr>
                      </w:pPr>
                      <w:r>
                        <w:rPr>
                          <w:rFonts w:ascii="Times New Roman" w:hAnsi="Times New Roman"/>
                          <w:color w:val="auto"/>
                          <w:sz w:val="24"/>
                        </w:rPr>
                      </w:r>
                    </w:p>
                    <w:p>
                      <w:pPr>
                        <w:pStyle w:val="P68B1DB1Normal7"/>
                        <w:rPr>
                          <w:rFonts w:ascii="Times New Roman" w:hAnsi="Times New Roman"/>
                          <w:sz w:val="24"/>
                        </w:rPr>
                      </w:pPr>
                      <w:r>
                        <w:rPr>
                          <w:color w:val="auto"/>
                        </w:rPr>
                        <w:t xml:space="preserve">Salīdzinot ar sākotnējo dokumentu, ir dažas izmaiņas (uzlabojumi?): </w:t>
                      </w:r>
                    </w:p>
                    <w:p>
                      <w:pPr>
                        <w:pStyle w:val="P68B1DB1Normal7"/>
                        <w:rPr>
                          <w:rFonts w:ascii="Times New Roman" w:hAnsi="Times New Roman"/>
                          <w:sz w:val="24"/>
                        </w:rPr>
                      </w:pPr>
                      <w:r>
                        <w:rPr>
                          <w:color w:val="auto"/>
                        </w:rPr>
                        <w:t xml:space="preserve">— </w:t>
                      </w:r>
                      <w:r>
                        <w:rPr>
                          <w:color w:val="auto"/>
                        </w:rPr>
                        <w:t>ir izlabotas dažas pareizrakstības kļūdas. Varbūt ir bijušas citas kļūdas?</w:t>
                      </w:r>
                    </w:p>
                    <w:p>
                      <w:pPr>
                        <w:pStyle w:val="P68B1DB1Normal7"/>
                        <w:rPr>
                          <w:rFonts w:ascii="Times New Roman" w:hAnsi="Times New Roman"/>
                          <w:sz w:val="24"/>
                        </w:rPr>
                      </w:pPr>
                      <w:r>
                        <w:rPr>
                          <w:color w:val="auto"/>
                        </w:rPr>
                        <w:t xml:space="preserve">— </w:t>
                      </w:r>
                      <w:r>
                        <w:rPr>
                          <w:color w:val="auto"/>
                        </w:rPr>
                        <w:t>izkārtojums ir saskaņots, un visas lapas ir attiecīgi numurētas (sākotnējais dokuments bija atsevišķu pdf datņu pretstats ar neatkarīgiem numerāciju).</w:t>
                      </w:r>
                    </w:p>
                    <w:p>
                      <w:pPr>
                        <w:pStyle w:val="P68B1DB1Normal7"/>
                        <w:rPr>
                          <w:rFonts w:ascii="Times New Roman" w:hAnsi="Times New Roman"/>
                          <w:sz w:val="24"/>
                        </w:rPr>
                      </w:pPr>
                      <w:r>
                        <w:rPr>
                          <w:color w:val="auto"/>
                        </w:rPr>
                        <w:t xml:space="preserve">— </w:t>
                      </w:r>
                      <w:r>
                        <w:rPr>
                          <w:color w:val="auto"/>
                        </w:rPr>
                        <w:t>beigu piezīmes ir pārveidotas par sadaļas beigu piezīmēm (lapu apakšā).</w:t>
                      </w:r>
                    </w:p>
                    <w:p>
                      <w:pPr>
                        <w:pStyle w:val="P68B1DB1Normal7"/>
                        <w:spacing w:before="57" w:after="57"/>
                        <w:rPr>
                          <w:color w:val="auto"/>
                        </w:rPr>
                      </w:pPr>
                      <w:r>
                        <w:rPr>
                          <w:color w:val="auto"/>
                        </w:rPr>
                        <w:t xml:space="preserve">— </w:t>
                      </w:r>
                      <w:r>
                        <w:rPr>
                          <w:color w:val="auto"/>
                        </w:rPr>
                        <w:t>dokumenti sākotnēji attēlu veidā ir pārveidoti par tabulām, lai tos būtu viegli iztulkot.</w:t>
                      </w:r>
                    </w:p>
                  </w:txbxContent>
                </v:textbox>
              </v:rect>
            </w:pict>
          </mc:Fallback>
        </mc:AlternateContent>
      </w:r>
    </w:p>
    <w:p>
      <w:pPr>
        <w:pStyle w:val="Normal"/>
        <w:rPr/>
      </w:pPr>
      <w:r>
        <w:rPr/>
      </w:r>
      <w:r>
        <w:br w:type="page"/>
      </w:r>
    </w:p>
    <w:sdt>
      <w:sdtPr>
        <w:docPartObj>
          <w:docPartGallery w:val="Table of Contents"/>
          <w:docPartUnique w:val="true"/>
        </w:docPartObj>
      </w:sdtPr>
      <w:sdtContent>
        <w:p>
          <w:pPr>
            <w:pStyle w:val="TOAHeading"/>
            <w:rPr/>
          </w:pPr>
          <w:r>
            <w:rPr/>
            <w:t>Satura rādītājs</w:t>
          </w:r>
        </w:p>
        <w:p>
          <w:pPr>
            <w:pStyle w:val="Tabledesmatiresniveau1"/>
            <w:tabs>
              <w:tab w:val="right" w:pos="9638" w:leader="dot"/>
            </w:tabs>
            <w:rPr/>
          </w:pPr>
          <w:r>
            <w:fldChar w:fldCharType="begin"/>
          </w:r>
          <w:r>
            <w:rPr>
              <w:rStyle w:val="Sautdindex"/>
            </w:rPr>
            <w:instrText> TOC \f \o "1-2" \h</w:instrText>
          </w:r>
          <w:r>
            <w:rPr>
              <w:rStyle w:val="Sautdindex"/>
            </w:rPr>
            <w:fldChar w:fldCharType="separate"/>
          </w:r>
          <w:hyperlink w:anchor="__RefHeading___Toc298046_1346298689">
            <w:r>
              <w:rPr>
                <w:rStyle w:val="Sautdindex"/>
              </w:rPr>
              <w:t>I. Konferences arhitektūra</w:t>
              <w:tab/>
              <w:t>7</w:t>
            </w:r>
          </w:hyperlink>
        </w:p>
        <w:p>
          <w:pPr>
            <w:pStyle w:val="Tabledesmatiresniveau2"/>
            <w:tabs>
              <w:tab w:val="right" w:pos="9638" w:leader="dot"/>
            </w:tabs>
            <w:rPr/>
          </w:pPr>
          <w:hyperlink w:anchor="__RefHeading___Toc298048_1346298689">
            <w:r>
              <w:rPr>
                <w:rStyle w:val="Sautdindex"/>
              </w:rPr>
              <w:t>1. Kopīgā deklarācija</w:t>
              <w:tab/>
              <w:t>8</w:t>
            </w:r>
          </w:hyperlink>
        </w:p>
        <w:p>
          <w:pPr>
            <w:pStyle w:val="Tabledesmatiresniveau2"/>
            <w:tabs>
              <w:tab w:val="right" w:pos="9638" w:leader="dot"/>
            </w:tabs>
            <w:rPr/>
          </w:pPr>
          <w:hyperlink w:anchor="__RefHeading___Toc298050_1346298689">
            <w:r>
              <w:rPr>
                <w:rStyle w:val="Sautdindex"/>
              </w:rPr>
              <w:t>2. Reglaments</w:t>
              <w:tab/>
              <w:t>9</w:t>
            </w:r>
          </w:hyperlink>
        </w:p>
        <w:p>
          <w:pPr>
            <w:pStyle w:val="Tabledesmatiresniveau2"/>
            <w:tabs>
              <w:tab w:val="right" w:pos="9638" w:leader="dot"/>
            </w:tabs>
            <w:rPr/>
          </w:pPr>
          <w:hyperlink w:anchor="__RefHeading___Toc298052_1346298689">
            <w:r>
              <w:rPr>
                <w:rStyle w:val="Sautdindex"/>
              </w:rPr>
              <w:t>3. Ar konferenci saistītie pasākumi</w:t>
              <w:tab/>
              <w:t>9</w:t>
            </w:r>
          </w:hyperlink>
        </w:p>
        <w:p>
          <w:pPr>
            <w:pStyle w:val="Tabledesmatiresniveau2"/>
            <w:tabs>
              <w:tab w:val="right" w:pos="9638" w:leader="dot"/>
            </w:tabs>
            <w:rPr/>
          </w:pPr>
          <w:hyperlink w:anchor="__RefHeading___Toc298054_1346298689">
            <w:r>
              <w:rPr>
                <w:rStyle w:val="Sautdindex"/>
              </w:rPr>
              <w:t>4. Daudzvalodu digitālās platformas īstenošana</w:t>
              <w:tab/>
              <w:t>9</w:t>
            </w:r>
          </w:hyperlink>
        </w:p>
        <w:p>
          <w:pPr>
            <w:pStyle w:val="Tabledesmatiresniveau2"/>
            <w:tabs>
              <w:tab w:val="right" w:pos="9638" w:leader="dot"/>
            </w:tabs>
            <w:rPr/>
          </w:pPr>
          <w:hyperlink w:anchor="__RefHeading___Toc298056_1346298689">
            <w:r>
              <w:rPr>
                <w:rStyle w:val="Sautdindex"/>
              </w:rPr>
              <w:t>5. Eiropas pilsoņu paneļdiskusija</w:t>
              <w:tab/>
              <w:t>10</w:t>
            </w:r>
          </w:hyperlink>
        </w:p>
        <w:p>
          <w:pPr>
            <w:pStyle w:val="Tabledesmatiresniveau2"/>
            <w:tabs>
              <w:tab w:val="right" w:pos="9638" w:leader="dot"/>
            </w:tabs>
            <w:rPr/>
          </w:pPr>
          <w:hyperlink w:anchor="__RefHeading___Toc298058_1346298689">
            <w:r>
              <w:rPr>
                <w:rStyle w:val="Sautdindex"/>
              </w:rPr>
              <w:t>6. Valstu pilsoņu paneļdiskusija</w:t>
              <w:tab/>
              <w:t>10</w:t>
            </w:r>
          </w:hyperlink>
        </w:p>
        <w:p>
          <w:pPr>
            <w:pStyle w:val="Tabledesmatiresniveau1"/>
            <w:tabs>
              <w:tab w:val="right" w:pos="9638" w:leader="dot"/>
            </w:tabs>
            <w:rPr/>
          </w:pPr>
          <w:hyperlink w:anchor="__RefHeading___Toc298188_1346298689">
            <w:r>
              <w:rPr>
                <w:rStyle w:val="Sautdindex"/>
              </w:rPr>
              <w:t>NĒ, NĒ, NĒ, NĒ. Pilsoņu ieguldījums konferencē</w:t>
              <w:tab/>
              <w:t>11</w:t>
            </w:r>
          </w:hyperlink>
        </w:p>
        <w:p>
          <w:pPr>
            <w:pStyle w:val="Tabledesmatiresniveau2"/>
            <w:tabs>
              <w:tab w:val="right" w:pos="9638" w:leader="dot"/>
            </w:tabs>
            <w:rPr/>
          </w:pPr>
          <w:hyperlink w:anchor="__RefHeading___Toc298190_1346298689">
            <w:r>
              <w:rPr>
                <w:rStyle w:val="Sautdindex"/>
              </w:rPr>
              <w:t>A. Daudzvalodu digitālā platforma</w:t>
              <w:tab/>
              <w:t>12</w:t>
            </w:r>
          </w:hyperlink>
        </w:p>
        <w:p>
          <w:pPr>
            <w:pStyle w:val="Tabledesmatiresniveau2"/>
            <w:tabs>
              <w:tab w:val="right" w:pos="9638" w:leader="dot"/>
            </w:tabs>
            <w:rPr/>
          </w:pPr>
          <w:hyperlink w:anchor="__RefHeading___Toc298192_1346298689">
            <w:r>
              <w:rPr>
                <w:rStyle w:val="Sautdindex"/>
              </w:rPr>
              <w:t>B. Pilsoņu paneļdiskusija</w:t>
              <w:tab/>
              <w:t>17</w:t>
            </w:r>
          </w:hyperlink>
        </w:p>
        <w:p>
          <w:pPr>
            <w:pStyle w:val="Tabledesmatiresniveau2"/>
            <w:tabs>
              <w:tab w:val="right" w:pos="9638" w:leader="dot"/>
            </w:tabs>
            <w:rPr/>
          </w:pPr>
          <w:hyperlink w:anchor="__RefHeading___Toc298228_1346298689">
            <w:r>
              <w:rPr>
                <w:rStyle w:val="Sautdindex"/>
              </w:rPr>
              <w:t>C. Konferences ietvaros organizētie pasākumi</w:t>
              <w:tab/>
              <w:t>27</w:t>
            </w:r>
          </w:hyperlink>
        </w:p>
        <w:p>
          <w:pPr>
            <w:pStyle w:val="Tabledesmatiresniveau1"/>
            <w:tabs>
              <w:tab w:val="right" w:pos="9638" w:leader="dot"/>
            </w:tabs>
            <w:rPr/>
          </w:pPr>
          <w:hyperlink w:anchor="__RefHeading___Toc298238_1346298689">
            <w:r>
              <w:rPr>
                <w:rStyle w:val="Sautdindex"/>
              </w:rPr>
              <w:t>III. Konferences pilnsapulce</w:t>
              <w:tab/>
              <w:t>36</w:t>
            </w:r>
          </w:hyperlink>
        </w:p>
        <w:p>
          <w:pPr>
            <w:pStyle w:val="Tabledesmatiresniveau2"/>
            <w:tabs>
              <w:tab w:val="right" w:pos="9638" w:leader="dot"/>
            </w:tabs>
            <w:rPr/>
          </w:pPr>
          <w:hyperlink w:anchor="__RefHeading___Toc298240_1346298689">
            <w:r>
              <w:rPr>
                <w:rStyle w:val="Sautdindex"/>
              </w:rPr>
              <w:t>A. Plenārās asamblejas loma un darbība</w:t>
              <w:tab/>
              <w:t>37</w:t>
            </w:r>
          </w:hyperlink>
        </w:p>
        <w:p>
          <w:pPr>
            <w:pStyle w:val="Tabledesmatiresniveau2"/>
            <w:tabs>
              <w:tab w:val="right" w:pos="9638" w:leader="dot"/>
            </w:tabs>
            <w:rPr/>
          </w:pPr>
          <w:hyperlink w:anchor="__RefHeading___Toc298242_1346298689">
            <w:r>
              <w:rPr>
                <w:rStyle w:val="Sautdindex"/>
              </w:rPr>
              <w:t>B. Darba grupas</w:t>
              <w:tab/>
              <w:t>38</w:t>
            </w:r>
          </w:hyperlink>
        </w:p>
        <w:p>
          <w:pPr>
            <w:pStyle w:val="Tabledesmatiresniveau2"/>
            <w:tabs>
              <w:tab w:val="right" w:pos="9638" w:leader="dot"/>
            </w:tabs>
            <w:rPr/>
          </w:pPr>
          <w:hyperlink w:anchor="__RefHeading___Toc298244_1346298689">
            <w:r>
              <w:rPr>
                <w:rStyle w:val="Sautdindex"/>
              </w:rPr>
              <w:t>C. hronoloģiskais kopsavilkums</w:t>
              <w:tab/>
              <w:t>39</w:t>
            </w:r>
          </w:hyperlink>
        </w:p>
        <w:p>
          <w:pPr>
            <w:pStyle w:val="Tabledesmatiresniveau1"/>
            <w:tabs>
              <w:tab w:val="right" w:pos="9638" w:leader="dot"/>
            </w:tabs>
            <w:rPr/>
          </w:pPr>
          <w:hyperlink w:anchor="__RefHeading___Toc298246_1346298689">
            <w:r>
              <w:rPr>
                <w:rStyle w:val="Sautdindex"/>
              </w:rPr>
              <w:t>IV. Pilnsapulces priekšlikumi</w:t>
              <w:tab/>
              <w:t>45</w:t>
            </w:r>
          </w:hyperlink>
        </w:p>
        <w:p>
          <w:pPr>
            <w:pStyle w:val="Tabledesmatiresniveau2"/>
            <w:tabs>
              <w:tab w:val="right" w:pos="9638" w:leader="dot"/>
            </w:tabs>
            <w:rPr/>
          </w:pPr>
          <w:hyperlink w:anchor="__RefHeading___Toc298248_1346298689">
            <w:r>
              <w:rPr>
                <w:rStyle w:val="Sautdindex"/>
              </w:rPr>
              <w:t>Klimata pārmaiņas un vide</w:t>
              <w:tab/>
              <w:t>46</w:t>
            </w:r>
          </w:hyperlink>
        </w:p>
        <w:p>
          <w:pPr>
            <w:pStyle w:val="Tabledesmatiresniveau2"/>
            <w:tabs>
              <w:tab w:val="right" w:pos="9638" w:leader="dot"/>
            </w:tabs>
            <w:rPr/>
          </w:pPr>
          <w:hyperlink w:anchor="__RefHeading___Toc298272_1346298689">
            <w:r>
              <w:rPr>
                <w:rStyle w:val="Sautdindex"/>
              </w:rPr>
              <w:t>“</w:t>
            </w:r>
            <w:r>
              <w:rPr>
                <w:rStyle w:val="Sautdindex"/>
              </w:rPr>
              <w:t>Veselība”</w:t>
              <w:tab/>
              <w:t>52</w:t>
            </w:r>
          </w:hyperlink>
        </w:p>
        <w:p>
          <w:pPr>
            <w:pStyle w:val="Tabledesmatiresniveau2"/>
            <w:tabs>
              <w:tab w:val="right" w:pos="9638" w:leader="dot"/>
            </w:tabs>
            <w:rPr/>
          </w:pPr>
          <w:hyperlink w:anchor="__RefHeading___Toc298288_1346298689">
            <w:r>
              <w:rPr>
                <w:rStyle w:val="Sautdindex"/>
              </w:rPr>
              <w:t>Spēcīgāka ekonomika, sociālais taisnīgums un nodarbinātība</w:t>
              <w:tab/>
              <w:t>56</w:t>
            </w:r>
          </w:hyperlink>
        </w:p>
        <w:p>
          <w:pPr>
            <w:pStyle w:val="Tabledesmatiresniveau2"/>
            <w:tabs>
              <w:tab w:val="right" w:pos="9638" w:leader="dot"/>
            </w:tabs>
            <w:rPr/>
          </w:pPr>
          <w:hyperlink w:anchor="__RefHeading___Toc298302_1346298689">
            <w:r>
              <w:rPr>
                <w:rStyle w:val="Sautdindex"/>
              </w:rPr>
              <w:t>“</w:t>
            </w:r>
            <w:r>
              <w:rPr>
                <w:rStyle w:val="Sautdindex"/>
              </w:rPr>
              <w:t>ES pasaulē”</w:t>
              <w:tab/>
              <w:t>65</w:t>
            </w:r>
          </w:hyperlink>
        </w:p>
        <w:p>
          <w:pPr>
            <w:pStyle w:val="Tabledesmatiresniveau2"/>
            <w:tabs>
              <w:tab w:val="right" w:pos="9638" w:leader="dot"/>
            </w:tabs>
            <w:rPr/>
          </w:pPr>
          <w:hyperlink w:anchor="__RefHeading___Toc298320_1346298689">
            <w:r>
              <w:rPr>
                <w:rStyle w:val="Sautdindex"/>
              </w:rPr>
              <w:t>Vērtības un tiesības, tiesiskums, drošība</w:t>
              <w:tab/>
              <w:t>72</w:t>
            </w:r>
          </w:hyperlink>
        </w:p>
        <w:p>
          <w:pPr>
            <w:pStyle w:val="Tabledesmatiresniveau2"/>
            <w:tabs>
              <w:tab w:val="right" w:pos="9638" w:leader="dot"/>
            </w:tabs>
            <w:rPr/>
          </w:pPr>
          <w:hyperlink w:anchor="__RefHeading___Toc298334_1346298689">
            <w:r>
              <w:rPr>
                <w:rStyle w:val="Sautdindex"/>
              </w:rPr>
              <w:t>“</w:t>
            </w:r>
            <w:r>
              <w:rPr>
                <w:rStyle w:val="Sautdindex"/>
              </w:rPr>
              <w:t>Digitālā transformācija”</w:t>
              <w:tab/>
              <w:t>76</w:t>
            </w:r>
          </w:hyperlink>
        </w:p>
        <w:p>
          <w:pPr>
            <w:pStyle w:val="Tabledesmatiresniveau2"/>
            <w:tabs>
              <w:tab w:val="right" w:pos="9638" w:leader="dot"/>
            </w:tabs>
            <w:rPr/>
          </w:pPr>
          <w:hyperlink w:anchor="__RefHeading___Toc298346_1346298689">
            <w:r>
              <w:rPr>
                <w:rStyle w:val="Sautdindex"/>
              </w:rPr>
              <w:t>“</w:t>
            </w:r>
            <w:r>
              <w:rPr>
                <w:rStyle w:val="Sautdindex"/>
              </w:rPr>
              <w:t>Eiropas demokrātija”</w:t>
              <w:tab/>
              <w:t>81</w:t>
            </w:r>
          </w:hyperlink>
        </w:p>
        <w:p>
          <w:pPr>
            <w:pStyle w:val="Tabledesmatiresniveau2"/>
            <w:tabs>
              <w:tab w:val="right" w:pos="9638" w:leader="dot"/>
            </w:tabs>
            <w:rPr/>
          </w:pPr>
          <w:hyperlink w:anchor="__RefHeading___Toc298358_1346298689">
            <w:r>
              <w:rPr>
                <w:rStyle w:val="Sautdindex"/>
              </w:rPr>
              <w:t>“</w:t>
            </w:r>
            <w:r>
              <w:rPr>
                <w:rStyle w:val="Sautdindex"/>
              </w:rPr>
              <w:t>Migrācijas”</w:t>
              <w:tab/>
              <w:t>86</w:t>
            </w:r>
          </w:hyperlink>
        </w:p>
        <w:p>
          <w:pPr>
            <w:pStyle w:val="Tabledesmatiresniveau2"/>
            <w:tabs>
              <w:tab w:val="right" w:pos="9638" w:leader="dot"/>
            </w:tabs>
            <w:rPr/>
          </w:pPr>
          <w:hyperlink w:anchor="__RefHeading___Toc298370_1346298689">
            <w:r>
              <w:rPr>
                <w:rStyle w:val="Sautdindex"/>
              </w:rPr>
              <w:t>Izglītība, kultūra, jaunatne un sports</w:t>
              <w:tab/>
              <w:t>90</w:t>
            </w:r>
          </w:hyperlink>
        </w:p>
        <w:p>
          <w:pPr>
            <w:pStyle w:val="Tabledesmatiresniveau1"/>
            <w:tabs>
              <w:tab w:val="right" w:pos="9638" w:leader="dot"/>
            </w:tabs>
            <w:rPr/>
          </w:pPr>
          <w:hyperlink w:anchor="__RefHeading___Toc298380_1346298689">
            <w:r>
              <w:rPr>
                <w:rStyle w:val="Sautdindex"/>
              </w:rPr>
              <w:t>Valdes galīgie apsvērumi</w:t>
              <w:tab/>
              <w:t>94</w:t>
            </w:r>
          </w:hyperlink>
        </w:p>
        <w:p>
          <w:pPr>
            <w:pStyle w:val="Tabledesmatiresniveau1"/>
            <w:tabs>
              <w:tab w:val="right" w:pos="9638" w:leader="dot"/>
            </w:tabs>
            <w:rPr/>
          </w:pPr>
          <w:hyperlink w:anchor="__RefHeading___Toc297141_1346298689">
            <w:r>
              <w:rPr>
                <w:rStyle w:val="Sautdindex"/>
              </w:rPr>
              <w:t>I pielikums — četru Eiropas pilsoņu paneļdiskusiju ieteikumi</w:t>
              <w:tab/>
              <w:t>97</w:t>
            </w:r>
          </w:hyperlink>
        </w:p>
        <w:p>
          <w:pPr>
            <w:pStyle w:val="Tabledesmatiresniveau2"/>
            <w:tabs>
              <w:tab w:val="right" w:pos="9638" w:leader="dot"/>
            </w:tabs>
            <w:rPr/>
          </w:pPr>
          <w:hyperlink w:anchor="__RefHeading___Toc297143_1346298689">
            <w:r>
              <w:rPr>
                <w:rStyle w:val="Sautdindex"/>
              </w:rPr>
              <w:t>Eiropas pilsoņu paneļdiskusija Nr. 1: Spēcīgāka ekonomika, sociālais taisnīgums un nodarbinātība/Izglītība, kultūra, jaunatne un sports/Digitālā pārveide</w:t>
              <w:tab/>
              <w:t>98</w:t>
            </w:r>
          </w:hyperlink>
        </w:p>
        <w:p>
          <w:pPr>
            <w:pStyle w:val="Tabledesmatiresniveau2"/>
            <w:tabs>
              <w:tab w:val="right" w:pos="9638" w:leader="dot"/>
            </w:tabs>
            <w:rPr/>
          </w:pPr>
          <w:hyperlink w:anchor="__RefHeading___Toc297195_1346298689">
            <w:r>
              <w:rPr>
                <w:rStyle w:val="Sautdindex"/>
              </w:rPr>
              <w:t>Eiropas pilsoņu paneļdiskusija Nr. 2 “Eiropas demokrātija; vērtības un tiesības, tiesiskums, drošība</w:t>
              <w:tab/>
              <w:t>116</w:t>
            </w:r>
          </w:hyperlink>
        </w:p>
        <w:p>
          <w:pPr>
            <w:pStyle w:val="Tabledesmatiresniveau2"/>
            <w:tabs>
              <w:tab w:val="right" w:pos="9638" w:leader="dot"/>
            </w:tabs>
            <w:rPr/>
          </w:pPr>
          <w:hyperlink w:anchor="__RefHeading___Toc297245_1346298689">
            <w:r>
              <w:rPr>
                <w:rStyle w:val="Sautdindex"/>
              </w:rPr>
              <w:t>Eiropas pilsoņu paneļdiskusija Nr. 3: Klimata pārmaiņas un vide/veselība</w:t>
              <w:tab/>
              <w:t>129</w:t>
            </w:r>
          </w:hyperlink>
        </w:p>
        <w:p>
          <w:pPr>
            <w:pStyle w:val="Tabledesmatiresniveau2"/>
            <w:tabs>
              <w:tab w:val="right" w:pos="9638" w:leader="dot"/>
            </w:tabs>
            <w:rPr/>
          </w:pPr>
          <w:hyperlink w:anchor="__RefHeading___Toc297297_1346298689">
            <w:r>
              <w:rPr>
                <w:rStyle w:val="Sautdindex"/>
              </w:rPr>
              <w:t>Eiropas pilsoņu paneļdiskusija Nr. 4: “ES pasaulē/Migrācija”</w:t>
              <w:tab/>
              <w:t>145</w:t>
            </w:r>
          </w:hyperlink>
        </w:p>
        <w:p>
          <w:pPr>
            <w:pStyle w:val="Tabledesmatiresniveau1"/>
            <w:tabs>
              <w:tab w:val="right" w:pos="9638" w:leader="dot"/>
            </w:tabs>
            <w:rPr/>
          </w:pPr>
          <w:hyperlink w:anchor="__RefHeading___Toc297345_1346298689">
            <w:r>
              <w:rPr>
                <w:rStyle w:val="Sautdindex"/>
              </w:rPr>
              <w:t>II A — valstu paneļdiskusiju grupas: Beļģija</w:t>
              <w:tab/>
              <w:t>157</w:t>
            </w:r>
          </w:hyperlink>
        </w:p>
        <w:p>
          <w:pPr>
            <w:pStyle w:val="Tabledesmatiresniveau1"/>
            <w:tabs>
              <w:tab w:val="right" w:pos="9638" w:leader="dot"/>
            </w:tabs>
            <w:rPr/>
          </w:pPr>
          <w:hyperlink w:anchor="__RefHeading___Toc297349_1346298689">
            <w:r>
              <w:rPr>
                <w:rStyle w:val="Sautdindex"/>
              </w:rPr>
              <w:t>II B valstu paneļdiskusiju grupas: Francija</w:t>
              <w:tab/>
              <w:t>171</w:t>
            </w:r>
          </w:hyperlink>
        </w:p>
        <w:p>
          <w:pPr>
            <w:pStyle w:val="Tabledesmatiresniveau2"/>
            <w:tabs>
              <w:tab w:val="right" w:pos="9638" w:leader="dot"/>
            </w:tabs>
            <w:rPr/>
          </w:pPr>
          <w:hyperlink w:anchor="__RefHeading___Toc300448_1346298689">
            <w:r>
              <w:rPr>
                <w:rStyle w:val="Sautdindex"/>
              </w:rPr>
              <w:t>Ievads Ievads</w:t>
              <w:tab/>
              <w:t>174</w:t>
            </w:r>
          </w:hyperlink>
        </w:p>
        <w:p>
          <w:pPr>
            <w:pStyle w:val="Tabledesmatiresniveau2"/>
            <w:tabs>
              <w:tab w:val="right" w:pos="9638" w:leader="dot"/>
            </w:tabs>
            <w:rPr/>
          </w:pPr>
          <w:hyperlink w:anchor="__RefHeading___Toc300450_1346298689">
            <w:r>
              <w:rPr>
                <w:rStyle w:val="Sautdindex"/>
              </w:rPr>
              <w:t>Galveno rezultātu izklāsts</w:t>
              <w:tab/>
              <w:t>177</w:t>
            </w:r>
          </w:hyperlink>
        </w:p>
        <w:p>
          <w:pPr>
            <w:pStyle w:val="Tabledesmatiresniveau2"/>
            <w:tabs>
              <w:tab w:val="right" w:pos="9638" w:leader="dot"/>
            </w:tabs>
            <w:rPr/>
          </w:pPr>
          <w:hyperlink w:anchor="__RefHeading___Toc300452_1346298689">
            <w:r>
              <w:rPr>
                <w:rStyle w:val="Sautdindex"/>
              </w:rPr>
              <w:t>Iepazīstināšana ar reģionālo konferenču paneļdiskusijām</w:t>
              <w:tab/>
              <w:t>179</w:t>
            </w:r>
          </w:hyperlink>
        </w:p>
        <w:p>
          <w:pPr>
            <w:pStyle w:val="Tabledesmatiresniveau2"/>
            <w:tabs>
              <w:tab w:val="right" w:pos="9638" w:leader="dot"/>
            </w:tabs>
            <w:rPr/>
          </w:pPr>
          <w:hyperlink w:anchor="__RefHeading___Toc300454_1346298689">
            <w:r>
              <w:rPr>
                <w:rStyle w:val="Sautdindex"/>
              </w:rPr>
              <w:t>Metodoloģiskās saistības un neobjektivitāte</w:t>
              <w:tab/>
              <w:t>182</w:t>
            </w:r>
          </w:hyperlink>
        </w:p>
        <w:p>
          <w:pPr>
            <w:pStyle w:val="Tabledesmatiresniveau2"/>
            <w:tabs>
              <w:tab w:val="right" w:pos="9638" w:leader="dot"/>
            </w:tabs>
            <w:rPr/>
          </w:pPr>
          <w:hyperlink w:anchor="__RefHeading___Toc297351_1346298689">
            <w:r>
              <w:rPr>
                <w:rStyle w:val="Sautdindex"/>
              </w:rPr>
              <w:t>Otrā daļa: iepazīstināšana ar apspriešanās “Words to Youth” rezultātiem</w:t>
              <w:tab/>
              <w:t>197</w:t>
            </w:r>
          </w:hyperlink>
        </w:p>
        <w:p>
          <w:pPr>
            <w:pStyle w:val="Tabledesmatiresniveau2"/>
            <w:tabs>
              <w:tab w:val="right" w:pos="9638" w:leader="dot"/>
            </w:tabs>
            <w:rPr/>
          </w:pPr>
          <w:hyperlink w:anchor="__RefHeading___Toc300458_1346298689">
            <w:r>
              <w:rPr>
                <w:rStyle w:val="Sautdindex"/>
              </w:rPr>
              <w:t>Secinājums</w:t>
              <w:tab/>
              <w:t>200</w:t>
            </w:r>
          </w:hyperlink>
        </w:p>
        <w:p>
          <w:pPr>
            <w:pStyle w:val="Tabledesmatiresniveau1"/>
            <w:tabs>
              <w:tab w:val="right" w:pos="9638" w:leader="dot"/>
            </w:tabs>
            <w:rPr/>
          </w:pPr>
          <w:hyperlink w:anchor="__RefHeading___Toc297353_1346298689">
            <w:r>
              <w:rPr>
                <w:rStyle w:val="Sautdindex"/>
              </w:rPr>
              <w:t>II C Valstu paneļdiskusiju grupas: Vācija</w:t>
              <w:tab/>
              <w:t>201</w:t>
            </w:r>
          </w:hyperlink>
        </w:p>
        <w:p>
          <w:pPr>
            <w:pStyle w:val="Tabledesmatiresniveau1"/>
            <w:tabs>
              <w:tab w:val="right" w:pos="9638" w:leader="dot"/>
            </w:tabs>
            <w:rPr/>
          </w:pPr>
          <w:hyperlink w:anchor="__RefHeading___Toc297355_1346298689">
            <w:r>
              <w:rPr>
                <w:rStyle w:val="Sautdindex"/>
              </w:rPr>
              <w:t>II D Valstu paneļdiskusiju grupas: Itālija</w:t>
              <w:tab/>
              <w:t>207</w:t>
            </w:r>
          </w:hyperlink>
        </w:p>
        <w:p>
          <w:pPr>
            <w:pStyle w:val="Tabledesmatiresniveau2"/>
            <w:tabs>
              <w:tab w:val="right" w:pos="9638" w:leader="dot"/>
            </w:tabs>
            <w:rPr/>
          </w:pPr>
          <w:hyperlink w:anchor="__RefHeading___Toc300314_1346298689">
            <w:r>
              <w:rPr>
                <w:rStyle w:val="Sautdindex"/>
              </w:rPr>
              <w:t>4. Darba programma</w:t>
              <w:tab/>
              <w:t>213</w:t>
            </w:r>
          </w:hyperlink>
        </w:p>
        <w:p>
          <w:pPr>
            <w:pStyle w:val="Tabledesmatiresniveau2"/>
            <w:tabs>
              <w:tab w:val="right" w:pos="9638" w:leader="dot"/>
            </w:tabs>
            <w:rPr/>
          </w:pPr>
          <w:hyperlink w:anchor="__RefHeading___Toc300322_1346298689">
            <w:r>
              <w:rPr>
                <w:rStyle w:val="Sautdindex"/>
              </w:rPr>
              <w:t>6. Galīgais novērtējums, ko veic dalībnieki</w:t>
              <w:tab/>
              <w:t>222</w:t>
            </w:r>
          </w:hyperlink>
        </w:p>
        <w:p>
          <w:pPr>
            <w:pStyle w:val="Tabledesmatiresniveau1"/>
            <w:tabs>
              <w:tab w:val="right" w:pos="9638" w:leader="dot"/>
            </w:tabs>
            <w:rPr/>
          </w:pPr>
          <w:hyperlink w:anchor="__RefHeading___Toc298382_1346298689">
            <w:r>
              <w:rPr>
                <w:rStyle w:val="Sautdindex"/>
              </w:rPr>
              <w:t>II E valstu paneļdiskusiju grupas: Lietuva</w:t>
              <w:tab/>
              <w:t>225</w:t>
            </w:r>
          </w:hyperlink>
        </w:p>
        <w:p>
          <w:pPr>
            <w:pStyle w:val="Tabledesmatiresniveau1"/>
            <w:tabs>
              <w:tab w:val="right" w:pos="9638" w:leader="dot"/>
            </w:tabs>
            <w:rPr/>
          </w:pPr>
          <w:hyperlink w:anchor="__RefHeading___Toc297357_1346298689">
            <w:r>
              <w:rPr>
                <w:rStyle w:val="Sautdindex"/>
              </w:rPr>
              <w:t>II F Valstu paneļdiskusiju grupas: Nīderlande</w:t>
              <w:tab/>
              <w:t>233</w:t>
            </w:r>
          </w:hyperlink>
        </w:p>
        <w:p>
          <w:pPr>
            <w:pStyle w:val="Tabledesmatiresniveau1"/>
            <w:tabs>
              <w:tab w:val="right" w:pos="9638" w:leader="dot"/>
            </w:tabs>
            <w:rPr/>
          </w:pPr>
          <w:hyperlink w:anchor="__RefHeading___Toc297359_1346298689">
            <w:r>
              <w:rPr>
                <w:rStyle w:val="Sautdindex"/>
              </w:rPr>
              <w:t>III — Atsauces uz valsts mēroga pasākumu rezultātiem</w:t>
              <w:tab/>
              <w:t>285</w:t>
            </w:r>
          </w:hyperlink>
        </w:p>
        <w:p>
          <w:pPr>
            <w:pStyle w:val="Tabledesmatiresniveau1"/>
            <w:tabs>
              <w:tab w:val="right" w:pos="9638" w:leader="dot"/>
            </w:tabs>
            <w:rPr/>
          </w:pPr>
          <w:hyperlink w:anchor="__RefHeading___Toc344888_2081073262">
            <w:r>
              <w:rPr>
                <w:rStyle w:val="Sautdindex"/>
              </w:rPr>
              <w:t>IV — Atsauce uz daudzvalodu digitālās platformas ziņojumu</w:t>
              <w:tab/>
              <w:t>286</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p>
    <w:p>
      <w:pPr>
        <w:pStyle w:val="Normal"/>
        <w:rPr/>
      </w:pPr>
      <w:r>
        <w:rPr/>
      </w:r>
      <w:r>
        <w:br w:type="page"/>
      </w:r>
    </w:p>
    <w:p>
      <w:pPr>
        <w:pStyle w:val="Normal"/>
        <w:spacing w:before="13643" w:after="57"/>
        <w:rPr/>
      </w:pPr>
      <w:r>
        <w:rPr/>
        <w:drawing>
          <wp:anchor behindDoc="0" distT="0" distB="0" distL="0" distR="0" simplePos="0" locked="0" layoutInCell="1" allowOverlap="1" relativeHeight="66">
            <wp:simplePos x="0" y="0"/>
            <wp:positionH relativeFrom="column">
              <wp:align>center</wp:align>
            </wp:positionH>
            <wp:positionV relativeFrom="paragraph">
              <wp:posOffset>635</wp:posOffset>
            </wp:positionV>
            <wp:extent cx="6120130" cy="8663305"/>
            <wp:effectExtent l="0" t="0" r="0" b="0"/>
            <wp:wrapSquare wrapText="largest"/>
            <wp:docPr id="10" name="Fotoattēl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otoattēls3" descr=""/>
                    <pic:cNvPicPr>
                      <a:picLocks noChangeAspect="1" noChangeArrowheads="1"/>
                    </pic:cNvPicPr>
                  </pic:nvPicPr>
                  <pic:blipFill>
                    <a:blip r:embed="rId17"/>
                    <a:stretch>
                      <a:fillRect/>
                    </a:stretch>
                  </pic:blipFill>
                  <pic:spPr bwMode="auto">
                    <a:xfrm>
                      <a:off x="0" y="0"/>
                      <a:ext cx="6120130" cy="8663305"/>
                    </a:xfrm>
                    <a:prstGeom prst="rect">
                      <a:avLst/>
                    </a:prstGeom>
                  </pic:spPr>
                </pic:pic>
              </a:graphicData>
            </a:graphic>
          </wp:anchor>
        </w:drawing>
      </w:r>
      <w:r>
        <w:br w:type="page"/>
      </w:r>
    </w:p>
    <w:p>
      <w:pPr>
        <w:pStyle w:val="Titre1sansnumro"/>
        <w:ind w:left="0" w:right="0" w:hanging="0"/>
        <w:rPr/>
      </w:pPr>
      <w:r>
        <w:rPr/>
        <w:t>Ievads Ievads</w:t>
      </w:r>
    </w:p>
    <w:p>
      <w:pPr>
        <w:sectPr>
          <w:headerReference w:type="even" r:id="rId18"/>
          <w:headerReference w:type="default" r:id="rId19"/>
          <w:footerReference w:type="even" r:id="rId20"/>
          <w:footerReference w:type="default" r:id="rId21"/>
          <w:type w:val="nextPage"/>
          <w:pgSz w:w="11906" w:h="16838"/>
          <w:pgMar w:left="1134" w:right="1134" w:header="1134" w:top="1700" w:footer="1134" w:bottom="1727" w:gutter="0"/>
          <w:pgNumType w:fmt="decimal"/>
          <w:formProt w:val="false"/>
          <w:titlePg/>
          <w:textDirection w:val="lrTb"/>
          <w:docGrid w:type="default" w:linePitch="312" w:charSpace="0"/>
        </w:sectPr>
      </w:pPr>
    </w:p>
    <w:p>
      <w:pPr>
        <w:pStyle w:val="Normal"/>
        <w:rPr/>
      </w:pPr>
      <w:r>
        <w:rPr/>
        <w:t>Eiropas Parlamenta priekšsēdētājs David Sassoli, Portugāles premjerministrs António Costa ES Padomes vārdā un Eiropas Komisijas priekšsēdētāja Urzula fon der Leiena 2021. gada 10. martā parakstīja kopīgo deklarāciju par konferenci par Eiropas nākotni. Saistības, ko viņi uzņēmās, bija vienkāršas: tas bija uz pilsoņiem vērsts pasākums, kura pamatā bija augšupēja pieeja, lai nodrošinātu, ka visi eiropieši var ietekmēt to, ko viņi sagaida no Eiropas Savienības, un ka viņiem ir lielāka nozīme Savienības nākotnes veidošanā. Viņu uzdevums, no otras puses, bija ārkārtīgi sarežģīts: mērķis bija pirmo reizi organizēt starptautisku, daudzvalodu un starpiestāžu diskusiju demokrātijas īstenošanu, iesaistot tūkstošiem Eiropas iedzīvotāju, kā arī politiskos dalībniekus, sociālos partnerus, pilsoniskās sabiedrības pārstāvjus un galvenās ieinteresētās personas konferences reglamenta 16. panta nozīmē.</w:t>
      </w:r>
    </w:p>
    <w:p>
      <w:pPr>
        <w:pStyle w:val="Normal"/>
        <w:rPr/>
      </w:pPr>
      <w:r>
        <w:rPr/>
        <w:t>Pēc mēnešiem ilgušām intensīvām apspriedēm konference 2022. gada 9. maijā pabeidza darbu, trīs ES iestādēm iesniedzot ziņojumu par tās galīgajiem rezultātiem ar 49 priekšlikumiem. Šie priekšlikumi atbilst Eiropas pilsoņu vēlmēm deviņās jomās: Spēcīgāka ekonomika, sociālais taisnīgums un nodarbinātība; Izglītība, kultūra, jaunatne un sports; Digitālā pārveide; Eiropas demokrātija; Vērtības un tiesības, tiesiskums, drošība; Klimata pārmaiņas un vide; Veselība; ES pasaulē; un migrācija. Visas šīs tēmas ir izklāstītas šajā nobeiguma ziņojumā, kura mērķis ir arī sniegt pārskatu par dažādajām darbībām, kas veiktas saistībā ar šo unikālo procesu — konferenci par Eiropas nākotni.</w:t>
      </w:r>
    </w:p>
    <w:p>
      <w:pPr>
        <w:pStyle w:val="Corpsdetexte"/>
        <w:rPr/>
      </w:pPr>
      <w:r>
        <w:rPr/>
        <w:t>Vada trīs līdzpriekšsēdētāji (Eiropas Parlamenta Guy Verhofstadt; Ana Paula Zacarias, Gašper Dovžan un Clément Beaune, secīgi ES Padomes vārdā; un Dubravka Šuica Eiropas Komisijas vārdā), un to vadīja valde (kurā ir visu trīs iestāžu pārstāvji, kā arī novērotāji no galvenajām ieinteresētajām personām), konference bija bezprecedenta pieredze starptautiskās apspriešanas demokrātijas jomā. Tā ir arī pierādījusi savu vēsturisko nozīmi un nozīmi saistībā ar Covid-19 pandēmiju un Krievijas agresiju pret Ukrainu. Konferences par Eiropas nākotni rezultātā tika izveidota daudzvalodu digitālā platforma Eiropas iedzīvotājiem, lai sniegtu ieguldījumu visās 24 ES valodās, un tika organizētas četras Eiropas pilsoņu paneļdiskusijas, sešas valstu pilsoņu paneļdiskusijas, tūkstošiem valsts un vietēju pasākumu un septiņas konferences plenārsēdes. Tas ir rezultāts nepieredzētai ES iestāžu, dalībvalstu, bet galvenokārt Eiropas pilsoņu vēlmei apspriest Eiropas Savienības prioritātes un problēmas, ar kurām tā saskaras, un pieņemt jaunu pieeju Eiropas projektam.</w:t>
      </w:r>
    </w:p>
    <w:p>
      <w:pPr>
        <w:pStyle w:val="Corpsdetexte"/>
        <w:rPr/>
      </w:pPr>
      <w:r>
        <w:rPr/>
        <w:t>Tomēr tas ir tikai sākums. Saskaņā ar konferences pamattekstu trīs iestādes tagad ātri apsvērs, kā efektīvi īstenot šo ziņojumu, katrai savas kompetences ietvaros un saskaņā ar Līgumiem. Šajā ziņā ir ārkārtīgi svarīgi noteikt trīs iestādes.</w:t>
      </w:r>
    </w:p>
    <w:p>
      <w:pPr>
        <w:sect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1"/>
        <w:numPr>
          <w:ilvl w:val="0"/>
          <w:numId w:val="2"/>
        </w:numPr>
        <w:rPr/>
      </w:pPr>
      <w:bookmarkStart w:id="0" w:name="__RefHeading___Toc298046_1346298689"/>
      <w:bookmarkEnd w:id="0"/>
      <w:r>
        <w:rPr/>
        <w:t>I. Konferences arhitektūra</w:t>
      </w:r>
    </w:p>
    <w:p>
      <w:pPr>
        <w:pStyle w:val="Corpsdetexte"/>
        <w:rPr>
          <w:sz w:val="40"/>
        </w:rPr>
      </w:pPr>
      <w:r>
        <w:rPr>
          <w:sz w:val="40"/>
        </w:rPr>
        <w:t>Konference par Eiropas nākotni</w:t>
      </w:r>
      <w:r>
        <w:rPr>
          <w:rStyle w:val="Ancredenotedebasdepage"/>
          <w:rStyle w:val="Ancredenotedebasdepage"/>
          <w:sz w:val="40"/>
        </w:rPr>
        <w:footnoteReference w:id="2"/>
      </w:r>
      <w:r>
        <w:rPr>
          <w:sz w:val="40"/>
        </w:rPr>
        <w:t xml:space="preserve"> bija jauns un inovatīvs process, kas pavēra jaunu telpu debatēm ar iedzīvotājiem, lai izskatītu Eiropas prioritātes un izaicinājumus nolūkā noteikt Eiropas projekta demokrātisko leģitimitāti un veicināt to, ka iedzīvotāji ievēro mūsu kopīgās vērtības un mērķus. Konference bija uz pilsoņiem vērsts pasākums, kura pamatā bija augšupēja pieeja un kura mērķis bija nodrošināt, lai eiropieši varētu paust savu viedokli par to, ko viņi sagaida no Eiropas Savienības. Tā bija Eiropas Parlamenta, Padomes un Eiropas Komisijas kopīga iniciatīva, rīkojoties vienlīdzīgi ar Eiropas Savienības dalībvalstīm.</w:t>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Titre2"/>
        <w:numPr>
          <w:ilvl w:val="1"/>
          <w:numId w:val="2"/>
        </w:numPr>
        <w:rPr/>
      </w:pPr>
      <w:bookmarkStart w:id="1" w:name="__RefHeading___Toc298048_1346298689"/>
      <w:bookmarkEnd w:id="1"/>
      <w:r>
        <w:rPr/>
        <w:t>1. Kopīgā deklarācija</w:t>
      </w:r>
    </w:p>
    <w:p>
      <w:pPr>
        <w:pStyle w:val="Normal"/>
        <w:rPr/>
      </w:pPr>
      <w:r>
        <w:rPr/>
      </w:r>
    </w:p>
    <w:p>
      <w:pPr>
        <w:pStyle w:val="Normal"/>
        <w:rPr/>
      </w:pPr>
      <w:r>
        <w:rPr/>
        <w:t>2021. gada 10. martā Eiropas Parlamenta novēlotais priekšsēdētājs David Sassoli, Portugāles premjerministrs António Costa ES Padomes vārdā un Eiropas Komisijas priekšsēdētāja Urzula fon der Leiena (Ursula von der Leyen) 2021. gada 10. martā parakstīja Kopīgo deklarāciju par konferenci par Eiropas nākotni (“Kopīgā deklarācija”), kas bruģē ceļu šim bezprecedentam, atvērtam un iekļaujošam Eiropas demokrātiskajam procesam, kas iedzīvotājiem dod centrālu vietu.</w:t>
      </w:r>
    </w:p>
    <w:p>
      <w:pPr>
        <w:pStyle w:val="Normal"/>
        <w:rPr/>
      </w:pPr>
      <w:r>
        <w:rPr/>
        <w:t>Konferenci vadīja triju iestāžu priekšsēdētāji, kas darbojās kā kopīgā prezidentūra. Kopīgajai prezidentūrai palīdzēja Valde, kuras līdzpriekšsēdētājs bija pa vienam loceklim no katras no trim ES iestādēm.</w:t>
      </w:r>
    </w:p>
    <w:p>
      <w:pPr>
        <w:pStyle w:val="Normal"/>
        <w:rPr/>
      </w:pPr>
      <w:r>
        <w:rPr/>
        <w:t xml:space="preserve">Saskaņā ar Kopīgo deklarāciju ir izveidotas šādas struktūras: </w:t>
      </w:r>
    </w:p>
    <w:p>
      <w:pPr>
        <w:pStyle w:val="Alineanegatifpuce"/>
        <w:numPr>
          <w:ilvl w:val="0"/>
          <w:numId w:val="3"/>
        </w:numPr>
        <w:rPr/>
      </w:pPr>
      <w:r>
        <w:rPr/>
        <w:t>valde, kas pārraudzīja konferences organizēšanu. Tās sastāvā bija trīs ES iestāžu pārstāvji (attiecīgi trīs locekļi un četri novērotāji), kā arī novērotāji no Eiropas Savienības valstu parlamentu Kopienas lietu struktūru konferences (COSAC) priekšsēdētājas trijotnes. Kā novērotāji tika uzaicināti Reģionu komiteja, Eiropas Ekonomikas un sociālo lietu komiteja un sociālo partneru pārstāvji;</w:t>
      </w:r>
    </w:p>
    <w:p>
      <w:pPr>
        <w:pStyle w:val="Alineanegatifpuce"/>
        <w:numPr>
          <w:ilvl w:val="0"/>
          <w:numId w:val="3"/>
        </w:numPr>
        <w:rPr/>
      </w:pPr>
      <w:r>
        <w:rPr/>
        <w:t>kopīgs sekretariāts, kas nodrošina vienādu pārstāvību trijās iestādēs, kuras atbalstīja Valdes darbu. Jo īpaši grupa, ko vadīja trīs līdzpriekšsēdētāji no trim iestādēm, pārraudzīja Valdes, konferences plenārsēžu asambleju un Eiropas pilsoņu paneļdiskusiju sanāksmju organizēšanu un sagatavošanu. Sadarbībā ar pakalpojumu sniedzējiem viņa bija atbildīga par daudzvalodu digitālās platformas pārvaldību un ziņošanu par galvenajiem atskaites punktiem visā procesā.</w:t>
        <w:br/>
        <w:t xml:space="preserve">Šīs komandas unikālais sastāvs nodrošināja pastāvīgu darba koleģialitāti un nodrošināja sinerģiju un efektivitātes pieaugumu visās jomās; </w:t>
      </w:r>
    </w:p>
    <w:p>
      <w:pPr>
        <w:pStyle w:val="Alineanegatifpuce"/>
        <w:numPr>
          <w:ilvl w:val="0"/>
          <w:numId w:val="3"/>
        </w:numPr>
        <w:rPr/>
      </w:pPr>
      <w:r>
        <w:rPr/>
        <w:t>konferences pilnsapulce (sīkāku informāciju sk. III nodaļā), kas ļāva apspriest valstu un Eiropas pilsoņu paneļdiskusiju ieteikumus, kas sagrupēti pēc tematiem, pilnībā ievērojot ES vērtības un konferences hartu</w:t>
      </w:r>
      <w:r>
        <w:rPr>
          <w:rStyle w:val="Ancredenotedebasdepage"/>
          <w:rStyle w:val="Ancredenotedebasdepage"/>
        </w:rPr>
        <w:footnoteReference w:id="3"/>
      </w:r>
      <w:r>
        <w:rPr/>
        <w:t>, iepriekš nenosakot debašu rezultātus vai neaprobežojoties ar iepriekš noteiktām politikas jomām. Attiecīgā gadījumā tika apspriesti arī daudzvalodu digitālajā platformā savāktie viedokļi. Ir izveidotas deviņas tematiskās darba grupas, lai sniegtu ieguldījumu plenārsēžu debašu un priekšlikumu sagatavošanā.</w:t>
      </w:r>
    </w:p>
    <w:p>
      <w:pPr>
        <w:pStyle w:val="Alineanegatifpuce"/>
        <w:numPr>
          <w:ilvl w:val="0"/>
          <w:numId w:val="0"/>
        </w:numPr>
        <w:ind w:left="0" w:right="0" w:hanging="0"/>
        <w:rPr/>
      </w:pPr>
      <w:r>
        <w:rPr/>
      </w:r>
      <w:r>
        <w:br w:type="page"/>
      </w:r>
    </w:p>
    <w:p>
      <w:pPr>
        <w:pStyle w:val="Titre2"/>
        <w:numPr>
          <w:ilvl w:val="1"/>
          <w:numId w:val="2"/>
        </w:numPr>
        <w:rPr/>
      </w:pPr>
      <w:bookmarkStart w:id="2" w:name="__RefHeading___Toc298050_1346298689"/>
      <w:bookmarkEnd w:id="2"/>
      <w:r>
        <w:drawing>
          <wp:anchor behindDoc="0" distT="0" distB="0" distL="0" distR="0" simplePos="0" locked="0" layoutInCell="1" allowOverlap="1" relativeHeight="28">
            <wp:simplePos x="0" y="0"/>
            <wp:positionH relativeFrom="column">
              <wp:posOffset>0</wp:posOffset>
            </wp:positionH>
            <wp:positionV relativeFrom="paragraph">
              <wp:posOffset>99695</wp:posOffset>
            </wp:positionV>
            <wp:extent cx="2970530" cy="8561705"/>
            <wp:effectExtent l="0" t="0" r="0" b="0"/>
            <wp:wrapSquare wrapText="largest"/>
            <wp:docPr id="11" name="Attēl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ēls4" descr=""/>
                    <pic:cNvPicPr>
                      <a:picLocks noChangeAspect="1" noChangeArrowheads="1"/>
                    </pic:cNvPicPr>
                  </pic:nvPicPr>
                  <pic:blipFill>
                    <a:blip r:embed="rId22"/>
                    <a:stretch>
                      <a:fillRect/>
                    </a:stretch>
                  </pic:blipFill>
                  <pic:spPr bwMode="auto">
                    <a:xfrm>
                      <a:off x="0" y="0"/>
                      <a:ext cx="2970530" cy="8561705"/>
                    </a:xfrm>
                    <a:prstGeom prst="rect">
                      <a:avLst/>
                    </a:prstGeom>
                  </pic:spPr>
                </pic:pic>
              </a:graphicData>
            </a:graphic>
          </wp:anchor>
        </w:drawing>
      </w:r>
      <w:r>
        <w:rPr/>
        <w:t>2</w:t>
      </w:r>
      <w:r>
        <w:rPr/>
        <w:t>. Reglaments</w:t>
      </w:r>
    </w:p>
    <w:p>
      <w:pPr>
        <w:pStyle w:val="Normal"/>
        <w:rPr/>
      </w:pPr>
      <w:r>
        <w:rPr/>
        <w:t>Valde 2021. gada 9. maijā apstiprināja konferences reglamentu, kas izstrādāts saskaņā ar Kopīgo deklarāciju par konferenci par Eiropas nākotni, kurā izklāstīti konferences pamati un principi.</w:t>
      </w:r>
    </w:p>
    <w:p>
      <w:pPr>
        <w:pStyle w:val="Normal"/>
        <w:rPr/>
      </w:pPr>
      <w:r>
        <w:rPr/>
        <w:t>Reglamentā ir noteikta dažādu konferenču struktūru darba sistēma un to mijiedarbība.</w:t>
      </w:r>
    </w:p>
    <w:p>
      <w:pPr>
        <w:pStyle w:val="Titre2"/>
        <w:numPr>
          <w:ilvl w:val="1"/>
          <w:numId w:val="2"/>
        </w:numPr>
        <w:rPr/>
      </w:pPr>
      <w:bookmarkStart w:id="3" w:name="__RefHeading___Toc298052_1346298689"/>
      <w:bookmarkEnd w:id="3"/>
      <w:r>
        <w:rPr/>
        <w:t>3. Ar konferenci saistītie pasākumi</w:t>
      </w:r>
    </w:p>
    <w:p>
      <w:pPr>
        <w:pStyle w:val="Corpsdetexte"/>
        <w:rPr/>
      </w:pPr>
      <w:r>
        <w:rPr/>
        <w:t>Saskaņā ar kopīgo deklarāciju katra ES dalībvalsts vai iestāde konferences aizgādnībā var organizēt pasākumus atkarībā no valsts vai iestāžu īpatnībām un sniegt turpmāku ieguldījumu konferencē (plašāku informāciju skatīt II.C nodaļā).</w:t>
      </w:r>
    </w:p>
    <w:p>
      <w:pPr>
        <w:pStyle w:val="Corpsdetexte"/>
        <w:rPr/>
      </w:pPr>
      <w:r>
        <w:rPr/>
        <w:t>Tāpēc ES iestādes un struktūras, dalībvalstis, reģionālās un vietējās iestādes, organizēta pilsoniskā sabiedrība, sociālie partneri un iedzīvotāji tika aicināti organizēt pasākumus partnerībā ar pilsonisko sabiedrību un ieinteresētajām personām Eiropas, valsts, reģionālā un vietējā līmenī dažādos formātos visā Eiropā un publicēt šo pasākumu rezultātus digitālajā platformā. Notika vairāki tūkstoši šādu pasākumu, kuros piedalījās aptuveni 650 000 dalībnieku.</w:t>
      </w:r>
    </w:p>
    <w:p>
      <w:pPr>
        <w:pStyle w:val="Titre2"/>
        <w:numPr>
          <w:ilvl w:val="1"/>
          <w:numId w:val="2"/>
        </w:numPr>
        <w:rPr/>
      </w:pPr>
      <w:bookmarkStart w:id="4" w:name="__RefHeading___Toc298054_1346298689"/>
      <w:bookmarkEnd w:id="4"/>
      <w:r>
        <w:rPr/>
        <w:t>4.</w:t>
        <w:tab/>
        <w:t>Daudzvalodu digitālās platformas īstenošana</w:t>
      </w:r>
    </w:p>
    <w:p>
      <w:pPr>
        <w:pStyle w:val="Normal"/>
        <w:rPr/>
      </w:pPr>
      <w:r>
        <w:rPr/>
        <w:t>Saskaņā ar kopīgo deklarāciju ir izveidota daudzvalodu digitālā platforma (sīkāku informāciju sk. II.A nodaļā), lai iedzīvotāji varētu dalīties savās idejās un nosūtīt komentārus tiešsaistē. Tas bija galvenais centrs iedzīvotāju ieguldījumam un informēšanai par konferences dažādajām daļām un interaktīvs rīks, lai dalītos un apspriestu saistībā ar konferenci rīkoto pasākumu idejas un ieguldījumu. Platforma oficiāli tika izveidota 2021. gada 19. aprīlī. Vairāk nekā 17 000 ideju ir publicētas platformā.</w:t>
      </w:r>
    </w:p>
    <w:p>
      <w:pPr>
        <w:pStyle w:val="Corpsdetexte"/>
        <w:rPr/>
      </w:pPr>
      <w:r>
        <w:rPr/>
        <w:t>Konferences laikā tika sagatavoti ziņojumi par platformā sniegtajiem komentāriem.</w:t>
      </w:r>
    </w:p>
    <w:p>
      <w:pPr>
        <w:pStyle w:val="Normal"/>
        <w:rPr/>
      </w:pPr>
      <w:r>
        <w:rPr/>
        <w:t>Platformas ietvaros savāktos viedokļus ņēma vērā Eiropas pilsoņu paneļdiskusijās, un tie tika apspriesti un apspriesti konferences plenārsēdē.</w:t>
      </w:r>
    </w:p>
    <w:p>
      <w:pPr>
        <w:pStyle w:val="Titre2"/>
        <w:numPr>
          <w:ilvl w:val="1"/>
          <w:numId w:val="2"/>
        </w:numPr>
        <w:rPr/>
      </w:pPr>
      <w:bookmarkStart w:id="5" w:name="__RefHeading___Toc298056_1346298689"/>
      <w:bookmarkEnd w:id="5"/>
      <w:r>
        <w:rPr/>
        <w:t>5.</w:t>
        <w:tab/>
        <w:t>Eiropas pilsoņu paneļdiskusija</w:t>
      </w:r>
    </w:p>
    <w:p>
      <w:pPr>
        <w:pStyle w:val="Normal"/>
        <w:rPr/>
      </w:pPr>
      <w:r>
        <w:rPr/>
        <w:t>Saskaņā ar kopīgo deklarāciju Eiropas pilsoņu paneļdiskusijas, kas tika organizētas par konferences galvenajām tēmām, bija galvenais un īpaši novatoriskais konferences elements (plašāku informāciju sk. II.B nodaļā).</w:t>
      </w:r>
    </w:p>
    <w:p>
      <w:pPr>
        <w:pStyle w:val="Normal"/>
        <w:rPr/>
      </w:pPr>
      <w:r>
        <w:rPr/>
        <w:t>Kopā 800 nejauši atlasīti pilsoņi, kas pārstāv ES socioloģisko un ģeogrāfisko daudzveidību un kas sagrupēti četrās paneļdiskusijās, kurās ir 200 iedzīvotāji, tikās trīs apspriešanās sesijās katrā paneļdiskusijā. Eiropas pilsoņu paneļdiskusijās tika sniegti ieteikumi, kas tika ņemti vērā konferences vispārējās apspriedēs, jo īpaši konferences plenārsēžu asamblejās.</w:t>
      </w:r>
    </w:p>
    <w:p>
      <w:pPr>
        <w:pStyle w:val="Normal"/>
        <w:rPr/>
      </w:pPr>
      <w:r>
        <w:rPr/>
        <w:t>Valdes līdzpriekšsēdētāji kopīgi noteica praktisko kārtību Eiropas pilsoņu paneļdiskusiju organizēšanai saskaņā ar kopīgo deklarāciju un reglamentu un iepriekš informēja valdi.</w:t>
      </w:r>
    </w:p>
    <w:p>
      <w:pPr>
        <w:pStyle w:val="Normal"/>
        <w:rPr/>
      </w:pPr>
      <w:r>
        <w:rPr/>
        <w:t>Valde ir regulāri informēta par progresu Eiropas pilsoņu paneļdiskusiju izveidē un organizēšanā.</w:t>
      </w:r>
    </w:p>
    <w:p>
      <w:pPr>
        <w:pStyle w:val="Normal"/>
        <w:rPr/>
      </w:pPr>
      <w:r>
        <w:rPr/>
      </w:r>
    </w:p>
    <w:p>
      <w:pPr>
        <w:pStyle w:val="Titre2"/>
        <w:numPr>
          <w:ilvl w:val="1"/>
          <w:numId w:val="2"/>
        </w:numPr>
        <w:rPr/>
      </w:pPr>
      <w:bookmarkStart w:id="6" w:name="__RefHeading___Toc298058_1346298689"/>
      <w:bookmarkEnd w:id="6"/>
      <w:r>
        <w:rPr/>
        <w:t>6.</w:t>
        <w:tab/>
        <w:t>Valstu pilsoņu paneļdiskusija</w:t>
      </w:r>
    </w:p>
    <w:p>
      <w:pPr>
        <w:pStyle w:val="Normal"/>
        <w:rPr/>
      </w:pPr>
      <w:r>
        <w:rPr/>
        <w:t>Saskaņā ar kopīgo deklarāciju dalībvalstis varētu organizēt valstu ekspertu grupas. Lai palīdzētu dalībvalstīm, kuras plāno organizēt valstu pilsoņu paneļdiskusijus, līdzpriekšsēdētāji apstiprināja pamatnostādnes un 2021. gada 26. maijā nosūtīja Valdei, lai nodrošinātu, ka valstu paneļdiskusiju organizēšana notiek saskaņā ar tādiem pašiem principiem kā Eiropas pilsoņu paneļdiskusijās. Šajās pamatnostādnēs bija iekļauti labas apspriešanas principi, pamatojoties uz ESAO pamatnostādnēm</w:t>
      </w:r>
      <w:r>
        <w:rPr>
          <w:rStyle w:val="Ancredenotedebasdepage"/>
          <w:rStyle w:val="Ancredenotedebasdepage"/>
        </w:rPr>
        <w:footnoteReference w:id="4"/>
      </w:r>
      <w:r>
        <w:rPr/>
        <w:t>. Katra dalībvalsts varētu izlemt, vai organizēt vai neorganizēt valsts pilsoņu grupu. Kopumā vienu organizēja sešas dalībvalstis (Beļģija, Francija, Vācija, Itālija, Lietuva un Nīderlande).</w:t>
      </w:r>
    </w:p>
    <w:p>
      <w:pPr>
        <w:pStyle w:val="Normal"/>
        <w:rPr/>
      </w:pPr>
      <w:r>
        <w:rPr/>
        <w:t>Saskaņā ar kopīgo deklarāciju valstu pilsoņu paneļdiskusiju ieteikumi tika iesniegti un apspriesti konferences plenārsēdes asamblejās līdztekus Eiropas pilsoņu paneļdiskusiju ieteikumiem.</w:t>
      </w:r>
    </w:p>
    <w:p>
      <w:pPr>
        <w:pStyle w:val="Normal"/>
        <w:rPr/>
      </w:pPr>
      <w:r>
        <w:rPr/>
      </w:r>
      <w:r>
        <w:br w:type="page"/>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1"/>
        <w:numPr>
          <w:ilvl w:val="0"/>
          <w:numId w:val="2"/>
        </w:numPr>
        <w:rPr/>
      </w:pPr>
      <w:bookmarkStart w:id="7" w:name="__RefHeading___Toc298188_1346298689"/>
      <w:bookmarkEnd w:id="7"/>
      <w:r>
        <w:rPr/>
        <w:t>NĒ, NĒ, NĒ, NĒ. Pilsoņu ieguldījums konferencē</w:t>
      </w:r>
    </w:p>
    <w:p>
      <w:pPr>
        <w:pStyle w:val="Normal"/>
        <w:rPr/>
      </w:pPr>
      <w:r>
        <w:rPr/>
      </w:r>
      <w:r>
        <w:br w:type="page"/>
      </w:r>
    </w:p>
    <w:p>
      <w:pPr>
        <w:pStyle w:val="Titre2"/>
        <w:numPr>
          <w:ilvl w:val="1"/>
          <w:numId w:val="2"/>
        </w:numPr>
        <w:rPr/>
      </w:pPr>
      <w:bookmarkStart w:id="8" w:name="__RefHeading___Toc298190_1346298689"/>
      <w:bookmarkEnd w:id="8"/>
      <w:r>
        <w:rPr/>
        <w:t>A. Daudzvalodu digitālā platforma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Daudzvalodu digitālā platforma tika uzsākta 2021. gada 19. aprīlī, un tā bija konferences centrālais kontaktpunkts. Ar tās palīdzību konferencē varēja piedalīties ikviens: visi iedzīvotāji ES un citur, pilsoniskā sabiedrība, sociālie partneri un dažādas citas ieinteresētās personas.</w:t>
      </w:r>
    </w:p>
    <w:p>
      <w:pPr>
        <w:pStyle w:val="Normal"/>
        <w:rPr/>
      </w:pPr>
      <w:r>
        <w:rPr/>
        <w:t>Platforma tika izstrādāta īpaši konferencei, izmantojot Decidim — Eiropas bezmaksas programmatūru, kas paredzēta iedzīvotāju līdzdalībai. Šāda mēroga un līmeņa interaktivitātes un daudzvalodības līmenī šis sasniegums bija pirmais ne tikai Eiropas, bet arī pasaules mērogā. Visas atbildes bija pieejamas visās 24 oficiālajās ES valodās, izmantojot mašīntulkošanu. Debates bija strukturētas par desmit tematiem: “Klimata pārmaiņas un vide”, “Veselība”, “Spēcīgāka ekonomika, sociālais taisnīgums un nodarbinātība”, “ES pasaulē”, “Vērtības un tiesības, tiesiskums, drošība”, “digitālā pārveide”, “Eiropas demokrātija”, “Migrācija”, “Izglītība, kultūra, jaunatne un sports” un “Citas idejas”.</w:t>
      </w:r>
    </w:p>
    <w:p>
      <w:pPr>
        <w:pStyle w:val="Normal"/>
        <w:rPr/>
      </w:pPr>
      <w:r>
        <w:rPr/>
        <w:t>Bija iespējams piedalīties platformā vairākos dažādos veidos.</w:t>
      </w:r>
    </w:p>
    <w:p>
      <w:pPr>
        <w:pStyle w:val="Normal"/>
        <w:rPr/>
      </w:pPr>
      <w:r>
        <w:rPr/>
        <w:t>Ikviens, kurš to vēlējās, varēja dalīties savās idejās par vienu no desmit tēmām. Bija iespējams arī komentēt citu idejas. Tādējādi platforma ir nodrošinājusi reālas Eiropas mēroga debates starp iedzīvotājiem.</w:t>
      </w:r>
    </w:p>
    <w:p>
      <w:pPr>
        <w:pStyle w:val="Normal"/>
        <w:rPr/>
      </w:pPr>
      <w:r>
        <w:rPr/>
        <w:t>Dalībnieki varētu arī apstiprināt idejas, norādot, ka viņi atbalstīja cita lietotāja ieguldījumu.</w:t>
      </w:r>
    </w:p>
    <w:p>
      <w:pPr>
        <w:pStyle w:val="Normal"/>
        <w:rPr/>
      </w:pPr>
      <w:r>
        <w:rPr/>
        <w:t xml:space="preserve">Vēl viens svarīgs veids, kā piedalīties konferencē, bija organizēt pasākumus (virtuālus, klātienē vai hibrīdus), paziņot par tiem platformā, ziņot par to rezultātiem un sasaistīt tos ar idejām. </w:t>
      </w:r>
      <w:hyperlink r:id="rId23">
        <w:r>
          <w:rPr>
            <w:rStyle w:val="LienInternet"/>
          </w:rPr>
          <w:t>Platformā organizatoriem tika darīti pieejami ceļveži un informatīvie materiāli</w:t>
        </w:r>
      </w:hyperlink>
      <w:r>
        <w:rPr/>
        <w:t>, lai popularizētu pasākumu līdzdalības un iekļaujošo raksturu.</w:t>
      </w:r>
    </w:p>
    <w:p>
      <w:pPr>
        <w:pStyle w:val="Normal"/>
        <w:rPr/>
      </w:pPr>
      <w:r>
        <w:rPr/>
        <w:t xml:space="preserve">Platformai ir bijusi būtiska nozīme visa procesa pārskatāmībā un attiecībā uz visu ar konferenci saistītās informācijas pieejamību. Šeit ikviens varēja atrast informāciju par pašas konferences darba metodēm un organizāciju, piemēram, par pašu konferences procesu (konferences plenārsēdi un tās darba grupas, </w:t>
      </w:r>
      <w:hyperlink r:id="rId24">
        <w:r>
          <w:rPr>
            <w:rStyle w:val="LienInternet"/>
          </w:rPr>
          <w:t>Eiropas pilsoņu paneļdiskusijus, valstu</w:t>
        </w:r>
      </w:hyperlink>
      <w:r>
        <w:rPr/>
        <w:t xml:space="preserve"> </w:t>
      </w:r>
      <w:hyperlink r:id="rId25">
        <w:r>
          <w:rPr>
            <w:rStyle w:val="LienInternet"/>
          </w:rPr>
          <w:t>paneļdiskusijus un pasākumus,</w:t>
        </w:r>
      </w:hyperlink>
      <w:r>
        <w:rPr/>
        <w:t xml:space="preserve"> kā </w:t>
      </w:r>
      <w:hyperlink r:id="rId26">
        <w:r>
          <w:rPr>
            <w:rStyle w:val="LienInternet"/>
          </w:rPr>
          <w:t>arī valdi</w:t>
        </w:r>
      </w:hyperlink>
      <w:r>
        <w:rPr/>
        <w:t>). Plenārsēdes un tās darba grupu debates tika pārraidītas tiešraidē internetā, kā arī Eiropas pilsoņu paneļdiskusiju sanāksmes. Visa šī informācija būs pieejama platformā.</w:t>
      </w:r>
    </w:p>
    <w:p>
      <w:pPr>
        <w:pStyle w:val="Normal"/>
        <w:rPr/>
      </w:pPr>
      <w:r>
        <w:rPr/>
        <w:t>Visā darba gaitā, kad vien iespējams, tika veikti uzlabojumi platformā, piemēram, pievienojot funkcijas vai vizuālos medijus. Laika gaitā platforma ir padarīta pieejamāka arī cilvēkiem ar invaliditāti.</w:t>
      </w:r>
    </w:p>
    <w:p>
      <w:pPr>
        <w:pStyle w:val="Normal"/>
        <w:rPr/>
      </w:pPr>
      <w:r>
        <w:rPr/>
        <w:t>Visi platformas ieguldījumi bija publiski pieejami: tiem varēja piekļūt ikviens, kā arī atvērto datu datnes, kas saistītas ar digitālo platformu, tādējādi nodrošinot pilnīgu pārredzamību. Lai atvieglotu ieguldījumu vākšanu un analīzi, Komisijas Kopīgais pētniecības centrs bija izstrādājis automatizētu teksta analīzes rīku un analīzes platformu, kas ļāva daudzvalodu tulkošanai un platformas satura padziļinātai analīzei. Analīzes platforma ir instruments, kas ir izrādījies būtisks, lai sniegtu regulārus ziņojumus ar vienādu kvalitātes līmeni visās valodās. Turklāt “datuthon”, ko Eiropas Komisija organizēja 2022. gada martā, mudināja uz jaunām pieejām atvērto datu sēriju analīzē un veicināja datu analīzes procesa pārredzamību.</w:t>
      </w:r>
    </w:p>
    <w:p>
      <w:pPr>
        <w:pStyle w:val="Normal"/>
        <w:rPr/>
      </w:pPr>
      <w:r>
        <w:rPr/>
        <w:t>Lai sniegtu pārskatu par platformā sniegto ieguldījumu, ārpakalpojumu sniedzējs ir sagatavojis ziņojumus, kas ir publicēti pašā platformā.</w:t>
      </w:r>
    </w:p>
    <w:p>
      <w:pPr>
        <w:pStyle w:val="Normal"/>
        <w:rPr/>
      </w:pPr>
      <w:hyperlink r:id="rId27">
        <w:r>
          <w:rPr>
            <w:rStyle w:val="LienInternet"/>
          </w:rPr>
          <w:t>Pirmais starpposma ziņojums</w:t>
        </w:r>
      </w:hyperlink>
      <w:r>
        <w:rPr/>
        <w:t xml:space="preserve"> tika publicēts septembrī: tajā galvenā uzmanība tika pievērsta ieguldījumam</w:t>
      </w:r>
    </w:p>
    <w:p>
      <w:pPr>
        <w:pStyle w:val="Normal"/>
        <w:rPr/>
      </w:pPr>
      <w:r>
        <w:rPr/>
        <w:t xml:space="preserve">sniegti līdz 2021. gada 2. augustam. </w:t>
      </w:r>
      <w:hyperlink r:id="rId28">
        <w:r>
          <w:rPr>
            <w:rStyle w:val="LienInternet"/>
          </w:rPr>
          <w:t>Otrais starpposma ziņojums</w:t>
        </w:r>
      </w:hyperlink>
      <w:r>
        <w:rPr/>
        <w:t xml:space="preserve">tika publicēts 2021. gada oktobra vidū, aptverot līdz 2021. gada 7. septembrim iesniegtās atsauksmes. </w:t>
      </w:r>
      <w:hyperlink r:id="rId29">
        <w:r>
          <w:rPr>
            <w:rStyle w:val="LienInternet"/>
          </w:rPr>
          <w:t>Trešais starpposma ziņojums</w:t>
        </w:r>
      </w:hyperlink>
      <w:r>
        <w:rPr/>
        <w:t xml:space="preserve"> tika publicēts 2021. gada decembrī, un tas aptvēra iemaksas līdz 2021. gada 3. novembrim. Tā kā konferences darbs tuvojas noslēguma posmam, jaunākais ziņojums, kura mērķis ir iedvesmot konferences plenārsēžu darbu, tika publicēts 2022. gada marta vidū, ņemot vērā digitālajā platformā līdz 2022. gada 20. februārim iesniegtos komentārus. Šis kalendārs tika skaidri paziņots platformā un citur, kā rezultātā 2022. gada janvārī un februārī palielinājās iemaksas. Līdz 9. maijam saņemtās atbildes tiks izskatītas papildu ziņojumā. Vienlaikus ar 2021. gada septembra un decembra un 2022. gada marta ziņojumiem tika darīti pieejami arī papildu ziņojumi par platformā sniegtajām atbildēm pa dalībvalstīm.</w:t>
      </w:r>
    </w:p>
    <w:p>
      <w:pPr>
        <w:pStyle w:val="Normal"/>
        <w:rPr/>
      </w:pPr>
      <w:r>
        <w:rPr/>
        <w:t xml:space="preserve">Šajos ziņojumos galvenā uzmanība tika pievērsta platformā publicēto atbilžu kvalitatīvai analīzei, lai sniegtu vispārēju pārskatu par platformā ierosināto un pasākumos apspriesto </w:t>
      </w:r>
      <w:r>
        <w:drawing>
          <wp:anchor behindDoc="0" distT="0" distB="0" distL="0" distR="0" simplePos="0" locked="0" layoutInCell="1" allowOverlap="1" relativeHeight="19">
            <wp:simplePos x="0" y="0"/>
            <wp:positionH relativeFrom="column">
              <wp:posOffset>60325</wp:posOffset>
            </wp:positionH>
            <wp:positionV relativeFrom="paragraph">
              <wp:posOffset>1607820</wp:posOffset>
            </wp:positionV>
            <wp:extent cx="5779135" cy="3321685"/>
            <wp:effectExtent l="0" t="0" r="0" b="0"/>
            <wp:wrapTopAndBottom/>
            <wp:docPr id="12" name="Attēl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ēls5" descr=""/>
                    <pic:cNvPicPr>
                      <a:picLocks noChangeAspect="1" noChangeArrowheads="1"/>
                    </pic:cNvPicPr>
                  </pic:nvPicPr>
                  <pic:blipFill>
                    <a:blip r:embed="rId30"/>
                    <a:stretch>
                      <a:fillRect/>
                    </a:stretch>
                  </pic:blipFill>
                  <pic:spPr bwMode="auto">
                    <a:xfrm>
                      <a:off x="0" y="0"/>
                      <a:ext cx="5779135" cy="3321685"/>
                    </a:xfrm>
                    <a:prstGeom prst="rect">
                      <a:avLst/>
                    </a:prstGeom>
                  </pic:spPr>
                </pic:pic>
              </a:graphicData>
            </a:graphic>
          </wp:anchor>
        </w:drawing>
      </w:r>
      <w:r>
        <w:rPr/>
        <w:t>i</w:t>
      </w:r>
      <w:r>
        <w:rPr/>
        <w:t>deju tvērumu un daudzveidību. Šajā nolūkā pētniecības grupa, izmantojot Komisijas Kopīgā pētniecības centra nodrošinātos analītiskos instrumentus, veica manuālu teksta analīzi un apvienoja ieguldījumu. Tas ļāva noteikt kopīgas tēmas un apakškategorijas, kas tika sīki aprakstītas katrā tematā un sintezētas konceptuālajās shēmās, kas ļauj tos ātri vizualizēt. Lai šo kvalitatīvo pieeju papildinātu ar kvantitatīviem elementiem, katrā ziņojumā tika minētas tēmas, apakštemati vai idejas, kas bieži atkārtojās vai tika ļoti komentētas vai atbalstītas. Mērķis bija atspoguļot diskusiju stāvokli dažādos konferences posmos, tostarp lielu interesi vai dažu ideju radītās debates. Ziņojumos arī sniegts pārskats par dalībnieku sociāldemogrāfiskajiem datiem. Respondentiem tika lūgts sniegt informāciju par viņu dzīvesvietas valsti, izglītības līmeni, vecumu, dzimumu un profesionālo statusu; tomēr šīs informācijas fakultatīvais raksturs ierobežo skaidrību par dalībnieku profilu. Piemēram, 26,9 % no visām iemaksām veidoja dalībnieki, kuri nenorādīja savu dzīvesvietas valsti.</w:t>
      </w:r>
    </w:p>
    <w:p>
      <w:pPr>
        <w:pStyle w:val="Normal"/>
        <w:rPr/>
      </w:pPr>
      <w:r>
        <w:rPr/>
      </w:r>
      <w:r>
        <w:br w:type="page"/>
      </w:r>
    </w:p>
    <w:p>
      <w:pPr>
        <w:pStyle w:val="Normal"/>
        <w:rPr/>
      </w:pPr>
      <w:r>
        <w:rPr/>
        <w:t>Kopš platformas izveides tēma “Eiropas demokrātija” ir tā, par kuru ir reģistrēts lielākais ieguldījumu skaits (idejas, komentāri un notikumi). Otrā tēma bija “Klimata pārmaiņas un vide”. Sadaļā “Citas idejas” iesniegtie komentāri bija trešajā vietā, pirms “Vērtības un tiesības, tiesiskums, drošība” un “Spēcīgāka ekonomika, sociālais taisnīgums un nodarbinātība”.</w:t>
      </w:r>
    </w:p>
    <w:p>
      <w:pPr>
        <w:pStyle w:val="Normal"/>
        <w:rPr/>
      </w:pPr>
      <w:r>
        <w:rPr/>
        <w:t>Ziņojumi par platformā savāktajiem ieguldījumiem, tostarp konceptuālajām shēmām, ir devuši vērtīgu ieguldījumu Eiropas pilsoņu paneļdiskusiju darbā. Katras no trijām paneļdiskusijām sākumā paneļdiskusijām tika iesniegti galvenie ziņojuma konstatējumi un konceptuālās shēmas, kas saņēma saites uz pilnajiem ziņojumiem. Tas ir tas, cik daudz ideju, kas parādījās platformā, ir atspoguļotas Eiropas pilsoņu paneļdiskusiju ieteikumos.</w:t>
      </w:r>
    </w:p>
    <w:p>
      <w:pPr>
        <w:pStyle w:val="Normal"/>
        <w:spacing w:before="2802" w:after="57"/>
        <w:rPr/>
      </w:pPr>
      <w:r>
        <mc:AlternateContent>
          <mc:Choice Requires="wps">
            <w:drawing>
              <wp:anchor behindDoc="0" distT="72390" distB="72390" distL="72390" distR="72390" simplePos="0" locked="0" layoutInCell="1" allowOverlap="1" relativeHeight="27">
                <wp:simplePos x="0" y="0"/>
                <wp:positionH relativeFrom="column">
                  <wp:posOffset>22860</wp:posOffset>
                </wp:positionH>
                <wp:positionV relativeFrom="paragraph">
                  <wp:posOffset>2617470</wp:posOffset>
                </wp:positionV>
                <wp:extent cx="6036310" cy="1779905"/>
                <wp:effectExtent l="0" t="0" r="0" b="0"/>
                <wp:wrapSquare wrapText="bothSides"/>
                <wp:docPr id="13" name="Ietvarstruktūra2"/>
                <a:graphic xmlns:a="http://schemas.openxmlformats.org/drawingml/2006/main">
                  <a:graphicData uri="http://schemas.microsoft.com/office/word/2010/wordprocessingShape">
                    <wps:wsp>
                      <wps:cNvSpPr/>
                      <wps:spPr>
                        <a:xfrm>
                          <a:off x="0" y="0"/>
                          <a:ext cx="6035760" cy="1779120"/>
                        </a:xfrm>
                        <a:prstGeom prst="rect">
                          <a:avLst/>
                        </a:prstGeom>
                        <a:solidFill>
                          <a:srgbClr val="ffffff"/>
                        </a:solidFill>
                        <a:ln w="720">
                          <a:solidFill>
                            <a:srgbClr val="000000"/>
                          </a:solidFill>
                          <a:round/>
                        </a:ln>
                      </wps:spPr>
                      <wps:style>
                        <a:lnRef idx="0"/>
                        <a:fillRef idx="0"/>
                        <a:effectRef idx="0"/>
                        <a:fontRef idx="minor"/>
                      </wps:style>
                      <wps:txb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Kas notiek konferencē par Eiropas nākotni?</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konferences dalībnieki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pasākuma dalībnieki</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idejas idejas</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skatīt visas atsauksmes</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informācija par pasākumiem</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apstiprinājumi</w:t>
                                  </w:r>
                                </w:p>
                              </w:tc>
                            </w:tr>
                          </w:tbl>
                          <w:p>
                            <w:pPr>
                              <w:pStyle w:val="Contenudecadre"/>
                              <w:spacing w:before="57" w:after="57"/>
                              <w:rPr/>
                            </w:pPr>
                            <w:r>
                              <w:rPr>
                                <w:color w:val="auto"/>
                              </w:rPr>
                              <w:t xml:space="preserve">Dalības stāvoklis 2022. gada 20. aprīlī (avots: </w:t>
                            </w:r>
                            <w:hyperlink r:id="rId31">
                              <w:r>
                                <w:rPr>
                                  <w:rStyle w:val="LienInternet"/>
                                  <w:color w:val="auto"/>
                                </w:rPr>
                                <w:t>Konference par Eiropas nākotni (europa.eu</w:t>
                              </w:r>
                            </w:hyperlink>
                            <w:r>
                              <w:rPr>
                                <w:color w:val="auto"/>
                              </w:rPr>
                              <w:t>)</w:t>
                            </w:r>
                          </w:p>
                        </w:txbxContent>
                      </wps:txbx>
                      <wps:bodyPr lIns="54000" rIns="54000" tIns="54000" bIns="54000">
                        <a:noAutofit/>
                      </wps:bodyPr>
                    </wps:wsp>
                  </a:graphicData>
                </a:graphic>
              </wp:anchor>
            </w:drawing>
          </mc:Choice>
          <mc:Fallback>
            <w:pict>
              <v:rect id="shape_0" ID="Ietvarstruktūra2" fillcolor="white" stroked="t" style="position:absolute;margin-left:1.8pt;margin-top:206.1pt;width:475.2pt;height:140.05pt">
                <w10:wrap type="square"/>
                <v:fill o:detectmouseclick="t" type="solid" color2="black"/>
                <v:stroke color="black" weight="720" joinstyle="round" endcap="flat"/>
                <v:textbox>
                  <w:txbxContent>
                    <w:tbl>
                      <w:tblPr>
                        <w:tblW w:w="9333" w:type="dxa"/>
                        <w:jc w:val="left"/>
                        <w:tblInd w:w="0" w:type="dxa"/>
                        <w:tblBorders/>
                        <w:tblCellMar>
                          <w:top w:w="0" w:type="dxa"/>
                          <w:left w:w="0" w:type="dxa"/>
                          <w:bottom w:w="0" w:type="dxa"/>
                          <w:right w:w="0" w:type="dxa"/>
                        </w:tblCellMar>
                      </w:tblPr>
                      <w:tblGrid>
                        <w:gridCol w:w="3111"/>
                        <w:gridCol w:w="3111"/>
                        <w:gridCol w:w="3111"/>
                      </w:tblGrid>
                      <w:tr>
                        <w:trPr/>
                        <w:tc>
                          <w:tcPr>
                            <w:tcW w:w="9333" w:type="dxa"/>
                            <w:gridSpan w:val="3"/>
                            <w:tcBorders/>
                            <w:shd w:fill="auto" w:val="clear"/>
                          </w:tcPr>
                          <w:p>
                            <w:pPr>
                              <w:pStyle w:val="Contenudetableau"/>
                              <w:spacing w:before="57" w:after="57"/>
                              <w:jc w:val="center"/>
                              <w:rPr/>
                            </w:pPr>
                            <w:r>
                              <w:rPr/>
                              <w:t>Kas notiek konferencē par Eiropas nākotni?</w:t>
                            </w:r>
                          </w:p>
                        </w:tc>
                      </w:tr>
                      <w:tr>
                        <w:trPr/>
                        <w:tc>
                          <w:tcPr>
                            <w:tcW w:w="3111" w:type="dxa"/>
                            <w:tcBorders/>
                            <w:shd w:fill="auto" w:val="clear"/>
                          </w:tcPr>
                          <w:p>
                            <w:pPr>
                              <w:pStyle w:val="P68B1DB1Contenudetableau8"/>
                              <w:spacing w:before="57" w:after="57"/>
                              <w:jc w:val="center"/>
                              <w:rPr>
                                <w:sz w:val="32"/>
                              </w:rPr>
                            </w:pPr>
                            <w:r>
                              <w:rPr/>
                              <w:t xml:space="preserve">52 346 </w:t>
                            </w:r>
                          </w:p>
                          <w:p>
                            <w:pPr>
                              <w:pStyle w:val="Contenudetableau"/>
                              <w:spacing w:before="57" w:after="57"/>
                              <w:jc w:val="center"/>
                              <w:rPr/>
                            </w:pPr>
                            <w:r>
                              <w:rPr/>
                              <w:t>konferences dalībnieki</w:t>
                            </w:r>
                          </w:p>
                        </w:tc>
                        <w:tc>
                          <w:tcPr>
                            <w:tcW w:w="3111" w:type="dxa"/>
                            <w:tcBorders/>
                            <w:shd w:fill="auto" w:val="clear"/>
                          </w:tcPr>
                          <w:p>
                            <w:pPr>
                              <w:pStyle w:val="P68B1DB1Contenudetableau8"/>
                              <w:spacing w:before="57" w:after="57"/>
                              <w:jc w:val="center"/>
                              <w:rPr>
                                <w:sz w:val="32"/>
                              </w:rPr>
                            </w:pPr>
                            <w:r>
                              <w:rPr/>
                              <w:t xml:space="preserve">652 532 </w:t>
                            </w:r>
                          </w:p>
                          <w:p>
                            <w:pPr>
                              <w:pStyle w:val="Contenudetableau"/>
                              <w:spacing w:before="57" w:after="57"/>
                              <w:jc w:val="center"/>
                              <w:rPr/>
                            </w:pPr>
                            <w:r>
                              <w:rPr/>
                              <w:t>pasākuma dalībnieki</w:t>
                            </w:r>
                          </w:p>
                        </w:tc>
                        <w:tc>
                          <w:tcPr>
                            <w:tcW w:w="3111" w:type="dxa"/>
                            <w:tcBorders/>
                            <w:shd w:fill="auto" w:val="clear"/>
                          </w:tcPr>
                          <w:p>
                            <w:pPr>
                              <w:pStyle w:val="P68B1DB1Contenudetableau8"/>
                              <w:spacing w:before="57" w:after="57"/>
                              <w:jc w:val="center"/>
                              <w:rPr>
                                <w:sz w:val="32"/>
                              </w:rPr>
                            </w:pPr>
                            <w:r>
                              <w:rPr/>
                              <w:t xml:space="preserve">17671 </w:t>
                            </w:r>
                          </w:p>
                          <w:p>
                            <w:pPr>
                              <w:pStyle w:val="Contenudetableau"/>
                              <w:spacing w:before="57" w:after="57"/>
                              <w:jc w:val="center"/>
                              <w:rPr/>
                            </w:pPr>
                            <w:r>
                              <w:rPr/>
                              <w:t>idejas idejas</w:t>
                            </w:r>
                          </w:p>
                        </w:tc>
                      </w:tr>
                      <w:tr>
                        <w:trPr/>
                        <w:tc>
                          <w:tcPr>
                            <w:tcW w:w="3111" w:type="dxa"/>
                            <w:tcBorders/>
                            <w:shd w:fill="auto" w:val="clear"/>
                          </w:tcPr>
                          <w:p>
                            <w:pPr>
                              <w:pStyle w:val="Contenudetableau"/>
                              <w:spacing w:before="57" w:after="57"/>
                              <w:jc w:val="center"/>
                              <w:rPr/>
                            </w:pPr>
                            <w:r>
                              <w:rPr>
                                <w:sz w:val="32"/>
                              </w:rPr>
                              <w:t>21877</w:t>
                            </w:r>
                            <w:r>
                              <w:rPr/>
                              <w:t xml:space="preserve"> </w:t>
                            </w:r>
                          </w:p>
                          <w:p>
                            <w:pPr>
                              <w:pStyle w:val="Contenudetableau"/>
                              <w:spacing w:before="57" w:after="57"/>
                              <w:jc w:val="center"/>
                              <w:rPr/>
                            </w:pPr>
                            <w:r>
                              <w:rPr/>
                              <w:t>skatīt visas atsauksmes</w:t>
                            </w:r>
                          </w:p>
                        </w:tc>
                        <w:tc>
                          <w:tcPr>
                            <w:tcW w:w="3111" w:type="dxa"/>
                            <w:tcBorders/>
                            <w:shd w:fill="auto" w:val="clear"/>
                          </w:tcPr>
                          <w:p>
                            <w:pPr>
                              <w:pStyle w:val="P68B1DB1Contenudetableau8"/>
                              <w:spacing w:before="57" w:after="57"/>
                              <w:jc w:val="center"/>
                              <w:rPr>
                                <w:sz w:val="32"/>
                              </w:rPr>
                            </w:pPr>
                            <w:r>
                              <w:rPr/>
                              <w:t xml:space="preserve">6465 </w:t>
                            </w:r>
                          </w:p>
                          <w:p>
                            <w:pPr>
                              <w:pStyle w:val="Contenudetableau"/>
                              <w:spacing w:before="57" w:after="57"/>
                              <w:jc w:val="center"/>
                              <w:rPr/>
                            </w:pPr>
                            <w:r>
                              <w:rPr/>
                              <w:t>informācija par pasākumiem</w:t>
                            </w:r>
                          </w:p>
                        </w:tc>
                        <w:tc>
                          <w:tcPr>
                            <w:tcW w:w="3111" w:type="dxa"/>
                            <w:tcBorders/>
                            <w:shd w:fill="auto" w:val="clear"/>
                          </w:tcPr>
                          <w:p>
                            <w:pPr>
                              <w:pStyle w:val="P68B1DB1Contenudetableau8"/>
                              <w:spacing w:before="57" w:after="57"/>
                              <w:jc w:val="center"/>
                              <w:rPr>
                                <w:sz w:val="32"/>
                              </w:rPr>
                            </w:pPr>
                            <w:r>
                              <w:rPr/>
                              <w:t xml:space="preserve">72528 </w:t>
                            </w:r>
                          </w:p>
                          <w:p>
                            <w:pPr>
                              <w:pStyle w:val="Contenudetableau"/>
                              <w:spacing w:before="57" w:after="57"/>
                              <w:jc w:val="center"/>
                              <w:rPr/>
                            </w:pPr>
                            <w:r>
                              <w:rPr/>
                              <w:t>apstiprinājumi</w:t>
                            </w:r>
                          </w:p>
                        </w:tc>
                      </w:tr>
                    </w:tbl>
                    <w:p>
                      <w:pPr>
                        <w:pStyle w:val="Contenudecadre"/>
                        <w:spacing w:before="57" w:after="57"/>
                        <w:rPr/>
                      </w:pPr>
                      <w:r>
                        <w:rPr>
                          <w:color w:val="auto"/>
                        </w:rPr>
                        <w:t xml:space="preserve">Dalības stāvoklis 2022. gada 20. aprīlī (avots: </w:t>
                      </w:r>
                      <w:hyperlink r:id="rId32">
                        <w:r>
                          <w:rPr>
                            <w:rStyle w:val="LienInternet"/>
                            <w:color w:val="auto"/>
                          </w:rPr>
                          <w:t>Konference par Eiropas nākotni (europa.eu</w:t>
                        </w:r>
                      </w:hyperlink>
                      <w:r>
                        <w:rPr>
                          <w:color w:val="auto"/>
                        </w:rPr>
                        <w:t>)</w:t>
                      </w:r>
                    </w:p>
                  </w:txbxContent>
                </v:textbox>
              </v:rect>
            </w:pict>
          </mc:Fallback>
        </mc:AlternateContent>
      </w:r>
      <w:r>
        <w:rPr/>
        <w:t>Ziņojumi tika apspriesti arī konferences plenārsēdēs, sākot ar 2021. gada 23. oktobra plenārsēdi, kā arī iepriekšējās darba grupu sanāksmēs. Tāpēc platformas ieguldījums turpināja bagātināt konferences plenārsēdē izstrādātos priekšlikumus.</w:t>
      </w:r>
    </w:p>
    <w:p>
      <w:pPr>
        <w:pStyle w:val="Normal"/>
        <w:rPr/>
      </w:pPr>
      <w:r>
        <w:rPr/>
        <w:t>Līdz 2022. gada 20. aprīlim gandrīz pieci miljoni unikālo apmeklētāju bija apmeklējuši daudzvalodu digitālo platformu, kurā aktīvi darbojās vairāk nekā 50 000 dalībnieku, tika apspriestas 17 000 idejas un reģistrēti vairāk nekā 6000 pasākumu. Aiz šiem skaitļiem ir tūkstošiem pilsoņu, kas dalās un diskutē par daudzām idejām un organizē daudzus oriģinālus un inovatīvus pasākumus dažādās dalībvalstīs.</w:t>
      </w:r>
    </w:p>
    <w:p>
      <w:pPr>
        <w:pStyle w:val="Normal"/>
        <w:rPr/>
      </w:pPr>
      <w:r>
        <w:rPr/>
        <w:t xml:space="preserve">Lai nodrošinātu, ka platforma ir vieta, kur pilsoņi no visām dzīves jomām un no visām Eiropas malām jūtas ērti un tiek mudināti piedalīties debatēs, ikvienam, kurš izmanto platformu, ir </w:t>
      </w:r>
      <w:hyperlink r:id="rId33">
        <w:r>
          <w:rPr>
            <w:rStyle w:val="LienInternet"/>
          </w:rPr>
          <w:t>bijis jāparaksta konferences harta</w:t>
        </w:r>
      </w:hyperlink>
      <w:r>
        <w:rPr/>
        <w:t xml:space="preserve"> un </w:t>
      </w:r>
      <w:hyperlink r:id="rId34">
        <w:r>
          <w:rPr>
            <w:rStyle w:val="LienInternet"/>
          </w:rPr>
          <w:t>dalības noteikumi</w:t>
        </w:r>
      </w:hyperlink>
      <w:r>
        <w:rPr/>
        <w:t>. Lai nodrošinātu atbilstību Hartai un Dalības noteikumiem, ir izveidota moderācijas grupa, kas konferences laikā strādā apvienotā sekretariāta uzraudzībā Valdes vārdā. Nav notikusi iepriekšēja satura moderācija. Kad iemaksa tika paslēpta, lietotājs saņēma ziņojumu no mērenības grupas, kurā paskaidrots iemesls. Sīkāka informācija par principiem un moderācijas procesu bija pieejama platformas</w:t>
      </w:r>
      <w:hyperlink r:id="rId35">
        <w:r>
          <w:rPr>
            <w:rStyle w:val="LienInternet"/>
          </w:rPr>
          <w:t>Biežāk</w:t>
        </w:r>
      </w:hyperlink>
      <w:r>
        <w:rPr/>
        <w:t xml:space="preserve"> uzdoto jautājumu sadaļā.</w:t>
      </w:r>
    </w:p>
    <w:p>
      <w:pPr>
        <w:pStyle w:val="Normal"/>
        <w:rPr/>
      </w:pPr>
      <w:r>
        <w:rPr/>
        <w:t>No 2021. gada 19. aprīļa līdz 2022. gada 20. aprīlim tika maskētas 430 idejas (2,4 %), 312 komentāri (1,4 %) un 396 pasākumi (6,0 %). Aptuveni 71 % ideju bija maskētas, jo tajās nebija priekšlikumu, neatkarīgi no tā, vai tās bija surogātpasts, lietotāju pieprasījumi, vai arī tāpēc, ka tajās bija personiska informācija vai nepiemērots saistītais attēls; aptuveni 17 % slēpto ideju bija dublikāti. Tikai 11 % slēpto ideju bija to aizskarošā satura dēļ. Lielākā daļa pasākumu — 76 % — bija maskēti, jo tie bija dublikāti vai informācija par pasākumu bija nepilnīga, pēc organizatoru pieprasījuma vai tāpēc, ka tie nebija saistīti ar konferenci.</w:t>
      </w:r>
    </w:p>
    <w:p>
      <w:pPr>
        <w:pStyle w:val="Normal"/>
        <w:rPr/>
      </w:pPr>
      <w:r>
        <w:rPr/>
        <w:t>Iespēja sniegt ieguldījumu platformā bija atvērta līdz 2022. gada 9. maijam. Pēc minētā datuma ir paredzēts papildu ziņojums, lai papildinātu visu konferences laikā saņemto atbilžu kopsavilkumu.</w:t>
      </w:r>
    </w:p>
    <w:p>
      <w:pPr>
        <w:pStyle w:val="Normal"/>
        <w:rPr/>
      </w:pPr>
      <w:r>
        <w:rPr/>
        <w:t>Visā konferences laikā dalība platformā turpināja palielināties, taču dalībvalstīs un dalībnieku sociāldemogrāfiskajos profilos tā saglabājās nevienmērīga. Kopumā platforma ir nodrošinājusi inovatīvu telpu apspriedēm, kas ir ļāvušas vairākiem tūkstošiem iedzīvotāju un dažādām ieinteresētajām personām no visas Eiropas un ārpus tās piedalīties tiešsaistes daudzvalodu debatēs par Eiropas jautājumiem visās dalībvalstīs. Tas izrādījās vērtīgs instruments diskusijām par demokrātiju ES līmenī.</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5691505" cy="4577080"/>
            <wp:effectExtent l="0" t="0" r="0" b="0"/>
            <wp:wrapSquare wrapText="largest"/>
            <wp:docPr id="15" name="Attēls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6" descr=""/>
                    <pic:cNvPicPr>
                      <a:picLocks noChangeAspect="1" noChangeArrowheads="1"/>
                    </pic:cNvPicPr>
                  </pic:nvPicPr>
                  <pic:blipFill>
                    <a:blip r:embed="rId36"/>
                    <a:stretch>
                      <a:fillRect/>
                    </a:stretch>
                  </pic:blipFill>
                  <pic:spPr bwMode="auto">
                    <a:xfrm>
                      <a:off x="0" y="0"/>
                      <a:ext cx="5691505" cy="4577080"/>
                    </a:xfrm>
                    <a:prstGeom prst="rect">
                      <a:avLst/>
                    </a:prstGeom>
                  </pic:spPr>
                </pic:pic>
              </a:graphicData>
            </a:graphic>
          </wp:anchor>
        </w:drawing>
      </w:r>
    </w:p>
    <w:p>
      <w:pPr>
        <w:pStyle w:val="Normal"/>
        <w:rPr/>
      </w:pPr>
      <w:r>
        <w:rPr/>
      </w:r>
      <w:r>
        <w:br w:type="page"/>
      </w:r>
    </w:p>
    <w:p>
      <w:pPr>
        <w:pStyle w:val="Titre2"/>
        <w:numPr>
          <w:ilvl w:val="1"/>
          <w:numId w:val="2"/>
        </w:numPr>
        <w:rPr/>
      </w:pPr>
      <w:bookmarkStart w:id="9" w:name="__RefHeading___Toc298192_1346298689"/>
      <w:bookmarkEnd w:id="9"/>
      <w:r>
        <w:rPr/>
        <w:t>B. Pilsoņu paneļdiskusija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10" w:name="__RefHeading___Toc298194_1346298689"/>
      <w:bookmarkEnd w:id="10"/>
      <w:r>
        <w:rPr/>
        <w:t>1. Eiropas pilsoņu paneļdiskusija</w:t>
      </w:r>
    </w:p>
    <w:p>
      <w:pPr>
        <w:pStyle w:val="Corpsdetexte"/>
        <w:rPr/>
      </w:pPr>
      <w:r>
        <w:rPr/>
        <w:t>Eiropas pilsoņu paneļdiskusijas bija viens no galvenajiem konferences pīlāriem — valstu paneļdiskusijās, daudzvalodu digitālajā platformā un konferences plenārsēdē. Tās ir konferences par Eiropas nākotni centrā un pulcēja aptuveni 800 iedzīvotāju no visas Eiropas Savienības vides un reģioniem. Lai gan pilsoņu paneļdiskusiju vai asambleju koncepcija pašvaldību līmenī ir izmantota gadu desmitiem un kļūst arvien redzamāka valsts vai reģionālā līmenī, Eiropas mēroga dimensija šajā jomā joprojām lielā mērā nav pētīta. Eiropas pilsoņu paneļdiskusijās bija pirmā starptautiskā un daudzvalodu pieredze ar tik vērienīgu un vērienīgu mērķi. Ievērojamā interpretācijas sistēma, kas papildināja procesu, izraisīja iekļaujošu, cieņpilnu un efektīvu dialogu starp ieinteresētajām personām, nodrošinot cieņu pret daudzvalodību.</w:t>
      </w:r>
    </w:p>
    <w:p>
      <w:pPr>
        <w:pStyle w:val="Corpsdetexte"/>
        <w:rPr/>
      </w:pPr>
      <w:r>
        <w:rPr/>
        <w:t>Trīs iestādes, pamatojoties uz kopīgo deklarāciju, reglamentu un līdzpriekšsēdētāju izveidoto kārtību, Valdes uzraudzībā organizēja Eiropas pilsoņu paneļdiskusiju. Tos atbalstīja ārējo pakalpojumu sniedzēju konsorcijs, kurā bija dažādi eksperti apspriežu demokrātijas jomā un loģistikas atbalsta komanda. Valde tika informēta par paneļdiskusiju darbu, tika sniegta atjaunināta praktiskā kārtība un, ja nepieciešams, tika pielāgots Eiropas pilsoņu paneļdiskusiju provizoriskais grafiks.</w:t>
      </w:r>
    </w:p>
    <w:p>
      <w:pPr>
        <w:pStyle w:val="Corpsdetexte"/>
        <w:rPr/>
      </w:pPr>
      <w:r>
        <w:rPr/>
        <w:t>Eiropas pilsoņu paneļdiskusiju dalībnieki tika atlasīti 2021. gada vasarā. ES pilsoņi tika atlasīti pēc nejaušības principa (galvenokārt ar tiem sazinājās 27 valstu apsekojuma institūti, kurus koordinē ārpakalpojumu sniedzējs), lai izveidotu “paneļus”, kas pārstāv ES daudzveidību, pamatojoties uz pieciem kritērijiem: dzimums, vecums, ģeogrāfiskā izcelsme (valstspiederība, kā arī pilsētu/lauku vide), sociālekonomiskā izcelsme un izglītības līmenis. Pilsoņu skaits katrā dalībvalstī tika aprēķināts saskaņā ar degresīvās proporcionalitātes principu, ko piemēro Eiropas Parlamenta sastāvam, ņemot vērā, ka katrā paneļdiskusijā būtu jāiekļauj vismaz viens pilsonis un viens pilsonis no katras dalībvalsts. Ņemot vērā to, ka konferencē īpaša uzmanība tika pievērsta jauniešiem, viena trešdaļa pilsoņu katrā paneļdiskusijā bija vecumā no 16 līdz 24 gadiem. Katrai 200 cilvēku grupai tika atlasīti vēl 50 pilsoņi, lai izveidotu rezervi.</w:t>
      </w:r>
    </w:p>
    <w:p>
      <w:pPr>
        <w:pStyle w:val="Corpsdetexte"/>
        <w:rPr/>
      </w:pPr>
      <w:r>
        <w:rPr/>
        <w:t>Tika organizētas četras Eiropas pilsoņu paneļdiskusijas. Katrā no tiem apspriežamie temati atbilda daudzvalodu digitālajā platformā apzinātajiem tematiem un tika sagrupēti šādi:</w:t>
      </w:r>
    </w:p>
    <w:p>
      <w:pPr>
        <w:pStyle w:val="Puce3"/>
        <w:rPr/>
      </w:pPr>
      <w:r>
        <w:rPr/>
        <w:t>1. Spēcīgāka ekonomika, sociālais taisnīgums un nodarbinātība; izglītība, kultūra, jaunatne un sports; digitālā pārveide;</w:t>
      </w:r>
    </w:p>
    <w:p>
      <w:pPr>
        <w:pStyle w:val="Puce3"/>
        <w:rPr/>
      </w:pPr>
      <w:r>
        <w:rPr/>
        <w:t>2. Eiropas demokrātija; vērtības un tiesības, tiesiskums, drošība;</w:t>
      </w:r>
    </w:p>
    <w:p>
      <w:pPr>
        <w:pStyle w:val="Puce3"/>
        <w:rPr/>
      </w:pPr>
      <w:r>
        <w:rPr/>
        <w:t>3.Klimata pārmaiņas un vide; veselība;</w:t>
      </w:r>
    </w:p>
    <w:p>
      <w:pPr>
        <w:pStyle w:val="Puce3"/>
        <w:tabs>
          <w:tab w:val="clear" w:pos="720"/>
        </w:tabs>
        <w:rPr/>
      </w:pPr>
      <w:r>
        <w:rPr/>
        <w:t>4.ES pasaulē; migrācija.</w:t>
      </w:r>
    </w:p>
    <w:p>
      <w:pPr>
        <w:pStyle w:val="Corpsdetexte"/>
        <w:rPr/>
      </w:pPr>
      <w:r>
        <w:rPr/>
        <w:t>Katrs panelis tikās trīs nedēļas nogalēs. Pirmās sesijas notika Strasbūrā, otrā — tiešsaistē un trešā — četrās pilsētās (Dublinā, Florencē, Varšavā/Natolinā un Māstrihtā), valsts augstākās izglītības iestādēs un ar vietējo iestāžu atbalstu.</w:t>
      </w:r>
    </w:p>
    <w:p>
      <w:pPr>
        <w:pStyle w:val="Titre4"/>
        <w:numPr>
          <w:ilvl w:val="3"/>
          <w:numId w:val="2"/>
        </w:numPr>
        <w:rPr/>
      </w:pPr>
      <w:bookmarkStart w:id="11" w:name="__RefHeading___Toc298196_1346298689"/>
      <w:bookmarkEnd w:id="11"/>
      <w:r>
        <w:rPr/>
        <w:t>PANEĻDISKUSIJU PIRMĀ KĀRTA</w:t>
      </w:r>
    </w:p>
    <w:p>
      <w:pPr>
        <w:pStyle w:val="Corpsdetexte"/>
        <w:rPr/>
      </w:pPr>
      <w:r>
        <w:rPr/>
        <w:t>Katras paneļdiskusijas pirmajā sesijā dalībnieki fiziski tikās Strasbūrā. Sesijas mērķis bija noteikt apspriežu darba kārtību. Iedzīvotāji, kas piedalījās paneļdiskusijās, sāka atspoguļot un attīstīt savu redzējumu par Eiropu, sākot ar tukšu lapu un apzinot apspriežamos jautājumus, saistībā ar galvenajiem paneļdiskusiju tematiem. Pēc tam viņi par prioritāti noteica tematus, kuriem viņi vēlējās pievērst lielāku uzmanību, lai sniegtu konkrētus ieteikumus ES iestādēm turpmākai rīcībai. Diskusijas un kolektīvais darbs notika šādos divos formātos:</w:t>
      </w:r>
    </w:p>
    <w:p>
      <w:pPr>
        <w:pStyle w:val="Alineanegatifpuce"/>
        <w:numPr>
          <w:ilvl w:val="0"/>
          <w:numId w:val="3"/>
        </w:numPr>
        <w:rPr/>
      </w:pPr>
      <w:r>
        <w:rPr/>
        <w:t xml:space="preserve"> </w:t>
      </w:r>
      <w:r>
        <w:rPr/>
        <w:t>apakšgrupās, kurās ir 12 līdz 14 pilsoņi. Katrā apakšgrupā runāja četras līdz piecas valodas, kurās pilsoņi varēja izteikties savā valodā. Apakšgrupu darbu vadīja ārpakalpojuma sniedzēju konsorcija izraudzīti profesionāli koordinatori.</w:t>
      </w:r>
    </w:p>
    <w:p>
      <w:pPr>
        <w:pStyle w:val="Alineanegatifpuce"/>
        <w:numPr>
          <w:ilvl w:val="0"/>
          <w:numId w:val="3"/>
        </w:numPr>
        <w:spacing w:before="3929" w:after="57"/>
        <w:rPr/>
      </w:pPr>
      <w:r>
        <mc:AlternateContent>
          <mc:Choice Requires="wps">
            <w:drawing>
              <wp:anchor behindDoc="0" distT="72390" distB="72390" distL="72390" distR="72390" simplePos="0" locked="0" layoutInCell="1" allowOverlap="1" relativeHeight="6">
                <wp:simplePos x="0" y="0"/>
                <wp:positionH relativeFrom="column">
                  <wp:posOffset>105410</wp:posOffset>
                </wp:positionH>
                <wp:positionV relativeFrom="paragraph">
                  <wp:posOffset>2555875</wp:posOffset>
                </wp:positionV>
                <wp:extent cx="6053455" cy="2495550"/>
                <wp:effectExtent l="0" t="0" r="0" b="0"/>
                <wp:wrapSquare wrapText="bothSides"/>
                <wp:docPr id="16" name="Ietvars3"/>
                <a:graphic xmlns:a="http://schemas.openxmlformats.org/drawingml/2006/main">
                  <a:graphicData uri="http://schemas.microsoft.com/office/word/2010/wordprocessingShape">
                    <wps:wsp>
                      <wps:cNvSpPr/>
                      <wps:spPr>
                        <a:xfrm>
                          <a:off x="0" y="0"/>
                          <a:ext cx="6052680" cy="2494800"/>
                        </a:xfrm>
                        <a:prstGeom prst="rect">
                          <a:avLst/>
                        </a:prstGeom>
                        <a:solidFill>
                          <a:srgbClr val="ffffff"/>
                        </a:solidFill>
                        <a:ln w="720">
                          <a:solidFill>
                            <a:srgbClr val="000000"/>
                          </a:solidFill>
                          <a:round/>
                        </a:ln>
                      </wps:spPr>
                      <wps:style>
                        <a:lnRef idx="0"/>
                        <a:fillRef idx="0"/>
                        <a:effectRef idx="0"/>
                        <a:fontRef idx="minor"/>
                      </wps:style>
                      <wps:txb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2. SESIJA</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DIENA </w:t>
                                  </w:r>
                                </w:p>
                                <w:p>
                                  <w:pPr>
                                    <w:pStyle w:val="P68B1DB1Contenudetableau9"/>
                                    <w:spacing w:before="57" w:after="57"/>
                                    <w:jc w:val="center"/>
                                    <w:rPr>
                                      <w:sz w:val="16"/>
                                    </w:rPr>
                                  </w:pPr>
                                  <w:r>
                                    <w:rPr/>
                                    <w:t>Jauna paneļdiskusija un gatavošanās nedēļas nogalei</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DIENA </w:t>
                                  </w:r>
                                </w:p>
                                <w:p>
                                  <w:pPr>
                                    <w:pStyle w:val="P68B1DB1Contenudetableau9"/>
                                    <w:spacing w:before="57" w:after="57"/>
                                    <w:jc w:val="center"/>
                                    <w:rPr>
                                      <w:sz w:val="16"/>
                                    </w:rPr>
                                  </w:pPr>
                                  <w:r>
                                    <w:rPr/>
                                    <w:t>Ekspertu ieguldījums, problēmu apzināšana, vadlīniju izstrāde</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DIENA </w:t>
                                  </w:r>
                                </w:p>
                                <w:p>
                                  <w:pPr>
                                    <w:pStyle w:val="P68B1DB1Contenudetableau9"/>
                                    <w:spacing w:before="57" w:after="57"/>
                                    <w:jc w:val="center"/>
                                    <w:rPr>
                                      <w:sz w:val="16"/>
                                    </w:rPr>
                                  </w:pPr>
                                  <w:r>
                                    <w:rPr/>
                                    <w:t>Pamatnostādņu galīgā redakcija, nobeiguma piezīmes</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Apakštematu ekspertu ieguldījums</w:t>
                                  </w:r>
                                </w:p>
                              </w:tc>
                              <w:tc>
                                <w:tcPr>
                                  <w:tcW w:w="3120" w:type="dxa"/>
                                  <w:gridSpan w:val="2"/>
                                  <w:tcBorders/>
                                  <w:shd w:fill="0000FF" w:val="clear"/>
                                </w:tcPr>
                                <w:p>
                                  <w:pPr>
                                    <w:pStyle w:val="P68B1DB1Contenudetableau9"/>
                                    <w:spacing w:before="57" w:after="57"/>
                                    <w:jc w:val="center"/>
                                    <w:rPr>
                                      <w:sz w:val="16"/>
                                    </w:rPr>
                                  </w:pPr>
                                  <w:r>
                                    <w:rPr/>
                                    <w:t>Ekspertu papildu ieguldījums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Laipni lūdzam! </w:t>
                                  </w:r>
                                </w:p>
                                <w:p>
                                  <w:pPr>
                                    <w:pStyle w:val="P68B1DB1Contenudetableau9"/>
                                    <w:spacing w:before="57" w:after="57"/>
                                    <w:jc w:val="center"/>
                                    <w:rPr>
                                      <w:sz w:val="16"/>
                                    </w:rPr>
                                  </w:pPr>
                                  <w:r>
                                    <w:rPr/>
                                    <w:t xml:space="preserve">Uzrunāt pilsoņu vēstniekus par viņu atsauksmēm, </w:t>
                                    <w:br/>
                                    <w:t>Platformas atjaunināšana, darba kārtība</w:t>
                                  </w:r>
                                </w:p>
                              </w:tc>
                              <w:tc>
                                <w:tcPr>
                                  <w:tcW w:w="3120" w:type="dxa"/>
                                  <w:gridSpan w:val="2"/>
                                  <w:tcBorders/>
                                  <w:shd w:fill="00FF00" w:val="clear"/>
                                </w:tcPr>
                                <w:p>
                                  <w:pPr>
                                    <w:pStyle w:val="P68B1DB1Contenudetableau9"/>
                                    <w:spacing w:before="57" w:after="57"/>
                                    <w:jc w:val="center"/>
                                    <w:rPr>
                                      <w:sz w:val="16"/>
                                    </w:rPr>
                                  </w:pPr>
                                  <w:r>
                                    <w:rPr/>
                                    <w:t>Pamatnostādņu izstrāde</w:t>
                                  </w:r>
                                </w:p>
                              </w:tc>
                              <w:tc>
                                <w:tcPr>
                                  <w:tcW w:w="3120" w:type="dxa"/>
                                  <w:gridSpan w:val="2"/>
                                  <w:tcBorders/>
                                  <w:shd w:fill="00FF00" w:val="clear"/>
                                </w:tcPr>
                                <w:p>
                                  <w:pPr>
                                    <w:pStyle w:val="P68B1DB1Contenudetableau9"/>
                                    <w:spacing w:before="57" w:after="57"/>
                                    <w:jc w:val="center"/>
                                    <w:rPr>
                                      <w:sz w:val="16"/>
                                    </w:rPr>
                                  </w:pPr>
                                  <w:r>
                                    <w:rPr/>
                                    <w:t xml:space="preserve"> </w:t>
                                  </w:r>
                                  <w:r>
                                    <w:rPr/>
                                    <w:t>Pamatnostādņu galīgā redakcija</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Noteiktu orientāciju kopīgošana, </w:t>
                                    <w:br/>
                                    <w:t>Noslēguma piezīmes</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Plenārā sesija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Temata plenārsēde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Apakšgrupas sesija</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wps:txbx>
                      <wps:bodyPr lIns="54000" rIns="54000" tIns="54000" bIns="54000">
                        <a:noAutofit/>
                      </wps:bodyPr>
                    </wps:wsp>
                  </a:graphicData>
                </a:graphic>
              </wp:anchor>
            </w:drawing>
          </mc:Choice>
          <mc:Fallback>
            <w:pict>
              <v:rect id="shape_0" ID="Ietvars3" fillcolor="white" stroked="t" style="position:absolute;margin-left:8.3pt;margin-top:201.25pt;width:476.55pt;height:196.4pt">
                <w10:wrap type="none"/>
                <v:fill o:detectmouseclick="t" type="solid" color2="black"/>
                <v:stroke color="black" weight="720" joinstyle="round" endcap="flat"/>
                <v:textbox>
                  <w:txbxContent>
                    <w:tbl>
                      <w:tblPr>
                        <w:tblW w:w="9360" w:type="dxa"/>
                        <w:jc w:val="left"/>
                        <w:tblInd w:w="0" w:type="dxa"/>
                        <w:tblBorders/>
                        <w:tblCellMar>
                          <w:top w:w="0" w:type="dxa"/>
                          <w:left w:w="0" w:type="dxa"/>
                          <w:bottom w:w="0" w:type="dxa"/>
                          <w:right w:w="0" w:type="dxa"/>
                        </w:tblCellMar>
                      </w:tblPr>
                      <w:tblGrid>
                        <w:gridCol w:w="2774"/>
                        <w:gridCol w:w="345"/>
                        <w:gridCol w:w="2778"/>
                        <w:gridCol w:w="342"/>
                        <w:gridCol w:w="2719"/>
                        <w:gridCol w:w="401"/>
                      </w:tblGrid>
                      <w:tr>
                        <w:trPr/>
                        <w:tc>
                          <w:tcPr>
                            <w:tcW w:w="9359" w:type="dxa"/>
                            <w:gridSpan w:val="6"/>
                            <w:tcBorders/>
                            <w:shd w:fill="auto" w:val="clear"/>
                          </w:tcPr>
                          <w:p>
                            <w:pPr>
                              <w:pStyle w:val="P68B1DB1Contenudetableau9"/>
                              <w:spacing w:before="57" w:after="57"/>
                              <w:jc w:val="center"/>
                              <w:rPr>
                                <w:sz w:val="16"/>
                              </w:rPr>
                            </w:pPr>
                            <w:r>
                              <w:rPr/>
                              <w:t>2. SESIJA</w:t>
                            </w:r>
                          </w:p>
                        </w:tc>
                      </w:tr>
                      <w:tr>
                        <w:trPr/>
                        <w:tc>
                          <w:tcPr>
                            <w:tcW w:w="3119"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1. DIENA </w:t>
                            </w:r>
                          </w:p>
                          <w:p>
                            <w:pPr>
                              <w:pStyle w:val="P68B1DB1Contenudetableau9"/>
                              <w:spacing w:before="57" w:after="57"/>
                              <w:jc w:val="center"/>
                              <w:rPr>
                                <w:sz w:val="16"/>
                              </w:rPr>
                            </w:pPr>
                            <w:r>
                              <w:rPr/>
                              <w:t>Jauna paneļdiskusija un gatavošanās nedēļas nogalei</w:t>
                            </w:r>
                          </w:p>
                        </w:tc>
                        <w:tc>
                          <w:tcPr>
                            <w:tcW w:w="3120" w:type="dxa"/>
                            <w:gridSpan w:val="2"/>
                            <w:tcBorders>
                              <w:top w:val="single" w:sz="4" w:space="0" w:color="0000FF"/>
                              <w:left w:val="single" w:sz="4" w:space="0" w:color="0000FF"/>
                              <w:bottom w:val="single" w:sz="4" w:space="0" w:color="0000FF"/>
                              <w:insideH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2. DIENA </w:t>
                            </w:r>
                          </w:p>
                          <w:p>
                            <w:pPr>
                              <w:pStyle w:val="P68B1DB1Contenudetableau9"/>
                              <w:spacing w:before="57" w:after="57"/>
                              <w:jc w:val="center"/>
                              <w:rPr>
                                <w:sz w:val="16"/>
                              </w:rPr>
                            </w:pPr>
                            <w:r>
                              <w:rPr/>
                              <w:t>Ekspertu ieguldījums, problēmu apzināšana, vadlīniju izstrāde</w:t>
                            </w:r>
                          </w:p>
                        </w:tc>
                        <w:tc>
                          <w:tcPr>
                            <w:tcW w:w="3120" w:type="dxa"/>
                            <w:gridSpan w:val="2"/>
                            <w:tcBorders>
                              <w:top w:val="single" w:sz="4" w:space="0" w:color="0000FF"/>
                              <w:left w:val="single" w:sz="4" w:space="0" w:color="0000FF"/>
                              <w:bottom w:val="single" w:sz="4" w:space="0" w:color="0000FF"/>
                              <w:right w:val="single" w:sz="4" w:space="0" w:color="0000FF"/>
                              <w:insideH w:val="single" w:sz="4" w:space="0" w:color="0000FF"/>
                              <w:insideV w:val="single" w:sz="4" w:space="0" w:color="0000FF"/>
                            </w:tcBorders>
                            <w:shd w:fill="0000FF" w:val="clear"/>
                            <w:tcMar>
                              <w:top w:w="28" w:type="dxa"/>
                              <w:left w:w="23" w:type="dxa"/>
                              <w:bottom w:w="28" w:type="dxa"/>
                              <w:right w:w="28" w:type="dxa"/>
                            </w:tcMar>
                          </w:tcPr>
                          <w:p>
                            <w:pPr>
                              <w:pStyle w:val="P68B1DB1Contenudetableau9"/>
                              <w:spacing w:before="57" w:after="57"/>
                              <w:jc w:val="center"/>
                              <w:rPr>
                                <w:sz w:val="16"/>
                              </w:rPr>
                            </w:pPr>
                            <w:r>
                              <w:rPr/>
                              <w:t xml:space="preserve">3. DIENA </w:t>
                            </w:r>
                          </w:p>
                          <w:p>
                            <w:pPr>
                              <w:pStyle w:val="P68B1DB1Contenudetableau9"/>
                              <w:spacing w:before="57" w:after="57"/>
                              <w:jc w:val="center"/>
                              <w:rPr>
                                <w:sz w:val="16"/>
                              </w:rPr>
                            </w:pPr>
                            <w:r>
                              <w:rPr/>
                              <w:t>Pamatnostādņu galīgā redakcija, nobeiguma piezīmes</w:t>
                            </w:r>
                          </w:p>
                        </w:tc>
                      </w:tr>
                      <w:tr>
                        <w:trPr/>
                        <w:tc>
                          <w:tcPr>
                            <w:tcW w:w="3119" w:type="dxa"/>
                            <w:gridSpan w:val="2"/>
                            <w:tcBorders/>
                            <w:shd w:fill="auto" w:val="clear"/>
                          </w:tcPr>
                          <w:p>
                            <w:pPr>
                              <w:pStyle w:val="Contenudetableau"/>
                              <w:spacing w:before="57" w:after="57"/>
                              <w:jc w:val="center"/>
                              <w:rPr>
                                <w:sz w:val="16"/>
                              </w:rPr>
                            </w:pPr>
                            <w:r>
                              <w:rPr>
                                <w:sz w:val="16"/>
                              </w:rPr>
                            </w:r>
                          </w:p>
                        </w:tc>
                        <w:tc>
                          <w:tcPr>
                            <w:tcW w:w="3120" w:type="dxa"/>
                            <w:gridSpan w:val="2"/>
                            <w:tcBorders/>
                            <w:shd w:fill="0000FF" w:val="clear"/>
                          </w:tcPr>
                          <w:p>
                            <w:pPr>
                              <w:pStyle w:val="P68B1DB1Contenudetableau9"/>
                              <w:spacing w:before="57" w:after="57"/>
                              <w:jc w:val="center"/>
                              <w:rPr>
                                <w:sz w:val="16"/>
                              </w:rPr>
                            </w:pPr>
                            <w:r>
                              <w:rPr/>
                              <w:t>Apakštematu ekspertu ieguldījums</w:t>
                            </w:r>
                          </w:p>
                        </w:tc>
                        <w:tc>
                          <w:tcPr>
                            <w:tcW w:w="3120" w:type="dxa"/>
                            <w:gridSpan w:val="2"/>
                            <w:tcBorders/>
                            <w:shd w:fill="0000FF" w:val="clear"/>
                          </w:tcPr>
                          <w:p>
                            <w:pPr>
                              <w:pStyle w:val="P68B1DB1Contenudetableau9"/>
                              <w:spacing w:before="57" w:after="57"/>
                              <w:jc w:val="center"/>
                              <w:rPr>
                                <w:sz w:val="16"/>
                              </w:rPr>
                            </w:pPr>
                            <w:r>
                              <w:rPr/>
                              <w:t>Ekspertu papildu ieguldījums</w:t>
                            </w:r>
                          </w:p>
                        </w:tc>
                      </w:tr>
                      <w:tr>
                        <w:trPr/>
                        <w:tc>
                          <w:tcPr>
                            <w:tcW w:w="3119" w:type="dxa"/>
                            <w:gridSpan w:val="2"/>
                            <w:vMerge w:val="restart"/>
                            <w:tcBorders/>
                            <w:shd w:fill="800000" w:val="clear"/>
                          </w:tcPr>
                          <w:p>
                            <w:pPr>
                              <w:pStyle w:val="P68B1DB1Contenudetableau9"/>
                              <w:spacing w:before="57" w:after="57"/>
                              <w:jc w:val="center"/>
                              <w:rPr>
                                <w:sz w:val="16"/>
                              </w:rPr>
                            </w:pPr>
                            <w:r>
                              <w:rPr/>
                              <w:t xml:space="preserve">Laipni lūdzam! </w:t>
                            </w:r>
                          </w:p>
                          <w:p>
                            <w:pPr>
                              <w:pStyle w:val="P68B1DB1Contenudetableau9"/>
                              <w:spacing w:before="57" w:after="57"/>
                              <w:jc w:val="center"/>
                              <w:rPr>
                                <w:sz w:val="16"/>
                              </w:rPr>
                            </w:pPr>
                            <w:r>
                              <w:rPr/>
                              <w:t xml:space="preserve">Uzrunāt pilsoņu vēstniekus par viņu atsauksmēm, </w:t>
                              <w:br/>
                              <w:t>Platformas atjaunināšana, darba kārtība</w:t>
                            </w:r>
                          </w:p>
                        </w:tc>
                        <w:tc>
                          <w:tcPr>
                            <w:tcW w:w="3120" w:type="dxa"/>
                            <w:gridSpan w:val="2"/>
                            <w:tcBorders/>
                            <w:shd w:fill="00FF00" w:val="clear"/>
                          </w:tcPr>
                          <w:p>
                            <w:pPr>
                              <w:pStyle w:val="P68B1DB1Contenudetableau9"/>
                              <w:spacing w:before="57" w:after="57"/>
                              <w:jc w:val="center"/>
                              <w:rPr>
                                <w:sz w:val="16"/>
                              </w:rPr>
                            </w:pPr>
                            <w:r>
                              <w:rPr/>
                              <w:t>Pamatnostādņu izstrāde</w:t>
                            </w:r>
                          </w:p>
                        </w:tc>
                        <w:tc>
                          <w:tcPr>
                            <w:tcW w:w="3120" w:type="dxa"/>
                            <w:gridSpan w:val="2"/>
                            <w:tcBorders/>
                            <w:shd w:fill="00FF00" w:val="clear"/>
                          </w:tcPr>
                          <w:p>
                            <w:pPr>
                              <w:pStyle w:val="P68B1DB1Contenudetableau9"/>
                              <w:spacing w:before="57" w:after="57"/>
                              <w:jc w:val="center"/>
                              <w:rPr>
                                <w:sz w:val="16"/>
                              </w:rPr>
                            </w:pPr>
                            <w:r>
                              <w:rPr/>
                              <w:t xml:space="preserve"> </w:t>
                            </w:r>
                            <w:r>
                              <w:rPr/>
                              <w:t>Pamatnostādņu galīgā redakcija</w:t>
                            </w:r>
                          </w:p>
                        </w:tc>
                      </w:tr>
                      <w:tr>
                        <w:trPr/>
                        <w:tc>
                          <w:tcPr>
                            <w:tcW w:w="3119" w:type="dxa"/>
                            <w:gridSpan w:val="2"/>
                            <w:vMerge w:val="continue"/>
                            <w:tcBorders/>
                            <w:shd w:fill="800000" w:val="clear"/>
                          </w:tcPr>
                          <w:p>
                            <w:pPr>
                              <w:pStyle w:val="Normal"/>
                              <w:spacing w:before="57" w:after="57"/>
                              <w:ind w:left="0" w:right="0" w:hanging="0"/>
                              <w:rPr/>
                            </w:pPr>
                            <w:r>
                              <w:rPr/>
                            </w:r>
                          </w:p>
                        </w:tc>
                        <w:tc>
                          <w:tcPr>
                            <w:tcW w:w="3120" w:type="dxa"/>
                            <w:gridSpan w:val="2"/>
                            <w:tcBorders/>
                            <w:shd w:fill="auto" w:val="clear"/>
                          </w:tcPr>
                          <w:p>
                            <w:pPr>
                              <w:pStyle w:val="Contenudetableau"/>
                              <w:spacing w:before="57" w:after="57"/>
                              <w:jc w:val="center"/>
                              <w:rPr>
                                <w:sz w:val="16"/>
                              </w:rPr>
                            </w:pPr>
                            <w:r>
                              <w:rPr>
                                <w:sz w:val="16"/>
                              </w:rPr>
                            </w:r>
                          </w:p>
                        </w:tc>
                        <w:tc>
                          <w:tcPr>
                            <w:tcW w:w="3120" w:type="dxa"/>
                            <w:gridSpan w:val="2"/>
                            <w:tcBorders/>
                            <w:shd w:fill="800000" w:val="clear"/>
                          </w:tcPr>
                          <w:p>
                            <w:pPr>
                              <w:pStyle w:val="P68B1DB1Contenudetableau9"/>
                              <w:spacing w:before="57" w:after="57"/>
                              <w:jc w:val="center"/>
                              <w:rPr>
                                <w:sz w:val="16"/>
                              </w:rPr>
                            </w:pPr>
                            <w:r>
                              <w:rPr/>
                              <w:t xml:space="preserve">Noteiktu orientāciju kopīgošana, </w:t>
                              <w:br/>
                              <w:t>Noslēguma piezīmes</w:t>
                            </w:r>
                          </w:p>
                        </w:tc>
                      </w:tr>
                      <w:tr>
                        <w:trPr/>
                        <w:tc>
                          <w:tcPr>
                            <w:tcW w:w="2774" w:type="dxa"/>
                            <w:tcBorders/>
                            <w:shd w:fill="auto" w:val="clear"/>
                          </w:tcPr>
                          <w:p>
                            <w:pPr>
                              <w:pStyle w:val="Contenudetableau"/>
                              <w:widowControl w:val="false"/>
                              <w:suppressLineNumbers/>
                              <w:spacing w:before="57" w:after="57"/>
                              <w:rPr/>
                            </w:pPr>
                            <w:r>
                              <w:rPr/>
                            </w:r>
                          </w:p>
                        </w:tc>
                        <w:tc>
                          <w:tcPr>
                            <w:tcW w:w="345" w:type="dxa"/>
                            <w:tcBorders/>
                            <w:shd w:fill="auto" w:val="clear"/>
                          </w:tcPr>
                          <w:p>
                            <w:pPr>
                              <w:pStyle w:val="Contenudetableau"/>
                              <w:widowControl w:val="false"/>
                              <w:suppressLineNumbers/>
                              <w:spacing w:before="57" w:after="57"/>
                              <w:rPr/>
                            </w:pPr>
                            <w:r>
                              <w:rPr/>
                            </w:r>
                          </w:p>
                        </w:tc>
                        <w:tc>
                          <w:tcPr>
                            <w:tcW w:w="2778" w:type="dxa"/>
                            <w:tcBorders/>
                            <w:shd w:fill="auto" w:val="clear"/>
                          </w:tcPr>
                          <w:p>
                            <w:pPr>
                              <w:pStyle w:val="Contenudetableau"/>
                              <w:widowControl w:val="false"/>
                              <w:suppressLineNumbers/>
                              <w:spacing w:before="57" w:after="57"/>
                              <w:rPr/>
                            </w:pPr>
                            <w:r>
                              <w:rPr/>
                            </w:r>
                          </w:p>
                        </w:tc>
                        <w:tc>
                          <w:tcPr>
                            <w:tcW w:w="342" w:type="dxa"/>
                            <w:tcBorders/>
                            <w:shd w:fill="auto" w:val="clear"/>
                          </w:tcPr>
                          <w:p>
                            <w:pPr>
                              <w:pStyle w:val="Contenudetableau"/>
                              <w:widowControl w:val="false"/>
                              <w:suppressLineNumbers/>
                              <w:spacing w:before="57" w:after="57"/>
                              <w:rPr/>
                            </w:pPr>
                            <w:r>
                              <w:rPr/>
                            </w:r>
                          </w:p>
                        </w:tc>
                        <w:tc>
                          <w:tcPr>
                            <w:tcW w:w="2719" w:type="dxa"/>
                            <w:tcBorders/>
                            <w:shd w:fill="auto" w:val="clear"/>
                          </w:tcPr>
                          <w:p>
                            <w:pPr>
                              <w:pStyle w:val="Contenudetableau"/>
                              <w:widowControl w:val="false"/>
                              <w:suppressLineNumbers/>
                              <w:spacing w:before="57" w:after="57"/>
                              <w:rPr/>
                            </w:pPr>
                            <w:r>
                              <w:rPr/>
                            </w:r>
                          </w:p>
                        </w:tc>
                        <w:tc>
                          <w:tcPr>
                            <w:tcW w:w="401" w:type="dxa"/>
                            <w:tcBorders/>
                            <w:shd w:fill="auto" w:val="clear"/>
                          </w:tcPr>
                          <w:p>
                            <w:pPr>
                              <w:pStyle w:val="Contenudetableau"/>
                              <w:spacing w:before="57" w:after="57"/>
                              <w:rPr>
                                <w:sz w:val="16"/>
                              </w:rPr>
                            </w:pPr>
                            <w:r>
                              <w:rPr>
                                <w:sz w:val="16"/>
                              </w:rPr>
                            </w:r>
                          </w:p>
                        </w:tc>
                      </w:tr>
                      <w:tr>
                        <w:trPr/>
                        <w:tc>
                          <w:tcPr>
                            <w:tcW w:w="2774" w:type="dxa"/>
                            <w:tcBorders/>
                            <w:shd w:fill="auto" w:val="clear"/>
                          </w:tcPr>
                          <w:p>
                            <w:pPr>
                              <w:pStyle w:val="P68B1DB1Contenudetableau9"/>
                              <w:spacing w:before="57" w:after="57"/>
                              <w:jc w:val="right"/>
                              <w:rPr>
                                <w:sz w:val="16"/>
                              </w:rPr>
                            </w:pPr>
                            <w:r>
                              <w:rPr/>
                              <w:t>Plenārā sesija</w:t>
                            </w:r>
                          </w:p>
                        </w:tc>
                        <w:tc>
                          <w:tcPr>
                            <w:tcW w:w="345" w:type="dxa"/>
                            <w:tcBorders/>
                            <w:shd w:fill="800000" w:val="clear"/>
                          </w:tcPr>
                          <w:p>
                            <w:pPr>
                              <w:pStyle w:val="Contenudetableau"/>
                              <w:spacing w:before="57" w:after="57"/>
                              <w:jc w:val="right"/>
                              <w:rPr>
                                <w:sz w:val="16"/>
                              </w:rPr>
                            </w:pPr>
                            <w:r>
                              <w:rPr>
                                <w:sz w:val="16"/>
                              </w:rPr>
                            </w:r>
                          </w:p>
                        </w:tc>
                        <w:tc>
                          <w:tcPr>
                            <w:tcW w:w="2778" w:type="dxa"/>
                            <w:tcBorders/>
                            <w:shd w:fill="auto" w:val="clear"/>
                          </w:tcPr>
                          <w:p>
                            <w:pPr>
                              <w:pStyle w:val="P68B1DB1Contenudetableau9"/>
                              <w:spacing w:before="57" w:after="57"/>
                              <w:jc w:val="right"/>
                              <w:rPr>
                                <w:sz w:val="16"/>
                              </w:rPr>
                            </w:pPr>
                            <w:r>
                              <w:rPr/>
                              <w:t>Temata plenārsēde</w:t>
                            </w:r>
                          </w:p>
                        </w:tc>
                        <w:tc>
                          <w:tcPr>
                            <w:tcW w:w="342" w:type="dxa"/>
                            <w:tcBorders/>
                            <w:shd w:fill="0000FF" w:val="clear"/>
                          </w:tcPr>
                          <w:p>
                            <w:pPr>
                              <w:pStyle w:val="Contenudetableau"/>
                              <w:spacing w:before="57" w:after="57"/>
                              <w:jc w:val="right"/>
                              <w:rPr>
                                <w:sz w:val="16"/>
                              </w:rPr>
                            </w:pPr>
                            <w:r>
                              <w:rPr>
                                <w:sz w:val="16"/>
                              </w:rPr>
                            </w:r>
                          </w:p>
                        </w:tc>
                        <w:tc>
                          <w:tcPr>
                            <w:tcW w:w="2719" w:type="dxa"/>
                            <w:tcBorders/>
                            <w:shd w:fill="auto" w:val="clear"/>
                          </w:tcPr>
                          <w:p>
                            <w:pPr>
                              <w:pStyle w:val="P68B1DB1Contenudetableau9"/>
                              <w:spacing w:before="57" w:after="57"/>
                              <w:jc w:val="right"/>
                              <w:rPr>
                                <w:sz w:val="16"/>
                              </w:rPr>
                            </w:pPr>
                            <w:r>
                              <w:rPr/>
                              <w:t>Apakšgrupas sesija</w:t>
                            </w:r>
                          </w:p>
                        </w:tc>
                        <w:tc>
                          <w:tcPr>
                            <w:tcW w:w="401" w:type="dxa"/>
                            <w:tcBorders/>
                            <w:shd w:fill="00FF00" w:val="clear"/>
                          </w:tcPr>
                          <w:p>
                            <w:pPr>
                              <w:pStyle w:val="Contenudetableau"/>
                              <w:spacing w:before="57" w:after="57"/>
                              <w:rPr>
                                <w:sz w:val="16"/>
                              </w:rPr>
                            </w:pPr>
                            <w:r>
                              <w:rPr>
                                <w:sz w:val="16"/>
                              </w:rPr>
                            </w:r>
                          </w:p>
                        </w:tc>
                      </w:tr>
                    </w:tbl>
                    <w:p>
                      <w:pPr>
                        <w:pStyle w:val="Contenudecadre"/>
                        <w:spacing w:before="57" w:after="57"/>
                        <w:rPr>
                          <w:color w:val="auto"/>
                        </w:rPr>
                      </w:pPr>
                      <w:r>
                        <w:rPr>
                          <w:color w:val="auto"/>
                        </w:rPr>
                      </w:r>
                    </w:p>
                  </w:txbxContent>
                </v:textbox>
              </v:rect>
            </w:pict>
          </mc:Fallback>
        </mc:AlternateContent>
      </w:r>
      <w:r>
        <w:rPr/>
        <w:t xml:space="preserve"> </w:t>
      </w:r>
      <w:r>
        <w:rPr/>
        <w:t>plenārsēžu zālē kopā ar visiem dalībniekiem. Plenārsesijas vadīja divi galvenie moderatori. Diskusiju rezultātā izstrādātās prioritārās tēmas tika iedalītas “asī” (atbilstoši tematiskajām kopām) un “apakšasīs”, un tās kalpoja par pamatu otrajai sesiju sērijai. Šajā nolūkā dalībnieki saņēma pamatinformāciju par tematiem, kā arī attiecīgos ieguldījumus, tostarp analīzes un konceptuālās shēmas, no Daudzvalodu digitālās platformas pirmā starpposma ziņojuma un augsta līmeņa ārējo ekspertu prezentācijas.</w:t>
      </w:r>
    </w:p>
    <w:p>
      <w:pPr>
        <w:pStyle w:val="Corpsdetexte"/>
        <w:rPr/>
      </w:pPr>
      <w:r>
        <w:rPr/>
        <w:t>Pirmajās sesijās no brīvprātīgo pilsoņu vidus tika atlasītas 20 personas, kuras lūdza pārstāvēt katru no paneļdiskusijām plenārsēdē; to darot, viņš tika novērots par vecuma un dzimuma daudzveidību.</w:t>
      </w:r>
    </w:p>
    <w:p>
      <w:pPr>
        <w:pStyle w:val="Titre4"/>
        <w:numPr>
          <w:ilvl w:val="3"/>
          <w:numId w:val="2"/>
        </w:numPr>
        <w:rPr/>
      </w:pPr>
      <w:bookmarkStart w:id="12" w:name="__RefHeading___Toc298198_1346298689"/>
      <w:bookmarkEnd w:id="12"/>
      <w:r>
        <w:rPr/>
        <w:t>PANEĻDISKUSIJU OTRĀ KĀRTA</w:t>
      </w:r>
    </w:p>
    <w:p>
      <w:pPr>
        <w:pStyle w:val="Corpsdetexte"/>
        <w:rPr/>
      </w:pPr>
      <w:r>
        <w:rPr/>
        <w:t>Eiropas pilsoņu paneļdiskusijas turpināja darbu, visā novembrī tiekoties tiešsaistē. Šim nolūkam tika ieviesta īpaša shēma: darbnīcā Briselē notika galvenās mērenības un plenārsēdes, savukārt pilsoņi, kas piedalās visā ES, varētu iejaukties, izmantojot savienojumu un mutiskās tulkošanas sistēmu.</w:t>
      </w:r>
    </w:p>
    <w:p>
      <w:pPr>
        <w:pStyle w:val="Corpsdetexte"/>
        <w:rPr/>
      </w:pPr>
      <w:r>
        <w:rPr/>
        <w:t>Otrajā sesiju kārtā iedzīvotāji ar ekspertu un faktu pārbaudītāju atbalstu apzināja un apsprieda virkni konkrētu jautājumu un izstrādāja pamatnostādnes katrai tematiskajai asij, ko viņi bija apzinājuši pirmajā sesijā. Īpaša uzmanība ir pievērsta dzimumu un ģeogrāfiskajam līdzsvaram ekspertu grupā, un katrs no šiem ekspertiem ar savu ieguldījumu informē iedzīvotājus, paziņojot faktus un/vai progresu debatēs un atturoties no personīgu viedokļu sniegšanas. Iedzīvotājiem tika iesniegti arī daudzvalodu digitālās platformas starpposma ziņojumi.</w:t>
      </w:r>
    </w:p>
    <w:p>
      <w:pPr>
        <w:pStyle w:val="Corpsdetexte"/>
        <w:rPr/>
      </w:pPr>
      <w:r>
        <w:rPr/>
        <w:t>Tādējādi viņi varēja noteikt un apspriest jautājumus, kas saistīti ar viņiem piešķirtajām tēmām, pamatojoties uz ekspertu ieguldījumu par aplūkotajiem tematiem un viņu zināšanām un pieredzi, apspriežot otrās kārtas sanāksmes. Problēmas ir definētas kā problēmas, kurām nepieciešami risinājumi, vai situācijas, kurās nepieciešamas izmaiņas.</w:t>
      </w:r>
    </w:p>
    <w:p>
      <w:pPr>
        <w:pStyle w:val="Corpsdetexte"/>
        <w:rPr/>
      </w:pPr>
      <w:r>
        <w:rPr/>
        <w:t>Pēc tam iedzīvotāji pievērsās šiem jautājumiem, izstrādājot pamatnostādnes, kas ir pirmais solis, lai formulētu ieteikumus, kas bija trešo sesiju mērķis. Iedzīvotāji arī tika aicināti pamatot šīs pamatnostādnes.</w:t>
      </w:r>
    </w:p>
    <w:p>
      <w:pPr>
        <w:pStyle w:val="Corpsdetexte"/>
        <w:rPr/>
      </w:pPr>
      <w:r>
        <w:rPr/>
        <w:t>Diskusijas un kolektīvais darbs notika trīs formātos:</w:t>
      </w:r>
    </w:p>
    <w:p>
      <w:pPr>
        <w:pStyle w:val="Alineanegatifpuce"/>
        <w:numPr>
          <w:ilvl w:val="0"/>
          <w:numId w:val="3"/>
        </w:numPr>
        <w:spacing w:before="4842" w:after="57"/>
        <w:rPr/>
      </w:pPr>
      <w:r>
        <mc:AlternateContent>
          <mc:Choice Requires="wps">
            <w:drawing>
              <wp:anchor behindDoc="0" distT="72390" distB="72390" distL="72390" distR="72390" simplePos="0" locked="0" layoutInCell="1" allowOverlap="1" relativeHeight="9">
                <wp:simplePos x="0" y="0"/>
                <wp:positionH relativeFrom="column">
                  <wp:posOffset>46990</wp:posOffset>
                </wp:positionH>
                <wp:positionV relativeFrom="paragraph">
                  <wp:posOffset>1572260</wp:posOffset>
                </wp:positionV>
                <wp:extent cx="6087745" cy="3075305"/>
                <wp:effectExtent l="0" t="0" r="0" b="0"/>
                <wp:wrapSquare wrapText="bothSides"/>
                <wp:docPr id="18" name="Ietvarstruktūra4"/>
                <a:graphic xmlns:a="http://schemas.openxmlformats.org/drawingml/2006/main">
                  <a:graphicData uri="http://schemas.microsoft.com/office/word/2010/wordprocessingShape">
                    <wps:wsp>
                      <wps:cNvSpPr/>
                      <wps:spPr>
                        <a:xfrm>
                          <a:off x="0" y="0"/>
                          <a:ext cx="6087240" cy="3074760"/>
                        </a:xfrm>
                        <a:prstGeom prst="rect">
                          <a:avLst/>
                        </a:prstGeom>
                        <a:solidFill>
                          <a:srgbClr val="ffffff"/>
                        </a:solidFill>
                        <a:ln w="720">
                          <a:solidFill>
                            <a:srgbClr val="000000"/>
                          </a:solidFill>
                          <a:round/>
                        </a:ln>
                      </wps:spPr>
                      <wps:style>
                        <a:lnRef idx="0"/>
                        <a:fillRef idx="0"/>
                        <a:effectRef idx="0"/>
                        <a:fontRef idx="minor"/>
                      </wps:style>
                      <wps:txb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3. SESIJA</w:t>
                                  </w:r>
                                </w:p>
                              </w:tc>
                            </w:tr>
                            <w:tr>
                              <w:trPr/>
                              <w:tc>
                                <w:tcPr>
                                  <w:tcW w:w="3138" w:type="dxa"/>
                                  <w:tcBorders/>
                                  <w:shd w:fill="0000FF" w:val="clear"/>
                                </w:tcPr>
                                <w:p>
                                  <w:pPr>
                                    <w:pStyle w:val="P68B1DB1Contenudetableau10"/>
                                    <w:spacing w:before="57" w:after="57"/>
                                    <w:jc w:val="center"/>
                                    <w:rPr>
                                      <w:b/>
                                      <w:b/>
                                    </w:rPr>
                                  </w:pPr>
                                  <w:r>
                                    <w:rPr/>
                                    <w:t xml:space="preserve">1. DIENA </w:t>
                                  </w:r>
                                </w:p>
                                <w:p>
                                  <w:pPr>
                                    <w:pStyle w:val="Contenudetableau"/>
                                    <w:spacing w:before="57" w:after="57"/>
                                    <w:jc w:val="center"/>
                                    <w:rPr/>
                                  </w:pPr>
                                  <w:r>
                                    <w:rPr/>
                                    <w:t>Darba atjaunošana, prioritāšu noteikšana un darba sākšana</w:t>
                                  </w:r>
                                </w:p>
                              </w:tc>
                              <w:tc>
                                <w:tcPr>
                                  <w:tcW w:w="3138" w:type="dxa"/>
                                  <w:tcBorders/>
                                  <w:shd w:fill="0000FF" w:val="clear"/>
                                </w:tcPr>
                                <w:p>
                                  <w:pPr>
                                    <w:pStyle w:val="P68B1DB1Contenudetableau10"/>
                                    <w:spacing w:before="57" w:after="57"/>
                                    <w:jc w:val="center"/>
                                    <w:rPr>
                                      <w:b/>
                                      <w:b/>
                                    </w:rPr>
                                  </w:pPr>
                                  <w:r>
                                    <w:rPr/>
                                    <w:t xml:space="preserve">2. DIENA </w:t>
                                  </w:r>
                                </w:p>
                                <w:p>
                                  <w:pPr>
                                    <w:pStyle w:val="Contenudetableau"/>
                                    <w:jc w:val="center"/>
                                    <w:rPr/>
                                  </w:pPr>
                                  <w:r>
                                    <w:rPr/>
                                    <w:t xml:space="preserve">Pamatnostādņu pārveidošana </w:t>
                                  </w:r>
                                </w:p>
                                <w:p>
                                  <w:pPr>
                                    <w:pStyle w:val="Contenudetableau"/>
                                    <w:spacing w:before="57" w:after="57"/>
                                    <w:jc w:val="center"/>
                                    <w:rPr/>
                                  </w:pPr>
                                  <w:r>
                                    <w:rPr/>
                                    <w:t>galīgie ieteikumi</w:t>
                                  </w:r>
                                </w:p>
                              </w:tc>
                              <w:tc>
                                <w:tcPr>
                                  <w:tcW w:w="3138" w:type="dxa"/>
                                  <w:tcBorders/>
                                  <w:shd w:fill="0000FF" w:val="clear"/>
                                </w:tcPr>
                                <w:p>
                                  <w:pPr>
                                    <w:pStyle w:val="P68B1DB1Contenudetableau10"/>
                                    <w:spacing w:before="57" w:after="57"/>
                                    <w:jc w:val="center"/>
                                    <w:rPr>
                                      <w:b/>
                                      <w:b/>
                                    </w:rPr>
                                  </w:pPr>
                                  <w:r>
                                    <w:rPr/>
                                    <w:t xml:space="preserve">3. DIENA </w:t>
                                  </w:r>
                                </w:p>
                                <w:p>
                                  <w:pPr>
                                    <w:pStyle w:val="Contenudetableau"/>
                                    <w:spacing w:before="57" w:after="57"/>
                                    <w:jc w:val="center"/>
                                    <w:rPr/>
                                  </w:pPr>
                                  <w:r>
                                    <w:rPr/>
                                    <w:t>Balsojums par galīgajiem ieteikumiem</w:t>
                                  </w:r>
                                </w:p>
                              </w:tc>
                            </w:tr>
                            <w:tr>
                              <w:trPr/>
                              <w:tc>
                                <w:tcPr>
                                  <w:tcW w:w="3138" w:type="dxa"/>
                                  <w:tcBorders/>
                                  <w:shd w:fill="800000" w:val="clear"/>
                                </w:tcPr>
                                <w:p>
                                  <w:pPr>
                                    <w:pStyle w:val="Contenudetableau"/>
                                    <w:spacing w:before="57" w:after="57"/>
                                    <w:jc w:val="center"/>
                                    <w:rPr/>
                                  </w:pPr>
                                  <w:r>
                                    <w:rPr/>
                                    <w:t>Sveiciens un nedēļas nogales mērķi</w:t>
                                  </w:r>
                                </w:p>
                              </w:tc>
                              <w:tc>
                                <w:tcPr>
                                  <w:tcW w:w="3138" w:type="dxa"/>
                                  <w:tcBorders/>
                                  <w:shd w:fill="00FF00" w:val="clear"/>
                                </w:tcPr>
                                <w:p>
                                  <w:pPr>
                                    <w:pStyle w:val="Contenudetableau"/>
                                    <w:spacing w:before="57" w:after="57"/>
                                    <w:jc w:val="center"/>
                                    <w:rPr/>
                                  </w:pPr>
                                  <w:r>
                                    <w:rPr/>
                                    <w:t>Norādījumu pārveidošana par ieteikumiem</w:t>
                                  </w:r>
                                </w:p>
                              </w:tc>
                              <w:tc>
                                <w:tcPr>
                                  <w:tcW w:w="3138" w:type="dxa"/>
                                  <w:tcBorders/>
                                  <w:shd w:fill="800000" w:val="clear"/>
                                </w:tcPr>
                                <w:p>
                                  <w:pPr>
                                    <w:pStyle w:val="Contenudetableau"/>
                                    <w:spacing w:before="57" w:after="57"/>
                                    <w:jc w:val="center"/>
                                    <w:rPr/>
                                  </w:pPr>
                                  <w:r>
                                    <w:rPr/>
                                    <w:t>Balsojums par galīgajiem ieteikumiem</w:t>
                                  </w:r>
                                </w:p>
                              </w:tc>
                            </w:tr>
                            <w:tr>
                              <w:trPr/>
                              <w:tc>
                                <w:tcPr>
                                  <w:tcW w:w="3138" w:type="dxa"/>
                                  <w:tcBorders/>
                                  <w:shd w:fill="0000FF" w:val="clear"/>
                                </w:tcPr>
                                <w:p>
                                  <w:pPr>
                                    <w:pStyle w:val="Contenudetableau"/>
                                    <w:spacing w:before="57" w:after="57"/>
                                    <w:jc w:val="center"/>
                                    <w:rPr/>
                                  </w:pPr>
                                  <w:r>
                                    <w:rPr/>
                                    <w:t xml:space="preserve">Atvērto forumu, </w:t>
                                  </w:r>
                                </w:p>
                                <w:p>
                                  <w:pPr>
                                    <w:pStyle w:val="Contenudetableau"/>
                                    <w:spacing w:before="57" w:after="57"/>
                                    <w:jc w:val="center"/>
                                    <w:rPr/>
                                  </w:pPr>
                                  <w:r>
                                    <w:rPr/>
                                    <w:t>Pamatnostādņu lasīšana un prioritāšu noteikšana</w:t>
                                  </w:r>
                                </w:p>
                              </w:tc>
                              <w:tc>
                                <w:tcPr>
                                  <w:tcW w:w="3138" w:type="dxa"/>
                                  <w:tcBorders/>
                                  <w:shd w:fill="00FF00" w:val="clear"/>
                                </w:tcPr>
                                <w:p>
                                  <w:pPr>
                                    <w:pStyle w:val="Contenudetableau"/>
                                    <w:spacing w:before="57" w:after="57"/>
                                    <w:jc w:val="center"/>
                                    <w:rPr/>
                                  </w:pPr>
                                  <w:r>
                                    <w:rPr/>
                                    <w:t>Atsauksmes citām grupām, ieteikumu pabeigšana</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Norādījumu pārveidošana par ieteikumiem</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Plenārā sesija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Atvērto forumu</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Apakšgrupas darbs</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wps:txbx>
                      <wps:bodyPr lIns="54000" rIns="54000" tIns="54000" bIns="54000">
                        <a:noAutofit/>
                      </wps:bodyPr>
                    </wps:wsp>
                  </a:graphicData>
                </a:graphic>
              </wp:anchor>
            </w:drawing>
          </mc:Choice>
          <mc:Fallback>
            <w:pict>
              <v:rect id="shape_0" ID="Ietvarstruktūra4" fillcolor="white" stroked="t" style="position:absolute;margin-left:3.7pt;margin-top:123.8pt;width:479.25pt;height:242.05pt">
                <w10:wrap type="square"/>
                <v:fill o:detectmouseclick="t" type="solid" color2="black"/>
                <v:stroke color="black" weight="720" joinstyle="round" endcap="flat"/>
                <v:textbox>
                  <w:txbxContent>
                    <w:tbl>
                      <w:tblPr>
                        <w:tblW w:w="9414" w:type="dxa"/>
                        <w:jc w:val="left"/>
                        <w:tblInd w:w="0" w:type="dxa"/>
                        <w:tblBorders/>
                        <w:tblCellMar>
                          <w:top w:w="0" w:type="dxa"/>
                          <w:left w:w="0" w:type="dxa"/>
                          <w:bottom w:w="0" w:type="dxa"/>
                          <w:right w:w="0" w:type="dxa"/>
                        </w:tblCellMar>
                      </w:tblPr>
                      <w:tblGrid>
                        <w:gridCol w:w="3138"/>
                        <w:gridCol w:w="3138"/>
                        <w:gridCol w:w="3138"/>
                      </w:tblGrid>
                      <w:tr>
                        <w:trPr/>
                        <w:tc>
                          <w:tcPr>
                            <w:tcW w:w="9414" w:type="dxa"/>
                            <w:gridSpan w:val="3"/>
                            <w:tcBorders/>
                            <w:shd w:fill="auto" w:val="clear"/>
                          </w:tcPr>
                          <w:p>
                            <w:pPr>
                              <w:pStyle w:val="P68B1DB1Contenudetableau10"/>
                              <w:spacing w:before="57" w:after="57"/>
                              <w:jc w:val="center"/>
                              <w:rPr>
                                <w:b/>
                                <w:b/>
                              </w:rPr>
                            </w:pPr>
                            <w:r>
                              <w:rPr/>
                              <w:t>3. SESIJA</w:t>
                            </w:r>
                          </w:p>
                        </w:tc>
                      </w:tr>
                      <w:tr>
                        <w:trPr/>
                        <w:tc>
                          <w:tcPr>
                            <w:tcW w:w="3138" w:type="dxa"/>
                            <w:tcBorders/>
                            <w:shd w:fill="0000FF" w:val="clear"/>
                          </w:tcPr>
                          <w:p>
                            <w:pPr>
                              <w:pStyle w:val="P68B1DB1Contenudetableau10"/>
                              <w:spacing w:before="57" w:after="57"/>
                              <w:jc w:val="center"/>
                              <w:rPr>
                                <w:b/>
                                <w:b/>
                              </w:rPr>
                            </w:pPr>
                            <w:r>
                              <w:rPr/>
                              <w:t xml:space="preserve">1. DIENA </w:t>
                            </w:r>
                          </w:p>
                          <w:p>
                            <w:pPr>
                              <w:pStyle w:val="Contenudetableau"/>
                              <w:spacing w:before="57" w:after="57"/>
                              <w:jc w:val="center"/>
                              <w:rPr/>
                            </w:pPr>
                            <w:r>
                              <w:rPr/>
                              <w:t>Darba atjaunošana, prioritāšu noteikšana un darba sākšana</w:t>
                            </w:r>
                          </w:p>
                        </w:tc>
                        <w:tc>
                          <w:tcPr>
                            <w:tcW w:w="3138" w:type="dxa"/>
                            <w:tcBorders/>
                            <w:shd w:fill="0000FF" w:val="clear"/>
                          </w:tcPr>
                          <w:p>
                            <w:pPr>
                              <w:pStyle w:val="P68B1DB1Contenudetableau10"/>
                              <w:spacing w:before="57" w:after="57"/>
                              <w:jc w:val="center"/>
                              <w:rPr>
                                <w:b/>
                                <w:b/>
                              </w:rPr>
                            </w:pPr>
                            <w:r>
                              <w:rPr/>
                              <w:t xml:space="preserve">2. DIENA </w:t>
                            </w:r>
                          </w:p>
                          <w:p>
                            <w:pPr>
                              <w:pStyle w:val="Contenudetableau"/>
                              <w:jc w:val="center"/>
                              <w:rPr/>
                            </w:pPr>
                            <w:r>
                              <w:rPr/>
                              <w:t xml:space="preserve">Pamatnostādņu pārveidošana </w:t>
                            </w:r>
                          </w:p>
                          <w:p>
                            <w:pPr>
                              <w:pStyle w:val="Contenudetableau"/>
                              <w:spacing w:before="57" w:after="57"/>
                              <w:jc w:val="center"/>
                              <w:rPr/>
                            </w:pPr>
                            <w:r>
                              <w:rPr/>
                              <w:t>galīgie ieteikumi</w:t>
                            </w:r>
                          </w:p>
                        </w:tc>
                        <w:tc>
                          <w:tcPr>
                            <w:tcW w:w="3138" w:type="dxa"/>
                            <w:tcBorders/>
                            <w:shd w:fill="0000FF" w:val="clear"/>
                          </w:tcPr>
                          <w:p>
                            <w:pPr>
                              <w:pStyle w:val="P68B1DB1Contenudetableau10"/>
                              <w:spacing w:before="57" w:after="57"/>
                              <w:jc w:val="center"/>
                              <w:rPr>
                                <w:b/>
                                <w:b/>
                              </w:rPr>
                            </w:pPr>
                            <w:r>
                              <w:rPr/>
                              <w:t xml:space="preserve">3. DIENA </w:t>
                            </w:r>
                          </w:p>
                          <w:p>
                            <w:pPr>
                              <w:pStyle w:val="Contenudetableau"/>
                              <w:spacing w:before="57" w:after="57"/>
                              <w:jc w:val="center"/>
                              <w:rPr/>
                            </w:pPr>
                            <w:r>
                              <w:rPr/>
                              <w:t>Balsojums par galīgajiem ieteikumiem</w:t>
                            </w:r>
                          </w:p>
                        </w:tc>
                      </w:tr>
                      <w:tr>
                        <w:trPr/>
                        <w:tc>
                          <w:tcPr>
                            <w:tcW w:w="3138" w:type="dxa"/>
                            <w:tcBorders/>
                            <w:shd w:fill="800000" w:val="clear"/>
                          </w:tcPr>
                          <w:p>
                            <w:pPr>
                              <w:pStyle w:val="Contenudetableau"/>
                              <w:spacing w:before="57" w:after="57"/>
                              <w:jc w:val="center"/>
                              <w:rPr/>
                            </w:pPr>
                            <w:r>
                              <w:rPr/>
                              <w:t>Sveiciens un nedēļas nogales mērķi</w:t>
                            </w:r>
                          </w:p>
                        </w:tc>
                        <w:tc>
                          <w:tcPr>
                            <w:tcW w:w="3138" w:type="dxa"/>
                            <w:tcBorders/>
                            <w:shd w:fill="00FF00" w:val="clear"/>
                          </w:tcPr>
                          <w:p>
                            <w:pPr>
                              <w:pStyle w:val="Contenudetableau"/>
                              <w:spacing w:before="57" w:after="57"/>
                              <w:jc w:val="center"/>
                              <w:rPr/>
                            </w:pPr>
                            <w:r>
                              <w:rPr/>
                              <w:t>Norādījumu pārveidošana par ieteikumiem</w:t>
                            </w:r>
                          </w:p>
                        </w:tc>
                        <w:tc>
                          <w:tcPr>
                            <w:tcW w:w="3138" w:type="dxa"/>
                            <w:tcBorders/>
                            <w:shd w:fill="800000" w:val="clear"/>
                          </w:tcPr>
                          <w:p>
                            <w:pPr>
                              <w:pStyle w:val="Contenudetableau"/>
                              <w:spacing w:before="57" w:after="57"/>
                              <w:jc w:val="center"/>
                              <w:rPr/>
                            </w:pPr>
                            <w:r>
                              <w:rPr/>
                              <w:t>Balsojums par galīgajiem ieteikumiem</w:t>
                            </w:r>
                          </w:p>
                        </w:tc>
                      </w:tr>
                      <w:tr>
                        <w:trPr/>
                        <w:tc>
                          <w:tcPr>
                            <w:tcW w:w="3138" w:type="dxa"/>
                            <w:tcBorders/>
                            <w:shd w:fill="0000FF" w:val="clear"/>
                          </w:tcPr>
                          <w:p>
                            <w:pPr>
                              <w:pStyle w:val="Contenudetableau"/>
                              <w:spacing w:before="57" w:after="57"/>
                              <w:jc w:val="center"/>
                              <w:rPr/>
                            </w:pPr>
                            <w:r>
                              <w:rPr/>
                              <w:t xml:space="preserve">Atvērto forumu, </w:t>
                            </w:r>
                          </w:p>
                          <w:p>
                            <w:pPr>
                              <w:pStyle w:val="Contenudetableau"/>
                              <w:spacing w:before="57" w:after="57"/>
                              <w:jc w:val="center"/>
                              <w:rPr/>
                            </w:pPr>
                            <w:r>
                              <w:rPr/>
                              <w:t>Pamatnostādņu lasīšana un prioritāšu noteikšana</w:t>
                            </w:r>
                          </w:p>
                        </w:tc>
                        <w:tc>
                          <w:tcPr>
                            <w:tcW w:w="3138" w:type="dxa"/>
                            <w:tcBorders/>
                            <w:shd w:fill="00FF00" w:val="clear"/>
                          </w:tcPr>
                          <w:p>
                            <w:pPr>
                              <w:pStyle w:val="Contenudetableau"/>
                              <w:spacing w:before="57" w:after="57"/>
                              <w:jc w:val="center"/>
                              <w:rPr/>
                            </w:pPr>
                            <w:r>
                              <w:rPr/>
                              <w:t>Atsauksmes citām grupām, ieteikumu pabeigšana</w:t>
                            </w:r>
                          </w:p>
                        </w:tc>
                        <w:tc>
                          <w:tcPr>
                            <w:tcW w:w="3138" w:type="dxa"/>
                            <w:tcBorders/>
                            <w:shd w:fill="auto" w:val="clear"/>
                          </w:tcPr>
                          <w:p>
                            <w:pPr>
                              <w:pStyle w:val="Contenudetableau"/>
                              <w:spacing w:before="57" w:after="57"/>
                              <w:jc w:val="center"/>
                              <w:rPr/>
                            </w:pPr>
                            <w:r>
                              <w:rPr/>
                            </w:r>
                          </w:p>
                        </w:tc>
                      </w:tr>
                      <w:tr>
                        <w:trPr/>
                        <w:tc>
                          <w:tcPr>
                            <w:tcW w:w="3138" w:type="dxa"/>
                            <w:tcBorders/>
                            <w:shd w:fill="00FF00" w:val="clear"/>
                          </w:tcPr>
                          <w:p>
                            <w:pPr>
                              <w:pStyle w:val="Contenudetableau"/>
                              <w:spacing w:before="57" w:after="57"/>
                              <w:jc w:val="center"/>
                              <w:rPr/>
                            </w:pPr>
                            <w:r>
                              <w:rPr/>
                              <w:t>Norādījumu pārveidošana par ieteikumiem</w:t>
                            </w:r>
                          </w:p>
                        </w:tc>
                        <w:tc>
                          <w:tcPr>
                            <w:tcW w:w="3138" w:type="dxa"/>
                            <w:tcBorders/>
                            <w:shd w:fill="auto" w:val="clear"/>
                          </w:tcPr>
                          <w:p>
                            <w:pPr>
                              <w:pStyle w:val="Contenudetableau"/>
                              <w:spacing w:before="57" w:after="57"/>
                              <w:jc w:val="center"/>
                              <w:rPr/>
                            </w:pPr>
                            <w:r>
                              <w:rPr/>
                            </w:r>
                          </w:p>
                        </w:tc>
                        <w:tc>
                          <w:tcPr>
                            <w:tcW w:w="3138" w:type="dxa"/>
                            <w:tcBorders/>
                            <w:shd w:fill="auto" w:val="clear"/>
                          </w:tcPr>
                          <w:p>
                            <w:pPr>
                              <w:pStyle w:val="Contenudetableau"/>
                              <w:spacing w:before="57" w:after="57"/>
                              <w:jc w:val="center"/>
                              <w:rPr/>
                            </w:pPr>
                            <w:r>
                              <w:rPr/>
                            </w:r>
                          </w:p>
                        </w:tc>
                      </w:tr>
                    </w:tbl>
                    <w:p>
                      <w:pPr>
                        <w:pStyle w:val="Contenudecadre"/>
                        <w:rPr>
                          <w:color w:val="auto"/>
                        </w:rPr>
                      </w:pPr>
                      <w:r>
                        <w:rPr>
                          <w:color w:val="auto"/>
                        </w:rPr>
                      </w:r>
                    </w:p>
                    <w:tbl>
                      <w:tblPr>
                        <w:tblW w:w="9414" w:type="dxa"/>
                        <w:jc w:val="left"/>
                        <w:tblInd w:w="0" w:type="dxa"/>
                        <w:tblBorders/>
                        <w:tblCellMar>
                          <w:top w:w="0" w:type="dxa"/>
                          <w:left w:w="0" w:type="dxa"/>
                          <w:bottom w:w="0" w:type="dxa"/>
                          <w:right w:w="0" w:type="dxa"/>
                        </w:tblCellMar>
                      </w:tblPr>
                      <w:tblGrid>
                        <w:gridCol w:w="2790"/>
                        <w:gridCol w:w="347"/>
                        <w:gridCol w:w="2794"/>
                        <w:gridCol w:w="345"/>
                        <w:gridCol w:w="2735"/>
                        <w:gridCol w:w="402"/>
                      </w:tblGrid>
                      <w:tr>
                        <w:trPr/>
                        <w:tc>
                          <w:tcPr>
                            <w:tcW w:w="2790" w:type="dxa"/>
                            <w:tcBorders/>
                            <w:shd w:fill="auto" w:val="clear"/>
                          </w:tcPr>
                          <w:p>
                            <w:pPr>
                              <w:pStyle w:val="P68B1DB1Contenudetableau9"/>
                              <w:spacing w:before="57" w:after="57"/>
                              <w:jc w:val="right"/>
                              <w:rPr>
                                <w:sz w:val="16"/>
                              </w:rPr>
                            </w:pPr>
                            <w:r>
                              <w:rPr>
                                <w:color w:val="auto"/>
                              </w:rPr>
                              <w:t>Plenārā sesija</w:t>
                            </w:r>
                          </w:p>
                        </w:tc>
                        <w:tc>
                          <w:tcPr>
                            <w:tcW w:w="347" w:type="dxa"/>
                            <w:tcBorders/>
                            <w:shd w:fill="800000" w:val="clear"/>
                          </w:tcPr>
                          <w:p>
                            <w:pPr>
                              <w:pStyle w:val="Contenudetableau"/>
                              <w:spacing w:before="57" w:after="57"/>
                              <w:jc w:val="right"/>
                              <w:rPr>
                                <w:color w:val="auto"/>
                                <w:sz w:val="16"/>
                              </w:rPr>
                            </w:pPr>
                            <w:r>
                              <w:rPr>
                                <w:color w:val="auto"/>
                                <w:sz w:val="16"/>
                              </w:rPr>
                            </w:r>
                          </w:p>
                        </w:tc>
                        <w:tc>
                          <w:tcPr>
                            <w:tcW w:w="2794" w:type="dxa"/>
                            <w:tcBorders/>
                            <w:shd w:fill="auto" w:val="clear"/>
                          </w:tcPr>
                          <w:p>
                            <w:pPr>
                              <w:pStyle w:val="P68B1DB1Contenudetableau9"/>
                              <w:spacing w:before="57" w:after="57"/>
                              <w:jc w:val="right"/>
                              <w:rPr>
                                <w:sz w:val="16"/>
                              </w:rPr>
                            </w:pPr>
                            <w:r>
                              <w:rPr>
                                <w:color w:val="auto"/>
                              </w:rPr>
                              <w:t>Atvērto forumu</w:t>
                            </w:r>
                          </w:p>
                        </w:tc>
                        <w:tc>
                          <w:tcPr>
                            <w:tcW w:w="345" w:type="dxa"/>
                            <w:tcBorders/>
                            <w:shd w:fill="0000FF" w:val="clear"/>
                          </w:tcPr>
                          <w:p>
                            <w:pPr>
                              <w:pStyle w:val="Contenudetableau"/>
                              <w:spacing w:before="57" w:after="57"/>
                              <w:jc w:val="right"/>
                              <w:rPr>
                                <w:color w:val="auto"/>
                                <w:sz w:val="16"/>
                              </w:rPr>
                            </w:pPr>
                            <w:r>
                              <w:rPr>
                                <w:color w:val="auto"/>
                                <w:sz w:val="16"/>
                              </w:rPr>
                            </w:r>
                          </w:p>
                        </w:tc>
                        <w:tc>
                          <w:tcPr>
                            <w:tcW w:w="2735" w:type="dxa"/>
                            <w:tcBorders/>
                            <w:shd w:fill="auto" w:val="clear"/>
                          </w:tcPr>
                          <w:p>
                            <w:pPr>
                              <w:pStyle w:val="P68B1DB1Contenudetableau9"/>
                              <w:spacing w:before="57" w:after="57"/>
                              <w:jc w:val="right"/>
                              <w:rPr>
                                <w:sz w:val="16"/>
                              </w:rPr>
                            </w:pPr>
                            <w:r>
                              <w:rPr>
                                <w:color w:val="auto"/>
                              </w:rPr>
                              <w:t>Apakšgrupas darbs</w:t>
                            </w:r>
                          </w:p>
                        </w:tc>
                        <w:tc>
                          <w:tcPr>
                            <w:tcW w:w="402" w:type="dxa"/>
                            <w:tcBorders/>
                            <w:shd w:fill="00FF00" w:val="clear"/>
                          </w:tcPr>
                          <w:p>
                            <w:pPr>
                              <w:pStyle w:val="Contenudetableau"/>
                              <w:spacing w:before="57" w:after="57"/>
                              <w:rPr>
                                <w:color w:val="auto"/>
                                <w:sz w:val="16"/>
                              </w:rPr>
                            </w:pPr>
                            <w:r>
                              <w:rPr>
                                <w:color w:val="auto"/>
                                <w:sz w:val="16"/>
                              </w:rPr>
                            </w:r>
                          </w:p>
                        </w:tc>
                      </w:tr>
                    </w:tbl>
                    <w:p>
                      <w:pPr>
                        <w:pStyle w:val="Normal"/>
                        <w:spacing w:before="57" w:after="57"/>
                        <w:rPr>
                          <w:color w:val="auto"/>
                        </w:rPr>
                      </w:pPr>
                      <w:r>
                        <w:rPr>
                          <w:color w:val="auto"/>
                        </w:rPr>
                      </w:r>
                    </w:p>
                  </w:txbxContent>
                </v:textbox>
              </v:rect>
            </w:pict>
          </mc:Fallback>
        </mc:AlternateContent>
      </w:r>
      <w:r>
        <w:rPr/>
        <w:t xml:space="preserve"> </w:t>
      </w:r>
      <w:r>
        <w:rPr/>
        <w:t>apakšgrupās. Katrā no piecpadsmit apakšgrupām bija divpadsmit līdz četrpadsmit pilsoņi. Katrā apakšgrupā tika izmantotas četras līdz piecas valodas, lai iedzīvotāji varētu izteikties savā valodā vai valodā, kurā viņi jutās ērti. Katrai apakšgrupai bija profesionāls koordinators no ārpakalpojumu sniedzēju konsorcija.</w:t>
      </w:r>
    </w:p>
    <w:p>
      <w:pPr>
        <w:pStyle w:val="Alineanegatifpuce"/>
        <w:numPr>
          <w:ilvl w:val="0"/>
          <w:numId w:val="3"/>
        </w:numPr>
        <w:rPr/>
      </w:pPr>
      <w:r>
        <w:rPr/>
        <w:t xml:space="preserve"> </w:t>
      </w:r>
      <w:r>
        <w:rPr/>
        <w:t>plenārsesijā, kas veltīta darba plūsmai. Katra plenārsesija, kas veltīta darba sadaļai, pulcēja apakšgrupas, kas strādā pie vienas un tās pašas tematiskās ass. Plenārsesijas, kas bija veltītas darba plūsmai, veicināja profesionāli koordinatori, nodrošinot mutisko tulkošanu visās valodās, kas nepieciešamas dalībniekiem.</w:t>
      </w:r>
    </w:p>
    <w:p>
      <w:pPr>
        <w:pStyle w:val="Alineanegatifpuce"/>
        <w:numPr>
          <w:ilvl w:val="0"/>
          <w:numId w:val="3"/>
        </w:numPr>
        <w:rPr/>
      </w:pPr>
      <w:r>
        <w:rPr/>
        <w:t xml:space="preserve"> </w:t>
      </w:r>
      <w:r>
        <w:rPr/>
        <w:t>plenārsēdē, kurā piedalās visi pilsoņi, lai iepazīstinātu ar sesiju un slēgtu to. Plenārsesijas vadīja divi galvenie konsorcija moderatori, nodrošinot mutisko tulkošanu 24 ES oficiālajās valodās.</w:t>
      </w:r>
    </w:p>
    <w:p>
      <w:pPr>
        <w:pStyle w:val="Alineanegatifpuce"/>
        <w:numPr>
          <w:ilvl w:val="0"/>
          <w:numId w:val="0"/>
        </w:numPr>
        <w:ind w:left="0" w:right="0" w:hanging="0"/>
        <w:rPr/>
      </w:pPr>
      <w:r>
        <w:rPr/>
      </w:r>
      <w:r>
        <w:br w:type="page"/>
      </w:r>
    </w:p>
    <w:p>
      <w:pPr>
        <w:pStyle w:val="Titre4"/>
        <w:numPr>
          <w:ilvl w:val="3"/>
          <w:numId w:val="2"/>
        </w:numPr>
        <w:rPr/>
      </w:pPr>
      <w:bookmarkStart w:id="13" w:name="__RefHeading___Toc298200_1346298689"/>
      <w:bookmarkEnd w:id="13"/>
      <w:r>
        <w:rPr/>
        <w:t>PANEĻDISKUSIJU TREŠĀ KĀRTA</w:t>
      </w:r>
    </w:p>
    <w:p>
      <w:pPr>
        <w:pStyle w:val="Corpsdetexte"/>
        <w:rPr/>
      </w:pPr>
      <w:r>
        <w:rPr/>
        <w:t>Trešā un pēdējā paneļdiskusiju kārta notika klātienē izglītības iestādēs četrās dalībvalstīs. Covid-19 pandēmijas un ar to saistīto pasākumu dēļ Īrijā un Nīderlandē — 1. paneļdiskusiju trešā sesija (Spēcīgāka ekonomika, sociālais taisnīgums un nodarbinātība); izglītība, kultūra, jaunatne un sports; digitālā pārveide) un 4 (ES pasaulē; migrācija) bija jāatliek līdz 2022. gada februārim, apspriežoties ar valstu iestādēm un asociētajiem partneriem.</w:t>
      </w:r>
    </w:p>
    <w:p>
      <w:pPr>
        <w:pStyle w:val="Corpsdetexte"/>
        <w:rPr/>
      </w:pPr>
      <w:r>
        <w:rPr/>
        <w:t xml:space="preserve">Diskusijas un kolektīvais darbs notika šādos formātos: </w:t>
      </w:r>
    </w:p>
    <w:p>
      <w:pPr>
        <w:pStyle w:val="Alineanegatifpuce"/>
        <w:numPr>
          <w:ilvl w:val="0"/>
          <w:numId w:val="3"/>
        </w:numPr>
        <w:rPr/>
      </w:pPr>
      <w:r>
        <w:rPr/>
        <w:t xml:space="preserve"> </w:t>
      </w:r>
      <w:r>
        <w:rPr/>
        <w:t>plenārsesijā, kurā piedalās visi dalībnieki, sesijas sākumā un sesijas beigās, kā paskaidrots turpmāk. Plenārsesijas vadīja divi galvenie apspriežu grupas moderatori, nodrošinot mutisko tulkošanu 24 ES oficiālajās valodās.</w:t>
      </w:r>
    </w:p>
    <w:p>
      <w:pPr>
        <w:pStyle w:val="Alineanegatifpuce"/>
        <w:numPr>
          <w:ilvl w:val="0"/>
          <w:numId w:val="3"/>
        </w:numPr>
        <w:rPr/>
      </w:pPr>
      <w:r>
        <w:rPr/>
        <w:t xml:space="preserve"> </w:t>
      </w:r>
      <w:r>
        <w:rPr/>
        <w:t>Iedzīvotāji sāka izskatīt visus norādījumus, ko komisija izstrādāja 2. sesijā kā daļu no “atklātā foruma”. Pēc tam katrs pilsonis piešķīra prioritāti ne vairāk kā desmit orientācijām uz katru darba asi. Pēc tam, kad šis prioritāšu noteikšanas process bija pabeigts žūrijas līmenī, iedzīvotāji pievienojās apakšgrupai, kurā viņi jau bija strādājuši 2. sesijā, un kopīgi ņēma vērā grupas norādījumus, kurus atlikusī žūrija bija noteikusi par prioritāti, proti, iespēju salīdzināt šo izvēli ar savu novērtējumu. Lai sagatavotu ieteikumus, katrai apakšgrupai tika dots orientējošs to ieteikumu skaits, kas jāizstrādā: no vienas līdz trim, ar ne vairāk kā pieciem.</w:t>
      </w:r>
    </w:p>
    <w:p>
      <w:pPr>
        <w:pStyle w:val="Alineanegatifpuce"/>
        <w:numPr>
          <w:ilvl w:val="0"/>
          <w:numId w:val="3"/>
        </w:numPr>
        <w:rPr/>
      </w:pPr>
      <w:r>
        <w:rPr/>
        <w:t xml:space="preserve"> </w:t>
      </w:r>
      <w:r>
        <w:rPr/>
        <w:t xml:space="preserve">Katra no 15 apakšgrupām strādāja, lai izstrādātu ieteikumus. Iedzīvotāji apsprieda pamatnostādnes, kas saņēma vislielāko atbalstu (prioritārā secībā), un sāka ieteikumu izstrādes procesu. </w:t>
      </w:r>
    </w:p>
    <w:p>
      <w:pPr>
        <w:pStyle w:val="Normal"/>
        <w:rPr/>
      </w:pPr>
      <w:r>
        <w:rPr/>
        <w:t>Trešajās sesijās zināšanas un informācija netika tiešā mijiedarbībā ar iedzīvotājiem, bet, izmantojot īpaši izstrādātu sistēmu — “Resursu un informācijas punktu”. Šī sistēma ir izmantota, lai centralizētu visus informācijas un faktu pārbaudes pieprasījumus uz vietas un sniegtu ekspertu un faktu pārbaudītāju īsas un faktiskas atbildes apakšgrupām. Šī sistēma ir izstrādāta tā, lai nodrošinātu, ka ekspertu un faktu pārbaudītāju ieguldījums tiek sagatavots saskaņā ar augstākajiem kvalitātes standartiem un lai izvairītos no nevajadzīgas ietekmes šajā procesa posmā. Iedzīvotājiem tika iesniegti arī daudzvalodu digitālās platformas starpposma ziņojumi.</w:t>
      </w:r>
    </w:p>
    <w:p>
      <w:pPr>
        <w:pStyle w:val="Corpsdetexte"/>
        <w:rPr/>
      </w:pPr>
      <w:r>
        <w:rPr/>
        <w:t>Apakšgrupas darba laikā tika organizētas atgriezeniskās saites sesijas, lai palīdzētu dalībniekiem izprast citu apakšgrupu darbu un nostiprinātu viņu ieteikumus.</w:t>
      </w:r>
    </w:p>
    <w:p>
      <w:pPr>
        <w:pStyle w:val="Corpsdetexte"/>
        <w:rPr/>
      </w:pPr>
      <w:r>
        <w:rPr/>
        <w:t>Pēc tam sesijas pēdējā dienā paneļdiskusija par katras apakšgrupas ieteikumiem balsoja. Pirms balsošanas visi dalībnieki saņēma dokumentu ar visiem ieteikumu projektiem, kas sagatavoti iepriekšējā dienā, lai viņi varētu tos lasīt savā valodā (automātisks tulkojums no angļu valodas). Katru ieteikumu plenārsēdē lasīja angļu valodā, lai iedzīvotāji varētu vienlaicīgi uzklausīt mutisko tulkošanu. Viens pēc otra ieteikumi tika nodoti dalībnieku balsošanai, izmantojot tiešsaistes veidlapu.</w:t>
      </w:r>
    </w:p>
    <w:p>
      <w:pPr>
        <w:pStyle w:val="Corpsdetexte"/>
        <w:rPr/>
      </w:pPr>
      <w:r>
        <w:rPr/>
        <w:t>Pamatojoties uz galīgo balsojumu rezultātiem, ieteikumi tika klasificēti šādi:</w:t>
      </w:r>
    </w:p>
    <w:p>
      <w:pPr>
        <w:pStyle w:val="Corpsdetexte"/>
        <w:rPr/>
      </w:pPr>
      <w:r>
        <w:rPr/>
        <w:t>Žūrija pieņēma ieteikumus, kas saņēma 70 % vai vairāk nodoto balsu; ieteikumi, kas neatbilda šim slieksnim, tika uzskatīti par žūrijas neapstiprinātiem. Kopumā Eiropas pilsoņu paneļdiskusijās tika pieņemti 178 ieteikumi.</w:t>
      </w:r>
    </w:p>
    <w:p>
      <w:pPr>
        <w:pStyle w:val="Corpsdetexte"/>
        <w:rPr/>
      </w:pPr>
      <w:r>
        <w:rPr/>
        <w:t>Balsošanas procedūru uzraudzīja balsošanas komiteja, kuras sastāvā bija divi pilsoņi, kuri bija ierosinājuši pildīt šo uzdevumu.</w:t>
      </w:r>
    </w:p>
    <w:p>
      <w:pPr>
        <w:pStyle w:val="Titre4"/>
        <w:numPr>
          <w:ilvl w:val="3"/>
          <w:numId w:val="2"/>
        </w:numPr>
        <w:rPr/>
      </w:pPr>
      <w:bookmarkStart w:id="14" w:name="__RefHeading___Toc298202_1346298689"/>
      <w:bookmarkEnd w:id="14"/>
      <w:r>
        <w:rPr/>
        <w:t>EIROPAS PILSOŅU PANEĻDISKUSIJU PĀRSTĀVJI PLENĀRSĒDĒ</w:t>
      </w:r>
    </w:p>
    <w:p>
      <w:pPr>
        <w:pStyle w:val="Corpsdetexte"/>
        <w:rPr/>
      </w:pPr>
      <w:r>
        <w:rPr/>
        <w:t>Četru Eiropas pilsoņu paneļdiskusiju pieņemtie ieteikumi pēc tam tika iesniegti un apspriesti 80 Eiropas pilsoņu paneļdiskusiju pārstāvji konferences plenārsēdē un darba grupās 2022. gada 21.–22. janvārī (2. un 3. grupa) un 2022. gada 11.–12. martā (1. un 4. grupa). Pēc tam Eiropas pilsoņu paneļdiskusiju 80 pārstāvji (vidēji 70 uz vietas un 10 tiešsaistē) trīs secīgās pilnsapulces un darba grupu sanāksmēs (25.–26. martā, 8.–9. aprīlī un 29.–30. aprīlī) turpināja popularizēt un izskaidrot Eiropas pilsoņu paneļdiskusiju ieteikumus.</w:t>
      </w:r>
    </w:p>
    <w:p>
      <w:pPr>
        <w:pStyle w:val="Corpsdetexte"/>
        <w:rPr/>
      </w:pPr>
      <w:r>
        <w:rPr/>
        <w:t>Viņi arī regulāri apmainījās viedokļiem “pilsoņu komponenta” sanāksmēs (tiešsaistes sagatavošanas sanāksmēs un plenārsēdēs uz vietas), savā starpā un ar 27 valstu pasākumu un/vai valstu paneļdiskusiju pārstāvjiem. 23. aprīlī Eiropas pilsoņu paneļdiskusiju pārstāvji tikās tiešsaistē ar visiem kolēģiem, lai paskaidrotu, kā ieteikumi tika apspriesti un iekļauti plenārsēdes priekšlikumos, un lai saņemtu atsauksmes no citiem žūrijas dalībniekiem. Kopīgā sekretariāta un konsorcija locekļu grupa plenārsēdē atbalstīja pilsoņu aspektu.</w:t>
      </w:r>
    </w:p>
    <w:p>
      <w:pPr>
        <w:pStyle w:val="Titre4"/>
        <w:numPr>
          <w:ilvl w:val="3"/>
          <w:numId w:val="2"/>
        </w:numPr>
        <w:rPr/>
      </w:pPr>
      <w:bookmarkStart w:id="15" w:name="__RefHeading___Toc298204_1346298689"/>
      <w:bookmarkEnd w:id="15"/>
      <w:r>
        <w:rPr/>
        <w:t>PROCESA PĀRREDZAMĪBA</w:t>
      </w:r>
    </w:p>
    <w:p>
      <w:pPr>
        <w:pStyle w:val="Corpsdetexte"/>
        <w:rPr/>
      </w:pPr>
      <w:r>
        <w:rPr/>
        <w:t xml:space="preserve"> </w:t>
      </w:r>
      <w:r>
        <w:rPr/>
        <w:t>Viss process tika veikts pārredzamā veidā. Eiropas pilsoņu paneļdiskusiju plenārsēdes tika straumētas tiešraidē, savukārt apspriežu un apspriežu rezultātā sagatavotie dokumenti tika publiskoti daudzvalodu digitālajā platformā. Katras paneļdiskusijas galīgais ziņojums kopā ar ieteikumiem ir pieejams platformā. Ziņojumos ir iekļauta arī informācija par visiem ekspertiem, kas atbalstīja paneļdiskusiju darbu.</w:t>
      </w:r>
    </w:p>
    <w:p>
      <w:pPr>
        <w:pStyle w:val="Corpsdetexte"/>
        <w:rPr/>
      </w:pPr>
      <w:r>
        <w:rPr/>
        <w:t>Eiropas pilsoņu paneļdiskusijām kā patiesai demokrātiskai inovācijai ir pievērsta liela uzmanība no zinātnieku aprindām. Pētnieki varēja apmeklēt Eiropas pilsoņu paneļdiskusiju sanāksmes un saskaņā ar konkrētiem noteikumiem novērot veikto darbu un dalībnieku privātumu.</w:t>
      </w:r>
    </w:p>
    <w:p>
      <w:pPr>
        <w:pStyle w:val="Corpsdetexte"/>
        <w:rPr/>
      </w:pPr>
      <w:r>
        <w:rPr/>
      </w:r>
      <w:r>
        <w:br w:type="page"/>
      </w:r>
    </w:p>
    <w:p>
      <w:pPr>
        <w:pStyle w:val="Titre4"/>
        <w:numPr>
          <w:ilvl w:val="3"/>
          <w:numId w:val="2"/>
        </w:numPr>
        <w:rPr/>
      </w:pPr>
      <w:bookmarkStart w:id="16" w:name="__RefHeading___Toc298206_1346298689"/>
      <w:bookmarkEnd w:id="16"/>
      <w:r>
        <w:rPr/>
        <w:t xml:space="preserve">1. panelis </w:t>
        <w:br/>
        <w:t>Spēcīgāka ekonomika, sociālais taisnīgums un nodarbinātība; izglītība, kultūra, jaunatne un sports; digitālā pārveide</w:t>
      </w:r>
    </w:p>
    <w:p>
      <w:pPr>
        <w:pStyle w:val="Corpsdetexte"/>
        <w:rPr/>
      </w:pPr>
      <w:r>
        <w:rPr/>
        <w:t>Grupas “Spēcīgāka ekonomika, sociālais taisnīgums un nodarbinātība” pirmā sesija; izglītība, kultūra, jaunatne un sports; digitālā pārveide" notika no 2021. gada 17. līdz 19. septembrim Strasbūrā. Šī paneļdiskusija pievērsās mūsu ekonomikas un darbvietu nākotnei, jo īpaši pēc pandēmijas, pievēršot pienācīgu uzmanību saistītajiem sociālā taisnīguma jautājumiem. Viņš arī pievērsās digitālās pārveides iespējām un izaicinājumiem, kas ir viens no svarīgākajiem tematiem diskusijās par nākotni.</w:t>
      </w:r>
    </w:p>
    <w:p>
      <w:pPr>
        <w:pStyle w:val="Corpsdetexte"/>
        <w:spacing w:before="3316" w:after="57"/>
        <w:rPr/>
      </w:pPr>
      <w:r>
        <mc:AlternateContent>
          <mc:Choice Requires="wps">
            <w:drawing>
              <wp:anchor behindDoc="0" distT="0" distB="0" distL="0" distR="0" simplePos="0" locked="0" layoutInCell="1" allowOverlap="1" relativeHeight="48">
                <wp:simplePos x="0" y="0"/>
                <wp:positionH relativeFrom="column">
                  <wp:posOffset>476885</wp:posOffset>
                </wp:positionH>
                <wp:positionV relativeFrom="paragraph">
                  <wp:posOffset>23768685</wp:posOffset>
                </wp:positionV>
                <wp:extent cx="6120765" cy="2106295"/>
                <wp:effectExtent l="0" t="0" r="0" b="0"/>
                <wp:wrapSquare wrapText="largest"/>
                <wp:docPr id="20" name="Ietvarstruktūra5"/>
                <a:graphic xmlns:a="http://schemas.openxmlformats.org/drawingml/2006/main">
                  <a:graphicData uri="http://schemas.microsoft.com/office/word/2010/wordprocessingShape">
                    <wps:wsp>
                      <wps:cNvSpPr/>
                      <wps:spPr>
                        <a:xfrm>
                          <a:off x="0" y="0"/>
                          <a:ext cx="6120000" cy="2105640"/>
                        </a:xfrm>
                        <a:prstGeom prst="rect">
                          <a:avLst/>
                        </a:prstGeom>
                        <a:solidFill>
                          <a:srgbClr val="ffffff"/>
                        </a:solidFill>
                        <a:ln>
                          <a:noFill/>
                        </a:ln>
                      </wps:spPr>
                      <wps:style>
                        <a:lnRef idx="0"/>
                        <a:fillRef idx="0"/>
                        <a:effectRef idx="0"/>
                        <a:fontRef idx="minor"/>
                      </wps:style>
                      <wps:txbx>
                        <w:txbxContent>
                          <w:p>
                            <w:pPr>
                              <w:pStyle w:val="P68B1DB1Lgende11"/>
                              <w:spacing w:before="120" w:after="120"/>
                              <w:jc w:val="left"/>
                              <w:rPr>
                                <w:color w:val="auto"/>
                              </w:rPr>
                            </w:pPr>
                            <w:r>
                              <w:rPr>
                                <w:color w:val="auto"/>
                              </w:rPr>
                              <w:drawing>
                                <wp:inline distT="0" distB="0" distL="0" distR="0">
                                  <wp:extent cx="6120130" cy="2105660"/>
                                  <wp:effectExtent l="0" t="0" r="0" b="0"/>
                                  <wp:docPr id="22" name="Attēl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ēls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Fotografēšana: Eiropas pilsoņu 1. paneļdiskusija </w:t>
                              <w:tab/>
                              <w:t>Fotografēšana: Eiropas pilsoņu 2. paneļdiskusija</w:t>
                            </w:r>
                          </w:p>
                        </w:txbxContent>
                      </wps:txbx>
                      <wps:bodyPr lIns="0" rIns="0" tIns="0" bIns="0">
                        <a:noAutofit/>
                      </wps:bodyPr>
                    </wps:wsp>
                  </a:graphicData>
                </a:graphic>
              </wp:anchor>
            </w:drawing>
          </mc:Choice>
          <mc:Fallback>
            <w:pict>
              <v:rect id="shape_0" ID="Ietvarstruktūra5" fillcolor="white" stroked="f" style="position:absolute;margin-left:37.55pt;margin-top:1871.55pt;width:481.85pt;height:165.75pt">
                <w10:wrap type="square"/>
                <v:fill o:detectmouseclick="t" type="solid" color2="black"/>
                <v:stroke color="#3465a4" joinstyle="round" endcap="flat"/>
                <v:textbox>
                  <w:txbxContent>
                    <w:p>
                      <w:pPr>
                        <w:pStyle w:val="P68B1DB1Lgende11"/>
                        <w:spacing w:before="120" w:after="120"/>
                        <w:jc w:val="left"/>
                        <w:rPr>
                          <w:color w:val="auto"/>
                        </w:rPr>
                      </w:pPr>
                      <w:r>
                        <w:rPr>
                          <w:color w:val="auto"/>
                        </w:rPr>
                        <w:drawing>
                          <wp:inline distT="0" distB="0" distL="0" distR="0">
                            <wp:extent cx="6120130" cy="2105660"/>
                            <wp:effectExtent l="0" t="0" r="0" b="0"/>
                            <wp:docPr id="23" name="Attēls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ēls8" descr=""/>
                                    <pic:cNvPicPr>
                                      <a:picLocks noChangeAspect="1" noChangeArrowheads="1"/>
                                    </pic:cNvPicPr>
                                  </pic:nvPicPr>
                                  <pic:blipFill>
                                    <a:blip r:embed="rId37"/>
                                    <a:stretch>
                                      <a:fillRect/>
                                    </a:stretch>
                                  </pic:blipFill>
                                  <pic:spPr bwMode="auto">
                                    <a:xfrm>
                                      <a:off x="0" y="0"/>
                                      <a:ext cx="6120130" cy="2105660"/>
                                    </a:xfrm>
                                    <a:prstGeom prst="rect">
                                      <a:avLst/>
                                    </a:prstGeom>
                                  </pic:spPr>
                                </pic:pic>
                              </a:graphicData>
                            </a:graphic>
                          </wp:inline>
                        </w:drawing>
                      </w:r>
                      <w:r>
                        <w:rPr>
                          <w:color w:val="auto"/>
                        </w:rPr>
                        <w:t xml:space="preserve">Fotografēšana: Eiropas pilsoņu 1. paneļdiskusija </w:t>
                        <w:tab/>
                        <w:t>Fotografēšana: Eiropas pilsoņu 2. paneļdiskusija</w:t>
                      </w:r>
                    </w:p>
                  </w:txbxContent>
                </v:textbox>
              </v:rect>
            </w:pict>
          </mc:Fallback>
        </mc:AlternateContent>
      </w:r>
      <w:r>
        <w:rPr/>
        <w:t>Paneļdiskusijā tika apspriesta arī Eiropas nākotne jaunatnes, sporta, kultūras un izglītības jomā. Paneļdiskusijā iesaistītos pilsoņus uzņēma līdzpriekšsēdētājs Guy Verhofstadt. Pirmās sesijas darbs noslēdzās, lai apstiprinātu piecus darba virzienus: “Darbs Eiropā”, “Ekonomika nākotnei”, “taisnīga sabiedrība”, “Mācīšanās Eiropā” un “Ētiska un droša digitālā pārveide”.</w:t>
      </w:r>
    </w:p>
    <w:p>
      <w:pPr>
        <w:pStyle w:val="Corpsdetexte"/>
        <w:rPr/>
      </w:pPr>
      <w:r>
        <w:rPr/>
        <w:t>No 2021. gada 5. līdz 7. novembrim 1. paneļdiskusija tikās otro reizi, šoreiz virtuālā formātā, un turpināja pirmās sesijas apspriedes. Otrajā sesijā šķīrējtiesneši izklāstīja “pamatnostādnes” izstrādāt konkrētus ieteikumus (trešajā sesijā) katrai no pirmajā sesijā noteiktajām piecām asīm. Kopumā iedzīvotāji, kas piedalījās 1. paneļdiskusijā, izveidoja 142 norādījumu grupas.</w:t>
      </w:r>
    </w:p>
    <w:p>
      <w:pPr>
        <w:pStyle w:val="Corpsdetexte"/>
        <w:rPr/>
      </w:pPr>
      <w:r>
        <w:rPr/>
        <w:t>No 2022. gada 25. līdz 27. februārim iedzīvotāji, kas piedalījās 1. paneļdiskusijā, trešo reizi tikās, turpinot 1. un 2. sesijā notikušās apspriedes. Šajā noslēguma sesijā 1. žūrijas dalībniekus Dublinas pilī rīkoja Starptautisko un Eiropas lietu institūts (IIEA) ar iespēju piedalīties tiešsaistē.</w:t>
      </w:r>
    </w:p>
    <w:p>
      <w:pPr>
        <w:pStyle w:val="Corpsdetexte"/>
        <w:rPr/>
      </w:pPr>
      <w:r>
        <w:rPr/>
        <w:t>pamatojoties uz 2. sesijā izstrādātajiem norādījumiem, iedzīvotāji izstrādāja un apstiprināja 48 galīgos ieteikumus.</w:t>
      </w:r>
    </w:p>
    <w:p>
      <w:pPr>
        <w:pStyle w:val="Titre4"/>
        <w:numPr>
          <w:ilvl w:val="3"/>
          <w:numId w:val="2"/>
        </w:numPr>
        <w:rPr/>
      </w:pPr>
      <w:bookmarkStart w:id="17" w:name="__RefHeading___Toc298208_1346298689"/>
      <w:bookmarkEnd w:id="17"/>
      <w:r>
        <w:rPr/>
        <w:t xml:space="preserve">Paneļdiskusija 2 </w:t>
        <w:br/>
        <w:t>Eiropas demokrātija; vērtības un tiesības, tiesiskums, drošība</w:t>
      </w:r>
    </w:p>
    <w:p>
      <w:pPr>
        <w:pStyle w:val="Corpsdetexte"/>
        <w:rPr/>
      </w:pPr>
      <w:r>
        <w:rPr/>
        <w:t>Paneļdiskusijas “Eiropas demokrātija” 1. sesija; vērtības un tiesības, tiesiskums, drošība" notika no 24. līdz 26. septembrim Strasbūrā. Paneļdiskusijā galvenā uzmanība tika pievērsta jautājumiem, kas saistīti ar demokrātiju, piemēram, vēlēšanām, līdzdalībai ārpus vēlēšanu periodiem, šķietamajam attālumam starp pilsoņiem un viņu ievēlētajiem pārstāvjiem, plašsaziņas līdzekļu brīvībai un dezinformācijai. Tā pievērsās arī jautājumiem, kas saistīti ar pamattiesībām un vērtībām, tiesiskumu un cīņu pret visu veidu diskrimināciju. Tajā pašā laikā viņš pievērsās ES iekšējai drošībai, piemēram, Eiropas iedzīvotāju aizsardzībai pret terora aktiem un citiem noziegumiem. Referentus sveica līdzpriekšsēdētājs Gašper Dovžan.</w:t>
      </w:r>
    </w:p>
    <w:p>
      <w:pPr>
        <w:pStyle w:val="Corpsdetexte"/>
        <w:rPr/>
      </w:pPr>
      <w:r>
        <w:rPr/>
        <w:t>Šīs pirmās sesijas darbs noslēdzās, lai apstiprinātu piecus darba virzienus: “Tiesību ievērošanas un nediskriminācijas nodrošināšana”, “Demokrātijas un tiesiskuma aizsardzība”, “ES reforma”, “Eiropas identitātes veidošana” un “Pilsoņu līdzdalības stiprināšana”.</w:t>
      </w:r>
    </w:p>
    <w:p>
      <w:pPr>
        <w:pStyle w:val="Corpsdetexte"/>
        <w:rPr/>
      </w:pPr>
      <w:r>
        <w:rPr/>
        <w:t>No 2021. gada 12. līdz 14. novembrim 2. paneļdiskusija otro reizi tikās virtuālā formātā un turpināja pirmās sesijas apspriedes. Otrajā sesijā šķīrējtiesneši izklāstīja “pamatnostādnes” izstrādāt konkrētus ieteikumus (trešajā sesijā) katrai no pirmajā sesijā noteiktajām piecām asīm. Kopumā iedzīvotāji, kas piedalījās 2. paneļdiskusijā, izveidoja 124 norādījumu grupas.</w:t>
      </w:r>
    </w:p>
    <w:p>
      <w:pPr>
        <w:pStyle w:val="Corpsdetexte"/>
        <w:rPr/>
      </w:pPr>
      <w:r>
        <w:rPr/>
        <w:t>2021. gada 10.–12. decembrī iedzīvotāji, kas piedalījās 2. paneļdiskusijā, tikās Eiropas Universitātes institūtā Florencē rīkotajā noslēguma sesijā ar iespēju piedalīties tiešsaistē. Pamatojoties uz 2. sesijā izstrādātajiem norādījumiem, iedzīvotāji izstrādāja un apstiprināja 39 galīgos ieteikumus.</w:t>
      </w:r>
    </w:p>
    <w:p>
      <w:pPr>
        <w:pStyle w:val="Titre4"/>
        <w:numPr>
          <w:ilvl w:val="3"/>
          <w:numId w:val="2"/>
        </w:numPr>
        <w:rPr/>
      </w:pPr>
      <w:bookmarkStart w:id="18" w:name="__RefHeading___Toc298210_1346298689"/>
      <w:bookmarkEnd w:id="18"/>
      <w:r>
        <w:rPr/>
        <w:t>Paneļdiskusija “Klimata pārmaiņas un vide”; veselība un veselība</w:t>
      </w:r>
    </w:p>
    <w:p>
      <w:pPr>
        <w:pStyle w:val="Corpsdetexte"/>
        <w:rPr/>
      </w:pPr>
      <w:r>
        <w:rPr/>
        <w:t>Ekspertu grupa “Klimata pārmaiņas un vide”; veselība" pirmā sesija notika no 1.</w:t>
      </w:r>
      <w:r>
        <w:rPr>
          <w:vertAlign w:val="superscript"/>
        </w:rPr>
        <w:t>līdz</w:t>
      </w:r>
      <w:r>
        <w:rPr/>
        <w:t xml:space="preserve"> 3. oktobrim Strasbūrā. Paneļdiskusijā galvenā uzmanība tika pievērsta klimata pārmaiņu ietekmei, vides jautājumiem un jaunām veselības problēmām Eiropas Savienībā. Tā aptvēra arī ES mērķus un stratēģijas, piemēram, lauksaimniecību, transportu un mobilitāti, enerģētiku un pāreju uz sabiedrību pēc oglekļa dioksīda emisijas, pētniecību, veselības aprūpes sistēmas, reaģēšanu uz veselības krīzēm, profilaksi un veselīgu dzīvesveidu. Šīs pirmās sesijas darbs tika pabeigts, lai apstiprinātu piecas darba jomas: “Labāks dzīvesveids”, “Vides un veselības aizsardzība”, “Pārorientējot ekonomiku un patēriņu”, “Ceļā uz ilgtspējīgu sabiedrību” un “Rūpēties par visiem”. Sesijas galīgais ziņojums ir pieejams daudzvalodu digitālajā platformā.</w:t>
      </w:r>
    </w:p>
    <w:p>
      <w:pPr>
        <w:pStyle w:val="Corpsdetexte"/>
        <w:rPr/>
      </w:pPr>
      <w:r>
        <w:rPr/>
        <w:t>2021. gada 19.–21. novembrī 3. paneļdiskusija tikās otro reizi, šoreiz virtuālā formātā, lai turpinātu pirmās sesijas apspriedes. Otrajā sesijā šķīrējtiesneši izklāstīja “pamatnostādnes” izstrādāt konkrētus ieteikumus (trešajā sesijā) katrai no pirmajā sesijā noteiktajām piecām asīm. Kopumā iedzīvotāji, kas piedalījās 3. paneļdiskusijā, izveidoja 130 norādījumu grupas.</w:t>
      </w:r>
    </w:p>
    <w:p>
      <w:pPr>
        <w:pStyle w:val="Corpsdetexte"/>
        <w:rPr/>
      </w:pPr>
      <w:r>
        <w:rPr/>
        <w:t>No 2022. gada 7. līdz 9. janvārim 3. žūrijas iedzīvotāji ar Varšavas pilsētas atbalstu pulcējās noslēguma sesijā, ko viņi organizēja Eiropas Koledžā Natolinā un Kultūras un zinātnes pilī. Bija iespējams piedalīties tiešsaistē. Pamatojoties uz norādījumiem, ko viņi izstrādāja 2. sesijā kā sava darba pamatu, iedzīvotāji izstrādāja un apstiprināja 51 galīgo ieteikumu.</w:t>
      </w:r>
    </w:p>
    <w:p>
      <w:pPr>
        <w:pStyle w:val="Titre4"/>
        <w:numPr>
          <w:ilvl w:val="3"/>
          <w:numId w:val="2"/>
        </w:numPr>
        <w:rPr/>
      </w:pPr>
      <w:bookmarkStart w:id="19" w:name="__RefHeading___Toc298212_1346298689"/>
      <w:bookmarkEnd w:id="19"/>
      <w:r>
        <w:rPr/>
        <w:t>Paneļdiskusija “ES pasaulē”; migrēšana</w:t>
      </w:r>
    </w:p>
    <w:p>
      <w:pPr>
        <w:pStyle w:val="Corpsdetexte"/>
        <w:rPr/>
      </w:pPr>
      <w:r>
        <w:rPr/>
        <mc:AlternateContent>
          <mc:Choice Requires="wps">
            <w:drawing>
              <wp:anchor behindDoc="0" distT="0" distB="0" distL="0" distR="0" simplePos="0" locked="0" layoutInCell="1" allowOverlap="1" relativeHeight="25">
                <wp:simplePos x="0" y="0"/>
                <wp:positionH relativeFrom="column">
                  <wp:align>center</wp:align>
                </wp:positionH>
                <wp:positionV relativeFrom="paragraph">
                  <wp:posOffset>635</wp:posOffset>
                </wp:positionV>
                <wp:extent cx="2971165" cy="2242185"/>
                <wp:effectExtent l="0" t="0" r="0" b="0"/>
                <wp:wrapSquare wrapText="largest"/>
                <wp:docPr id="24" name="Ietvarstruktūra6"/>
                <a:graphic xmlns:a="http://schemas.openxmlformats.org/drawingml/2006/main">
                  <a:graphicData uri="http://schemas.microsoft.com/office/word/2010/wordprocessingShape">
                    <wps:wsp>
                      <wps:cNvSpPr/>
                      <wps:spPr>
                        <a:xfrm>
                          <a:off x="0" y="0"/>
                          <a:ext cx="2970360" cy="22417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3905"/>
                                  <wp:effectExtent l="0" t="0" r="0" b="0"/>
                                  <wp:docPr id="26" name="Attēl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ttēls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Fotografēšana: Eiropas pilsoņu 3. paneļdiskusija</w:t>
                            </w:r>
                          </w:p>
                        </w:txbxContent>
                      </wps:txbx>
                      <wps:bodyPr lIns="0" rIns="0" tIns="0" bIns="0">
                        <a:noAutofit/>
                      </wps:bodyPr>
                    </wps:wsp>
                  </a:graphicData>
                </a:graphic>
              </wp:anchor>
            </w:drawing>
          </mc:Choice>
          <mc:Fallback>
            <w:pict>
              <v:rect id="shape_0" ID="Ietvarstruktūra6" fillcolor="white" stroked="f" style="position:absolute;margin-left:0pt;margin-top:0.05pt;width:233.85pt;height:17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3905"/>
                            <wp:effectExtent l="0" t="0" r="0" b="0"/>
                            <wp:docPr id="27" name="Attēls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tēls9" descr=""/>
                                    <pic:cNvPicPr>
                                      <a:picLocks noChangeAspect="1" noChangeArrowheads="1"/>
                                    </pic:cNvPicPr>
                                  </pic:nvPicPr>
                                  <pic:blipFill>
                                    <a:blip r:embed="rId38"/>
                                    <a:stretch>
                                      <a:fillRect/>
                                    </a:stretch>
                                  </pic:blipFill>
                                  <pic:spPr bwMode="auto">
                                    <a:xfrm>
                                      <a:off x="0" y="0"/>
                                      <a:ext cx="2970530" cy="2033905"/>
                                    </a:xfrm>
                                    <a:prstGeom prst="rect">
                                      <a:avLst/>
                                    </a:prstGeom>
                                  </pic:spPr>
                                </pic:pic>
                              </a:graphicData>
                            </a:graphic>
                          </wp:inline>
                        </w:drawing>
                      </w:r>
                      <w:r>
                        <w:rPr>
                          <w:color w:val="auto"/>
                        </w:rPr>
                        <w:t>Fotografēšana: Eiropas pilsoņu 3. paneļdiskusija</w:t>
                      </w:r>
                    </w:p>
                  </w:txbxContent>
                </v:textbox>
              </v:rect>
            </w:pict>
          </mc:Fallback>
        </mc:AlternateContent>
      </w:r>
    </w:p>
    <w:p>
      <w:pPr>
        <w:pStyle w:val="Corpsdetexte"/>
        <w:rPr/>
      </w:pPr>
      <w:r>
        <w:rPr/>
        <w:t>Ceturtā paneļdiskusija “ES pasaulē”; migrācija" pirmo reizi tikās no 15. līdz 17. oktobrim Strasbūrā, kuras laikā dalībnieki jo īpaši apsprieda ES lomu starptautiskajā arēnā.</w:t>
      </w:r>
    </w:p>
    <w:p>
      <w:pPr>
        <w:pStyle w:val="Corpsdetexte"/>
        <w:rPr/>
      </w:pPr>
      <w:r>
        <mc:AlternateContent>
          <mc:Choice Requires="wps">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2570480" cy="2101215"/>
                <wp:effectExtent l="0" t="0" r="0" b="0"/>
                <wp:wrapTopAndBottom/>
                <wp:docPr id="28" name="Ietvarstruktūra7"/>
                <a:graphic xmlns:a="http://schemas.openxmlformats.org/drawingml/2006/main">
                  <a:graphicData uri="http://schemas.microsoft.com/office/word/2010/wordprocessingShape">
                    <wps:wsp>
                      <wps:cNvSpPr/>
                      <wps:spPr>
                        <a:xfrm>
                          <a:off x="0" y="0"/>
                          <a:ext cx="2569680" cy="210060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6445"/>
                                  <wp:effectExtent l="0" t="0" r="0" b="0"/>
                                  <wp:docPr id="30" name="Attēl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ēls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Fotografēšana: Eiropas pilsoņu 4. paneļdiskusija</w:t>
                              <w:br/>
                            </w:r>
                          </w:p>
                        </w:txbxContent>
                      </wps:txbx>
                      <wps:bodyPr lIns="0" rIns="0" tIns="0" bIns="0">
                        <a:noAutofit/>
                      </wps:bodyPr>
                    </wps:wsp>
                  </a:graphicData>
                </a:graphic>
              </wp:anchor>
            </w:drawing>
          </mc:Choice>
          <mc:Fallback>
            <w:pict>
              <v:rect id="shape_0" ID="Ietvarstruktūra7" fillcolor="white" stroked="f" style="position:absolute;margin-left:15.75pt;margin-top:0.05pt;width:202.3pt;height:165.3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6445"/>
                            <wp:effectExtent l="0" t="0" r="0" b="0"/>
                            <wp:docPr id="31" name="Attēls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tēls10" descr=""/>
                                    <pic:cNvPicPr>
                                      <a:picLocks noChangeAspect="1" noChangeArrowheads="1"/>
                                    </pic:cNvPicPr>
                                  </pic:nvPicPr>
                                  <pic:blipFill>
                                    <a:blip r:embed="rId39"/>
                                    <a:stretch>
                                      <a:fillRect/>
                                    </a:stretch>
                                  </pic:blipFill>
                                  <pic:spPr bwMode="auto">
                                    <a:xfrm>
                                      <a:off x="0" y="0"/>
                                      <a:ext cx="2970530" cy="2036445"/>
                                    </a:xfrm>
                                    <a:prstGeom prst="rect">
                                      <a:avLst/>
                                    </a:prstGeom>
                                  </pic:spPr>
                                </pic:pic>
                              </a:graphicData>
                            </a:graphic>
                          </wp:inline>
                        </w:drawing>
                      </w:r>
                      <w:r>
                        <w:rPr>
                          <w:color w:val="auto"/>
                        </w:rPr>
                        <w:t>Fotografēšana: Eiropas pilsoņu 4. paneļdiskusija</w:t>
                        <w:br/>
                      </w:r>
                    </w:p>
                  </w:txbxContent>
                </v:textbox>
              </v:rect>
            </w:pict>
          </mc:Fallback>
        </mc:AlternateContent>
      </w:r>
      <w:r>
        <w:rPr/>
        <w:t>Jo īpaši tika apspriesti ES mērķi un stratēģijas drošības, aizsardzības, tirdzniecības politikas, humānās palīdzības un attīstības sadarbības, ārpolitikas, ES kaimiņattiecību politikas un paplašināšanās jomā, kā arī tas, kā ES būtu jārīkojas migrācijas jomā. Līdzpriekšsēdētāja Dubravka Šuica uzņēma pilsoņus. Šīs pirmās sesijas darbs noslēdzās, lai apstiprinātu piecus darba virzienus: “Pašpietiekamība un stabilitāte”, “ES kā starptautisks partneris”, “Spēcīga ES pasaulē, kurā valda miers”, “Migrācija no cilvēciskā viedokļa” un “Atbildība un solidaritāte visā ES”. Sesijas galīgais ziņojums ir pieejams daudzvalodu digitālajā platformā.</w:t>
      </w:r>
    </w:p>
    <w:p>
      <w:pPr>
        <w:pStyle w:val="Corpsdetexte"/>
        <w:rPr/>
      </w:pPr>
      <w:r>
        <w:rPr/>
        <w:t>2021. gada 16.–28. novembrī 4. paneļdiskusija rīkoja otro tiešsaistes sesiju, pamatojoties uz pirmajā sesijā paveikto darbu. Otrajā sesijā šķīrējtiesneši izklāstīja “pamatnostādnes” izstrādāt konkrētus ieteikumus (trešajā sesijā) katrai no pirmajā sesijā noteiktajām piecām asīm. Kopumā 4. paneļdiskusijā piedalījās 95 orientējošās grupas.</w:t>
      </w:r>
    </w:p>
    <w:p>
      <w:pPr>
        <w:pStyle w:val="Corpsdetexte"/>
        <w:rPr/>
      </w:pPr>
      <w:r>
        <w:rPr/>
        <w:t>No 2022. gada 11. līdz 13. februārim 4. paneļdiskusija pulcējās noslēguma sesijā, ko Māstrihtas izstāžu un konferenču centrā (MECC) organizēja Studio Europa Māstrihta sadarbībā ar Māstrihtas Universitāti un Eiropas Publiskās pārvaldes institūtu (IEAP). Bija iespējams piedalīties tiešsaistē.</w:t>
      </w:r>
    </w:p>
    <w:p>
      <w:pPr>
        <w:pStyle w:val="Corpsdetexte"/>
        <w:rPr/>
      </w:pPr>
      <w:r>
        <w:rPr/>
        <w:t>pamatojoties uz 2. sesijā izstrādātajiem norādījumiem, iedzīvotāji izstrādāja un apstiprināja 40 galīgos ieteikumus.</w:t>
      </w:r>
    </w:p>
    <w:p>
      <w:pPr>
        <w:pStyle w:val="Normal"/>
        <w:rPr/>
      </w:pPr>
      <w:r>
        <w:rPr/>
      </w:r>
    </w:p>
    <w:p>
      <w:pPr>
        <w:pStyle w:val="Titre3"/>
        <w:numPr>
          <w:ilvl w:val="2"/>
          <w:numId w:val="2"/>
        </w:numPr>
        <w:rPr/>
      </w:pPr>
      <w:bookmarkStart w:id="20" w:name="__RefHeading___Toc298214_1346298689"/>
      <w:bookmarkEnd w:id="20"/>
      <w:r>
        <w:rPr/>
        <w:t>2.</w:t>
        <w:tab/>
        <w:t>Valstu pilsoņu paneļdiskusija</w:t>
      </w:r>
    </w:p>
    <w:p>
      <w:pPr>
        <w:pStyle w:val="Corpsdetexte"/>
        <w:rPr/>
      </w:pPr>
      <w:r>
        <w:rPr/>
        <w:t>Saskaņā ar kopīgo deklarāciju konferences plenārsēdē tika apspriesti valstu un Eiropas pilsoņu paneļdiskusiju ieteikumi, kas sagrupēti pa tematiem. Lai palīdzētu dalībvalstīm, kas plāno organizēt valstu pilsoņu paneļdiskusijus, līdzpriekšsēdētāji apstiprināja pamatnostādnes un 2021. gada 26. maijā nosūtīja Valdei. Tie ievēroja tos pašus principus kā Eiropas pilsoņu paneļdiskusijās un ietvēra labas apspriešanas principus, pamatojoties uz ESAO ziņojumu</w:t>
      </w:r>
      <w:r>
        <w:rPr>
          <w:rStyle w:val="Ancredenotedebasdepage"/>
          <w:rStyle w:val="Ancredenotedebasdepage"/>
        </w:rPr>
        <w:footnoteReference w:id="5"/>
      </w:r>
      <w:r>
        <w:rPr/>
        <w:t>.</w:t>
      </w:r>
    </w:p>
    <w:p>
      <w:pPr>
        <w:pStyle w:val="Corpsdetexte"/>
        <w:rPr/>
      </w:pPr>
      <w:r>
        <w:rPr/>
        <w:t>Sešas dalībvalstis — Beļģija, Francija, Vācija, Itālija, Lietuva un Nīderlande — organizēja valstu pilsoņu paneļdiskusiju, ievērojot šajās pamatnostādnēs izklāstītos principus. Šo valstu pilsoņu paneļdiskusiju ieteikumi tika prezentēti un apspriesti janvāra un marta plenārsēdēs, kā arī plenārsēžu darba grupās līdztekus Eiropas pilsoņu paneļdiskusiju ieteikumiem par tiem pašiem tematiem.</w:t>
      </w:r>
    </w:p>
    <w:p>
      <w:pPr>
        <w:pStyle w:val="Titre4"/>
        <w:numPr>
          <w:ilvl w:val="3"/>
          <w:numId w:val="2"/>
        </w:numPr>
        <w:rPr/>
      </w:pPr>
      <w:bookmarkStart w:id="21" w:name="__RefHeading___Toc298216_1346298689"/>
      <w:bookmarkEnd w:id="21"/>
      <w:r>
        <w:rPr/>
        <w:t>1)</w:t>
        <w:tab/>
        <w:t>BEĻĢIJA</w:t>
      </w:r>
    </w:p>
    <w:p>
      <w:pPr>
        <w:pStyle w:val="Normal"/>
        <w:rPr/>
      </w:pPr>
      <w:r>
        <w:rPr/>
        <mc:AlternateContent>
          <mc:Choice Requires="wps">
            <w:drawing>
              <wp:anchor behindDoc="0" distT="0" distB="0" distL="0" distR="0" simplePos="0" locked="0" layoutInCell="1" allowOverlap="1" relativeHeight="16">
                <wp:simplePos x="0" y="0"/>
                <wp:positionH relativeFrom="column">
                  <wp:align>center</wp:align>
                </wp:positionH>
                <wp:positionV relativeFrom="paragraph">
                  <wp:posOffset>635</wp:posOffset>
                </wp:positionV>
                <wp:extent cx="2783205" cy="2115185"/>
                <wp:effectExtent l="0" t="0" r="0" b="0"/>
                <wp:wrapSquare wrapText="largest"/>
                <wp:docPr id="32" name="Ietvarstruktūra8"/>
                <a:graphic xmlns:a="http://schemas.openxmlformats.org/drawingml/2006/main">
                  <a:graphicData uri="http://schemas.microsoft.com/office/word/2010/wordprocessingShape">
                    <wps:wsp>
                      <wps:cNvSpPr/>
                      <wps:spPr>
                        <a:xfrm>
                          <a:off x="0" y="0"/>
                          <a:ext cx="2782440" cy="211464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34" name="Fotoattēl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otoattēls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Fotoattēls: Beļģijas pilsoņu paneļdiskusija</w:t>
                            </w:r>
                          </w:p>
                        </w:txbxContent>
                      </wps:txbx>
                      <wps:bodyPr lIns="0" rIns="0" tIns="0" bIns="0">
                        <a:noAutofit/>
                      </wps:bodyPr>
                    </wps:wsp>
                  </a:graphicData>
                </a:graphic>
              </wp:anchor>
            </w:drawing>
          </mc:Choice>
          <mc:Fallback>
            <w:pict>
              <v:rect id="shape_0" ID="Ietvarstruktūra8" fillcolor="white" stroked="f" style="position:absolute;margin-left:7.4pt;margin-top:0.05pt;width:219.05pt;height:166.4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35" name="Fotoattēls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otoattēls11" descr=""/>
                                    <pic:cNvPicPr>
                                      <a:picLocks noChangeAspect="1" noChangeArrowheads="1"/>
                                    </pic:cNvPicPr>
                                  </pic:nvPicPr>
                                  <pic:blipFill>
                                    <a:blip r:embed="rId40"/>
                                    <a:stretch>
                                      <a:fillRect/>
                                    </a:stretch>
                                  </pic:blipFill>
                                  <pic:spPr bwMode="auto">
                                    <a:xfrm>
                                      <a:off x="0" y="0"/>
                                      <a:ext cx="2970530" cy="2035810"/>
                                    </a:xfrm>
                                    <a:prstGeom prst="rect">
                                      <a:avLst/>
                                    </a:prstGeom>
                                  </pic:spPr>
                                </pic:pic>
                              </a:graphicData>
                            </a:graphic>
                          </wp:inline>
                        </w:drawing>
                      </w:r>
                      <w:r>
                        <w:rPr>
                          <w:color w:val="auto"/>
                        </w:rPr>
                        <w:t>Fotoattēls: Beļģijas pilsoņu paneļdiskusija</w:t>
                      </w:r>
                    </w:p>
                  </w:txbxContent>
                </v:textbox>
              </v:rect>
            </w:pict>
          </mc:Fallback>
        </mc:AlternateContent>
      </w:r>
    </w:p>
    <w:p>
      <w:pPr>
        <w:pStyle w:val="Corpsdetexte"/>
        <w:rPr/>
      </w:pPr>
      <w:r>
        <w:rPr/>
        <w:t>2021. gada oktobrī pilsoņu paneļdiskusijā trīs nedēļas nogalēs pulcējās 50 nejauši atlasīti iedzīvotāji, kas pārstāvēja visus iedzīvotājus, lai apspriestu tematu par Eiropas demokrātiju un to, kā pilsoņi varētu vairāk iesaistīties Eiropas lietās.</w:t>
      </w:r>
    </w:p>
    <w:p>
      <w:pPr>
        <w:pStyle w:val="Corpsdetexte"/>
        <w:rPr/>
      </w:pPr>
      <w:r>
        <w:rPr/>
        <w:t>Šī paneļdiskusija tika organizēta Beļģijas premjerministra vietnieka un ārlietu un Eiropas lietu ministra Sophie Wilmès aizgādībā.</w:t>
      </w:r>
    </w:p>
    <w:p>
      <w:pPr>
        <w:pStyle w:val="Corpsdetexte"/>
        <w:rPr/>
      </w:pPr>
      <w:r>
        <w:rPr/>
        <w:t>Iedzīvotāji sniedza ieteikumus par piecām tēmām, ko viņi bija izvēlējušies, proti:</w:t>
      </w:r>
    </w:p>
    <w:p>
      <w:pPr>
        <w:pStyle w:val="Alineanegatifpuce"/>
        <w:numPr>
          <w:ilvl w:val="0"/>
          <w:numId w:val="3"/>
        </w:numPr>
        <w:rPr/>
      </w:pPr>
      <w:r>
        <w:rPr/>
        <w:t xml:space="preserve"> </w:t>
      </w:r>
      <w:r>
        <w:rPr/>
        <w:t>uzlabot saziņu par Eiropas Savienību,</w:t>
      </w:r>
    </w:p>
    <w:p>
      <w:pPr>
        <w:pStyle w:val="Alineanegatifpuce"/>
        <w:numPr>
          <w:ilvl w:val="0"/>
          <w:numId w:val="3"/>
        </w:numPr>
        <w:rPr/>
      </w:pPr>
      <w:r>
        <w:rPr/>
        <w:t xml:space="preserve"> </w:t>
      </w:r>
      <w:r>
        <w:rPr/>
        <w:t>apzināt un apkarot dezinformāciju par ES,</w:t>
      </w:r>
    </w:p>
    <w:p>
      <w:pPr>
        <w:pStyle w:val="Alineanegatifpuce"/>
        <w:numPr>
          <w:ilvl w:val="0"/>
          <w:numId w:val="3"/>
        </w:numPr>
        <w:rPr/>
      </w:pPr>
      <w:r>
        <w:rPr/>
        <w:t xml:space="preserve"> </w:t>
      </w:r>
      <w:r>
        <w:rPr/>
        <w:t>pilsoņu paneļdiskusijām kā līdzdalības līdzekli,</w:t>
      </w:r>
    </w:p>
    <w:p>
      <w:pPr>
        <w:pStyle w:val="Alineanegatifpuce"/>
        <w:numPr>
          <w:ilvl w:val="0"/>
          <w:numId w:val="3"/>
        </w:numPr>
        <w:rPr/>
      </w:pPr>
      <w:r>
        <w:rPr/>
        <w:t xml:space="preserve"> </w:t>
      </w:r>
      <w:r>
        <w:rPr/>
        <w:t>referendums Eiropas lietās,</w:t>
      </w:r>
    </w:p>
    <w:p>
      <w:pPr>
        <w:pStyle w:val="Alineanegatifpuce"/>
        <w:numPr>
          <w:ilvl w:val="0"/>
          <w:numId w:val="3"/>
        </w:numPr>
        <w:rPr/>
      </w:pPr>
      <w:r>
        <w:rPr/>
        <w:t xml:space="preserve"> </w:t>
      </w:r>
      <w:r>
        <w:rPr/>
        <w:t>uzlabot esošos līdzdalības instrumentus Eiropas Savienībā.</w:t>
      </w:r>
    </w:p>
    <w:p>
      <w:pPr>
        <w:pStyle w:val="Corpsdetexte"/>
        <w:rPr/>
      </w:pPr>
      <w:r>
        <w:rPr/>
        <w:t>Beļģijas pilsoņu paneļdiskusijā tika sagatavoti 115 ieteikumi, kurus izstrādāja, apsprieda un par kuriem balsoja 50 nejauši izvēlēti Beļģijas pilsoņi.</w:t>
      </w:r>
    </w:p>
    <w:p>
      <w:pPr>
        <w:pStyle w:val="Corpsdetexte"/>
        <w:rPr/>
      </w:pPr>
      <w:r>
        <w:rPr/>
      </w:r>
    </w:p>
    <w:p>
      <w:pPr>
        <w:pStyle w:val="Titre4"/>
        <w:numPr>
          <w:ilvl w:val="3"/>
          <w:numId w:val="2"/>
        </w:numPr>
        <w:rPr/>
      </w:pPr>
      <w:bookmarkStart w:id="22" w:name="__RefHeading___Toc298218_1346298689"/>
      <w:bookmarkEnd w:id="22"/>
      <w:r>
        <w:rPr/>
        <w:t>2)</w:t>
        <w:tab/>
        <w:t>VĀCIJA</w:t>
      </w:r>
    </w:p>
    <w:p>
      <w:pPr>
        <w:pStyle w:val="Corpsdetexte"/>
        <w:rPr/>
      </w:pPr>
      <w:r>
        <w:rPr/>
        <w:t>2022. gada janvārī Vācijas Ārlietu ministrija organizēja nacionālo pilsoņu paneļdiskusiju. Šajā tiešsaistes panelī piedalījās 100 nejauši atlasīti iedzīvotāji, kas pārstāv iedzīvotājus.</w:t>
      </w:r>
    </w:p>
    <w:p>
      <w:pPr>
        <w:pStyle w:val="Corpsdetexte"/>
        <w:rPr/>
      </w:pPr>
      <w:r>
        <w:rPr/>
        <w:t>2022. gada 5. un 8. janvārī tiešsaistē tika organizēti pieci atklāšanas darbsemināri, kuros piedalījās 20 dalībnieki par šādām tēmām:</w:t>
      </w:r>
    </w:p>
    <w:p>
      <w:pPr>
        <w:pStyle w:val="Corpsdetexte"/>
        <w:rPr/>
      </w:pPr>
      <w:r>
        <w:rPr/>
        <w:t>Eiropas loma pasaulē, klimats un vide,</w:t>
      </w:r>
    </w:p>
    <w:p>
      <w:pPr>
        <w:pStyle w:val="Corpsdetexte"/>
        <w:rPr/>
      </w:pPr>
      <w:r>
        <w:rPr/>
        <w:t xml:space="preserve">— </w:t>
      </w:r>
      <w:r>
        <w:rPr/>
        <w:t>tiesiskums un vērtības,</w:t>
      </w:r>
    </w:p>
    <w:p>
      <w:pPr>
        <w:pStyle w:val="Corpsdetexte"/>
        <w:rPr/>
      </w:pPr>
      <w:r>
        <w:rPr/>
        <w:t>spēcīgāka ekonomika un sociālais taisnīgums.</w:t>
      </w:r>
    </w:p>
    <w:p>
      <w:pPr>
        <w:pStyle w:val="Corpsdetexte"/>
        <w:rPr/>
      </w:pPr>
      <w:r>
        <w:rPr/>
        <mc:AlternateContent>
          <mc:Choice Requires="wps">
            <w:drawing>
              <wp:anchor behindDoc="0" distT="0" distB="0" distL="0" distR="0" simplePos="0" locked="0" layoutInCell="1" allowOverlap="1" relativeHeight="2">
                <wp:simplePos x="0" y="0"/>
                <wp:positionH relativeFrom="column">
                  <wp:align>center</wp:align>
                </wp:positionH>
                <wp:positionV relativeFrom="paragraph">
                  <wp:posOffset>635</wp:posOffset>
                </wp:positionV>
                <wp:extent cx="2971165" cy="2132965"/>
                <wp:effectExtent l="0" t="0" r="0" b="0"/>
                <wp:wrapSquare wrapText="largest"/>
                <wp:docPr id="36" name="Ietvarstruktūra15"/>
                <a:graphic xmlns:a="http://schemas.openxmlformats.org/drawingml/2006/main">
                  <a:graphicData uri="http://schemas.microsoft.com/office/word/2010/wordprocessingShape">
                    <wps:wsp>
                      <wps:cNvSpPr/>
                      <wps:spPr>
                        <a:xfrm>
                          <a:off x="0" y="0"/>
                          <a:ext cx="2970360" cy="213228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1900555"/>
                                  <wp:effectExtent l="0" t="0" r="0" b="0"/>
                                  <wp:docPr id="38" name="Attēl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ēls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Fotografēšana: Vācijas pilsoņu paneļdiskusija</w:t>
                            </w:r>
                          </w:p>
                        </w:txbxContent>
                      </wps:txbx>
                      <wps:bodyPr lIns="0" rIns="0" tIns="0" bIns="0">
                        <a:noAutofit/>
                      </wps:bodyPr>
                    </wps:wsp>
                  </a:graphicData>
                </a:graphic>
              </wp:anchor>
            </w:drawing>
          </mc:Choice>
          <mc:Fallback>
            <w:pict>
              <v:rect id="shape_0" ID="Ietvarstruktūra15" fillcolor="white" stroked="f" style="position:absolute;margin-left:0pt;margin-top:0.05pt;width:233.85pt;height:167.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1900555"/>
                            <wp:effectExtent l="0" t="0" r="0" b="0"/>
                            <wp:docPr id="39" name="Attēls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tēls7" descr=""/>
                                    <pic:cNvPicPr>
                                      <a:picLocks noChangeAspect="1" noChangeArrowheads="1"/>
                                    </pic:cNvPicPr>
                                  </pic:nvPicPr>
                                  <pic:blipFill>
                                    <a:blip r:embed="rId41"/>
                                    <a:stretch>
                                      <a:fillRect/>
                                    </a:stretch>
                                  </pic:blipFill>
                                  <pic:spPr bwMode="auto">
                                    <a:xfrm>
                                      <a:off x="0" y="0"/>
                                      <a:ext cx="2970530" cy="1900555"/>
                                    </a:xfrm>
                                    <a:prstGeom prst="rect">
                                      <a:avLst/>
                                    </a:prstGeom>
                                  </pic:spPr>
                                </pic:pic>
                              </a:graphicData>
                            </a:graphic>
                          </wp:inline>
                        </w:drawing>
                      </w:r>
                      <w:r>
                        <w:rPr>
                          <w:vanish/>
                          <w:color w:val="auto"/>
                        </w:rPr>
                        <w:br/>
                      </w:r>
                      <w:r>
                        <w:rPr>
                          <w:color w:val="auto"/>
                        </w:rPr>
                        <w:t>Fotografēšana: Vācijas pilsoņu paneļdiskusija</w:t>
                      </w:r>
                    </w:p>
                  </w:txbxContent>
                </v:textbox>
              </v:rect>
            </w:pict>
          </mc:Fallback>
        </mc:AlternateContent>
      </w:r>
    </w:p>
    <w:p>
      <w:pPr>
        <w:pStyle w:val="Corpsdetexte"/>
        <w:rPr/>
      </w:pPr>
      <w:r>
        <w:rPr/>
        <w:t>100 nejauši atlasītie iedzīvotāji tikās 2022. gada 15. un 16. janvārī, lai apspriestu problēmas, kas saistītas ar šiem jautājumiem un iespējamiem risinājumiem, un pieņēma savus ieteikumus. Dalībnieki izstrādāja divus konkrētus priekšlikumus par katru no iepriekš minētajiem tematiem.</w:t>
      </w:r>
    </w:p>
    <w:p>
      <w:pPr>
        <w:pStyle w:val="Corpsdetexte"/>
        <w:rPr/>
      </w:pPr>
      <w:r>
        <w:rPr/>
        <w:t>Rezultāti tika prezentēti 16. janvārī noslēguma tiešsaistes konferencē, kurā piedalījās Vācijas ārlietu ministre Annalena Baerbock un Eiropas un klimata ministra vietniece Anna Lührmann.</w:t>
      </w:r>
    </w:p>
    <w:p>
      <w:pPr>
        <w:pStyle w:val="Corpsdetexte"/>
        <w:rPr/>
      </w:pPr>
      <w:r>
        <w:rPr/>
      </w:r>
    </w:p>
    <w:p>
      <w:pPr>
        <w:pStyle w:val="Titre4"/>
        <w:numPr>
          <w:ilvl w:val="3"/>
          <w:numId w:val="2"/>
        </w:numPr>
        <w:rPr/>
      </w:pPr>
      <w:bookmarkStart w:id="23" w:name="__RefHeading___Toc298220_1346298689"/>
      <w:bookmarkEnd w:id="23"/>
      <w:r>
        <w:rPr/>
        <w:t>3)</w:t>
        <w:tab/>
        <w:t>FRANCIJA</w:t>
      </w:r>
    </w:p>
    <w:p>
      <w:pPr>
        <w:pStyle w:val="Corpsdetexte"/>
        <w:rPr/>
      </w:pPr>
      <w:r>
        <w:rPr/>
        <w:t>Pilsoņu paneļdiskusijus Francijā organizēja Francijas Eiropas un Ārlietu ministrija ar Saistību ar parlamentu un pilsoņu līdzdalības ministrijas atbalstu.</w:t>
      </w:r>
    </w:p>
    <w:p>
      <w:pPr>
        <w:pStyle w:val="Normal"/>
        <w:rPr/>
      </w:pPr>
      <w:r>
        <w:rPr/>
        <mc:AlternateContent>
          <mc:Choice Requires="wps">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2971165" cy="2244090"/>
                <wp:effectExtent l="0" t="0" r="0" b="0"/>
                <wp:wrapSquare wrapText="largest"/>
                <wp:docPr id="40" name="Ietvarstruktūra9"/>
                <a:graphic xmlns:a="http://schemas.openxmlformats.org/drawingml/2006/main">
                  <a:graphicData uri="http://schemas.microsoft.com/office/word/2010/wordprocessingShape">
                    <wps:wsp>
                      <wps:cNvSpPr/>
                      <wps:spPr>
                        <a:xfrm>
                          <a:off x="0" y="0"/>
                          <a:ext cx="2970360" cy="2243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5810"/>
                                  <wp:effectExtent l="0" t="0" r="0" b="0"/>
                                  <wp:docPr id="42" name="Attēl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ēls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Fotografēšana: Francijas pilsoņu paneļdiskusija</w:t>
                            </w:r>
                          </w:p>
                        </w:txbxContent>
                      </wps:txbx>
                      <wps:bodyPr lIns="0" rIns="0" tIns="0" bIns="0">
                        <a:noAutofit/>
                      </wps:bodyPr>
                    </wps:wsp>
                  </a:graphicData>
                </a:graphic>
              </wp:anchor>
            </w:drawing>
          </mc:Choice>
          <mc:Fallback>
            <w:pict>
              <v:rect id="shape_0" ID="Ietvarstruktūra9" fillcolor="white" stroked="f" style="position:absolute;margin-left:0pt;margin-top:0.05pt;width:233.85pt;height:176.6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5810"/>
                            <wp:effectExtent l="0" t="0" r="0" b="0"/>
                            <wp:docPr id="43" name="Attēls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ttēls12" descr=""/>
                                    <pic:cNvPicPr>
                                      <a:picLocks noChangeAspect="1" noChangeArrowheads="1"/>
                                    </pic:cNvPicPr>
                                  </pic:nvPicPr>
                                  <pic:blipFill>
                                    <a:blip r:embed="rId42"/>
                                    <a:stretch>
                                      <a:fillRect/>
                                    </a:stretch>
                                  </pic:blipFill>
                                  <pic:spPr bwMode="auto">
                                    <a:xfrm>
                                      <a:off x="0" y="0"/>
                                      <a:ext cx="2970530" cy="2035810"/>
                                    </a:xfrm>
                                    <a:prstGeom prst="rect">
                                      <a:avLst/>
                                    </a:prstGeom>
                                  </pic:spPr>
                                </pic:pic>
                              </a:graphicData>
                            </a:graphic>
                          </wp:inline>
                        </w:drawing>
                      </w:r>
                      <w:r>
                        <w:rPr>
                          <w:color w:val="auto"/>
                        </w:rPr>
                        <w:t>Fotografēšana: Francijas pilsoņu paneļdiskusija</w:t>
                      </w:r>
                    </w:p>
                  </w:txbxContent>
                </v:textbox>
              </v:rect>
            </w:pict>
          </mc:Fallback>
        </mc:AlternateContent>
      </w:r>
    </w:p>
    <w:p>
      <w:pPr>
        <w:pStyle w:val="Corpsdetexte"/>
        <w:rPr/>
      </w:pPr>
      <w:r>
        <w:rPr/>
        <w:t>2021. gada septembrī un oktobra sākumā visos Francijas, metropoles un aizjūras reģionos tika organizētas astoņpadsmit pilsoņu paneļdiskusijas. Katrā paneļdiskusijā piedalījās 30 līdz 50 pēc nejaušības principa atlasīti pilsoņi, kas pārstāv reģionu iedzīvotāju daudzveidību. Kopumā paneļdiskusijās piedalījās vairāk nekā 700 iedzīvotāju. Reģionālo paneļdiskusiju darba rezultātā tika izvirzīts 101 mērķis ar 515 grozījumiem un 1 301 konkrēts priekšlikums.</w:t>
      </w:r>
    </w:p>
    <w:p>
      <w:pPr>
        <w:pStyle w:val="Corpsdetexte"/>
        <w:rPr/>
      </w:pPr>
      <w:r>
        <mc:AlternateContent>
          <mc:Choice Requires="wps">
            <w:drawing>
              <wp:anchor behindDoc="0" distT="0" distB="0" distL="0" distR="0" simplePos="0" locked="0" layoutInCell="1" allowOverlap="1" relativeHeight="30">
                <wp:simplePos x="0" y="0"/>
                <wp:positionH relativeFrom="column">
                  <wp:posOffset>82550</wp:posOffset>
                </wp:positionH>
                <wp:positionV relativeFrom="paragraph">
                  <wp:posOffset>2325370</wp:posOffset>
                </wp:positionV>
                <wp:extent cx="2806700" cy="2136140"/>
                <wp:effectExtent l="0" t="0" r="0" b="0"/>
                <wp:wrapSquare wrapText="largest"/>
                <wp:docPr id="44" name="Ietvarstruktūra10"/>
                <a:graphic xmlns:a="http://schemas.openxmlformats.org/drawingml/2006/main">
                  <a:graphicData uri="http://schemas.microsoft.com/office/word/2010/wordprocessingShape">
                    <wps:wsp>
                      <wps:cNvSpPr/>
                      <wps:spPr>
                        <a:xfrm>
                          <a:off x="0" y="0"/>
                          <a:ext cx="2806200" cy="213552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40890"/>
                                  <wp:effectExtent l="0" t="0" r="0" b="0"/>
                                  <wp:docPr id="46" name="Fotoattēl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otoattēls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Fotografēšana: Itālijas pilsoņu paneļdiskusija</w:t>
                            </w:r>
                          </w:p>
                        </w:txbxContent>
                      </wps:txbx>
                      <wps:bodyPr lIns="0" rIns="0" tIns="0" bIns="0">
                        <a:noAutofit/>
                      </wps:bodyPr>
                    </wps:wsp>
                  </a:graphicData>
                </a:graphic>
              </wp:anchor>
            </w:drawing>
          </mc:Choice>
          <mc:Fallback>
            <w:pict>
              <v:rect id="shape_0" ID="Ietvarstruktūra10" fillcolor="white" stroked="f" style="position:absolute;margin-left:6.5pt;margin-top:183.1pt;width:220.9pt;height:168.1pt">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40890"/>
                            <wp:effectExtent l="0" t="0" r="0" b="0"/>
                            <wp:docPr id="47" name="Fotoattēls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otoattēls13" descr=""/>
                                    <pic:cNvPicPr>
                                      <a:picLocks noChangeAspect="1" noChangeArrowheads="1"/>
                                    </pic:cNvPicPr>
                                  </pic:nvPicPr>
                                  <pic:blipFill>
                                    <a:blip r:embed="rId43"/>
                                    <a:stretch>
                                      <a:fillRect/>
                                    </a:stretch>
                                  </pic:blipFill>
                                  <pic:spPr bwMode="auto">
                                    <a:xfrm>
                                      <a:off x="0" y="0"/>
                                      <a:ext cx="2970530" cy="2040890"/>
                                    </a:xfrm>
                                    <a:prstGeom prst="rect">
                                      <a:avLst/>
                                    </a:prstGeom>
                                  </pic:spPr>
                                </pic:pic>
                              </a:graphicData>
                            </a:graphic>
                          </wp:inline>
                        </w:drawing>
                      </w:r>
                      <w:r>
                        <w:rPr>
                          <w:color w:val="auto"/>
                        </w:rPr>
                        <w:t>Fotografēšana: Itālijas pilsoņu paneļdiskusija</w:t>
                      </w:r>
                    </w:p>
                  </w:txbxContent>
                </v:textbox>
              </v:rect>
            </w:pict>
          </mc:Fallback>
        </mc:AlternateContent>
      </w:r>
      <w:r>
        <w:rPr/>
        <w:t>Kopumā 100 iedzīvotāji, kas pārstāvēja paneļdiskusijus, tikās Parīzē 2021. gada 16.–17. oktobrī Nacionālās sintēzes konferencē, lai izstrādātu un pieņemtu ieteikumus. Kopumā šā procesa ietvaros tika izvirzīti 14 prioritāri ieteikumi. Par deviņiem konferences tematiem ieteikumi tika iesniegti Francijas valdībai, tostarp valsts sekretāram Clément Beaune, un tie bija Francijas valdības ieguldījums konferencē.</w:t>
      </w:r>
    </w:p>
    <w:p>
      <w:pPr>
        <w:pStyle w:val="Titre4"/>
        <w:numPr>
          <w:ilvl w:val="3"/>
          <w:numId w:val="2"/>
        </w:numPr>
        <w:rPr/>
      </w:pPr>
      <w:bookmarkStart w:id="24" w:name="__RefHeading___Toc298222_1346298689"/>
      <w:bookmarkEnd w:id="24"/>
      <w:r>
        <w:rPr/>
        <w:t>4)</w:t>
        <w:tab/>
        <w:t>ITĀLIJA</w:t>
      </w:r>
    </w:p>
    <w:p>
      <w:pPr>
        <w:pStyle w:val="Corpsdetexte"/>
        <w:rPr/>
      </w:pPr>
      <w:r>
        <w:rPr/>
        <w:t>Pilsoņu paneļdiskusiju 2022. gada martā organizēja neatkarīga trešā persona, ko uzraudzīja Ministru padomes prezidentvalsts Itālijas Eiropas politikas departaments.</w:t>
      </w:r>
    </w:p>
    <w:p>
      <w:pPr>
        <w:pStyle w:val="Corpsdetexte"/>
        <w:rPr/>
      </w:pPr>
      <w:r>
        <w:rPr/>
      </w:r>
    </w:p>
    <w:p>
      <w:pPr>
        <w:pStyle w:val="Corpsdetexte"/>
        <w:rPr/>
      </w:pPr>
      <w:r>
        <w:rPr/>
        <w:t>Kopumā piedalījās 55 nejauši izvēlēti pilsoņi, kas pārstāv Itālijas sabiedrību un tās reģionus. Dalībnieki tika atlasīti pēc nejaušības principa, lai nodrošinātu, ka pastāv atšķirīgs dzimums, vecums, sociālā izcelsme, dzīvesvieta un profesionālais statuss.</w:t>
      </w:r>
    </w:p>
    <w:p>
      <w:pPr>
        <w:pStyle w:val="Corpsdetexte"/>
        <w:rPr/>
      </w:pPr>
      <w:r>
        <w:rPr/>
        <w:t>Iedzīvotāji tikās tiešsaistē 2022. gada 11. un 12. martā, lai apspriestu divus konferences tematus:</w:t>
      </w:r>
    </w:p>
    <w:p>
      <w:pPr>
        <w:pStyle w:val="Alineanegatifpuce"/>
        <w:numPr>
          <w:ilvl w:val="0"/>
          <w:numId w:val="3"/>
        </w:numPr>
        <w:rPr/>
      </w:pPr>
      <w:r>
        <w:rPr/>
        <w:t xml:space="preserve"> “</w:t>
      </w:r>
      <w:r>
        <w:rPr/>
        <w:t>Spēcīgāka ekonomika, sociālais taisnīgums un nodarbinātība”, un</w:t>
      </w:r>
    </w:p>
    <w:p>
      <w:pPr>
        <w:pStyle w:val="Alineanegatifpuce"/>
        <w:numPr>
          <w:ilvl w:val="0"/>
          <w:numId w:val="3"/>
        </w:numPr>
        <w:rPr/>
      </w:pPr>
      <w:r>
        <w:rPr/>
        <w:t xml:space="preserve"> “</w:t>
      </w:r>
      <w:r>
        <w:rPr/>
        <w:t>Eiropa pasaulē”.</w:t>
      </w:r>
    </w:p>
    <w:p>
      <w:pPr>
        <w:pStyle w:val="Corpsdetexte"/>
        <w:rPr/>
      </w:pPr>
      <w:r>
        <w:rPr/>
        <w:t>2022. gada 12. martā paneļdiskusija kopumā pieņēma 58 ieteikumus, tostarp 33 ieteikumus “Spēcīgāka ekonomika, sociālais taisnīgums un nodarbinātība” un 25 ieteikumus par tematu “Globālā Eiropa”. Pēdējā dienā dalībnieki veica darba pirmajā posmā sniegto ieteikumu pirmā projekta verifikāciju un apstiprināšanu.</w:t>
      </w:r>
    </w:p>
    <w:p>
      <w:pPr>
        <w:pStyle w:val="Corpsdetexte"/>
        <w:rPr/>
      </w:pPr>
      <w:r>
        <w:rPr/>
      </w:r>
    </w:p>
    <w:p>
      <w:pPr>
        <w:pStyle w:val="Titre4"/>
        <w:numPr>
          <w:ilvl w:val="3"/>
          <w:numId w:val="2"/>
        </w:numPr>
        <w:rPr/>
      </w:pPr>
      <w:bookmarkStart w:id="25" w:name="__RefHeading___Toc298224_1346298689"/>
      <w:bookmarkEnd w:id="25"/>
      <w:r>
        <w:rPr/>
        <w:t>5)</w:t>
        <w:tab/>
        <w:t>LIETUVA</w:t>
      </w:r>
    </w:p>
    <w:p>
      <w:pPr>
        <w:pStyle w:val="Corpsdetexte"/>
        <w:rPr/>
      </w:pPr>
      <w:r>
        <w:rPr/>
        <w:t>Ārlietu ministrijas vārdā neatkarīga trešā persona 2022. gada janvārī organizēja valsts pilsoņu paneļdiskusiju.</w:t>
      </w:r>
    </w:p>
    <w:p>
      <w:pPr>
        <w:pStyle w:val="Corpsdetexte"/>
        <w:rPr/>
      </w:pPr>
      <w:r>
        <w:rPr/>
        <mc:AlternateContent>
          <mc:Choice Requires="wps">
            <w:drawing>
              <wp:anchor behindDoc="0" distT="0" distB="0" distL="0" distR="0" simplePos="0" locked="0" layoutInCell="1" allowOverlap="1" relativeHeight="22">
                <wp:simplePos x="0" y="0"/>
                <wp:positionH relativeFrom="column">
                  <wp:align>center</wp:align>
                </wp:positionH>
                <wp:positionV relativeFrom="paragraph">
                  <wp:posOffset>635</wp:posOffset>
                </wp:positionV>
                <wp:extent cx="2971165" cy="2247265"/>
                <wp:effectExtent l="0" t="0" r="0" b="0"/>
                <wp:wrapSquare wrapText="largest"/>
                <wp:docPr id="48" name="Ietvars11"/>
                <a:graphic xmlns:a="http://schemas.openxmlformats.org/drawingml/2006/main">
                  <a:graphicData uri="http://schemas.microsoft.com/office/word/2010/wordprocessingShape">
                    <wps:wsp>
                      <wps:cNvSpPr/>
                      <wps:spPr>
                        <a:xfrm>
                          <a:off x="0" y="0"/>
                          <a:ext cx="2970360" cy="22467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drawing>
                                <wp:inline distT="0" distB="0" distL="0" distR="0">
                                  <wp:extent cx="2970530" cy="2038985"/>
                                  <wp:effectExtent l="0" t="0" r="0" b="0"/>
                                  <wp:docPr id="50" name="Attēl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ttēls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Fotografēšana: Lietuvas pilsoņu paneļdiskusija</w:t>
                            </w:r>
                          </w:p>
                        </w:txbxContent>
                      </wps:txbx>
                      <wps:bodyPr lIns="0" rIns="0" tIns="0" bIns="0">
                        <a:noAutofit/>
                      </wps:bodyPr>
                    </wps:wsp>
                  </a:graphicData>
                </a:graphic>
              </wp:anchor>
            </w:drawing>
          </mc:Choice>
          <mc:Fallback>
            <w:pict>
              <v:rect id="shape_0" ID="Ietvars11" fillcolor="white" stroked="f" style="position:absolute;margin-left:0pt;margin-top:0.05pt;width:233.85pt;height:176.85pt;mso-position-horizontal:center">
                <w10:wrap type="square"/>
                <v:fill o:detectmouseclick="t" type="solid" color2="black"/>
                <v:stroke color="#3465a4" joinstyle="round" endcap="flat"/>
                <v:textbox>
                  <w:txbxContent>
                    <w:p>
                      <w:pPr>
                        <w:pStyle w:val="P68B1DB1Lgende11"/>
                        <w:spacing w:before="120" w:after="120"/>
                        <w:rPr>
                          <w:color w:val="auto"/>
                        </w:rPr>
                      </w:pPr>
                      <w:r>
                        <w:rPr>
                          <w:color w:val="auto"/>
                        </w:rPr>
                        <w:drawing>
                          <wp:inline distT="0" distB="0" distL="0" distR="0">
                            <wp:extent cx="2970530" cy="2038985"/>
                            <wp:effectExtent l="0" t="0" r="0" b="0"/>
                            <wp:docPr id="51" name="Attēls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ttēls14" descr=""/>
                                    <pic:cNvPicPr>
                                      <a:picLocks noChangeAspect="1" noChangeArrowheads="1"/>
                                    </pic:cNvPicPr>
                                  </pic:nvPicPr>
                                  <pic:blipFill>
                                    <a:blip r:embed="rId44"/>
                                    <a:stretch>
                                      <a:fillRect/>
                                    </a:stretch>
                                  </pic:blipFill>
                                  <pic:spPr bwMode="auto">
                                    <a:xfrm>
                                      <a:off x="0" y="0"/>
                                      <a:ext cx="2970530" cy="2038985"/>
                                    </a:xfrm>
                                    <a:prstGeom prst="rect">
                                      <a:avLst/>
                                    </a:prstGeom>
                                  </pic:spPr>
                                </pic:pic>
                              </a:graphicData>
                            </a:graphic>
                          </wp:inline>
                        </w:drawing>
                      </w:r>
                      <w:r>
                        <w:rPr>
                          <w:color w:val="auto"/>
                        </w:rPr>
                        <w:t>Fotografēšana: Lietuvas pilsoņu paneļdiskusija</w:t>
                      </w:r>
                    </w:p>
                  </w:txbxContent>
                </v:textbox>
              </v:rect>
            </w:pict>
          </mc:Fallback>
        </mc:AlternateContent>
      </w:r>
    </w:p>
    <w:p>
      <w:pPr>
        <w:pStyle w:val="Corpsdetexte"/>
        <w:rPr/>
      </w:pPr>
      <w:r>
        <w:rPr/>
        <w:t>Tajā piedalījās 25 nejauši izvēlēti pilsoņi vecumā no 18 līdz 65 gadiem, kas pārstāv dažādas Lietuvas sociālekonomiskās grupas un reģionus.</w:t>
      </w:r>
    </w:p>
    <w:p>
      <w:pPr>
        <w:pStyle w:val="Corpsdetexte"/>
        <w:rPr/>
      </w:pPr>
      <w:r>
        <w:rPr/>
        <w:t>2022. gada 4. janvārī tiešsaistē tika organizēta atklāšanas sēde, un iedzīvotāji apsprieda divus tematus:</w:t>
      </w:r>
    </w:p>
    <w:p>
      <w:pPr>
        <w:pStyle w:val="Alineanegatifpuce"/>
        <w:numPr>
          <w:ilvl w:val="0"/>
          <w:numId w:val="3"/>
        </w:numPr>
        <w:rPr/>
      </w:pPr>
      <w:r>
        <w:rPr/>
        <w:t xml:space="preserve"> </w:t>
      </w:r>
      <w:r>
        <w:rPr/>
        <w:t>ES loma un kompetence ārpolitikā;</w:t>
      </w:r>
    </w:p>
    <w:p>
      <w:pPr>
        <w:pStyle w:val="Alineanegatifpuce"/>
        <w:numPr>
          <w:ilvl w:val="0"/>
          <w:numId w:val="3"/>
        </w:numPr>
        <w:rPr/>
      </w:pPr>
      <w:r>
        <w:rPr/>
        <w:t xml:space="preserve"> </w:t>
      </w:r>
      <w:r>
        <w:rPr/>
        <w:t>ES ekonomiskā nozīme.</w:t>
      </w:r>
    </w:p>
    <w:p>
      <w:pPr>
        <w:pStyle w:val="Normal"/>
        <w:rPr/>
      </w:pPr>
      <w:r>
        <w:rPr/>
      </w:r>
    </w:p>
    <w:p>
      <w:pPr>
        <w:pStyle w:val="Corpsdetexte"/>
        <w:rPr/>
      </w:pPr>
      <w:r>
        <w:rPr/>
        <w:t>2022. gada 15. janvārī dalībnieki tikās klātienē, lai formulētu galvenos diskusiju secinājumus. 2022. gada 25. janvārī viņi virtuālajā sesijā pieņēma 21 ieteikumu, no kuriem 10 bija vērsti uz ES lomu un kompetencēm ārpolitikā un 11 ieteikumu par ES lomu ekonomikā.</w:t>
      </w:r>
    </w:p>
    <w:p>
      <w:pPr>
        <w:pStyle w:val="Corpsdetexte"/>
        <w:rPr/>
      </w:pPr>
      <w:r>
        <w:rPr/>
      </w:r>
    </w:p>
    <w:p>
      <w:pPr>
        <w:pStyle w:val="Titre4"/>
        <w:numPr>
          <w:ilvl w:val="3"/>
          <w:numId w:val="2"/>
        </w:numPr>
        <w:rPr/>
      </w:pPr>
      <w:bookmarkStart w:id="26" w:name="__RefHeading___Toc298226_1346298689"/>
      <w:bookmarkEnd w:id="26"/>
      <w:r>
        <w:rPr/>
        <w:t>6)</w:t>
        <w:tab/>
        <w:t>NĪDERLANDE</w:t>
      </w:r>
    </w:p>
    <w:p>
      <w:pPr>
        <w:pStyle w:val="Corpsdetexte"/>
        <w:rPr/>
      </w:pPr>
      <w:r>
        <w:rPr/>
        <w:t>Pilsoņu paneļdiskusiju organizēja neatkarīga trešā persona, un 1.</w:t>
      </w:r>
      <w:r>
        <w:rPr>
          <w:vertAlign w:val="superscript"/>
        </w:rPr>
        <w:t>septembrī</w:t>
      </w:r>
      <w:r>
        <w:rPr/>
        <w:t xml:space="preserve"> sākās dialogi ar nosaukumu “Eiropas redzējumi”. Tie tika sadalīti vairākās daļās.</w:t>
      </w:r>
    </w:p>
    <w:p>
      <w:pPr>
        <w:pStyle w:val="Corpsdetexte"/>
        <w:rPr/>
      </w:pPr>
      <w:r>
        <w:rPr/>
        <w:t>Tiešsaistes sadaļa, kas tika uzsākta 2021. gada 1.</w:t>
      </w:r>
      <w:r>
        <w:rPr>
          <w:vertAlign w:val="superscript"/>
        </w:rPr>
        <w:t>septembrī</w:t>
      </w:r>
      <w:r>
        <w:rPr/>
        <w:t>,</w:t>
      </w:r>
      <w:r>
        <w:drawing>
          <wp:anchor behindDoc="0" distT="0" distB="0" distL="0" distR="0" simplePos="0" locked="0" layoutInCell="1" allowOverlap="1" relativeHeight="26">
            <wp:simplePos x="0" y="0"/>
            <wp:positionH relativeFrom="column">
              <wp:posOffset>1356995</wp:posOffset>
            </wp:positionH>
            <wp:positionV relativeFrom="paragraph">
              <wp:posOffset>1277620</wp:posOffset>
            </wp:positionV>
            <wp:extent cx="3610610" cy="2474595"/>
            <wp:effectExtent l="0" t="0" r="0" b="0"/>
            <wp:wrapTopAndBottom/>
            <wp:docPr id="52" name="Fotoattēls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otoattēls16" descr=""/>
                    <pic:cNvPicPr>
                      <a:picLocks noChangeAspect="1" noChangeArrowheads="1"/>
                    </pic:cNvPicPr>
                  </pic:nvPicPr>
                  <pic:blipFill>
                    <a:blip r:embed="rId45"/>
                    <a:stretch>
                      <a:fillRect/>
                    </a:stretch>
                  </pic:blipFill>
                  <pic:spPr bwMode="auto">
                    <a:xfrm>
                      <a:off x="0" y="0"/>
                      <a:ext cx="3610610" cy="2474595"/>
                    </a:xfrm>
                    <a:prstGeom prst="rect">
                      <a:avLst/>
                    </a:prstGeom>
                  </pic:spPr>
                </pic:pic>
              </a:graphicData>
            </a:graphic>
          </wp:anchor>
        </w:drawing>
      </w:r>
      <w:r>
        <w:rPr/>
        <w:t>i</w:t>
      </w:r>
      <w:r>
        <w:rPr/>
        <w:t>etvēra questio nary un vienkāršotu atlases rīku, kas ļauj iedzīvotājiem paust savas vēlmes, vēlmes un ieteikumus par konferences deviņām tēmām. Anketa tika izplatīta izvēlētai reprezentatīvai un iekļaujošai 4,000 iedzīvotāju grupai.</w:t>
      </w:r>
    </w:p>
    <w:p>
      <w:pPr>
        <w:pStyle w:val="Corpsdetexte"/>
        <w:rPr/>
      </w:pPr>
      <w:r>
        <w:rPr/>
      </w:r>
    </w:p>
    <w:p>
      <w:pPr>
        <w:pStyle w:val="Corpsdetexte"/>
        <w:rPr/>
      </w:pPr>
      <w:r>
        <w:rPr/>
        <w:t>2021. gada oktobrī un novembrī notika padziļinātas debates ar iedzīvotājiem tiešsaistē un bezsaistē, jo īpaši, lai sasniegtu jauniešus un grūti sasniedzamas mērķgrupas.</w:t>
      </w:r>
    </w:p>
    <w:p>
      <w:pPr>
        <w:pStyle w:val="Corpsdetexte"/>
        <w:rPr/>
      </w:pPr>
      <w:r>
        <w:rPr/>
        <w:t>Ir publicēti divi ziņojumi ar nosaukumu “Mūsu redzējums Eiropai”; atzinumi, idejas un ieteikumi (Elze kijk op Europa; Meningen, ideeën en Aanbevelingen) un apvieno 30 iedzīvotāju ieteikumus par konferences deviņām tēmām.</w:t>
      </w:r>
    </w:p>
    <w:p>
      <w:pPr>
        <w:pStyle w:val="Corpsdetexte"/>
        <w:rPr/>
      </w:pPr>
      <w:r>
        <w:rPr/>
        <mc:AlternateContent>
          <mc:Choice Requires="wps">
            <w:drawing>
              <wp:anchor behindDoc="0" distT="0" distB="0" distL="0" distR="0" simplePos="0" locked="0" layoutInCell="1" allowOverlap="1" relativeHeight="67">
                <wp:simplePos x="0" y="0"/>
                <wp:positionH relativeFrom="column">
                  <wp:posOffset>25400</wp:posOffset>
                </wp:positionH>
                <wp:positionV relativeFrom="paragraph">
                  <wp:posOffset>591820</wp:posOffset>
                </wp:positionV>
                <wp:extent cx="2971165" cy="2225675"/>
                <wp:effectExtent l="0" t="0" r="0" b="0"/>
                <wp:wrapSquare wrapText="largest"/>
                <wp:docPr id="53" name="Ietvarstruktūra12"/>
                <a:graphic xmlns:a="http://schemas.openxmlformats.org/drawingml/2006/main">
                  <a:graphicData uri="http://schemas.microsoft.com/office/word/2010/wordprocessingShape">
                    <wps:wsp>
                      <wps:cNvSpPr/>
                      <wps:spPr>
                        <a:xfrm>
                          <a:off x="0" y="0"/>
                          <a:ext cx="2970360" cy="2225160"/>
                        </a:xfrm>
                        <a:prstGeom prst="rect">
                          <a:avLst/>
                        </a:prstGeom>
                        <a:solidFill>
                          <a:srgbClr val="ffffff"/>
                        </a:solidFill>
                        <a:ln>
                          <a:noFill/>
                        </a:ln>
                      </wps:spPr>
                      <wps:style>
                        <a:lnRef idx="0"/>
                        <a:fillRef idx="0"/>
                        <a:effectRef idx="0"/>
                        <a:fontRef idx="minor"/>
                      </wps:style>
                      <wps:txbx>
                        <w:txbxContent>
                          <w:p>
                            <w:pPr>
                              <w:pStyle w:val="P68B1DB1Lgende11"/>
                              <w:spacing w:before="120" w:after="120"/>
                              <w:rPr>
                                <w:color w:val="auto"/>
                              </w:rPr>
                            </w:pPr>
                            <w:r>
                              <w:rPr>
                                <w:color w:val="auto"/>
                              </w:rPr>
                              <w:t>Nīderlandes pilsoņu</w:t>
                            </w:r>
                            <w:r>
                              <w:rPr>
                                <w:color w:val="auto"/>
                              </w:rPr>
                              <w:drawing>
                                <wp:inline distT="0" distB="0" distL="0" distR="0">
                                  <wp:extent cx="2970530" cy="2017395"/>
                                  <wp:effectExtent l="0" t="0" r="0" b="0"/>
                                  <wp:docPr id="55" name="Attēl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ttēls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paneļdiskusija</w:t>
                            </w:r>
                          </w:p>
                        </w:txbxContent>
                      </wps:txbx>
                      <wps:bodyPr lIns="0" rIns="0" tIns="0" bIns="0">
                        <a:noAutofit/>
                      </wps:bodyPr>
                    </wps:wsp>
                  </a:graphicData>
                </a:graphic>
              </wp:anchor>
            </w:drawing>
          </mc:Choice>
          <mc:Fallback>
            <w:pict>
              <v:rect id="shape_0" ID="Ietvarstruktūra12" fillcolor="white" stroked="f" style="position:absolute;margin-left:2pt;margin-top:46.6pt;width:233.85pt;height:175.15pt">
                <w10:wrap type="square"/>
                <v:fill o:detectmouseclick="t" type="solid" color2="black"/>
                <v:stroke color="#3465a4" joinstyle="round" endcap="flat"/>
                <v:textbox>
                  <w:txbxContent>
                    <w:p>
                      <w:pPr>
                        <w:pStyle w:val="P68B1DB1Lgende11"/>
                        <w:spacing w:before="120" w:after="120"/>
                        <w:rPr>
                          <w:color w:val="auto"/>
                        </w:rPr>
                      </w:pPr>
                      <w:r>
                        <w:rPr>
                          <w:color w:val="auto"/>
                        </w:rPr>
                        <w:t>Nīderlandes pilsoņu</w:t>
                      </w:r>
                      <w:r>
                        <w:rPr>
                          <w:color w:val="auto"/>
                        </w:rPr>
                        <w:drawing>
                          <wp:inline distT="0" distB="0" distL="0" distR="0">
                            <wp:extent cx="2970530" cy="2017395"/>
                            <wp:effectExtent l="0" t="0" r="0" b="0"/>
                            <wp:docPr id="56" name="Attēls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ttēls15" descr=""/>
                                    <pic:cNvPicPr>
                                      <a:picLocks noChangeAspect="1" noChangeArrowheads="1"/>
                                    </pic:cNvPicPr>
                                  </pic:nvPicPr>
                                  <pic:blipFill>
                                    <a:blip r:embed="rId46"/>
                                    <a:stretch>
                                      <a:fillRect/>
                                    </a:stretch>
                                  </pic:blipFill>
                                  <pic:spPr bwMode="auto">
                                    <a:xfrm>
                                      <a:off x="0" y="0"/>
                                      <a:ext cx="2970530" cy="2017395"/>
                                    </a:xfrm>
                                    <a:prstGeom prst="rect">
                                      <a:avLst/>
                                    </a:prstGeom>
                                  </pic:spPr>
                                </pic:pic>
                              </a:graphicData>
                            </a:graphic>
                          </wp:inline>
                        </w:drawing>
                      </w:r>
                      <w:r>
                        <w:rPr>
                          <w:color w:val="auto"/>
                        </w:rPr>
                        <w:t>paneļdiskusija</w:t>
                      </w:r>
                    </w:p>
                  </w:txbxContent>
                </v:textbox>
              </v:rect>
            </w:pict>
          </mc:Fallback>
        </mc:AlternateContent>
      </w:r>
    </w:p>
    <w:p>
      <w:pPr>
        <w:pStyle w:val="Normal"/>
        <w:rPr/>
      </w:pPr>
      <w:r>
        <w:rPr/>
      </w:r>
      <w:r>
        <w:br w:type="page"/>
      </w:r>
    </w:p>
    <w:p>
      <w:pPr>
        <w:pStyle w:val="Titre2"/>
        <w:numPr>
          <w:ilvl w:val="1"/>
          <w:numId w:val="2"/>
        </w:numPr>
        <w:rPr/>
      </w:pPr>
      <w:bookmarkStart w:id="27" w:name="__RefHeading___Toc298228_1346298689"/>
      <w:bookmarkEnd w:id="27"/>
      <w:r>
        <w:rPr/>
        <w:t>C.</w:t>
        <w:tab/>
        <w:t>Konferences ietvaros organizētie pasākumi</w:t>
      </w:r>
    </w:p>
    <w:p>
      <w:pPr>
        <w:pStyle w:val="Titre3"/>
        <w:numPr>
          <w:ilvl w:val="2"/>
          <w:numId w:val="2"/>
        </w:numPr>
        <w:rPr/>
      </w:pPr>
      <w:bookmarkStart w:id="28" w:name="__RefHeading___Toc298230_1346298689"/>
      <w:bookmarkEnd w:id="28"/>
      <w:r>
        <w:rPr/>
        <w:t>1.</w:t>
        <w:tab/>
        <w:t>Nacionālie pasākumi</w:t>
      </w:r>
    </w:p>
    <w:p>
      <w:pPr>
        <w:pStyle w:val="Corpsdetexte"/>
        <w:rPr/>
      </w:pPr>
      <w:r>
        <w:rPr/>
        <w:t xml:space="preserve">Dalībvalstis sniedza ieguldījumu konferencē, rīkojot plašu pasākumu un iniciatīvu klāstu. Šajos pasākumos piedalījās vairāki tūkstoši iedzīvotāju no visas ES. </w:t>
      </w:r>
      <w:hyperlink r:id="rId47">
        <w:r>
          <w:rPr>
            <w:rStyle w:val="LienInternet"/>
          </w:rPr>
          <w:t>Īpašā daudzvalodu digitālās platformas sadaļā</w:t>
        </w:r>
      </w:hyperlink>
      <w:r>
        <w:rPr/>
        <w:t xml:space="preserve"> ir sniegts pārskats par galvenajām darbībām, ko dalībvalstu iestādes ir organizējušas vai atbalstījušas. Ar šiem pasākumiem 2021. gada 23. oktobrī un 2022. gada 25. martā konferences plenārsēdēs iepazīstināja valstu pasākumu pārstāvji un/vai valstu pilsoņu paneļdiskusiju pārstāvji, taču tie arī deva ieguldījumu konferencē, izmantojot </w:t>
      </w:r>
      <w:hyperlink r:id="rId48">
        <w:r>
          <w:rPr>
            <w:rStyle w:val="LienInternet"/>
          </w:rPr>
          <w:t>platformas ziņojumus</w:t>
        </w:r>
      </w:hyperlink>
      <w:r>
        <w:rPr/>
        <w:t>, tādējādi bagātinot debates Eiropas līmenī.</w:t>
      </w:r>
    </w:p>
    <w:p>
      <w:pPr>
        <w:pStyle w:val="Corpsdetexte"/>
        <w:rPr/>
      </w:pPr>
      <w:r>
        <w:rPr/>
        <w:t xml:space="preserve"> </w:t>
      </w:r>
      <w:r>
        <w:rPr/>
        <w:t>Šo pasākumu un iniciatīvu galvenais mērķis bija uzklausīt pilsoņus un iesaistīt viņus debatēs par Eiropas Savienību. Prioritāte bija arī iekļaušana un dialogs ar iedzīvotājiem, cenšoties iesaistīt cilvēkus, kuri parasti nav iesaistīti ar ES saistītās debatēs.</w:t>
      </w:r>
    </w:p>
    <w:p>
      <w:pPr>
        <w:pStyle w:val="Corpsdetexte"/>
        <w:rPr/>
      </w:pPr>
      <w:r>
        <w:rPr/>
        <w:t>Notika dažādi pasākumi, apvienojot centralizētas un decentralizētas pieejas, tostarp ar dažāda veida atbalstu augšupējām iniciatīvām. Pasākumus un pasākumus dalībvalstīs organizēja dažādas iestādes un dalībnieki, tostarp valsts, reģionālās un vietējās iestādes, pilsoniskās sabiedrības organizācijas, sociālie partneri, apvienības un iedzīvotāji. Dažos gadījumos konferences pasākumu organizēšanā aktīvi piedalījās arī nevalstiskās organizācijas, kultūras iestādes, ideju laboratorijas, universitātes un pētniecības institūti. Daudzās no šīm aktivitātēm un pasākumiem īpašs uzsvars likts uz jaunākās paaudzes līdzdalību.</w:t>
      </w:r>
    </w:p>
    <w:p>
      <w:pPr>
        <w:pStyle w:val="Corpsdetexte"/>
        <w:rPr/>
      </w:pPr>
      <w:r>
        <w:rPr/>
        <w:drawing>
          <wp:anchor behindDoc="0" distT="0" distB="0" distL="0" distR="0" simplePos="0" locked="0" layoutInCell="1" allowOverlap="1" relativeHeight="68">
            <wp:simplePos x="0" y="0"/>
            <wp:positionH relativeFrom="column">
              <wp:posOffset>31750</wp:posOffset>
            </wp:positionH>
            <wp:positionV relativeFrom="paragraph">
              <wp:posOffset>123190</wp:posOffset>
            </wp:positionV>
            <wp:extent cx="2518410" cy="7244080"/>
            <wp:effectExtent l="0" t="0" r="0" b="0"/>
            <wp:wrapTopAndBottom/>
            <wp:docPr id="57" name="Fotoattēls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otoattēls17" descr=""/>
                    <pic:cNvPicPr>
                      <a:picLocks noChangeAspect="1" noChangeArrowheads="1"/>
                    </pic:cNvPicPr>
                  </pic:nvPicPr>
                  <pic:blipFill>
                    <a:blip r:embed="rId49"/>
                    <a:stretch>
                      <a:fillRect/>
                    </a:stretch>
                  </pic:blipFill>
                  <pic:spPr bwMode="auto">
                    <a:xfrm>
                      <a:off x="0" y="0"/>
                      <a:ext cx="2518410" cy="7244080"/>
                    </a:xfrm>
                    <a:prstGeom prst="rect">
                      <a:avLst/>
                    </a:prstGeom>
                  </pic:spPr>
                </pic:pic>
              </a:graphicData>
            </a:graphic>
          </wp:anchor>
        </w:drawing>
      </w:r>
      <w:r>
        <w:br w:type="page"/>
      </w:r>
    </w:p>
    <w:p>
      <w:pPr>
        <w:pStyle w:val="Titre4"/>
        <w:numPr>
          <w:ilvl w:val="3"/>
          <w:numId w:val="2"/>
        </w:numPr>
        <w:rPr/>
      </w:pPr>
      <w:bookmarkStart w:id="29" w:name="__RefHeading___Toc298232_1346298689"/>
      <w:bookmarkEnd w:id="29"/>
      <w:r>
        <w:rPr/>
        <w:t>Pārskats par galvenajiem pasākumiem un iniciatīvām dalībvalstīs:</w:t>
      </w:r>
    </w:p>
    <w:p>
      <w:pPr>
        <w:pStyle w:val="P68B1DB1Corpsdetexte12"/>
        <w:rPr>
          <w:b/>
          <w:b/>
          <w:i/>
          <w:i/>
          <w:u w:val="single"/>
        </w:rPr>
      </w:pPr>
      <w:r>
        <w:rPr/>
        <w:t>1 Beļģija</w:t>
      </w:r>
    </w:p>
    <w:p>
      <w:pPr>
        <w:pStyle w:val="Corpsdetexte"/>
        <w:rPr/>
      </w:pPr>
      <w:r>
        <w:rPr/>
        <w:t>Federālās un reģionālās iestādes ir organizējušas vairākus pasākumus. Notika vairākas debates ar iedzīvotājiem, piemēram, par ES pasaulē un par klimata pārmaiņām un vidi. Notika arī strukturēts dialogs ar iedzīvotājiem par tematu “Dzīve pierobežas reģionā” un hakatons “Veselīga dzīvesveida un klimata pārmaiņu ietekme uz dzīves kvalitāti” un “šķēršļi jauniešu nodarbinātībai”.</w:t>
      </w:r>
    </w:p>
    <w:p>
      <w:pPr>
        <w:pStyle w:val="Corpsdetexte"/>
        <w:rPr/>
      </w:pPr>
      <w:r>
        <w:rPr/>
        <w:t>Turklāt tika organizēts pasākums par digitalizāciju un ilgtspējīgu ekonomiku, un tika rīkotas vairākas jauniešu un politiķu debates par tematu “Eiropa tevis klausīšanās”.</w:t>
      </w:r>
    </w:p>
    <w:p>
      <w:pPr>
        <w:pStyle w:val="P68B1DB1Corpsdetexte12"/>
        <w:rPr>
          <w:b/>
          <w:b/>
          <w:i/>
          <w:i/>
          <w:u w:val="single"/>
        </w:rPr>
      </w:pPr>
      <w:r>
        <w:rPr/>
        <w:t>2 Bulgārija</w:t>
      </w:r>
    </w:p>
    <w:p>
      <w:pPr>
        <w:pStyle w:val="Corpsdetexte"/>
        <w:rPr/>
      </w:pPr>
      <w:r>
        <w:rPr/>
        <w:t>Bulgārijas mācības tika uzsāktas ceremonijā “Kā uzklausīt pilsoņu balsi konferencē par Eiropas nākotni?”, kurā piedalījās publiskās iestādes un pilsoņu pārstāvji. Organizēto pasākumu ietvaros tika izveidots dialogs par demogrāfiju un demokrātiju.</w:t>
      </w:r>
    </w:p>
    <w:p>
      <w:pPr>
        <w:pStyle w:val="Corpsdetexte"/>
        <w:rPr/>
      </w:pPr>
      <w:r>
        <w:rPr/>
        <w:t>Ar Europe Direct centru palīdzību lielākajās universitāšu pilsētās notika vairāki vietējie pasākumi.</w:t>
      </w:r>
    </w:p>
    <w:p>
      <w:pPr>
        <w:pStyle w:val="P68B1DB1Corpsdetexte12"/>
        <w:rPr>
          <w:b/>
          <w:b/>
          <w:i/>
          <w:i/>
          <w:u w:val="single"/>
        </w:rPr>
      </w:pPr>
      <w:r>
        <w:rPr/>
        <w:t>3 Čehija</w:t>
      </w:r>
    </w:p>
    <w:p>
      <w:pPr>
        <w:pStyle w:val="Corpsdetexte"/>
        <w:rPr/>
      </w:pPr>
      <w:r>
        <w:rPr/>
        <w:t>Čehijas Republika organizēja centrālas diskusijas ar plašu sabiedrību un informatīvus pasākumus attiecīgajām ieinteresētajām personām. Šos pasākumus papildināja jaunatnes pasākumi un pasākumi ar starptautisku līdzdalību. Jo īpaši tika organizēts starptautisks pasākums ar Vācijas un Čehijas pilsoņiem. Visā valstī notika vairākas reģionālas debates, kā arī reģionāli semināri vidusskolēniem par tematu “Decīds par Eiropu”.</w:t>
      </w:r>
    </w:p>
    <w:p>
      <w:pPr>
        <w:pStyle w:val="Normal"/>
        <w:rPr/>
      </w:pPr>
      <w:r>
        <w:rPr/>
      </w:r>
    </w:p>
    <w:p>
      <w:pPr>
        <w:pStyle w:val="P68B1DB1Corpsdetexte12"/>
        <w:tabs>
          <w:tab w:val="left" w:pos="1391" w:leader="none"/>
        </w:tabs>
        <w:rPr>
          <w:b/>
          <w:b/>
          <w:i/>
          <w:i/>
          <w:u w:val="single"/>
        </w:rPr>
      </w:pPr>
      <w:r>
        <w:rPr/>
        <w:t>4 Dānija</w:t>
      </w:r>
    </w:p>
    <w:p>
      <w:pPr>
        <w:pStyle w:val="Corpsdetexte"/>
        <w:rPr/>
      </w:pPr>
      <w:r>
        <w:rPr/>
        <w:t>Tika organizētas plašas un iekļaujošas valsts mēroga debates, kurās galvenā loma bija pilsoniskajai sabiedrībai un citiem nevalstiskajiem dalībniekiem. Dažādu organizāciju grupai, tostarp NVO, plašsaziņas līdzekļiem, jaunatnes organizācijām, kultūras iestādēm, ideju laboratorijām un pētniecības institūtiem, lai atbalstītu nevalstisko organizāciju izveidotās debates un iniciatīvas, ir piešķirts īpašs publisko līdzekļu kopums. Notika vairāk nekā 180 debates, no kurām aptuveni puse bija īpaši paredzēta jauniešiem. Turklāt valdība un parlaments organizēja virkni oficiālu pasākumu, piemēram, apspriešanos ar iedzīvotājiem un debates.</w:t>
      </w:r>
    </w:p>
    <w:p>
      <w:pPr>
        <w:pStyle w:val="P68B1DB1Corpsdetexte12"/>
        <w:rPr>
          <w:b/>
          <w:b/>
          <w:i/>
          <w:i/>
          <w:u w:val="single"/>
        </w:rPr>
      </w:pPr>
      <w:r>
        <w:rPr/>
        <w:t>5 Vācija</w:t>
      </w:r>
    </w:p>
    <w:p>
      <w:pPr>
        <w:pStyle w:val="Corpsdetexte"/>
        <w:rPr/>
      </w:pPr>
      <w:r>
        <w:rPr/>
        <w:t>Pasākumi Vācijā bija saistīti ar federālo valdību, Bundestāgu, federālajām zemēm un pilsonisko sabiedrību. Papildus federālās valdības organizētajiem pasākumiem Vācijas sešpadsmit federālās zemes organizēja vairāk nekā 50 reģionālus pasākumus un aptuveni 300 — pilsoniskā sabiedrība.</w:t>
      </w:r>
    </w:p>
    <w:p>
      <w:pPr>
        <w:pStyle w:val="Corpsdetexte"/>
        <w:rPr/>
      </w:pPr>
      <w:r>
        <w:rPr/>
        <w:t>Pārrobežu pasākumi un dialogi ar studentiem un jauniešiem ir bijuši daudzu iniciatīvu centrālais elements, izvirzot jauniešus priekšplānā diskusijās, kuru mērķis ir veidot Eiropas nākotni.</w:t>
      </w:r>
    </w:p>
    <w:p>
      <w:pPr>
        <w:pStyle w:val="P68B1DB1Corpsdetexte12"/>
        <w:rPr>
          <w:b/>
          <w:b/>
          <w:i/>
          <w:i/>
          <w:u w:val="single"/>
        </w:rPr>
      </w:pPr>
      <w:r>
        <w:rPr/>
        <w:t>6 Igaunija</w:t>
      </w:r>
    </w:p>
    <w:p>
      <w:pPr>
        <w:pStyle w:val="Corpsdetexte"/>
        <w:rPr/>
      </w:pPr>
      <w:r>
        <w:rPr/>
        <w:t>Valsts kanceleja sadarbībā ar Eiropas Komisijas pārstāvniecību Igaunijā, Ārlietu ministriju un citām ministrijām, kā arī pilsonisko sabiedrību un jaunatnes organizācijām organizēja dažādus pasākumus, seminārus un debates. Jo īpaši notika diskusija vidusskolēniem par galvenajiem jautājumiem, kas saistīti ar klimata pārmaiņām, enerģētikas politiku un konferenci kopumā. Tika uzsākta arī diskusija par “Igaunijas diplomātiju klimata mērķu sasniegšanai”.</w:t>
      </w:r>
    </w:p>
    <w:p>
      <w:pPr>
        <w:pStyle w:val="P68B1DB1Corpsdetexte12"/>
        <w:rPr>
          <w:b/>
          <w:b/>
          <w:i/>
          <w:i/>
          <w:u w:val="single"/>
        </w:rPr>
      </w:pPr>
      <w:r>
        <w:rPr/>
        <w:t>7 Īrija</w:t>
      </w:r>
    </w:p>
    <w:p>
      <w:pPr>
        <w:pStyle w:val="Corpsdetexte"/>
        <w:rPr/>
      </w:pPr>
      <w:r>
        <w:rPr/>
        <w:t>Īrijā organizēto pasākumu galvenais temats bija iekļautība un dialogs ar visiem iedzīvotājiem, jo īpaši jauniešiem.</w:t>
      </w:r>
    </w:p>
    <w:p>
      <w:pPr>
        <w:pStyle w:val="Corpsdetexte"/>
        <w:rPr/>
      </w:pPr>
      <w:r>
        <w:rPr/>
        <w:t>Sadarbībā ar European Movement Ireland (EMI) 2021. un 2022. gadā tika uzsākta reģionālo un nozaru saistību programma. Reģionālo sanāksmju pirmais posms notika jūnijā un jūlijā virtuālas apspriešanās veidā. Reģionālo pasākumu otrais posms notika 2022. gada sākumā klātienē rīkotas publiskas sanāksmes. Kopš jūlija ir sākusies valdības vadītu pasākumu programma.</w:t>
      </w:r>
    </w:p>
    <w:p>
      <w:pPr>
        <w:pStyle w:val="P68B1DB1Corpsdetexte12"/>
        <w:rPr>
          <w:b/>
          <w:b/>
          <w:i/>
          <w:i/>
          <w:u w:val="single"/>
        </w:rPr>
      </w:pPr>
      <w:r>
        <w:rPr/>
        <w:t>8 Grieķija</w:t>
      </w:r>
    </w:p>
    <w:p>
      <w:pPr>
        <w:pStyle w:val="Corpsdetexte"/>
        <w:rPr/>
      </w:pPr>
      <w:r>
        <w:rPr/>
        <w:t>Ārlietu ministrija bija atbildīga par nacionālā dialoga koordinēšanu. Centrālo un vietējo pašvaldību aģentūras un pilsoniskā sabiedrība tika stingri mudinātas organizēt diskusijas un citus pasākumus. Piemēram, notika pasākumi saistībā ar Eiropas un Vidusjūras reģiona valstu sadarbību, Rietumbalkāniem, demogrāfiskajām problēmām, migrāciju un demokrātiju, iesaistot iedzīvotājus un dažādas ieinteresētās personas.</w:t>
      </w:r>
    </w:p>
    <w:p>
      <w:pPr>
        <w:pStyle w:val="P68B1DB1Corpsdetexte12"/>
        <w:rPr>
          <w:b/>
          <w:b/>
          <w:i/>
          <w:i/>
          <w:u w:val="single"/>
        </w:rPr>
      </w:pPr>
      <w:r>
        <w:rPr/>
        <w:t>9 Spānija</w:t>
      </w:r>
    </w:p>
    <w:p>
      <w:pPr>
        <w:pStyle w:val="Corpsdetexte"/>
        <w:rPr/>
      </w:pPr>
      <w:r>
        <w:rPr/>
        <w:t>Spānijas regulējums ietvēra sešus pasākumus valsts līmenī (piemēram, apspriešanos ar Spānijas pilsoņiem par Eiropas nākotni) un aptuveni 20 pasākumus reģionālā līmenī. Tika organizēts arī pasākums ar Portugāles un Spānijas pilsoņiem, lai apspriestu galvenos jautājumus, kas interesē šo valstu reģionus un ES nākotni. Reģionālā un vietējā līmenī iestādes organizēja pasākumus par vairākiem tematiem, piemēram, pārrobežu sadarbību, demogrāfisko pārmaiņu ietekmi, ilgtspējīgu transportu un mobilitāti, klimata pārmaiņām, migrāciju un tālāko reģionu nākotni.</w:t>
      </w:r>
    </w:p>
    <w:p>
      <w:pPr>
        <w:pStyle w:val="Normal"/>
        <w:rPr/>
      </w:pPr>
      <w:r>
        <w:rPr/>
      </w:r>
    </w:p>
    <w:p>
      <w:pPr>
        <w:pStyle w:val="P68B1DB1Corpsdetexte12"/>
        <w:rPr>
          <w:b/>
          <w:b/>
          <w:i/>
          <w:i/>
          <w:u w:val="single"/>
        </w:rPr>
      </w:pPr>
      <w:r>
        <w:rPr/>
        <w:t>10 Francija</w:t>
      </w:r>
    </w:p>
    <w:p>
      <w:pPr>
        <w:pStyle w:val="Corpsdetexte"/>
        <w:rPr/>
      </w:pPr>
      <w:r>
        <w:rPr/>
        <w:t>Francijas valdība no 2021. gada maija līdz jūlijam rīkoja plašu tiešsaistes apspriešanos jauniešiem. Piecdesmit tūkstoši Francijas jauniešu pauda savu viedokli, atbalstot sešpadsmit galvenās idejas Eiropas nākotnei. Šā pasākuma rezultāti kopā ar Francijas pilsoņu paneļdiskusijas rezultātiem tika apkopoti nobeiguma ziņojumā, kas ir Francijas ieguldījums konferencē. Francijas valdība arī mudināja visus Francijas dalībniekus, kuri to vēlējās (asociācijas, vietējās pašvaldības, vēlētas amatpersonas, pilsoniskās sabiedrības pārstāvji), organizēt pasākumus.</w:t>
      </w:r>
    </w:p>
    <w:p>
      <w:pPr>
        <w:pStyle w:val="P68B1DB1Corpsdetexte12"/>
        <w:rPr>
          <w:b/>
          <w:b/>
          <w:i/>
          <w:i/>
          <w:u w:val="single"/>
        </w:rPr>
      </w:pPr>
      <w:r>
        <w:rPr/>
        <w:t>11 Horvātija</w:t>
      </w:r>
    </w:p>
    <w:p>
      <w:pPr>
        <w:pStyle w:val="Corpsdetexte"/>
        <w:rPr/>
      </w:pPr>
      <w:r>
        <w:rPr/>
        <w:t>Ir izveidota darba grupa darbību koordinēšanai, un tā ir apkopojusi idejas un plānus darbību veikšanai valsts līmenī. Ministrijas, centrālie valsts biroji, reģionālās attīstības aģentūras, universitātes, NVO un institūti organizēja pasākumus, rīkojot konferences, pilsoņu dialogus un debates ar iedzīvotājiem, publiskas diskusijas un izglītojošus darbseminārus, īpašu uzmanību pievēršot jauniešiem.</w:t>
      </w:r>
    </w:p>
    <w:p>
      <w:pPr>
        <w:pStyle w:val="Corpsdetexte"/>
        <w:rPr/>
      </w:pPr>
      <w:r>
        <w:rPr/>
        <w:t>Aptvertie temati ir migrācija, demogrāfija, klimatneitralitāte un aprites ekonomika. Daži pasākumi tika organizēti ar citām dalībvalstīm un kaimiņvalstīm ārpus ES.</w:t>
      </w:r>
    </w:p>
    <w:p>
      <w:pPr>
        <w:pStyle w:val="P68B1DB1Corpsdetexte12"/>
        <w:rPr>
          <w:b/>
          <w:b/>
          <w:i/>
          <w:i/>
          <w:u w:val="single"/>
        </w:rPr>
      </w:pPr>
      <w:r>
        <w:rPr/>
        <w:t>12 Itālija</w:t>
      </w:r>
    </w:p>
    <w:p>
      <w:pPr>
        <w:pStyle w:val="Corpsdetexte"/>
        <w:rPr/>
      </w:pPr>
      <w:r>
        <w:rPr/>
        <w:t>Ir izveidoti vairāki pasākumi, kas īpaši vērsti uz jauniešiem, lai sasniegtu pēc iespējas vairāk iedzīvotāju, tostarp ar vietējo iestāžu aktīvu atbalstu. Tika uzsākta plašsaziņas līdzekļu kampaņa, lai pēc iespējas palielinātu informētību par šiem pasākumiem. Šie pasākumi ietver ES un Balkānu Jaunatnes forumu, ko organizē kopā ar jauniešiem no Rietumbalkānu valstīm, Jaunatnes forumu “Vīriešu dialogi”, iesaistot jauniešus no dienvidu kaimiņreģiona, kā arī konkursus vidusskolas un augstskolu studentiem ar nosaukumu “Eiropa ir jūsu rokās”.</w:t>
      </w:r>
    </w:p>
    <w:p>
      <w:pPr>
        <w:pStyle w:val="P68B1DB1Corpsdetexte12"/>
        <w:rPr>
          <w:b/>
          <w:b/>
          <w:i/>
          <w:i/>
          <w:u w:val="single"/>
        </w:rPr>
      </w:pPr>
      <w:r>
        <w:rPr/>
        <w:t>13 Kipra</w:t>
      </w:r>
    </w:p>
    <w:p>
      <w:pPr>
        <w:pStyle w:val="Corpsdetexte"/>
        <w:rPr/>
      </w:pPr>
      <w:r>
        <w:rPr/>
        <w:t>Ir organizēti vairāki uz jaunatni vērsti pasākumi, iesaistot daudzus dalībniekus. Notika ievadpasākums, tostarp diskusija ar jaunāko paaudzi par viņu cerībām, bažām un redzējumu par Eiropu un Kipru Eiropas Savienībā. Tika rīkots arī atklāts dialogs par jauniešu lomu debatēs par Eiropu un problēmām, ar kurām viņi saskaras valstu un Eiropas līmenī. Notika arī pasākums, lai apspriestu Eiropas drošības un aizsardzības nākotni.</w:t>
      </w:r>
    </w:p>
    <w:p>
      <w:pPr>
        <w:pStyle w:val="P68B1DB1Corpsdetexte12"/>
        <w:rPr>
          <w:b/>
          <w:b/>
          <w:i/>
          <w:i/>
          <w:u w:val="single"/>
        </w:rPr>
      </w:pPr>
      <w:r>
        <w:rPr/>
        <w:t>14 Latvija</w:t>
      </w:r>
    </w:p>
    <w:p>
      <w:pPr>
        <w:pStyle w:val="Corpsdetexte"/>
        <w:rPr/>
      </w:pPr>
      <w:r>
        <w:rPr/>
        <w:t>Ir organizēti vairāki pasākumi, tostarp valsts mēroga tiešsaistes diskusija ar studentiem “Nākotne ir jūsu rokās” par ekonomikas, sociālajiem un drošības jautājumiem. Tika izveidots valsts mēroga apsekojums un diskusijas ideju laboratorijās, lai apkopotu sabiedrības viedokli par iedzīvotāju viedokļiem par Eiropas Savienības turpmākajām prioritātēm attiecībā uz visām konferences tēmām. Notika reģionālas tiešas diskusijas, lai veicinātu 55 gadus vecu un vecāku cilvēku informētību par konferenci, un notika tiešas diskusijas ar vidusskolēniem.</w:t>
      </w:r>
    </w:p>
    <w:p>
      <w:pPr>
        <w:pStyle w:val="P68B1DB1Corpsdetexte12"/>
        <w:rPr>
          <w:b/>
          <w:b/>
          <w:i/>
          <w:i/>
          <w:u w:val="single"/>
        </w:rPr>
      </w:pPr>
      <w:r>
        <w:rPr/>
        <w:t>15 Lietuva</w:t>
      </w:r>
    </w:p>
    <w:p>
      <w:pPr>
        <w:pStyle w:val="Corpsdetexte"/>
        <w:rPr/>
      </w:pPr>
      <w:r>
        <w:rPr/>
        <w:t>Pasākumi galvenokārt tika organizēti decentralizēti, un uzsvars tika likts uz dažādiem Lietuvas reģioniem un jauniešiem (piemēram, saistībā ar jauniešu debatēm Baltijas valstīs). Notika vairāki pilsoņu dialogi (par demokrātiju, digitalizāciju, klimata pārmaiņām utt.), transnacionāli dialogi (piemēram, ar Franciju, Īriju un Itāliju) un pilsoniskās sabiedrības pasākumi. Turklāt skolas tika mudinātas risināt jautājumu par Eiropas nākotni.</w:t>
      </w:r>
    </w:p>
    <w:p>
      <w:pPr>
        <w:pStyle w:val="Normal"/>
        <w:rPr/>
      </w:pPr>
      <w:r>
        <w:rPr/>
      </w:r>
    </w:p>
    <w:p>
      <w:pPr>
        <w:pStyle w:val="P68B1DB1Corpsdetexte12"/>
        <w:rPr>
          <w:b/>
          <w:b/>
          <w:i/>
          <w:i/>
          <w:u w:val="single"/>
        </w:rPr>
      </w:pPr>
      <w:r>
        <w:rPr/>
        <w:t>16 Luksemburga</w:t>
      </w:r>
    </w:p>
    <w:p>
      <w:pPr>
        <w:pStyle w:val="Corpsdetexte"/>
        <w:rPr/>
      </w:pPr>
      <w:r>
        <w:rPr/>
        <w:t>Valsts līmenī tika organizēti vairāki pasākumi ar atklātu, iekļaujošu un pārredzamu pieeju. Piemēram, parlaments organizēja vairākus pasākumus jaunos formātos, piemēram, “burkānu sarunas”. Tika organizēts arī hakatons studentiem un jaunajiem uzņēmējiem, lai apspriestu digitālo kompasu un ES rūpniecības stratēģiju.</w:t>
      </w:r>
    </w:p>
    <w:p>
      <w:pPr>
        <w:pStyle w:val="Corpsdetexte"/>
        <w:rPr/>
      </w:pPr>
      <w:r>
        <w:rPr/>
        <w:t>Turklāt notika trīsnacionāla apmaiņa starp Vācijas, Francijas un Luksemburgas vidusskolēniem.</w:t>
      </w:r>
    </w:p>
    <w:p>
      <w:pPr>
        <w:pStyle w:val="P68B1DB1Corpsdetexte12"/>
        <w:rPr>
          <w:b/>
          <w:b/>
          <w:i/>
          <w:i/>
          <w:u w:val="single"/>
        </w:rPr>
      </w:pPr>
      <w:r>
        <w:rPr/>
        <w:t>17 Ungārija</w:t>
      </w:r>
    </w:p>
    <w:p>
      <w:pPr>
        <w:pStyle w:val="Corpsdetexte"/>
        <w:rPr/>
      </w:pPr>
      <w:r>
        <w:rPr/>
        <w:t>Tika organizēts plašs pasākumu klāsts visā sabiedrībā (vairāk nekā 800). Institucionāli pasākumi ietver augsta līmeņa starptautiskas konferences, ko organizē vairākas ministrijas (piemēram, par ES paplašināšanos un digitālo programmu) un apaļā galda sarunas ar studentiem un jaunatnes organizācijām (piemēram, par Eiropas integrāciju). Vairākas organizācijas rīkoja paneļdiskusiju, lai apspriestu šādus tematus: ES iestādēm; spēcīgāka ekonomika, sociālais taisnīgums un nodarbinātība, digitālā pārveide, izglītība, kultūra, jaunatne un sports; vērtības un tiesības, tiesiskums un drošība; NVO; migrācija; kā arī demogrāfija, ģimene, veselība, klimata pārmaiņas un vide.</w:t>
      </w:r>
    </w:p>
    <w:p>
      <w:pPr>
        <w:pStyle w:val="P68B1DB1Corpsdetexte12"/>
        <w:rPr>
          <w:b/>
          <w:b/>
          <w:i/>
          <w:i/>
          <w:u w:val="single"/>
        </w:rPr>
      </w:pPr>
      <w:r>
        <w:rPr/>
        <w:t>18 Malta</w:t>
      </w:r>
    </w:p>
    <w:p>
      <w:pPr>
        <w:pStyle w:val="Corpsdetexte"/>
        <w:rPr/>
      </w:pPr>
      <w:r>
        <w:rPr/>
        <w:t>Pēc ievadpasākuma tika izveidota Valsts koordinācijas komiteja, lai popularizētu iniciatīvu, izmantojot dažādus saziņas kanālus, un tā palīdzēja virzīt debates valsts un vietējos pasākumos.</w:t>
      </w:r>
    </w:p>
    <w:p>
      <w:pPr>
        <w:pStyle w:val="Corpsdetexte"/>
        <w:rPr/>
      </w:pPr>
      <w:r>
        <w:rPr/>
        <w:t>Tematiskie publiskie dialogi (piemēram, par veselību, Eiropas vērtībām un darba nākotni taisnīgas sabiedrības labā), preses konferences, apspriedes ar attiecīgo nozaru ieinteresētajām personām un interaktīvas sesijas ar bērniem un studentiem tika organizētas fiziskā vai hibrīdformātā.</w:t>
      </w:r>
    </w:p>
    <w:p>
      <w:pPr>
        <w:pStyle w:val="Corpsdetexte"/>
        <w:rPr/>
      </w:pPr>
      <w:r>
        <w:rPr/>
      </w:r>
    </w:p>
    <w:p>
      <w:pPr>
        <w:pStyle w:val="P68B1DB1Corpsdetexte12"/>
        <w:rPr>
          <w:b/>
          <w:b/>
          <w:i/>
          <w:i/>
          <w:u w:val="single"/>
        </w:rPr>
      </w:pPr>
      <w:r>
        <w:rPr/>
        <w:t>19 Nīderlande</w:t>
      </w:r>
    </w:p>
    <w:p>
      <w:pPr>
        <w:pStyle w:val="Corpsdetexte"/>
        <w:rPr/>
      </w:pPr>
      <w:r>
        <w:rPr/>
        <w:t>Nīderlandē uzsvars tika likts uz valsts pilsoņu paneļdiskusiju “Visions of Europe — Kijk op Europa”, kas notika gan tiešsaistē, gan klātienē. Tā pamatā bija divu posmu pieeja: pirmais uzdevums bija apkopot iedzīvotāju pārdomas un viedokļus par to, ko viņi gaidīja un vēlējās; otrajā posmā, izmantojot grupu dialogus, tika mēģināts izprast viņu pamatā esošos viedokļus (“kāpēc” un “kā”).</w:t>
      </w:r>
    </w:p>
    <w:p>
      <w:pPr>
        <w:pStyle w:val="Corpsdetexte"/>
        <w:rPr/>
      </w:pPr>
      <w:r>
        <w:rPr/>
      </w:r>
    </w:p>
    <w:p>
      <w:pPr>
        <w:pStyle w:val="P68B1DB1Corpsdetexte12"/>
        <w:rPr>
          <w:b/>
          <w:b/>
          <w:i/>
          <w:i/>
          <w:u w:val="single"/>
        </w:rPr>
      </w:pPr>
      <w:r>
        <w:rPr/>
        <w:t>20 Austrija</w:t>
      </w:r>
    </w:p>
    <w:p>
      <w:pPr>
        <w:pStyle w:val="Corpsdetexte"/>
        <w:rPr/>
      </w:pPr>
      <w:r>
        <w:rPr/>
        <w:t>Diskusijas notika dažādos formātos federālajā, reģionālajā un vietējā līmenī. “Nākamās laboratorijas” un “nākamie dialogi” ļāva padziļināti apmainīties ar augsta līmeņa ekspertiem par dažādiem tematiem un meklēt visaptverošākus risinājumus nākotnei. Turklāt Austrijas pašvaldību deputāti, kas atbild par Eiropas lietām, organizēja vairākus pasākumus. Vairāki pasākumi bija tieši vērsti uz jauniešiem un studentiem.</w:t>
      </w:r>
    </w:p>
    <w:p>
      <w:pPr>
        <w:pStyle w:val="P68B1DB1Corpsdetexte12"/>
        <w:rPr>
          <w:b/>
          <w:b/>
          <w:i/>
          <w:i/>
          <w:u w:val="single"/>
        </w:rPr>
      </w:pPr>
      <w:r>
        <w:rPr/>
        <w:t>21 Polija</w:t>
      </w:r>
    </w:p>
    <w:p>
      <w:pPr>
        <w:pStyle w:val="Corpsdetexte"/>
        <w:rPr/>
      </w:pPr>
      <w:r>
        <w:rPr/>
        <w:t>Pasākumi galvenokārt tika organizēti decentralizētas pieejas ietvaros. Reģionālā līmenī reģionālie starptautisko debašu centri 16 Polijas reģionos organizēja publiskus pasākumus fiziskā un virtuālā formātā. Apspriežamie temati bija konferences tematiskās jomas, piemēram, solidaritāte krīzes laikā, lauksaimniecība un jaunās tehnoloģijas.</w:t>
      </w:r>
    </w:p>
    <w:p>
      <w:pPr>
        <w:pStyle w:val="Corpsdetexte"/>
        <w:rPr/>
      </w:pPr>
      <w:r>
        <w:rPr/>
        <w:t>Notika arī valstu debates par klimatu, digitalizāciju, iekšējo tirgu, veselību, ES pasaulē un migrāciju.</w:t>
      </w:r>
    </w:p>
    <w:p>
      <w:pPr>
        <w:pStyle w:val="P68B1DB1Corpsdetexte12"/>
        <w:rPr>
          <w:b/>
          <w:b/>
          <w:i/>
          <w:i/>
          <w:u w:val="single"/>
        </w:rPr>
      </w:pPr>
      <w:r>
        <w:rPr/>
        <w:t>22 Portugāle</w:t>
      </w:r>
    </w:p>
    <w:p>
      <w:pPr>
        <w:pStyle w:val="Corpsdetexte"/>
        <w:rPr/>
      </w:pPr>
      <w:r>
        <w:rPr/>
        <w:t>Pēc pirmā pilsoņu pasākuma Lisabonā, kas aizsāka pilsoņu dalību konferencē, daudzi pasākumi tika organizēti partnerībā ar vietējām pašvaldībām, universitātēm, skolām, sociālajiem partneriem, jaunatnes organizācijām un vietējām pilsoniskās sabiedrības organizācijām. Piemēram, tika organizēts starptautisks pasākums ar Spāniju, lai apspriestu galvenos jautājumus, kas interesē abu valstu un ES reģionu nākotni. Turklāt notika decentralizēti valstu pasākumi par dažādiem tematiem, piemēram, migrāciju un starptautiskām partnerībām, Eiropas demokrātijas nākotni un digitālo pārveidi.</w:t>
      </w:r>
    </w:p>
    <w:p>
      <w:pPr>
        <w:pStyle w:val="P68B1DB1Corpsdetexte12"/>
        <w:rPr>
          <w:b/>
          <w:b/>
          <w:i/>
          <w:i/>
          <w:u w:val="single"/>
        </w:rPr>
      </w:pPr>
      <w:r>
        <w:rPr/>
        <w:t>23 Rumānija</w:t>
      </w:r>
    </w:p>
    <w:p>
      <w:pPr>
        <w:pStyle w:val="Corpsdetexte"/>
        <w:rPr/>
      </w:pPr>
      <w:r>
        <w:rPr/>
        <w:t>Pasākumus galvenokārt organizēja vai kopīgi organizēja administrācija un jo īpaši institūti, aktīvi piedaloties pilsoniskajai sabiedrībai un jaunatnes organizācijām.</w:t>
      </w:r>
    </w:p>
    <w:p>
      <w:pPr>
        <w:pStyle w:val="Corpsdetexte"/>
        <w:rPr/>
      </w:pPr>
      <w:r>
        <w:rPr/>
        <w:t>Diskusiju uzmanības centrā bija plašs tematu loks, piemēram, digitālā pārkārtošanās, izglītība, veselība, vide, ilgtspējīga attīstība, ekonomika, lauksaimniecība un ES stratēģiskās partnerības. Pasākumi notika galvaspilsētā un vietējā līmenī, un tajā piedalījās visas vecuma grupas.</w:t>
      </w:r>
    </w:p>
    <w:p>
      <w:pPr>
        <w:pStyle w:val="P68B1DB1Corpsdetexte12"/>
        <w:rPr>
          <w:b/>
          <w:b/>
          <w:i/>
          <w:i/>
          <w:u w:val="single"/>
        </w:rPr>
      </w:pPr>
      <w:r>
        <w:rPr/>
        <w:t>24 Slovēnija</w:t>
      </w:r>
    </w:p>
    <w:p>
      <w:pPr>
        <w:pStyle w:val="Corpsdetexte"/>
        <w:rPr/>
      </w:pPr>
      <w:r>
        <w:rPr/>
        <w:t>Mērķis bija veicināt plašas debates, kurās galvenā loma bija pilsoniskajai sabiedrībai, kā arī jo īpaši jauniešu līdzdalību.</w:t>
      </w:r>
    </w:p>
    <w:p>
      <w:pPr>
        <w:pStyle w:val="Corpsdetexte"/>
        <w:rPr/>
      </w:pPr>
      <w:r>
        <w:rPr/>
        <w:t>Valdība organizēja ievadpasākumu, kam sekoja vairākas iniciatīvas, piemēram, Bledas stratēģiskais forums, kura galvenā tēma bija Eiropas nākotne, īpašu uzmanību pievēršot ES paplašināšanai un Rietumbalkāniem. Citi pasākumi bija vērsti uz tādiem tematiem kā monetārā politika, klimatneitralitāte, jaunatne un ES loma daudzpolārā starptautiskā vidē.</w:t>
      </w:r>
    </w:p>
    <w:p>
      <w:pPr>
        <w:pStyle w:val="P68B1DB1Corpsdetexte12"/>
        <w:rPr>
          <w:b/>
          <w:b/>
          <w:i/>
          <w:i/>
          <w:u w:val="single"/>
        </w:rPr>
      </w:pPr>
      <w:r>
        <w:rPr/>
        <w:t>25 Slovākija</w:t>
      </w:r>
    </w:p>
    <w:p>
      <w:pPr>
        <w:pStyle w:val="Corpsdetexte"/>
        <w:rPr/>
      </w:pPr>
      <w:r>
        <w:rPr/>
        <w:t>Organizētie pasākumi tika organizēti, pamatojoties uz diviem galvenajiem pīlāriem. Pirmais pīlārs bija “WeAreEU” projekts, kas bija vērsts uz plašu sabiedrību, tostarp diskusijas ar studentiem un sabiedriskās apspriešanas, kā arī vairāki reģionāli pasākumi, kas tika organizēti WeAreEU Road Show ietvaros. Otrais pīlārs bija valstu konvencija par ES, koncentrējoties uz ekspertu ieguldījumu un analīzi par tādiem tematiem kā vienotais tirgus, dezinformācija un populisms, kā arī digitālā un ekoloģiskā pārkārtošanās.</w:t>
      </w:r>
    </w:p>
    <w:p>
      <w:pPr>
        <w:pStyle w:val="P68B1DB1Corpsdetexte12"/>
        <w:rPr>
          <w:b/>
          <w:b/>
          <w:i/>
          <w:i/>
          <w:u w:val="single"/>
        </w:rPr>
      </w:pPr>
      <w:r>
        <w:rPr/>
        <w:t>26 Somija</w:t>
      </w:r>
    </w:p>
    <w:p>
      <w:pPr>
        <w:pStyle w:val="Corpsdetexte"/>
        <w:rPr/>
      </w:pPr>
      <w:r>
        <w:rPr/>
        <w:t>Valdība organizēja vairākas reģionālas konsultācijas, tostarp “ES ziemeļu konferences pasākumu”, par dažādiem tematiem, piemēram, ilgtspējīgu izaugsmi, izglītību un tiesiskumu. Tika veikta arī aptauja, lai sniegtu informāciju diskusijām.</w:t>
      </w:r>
    </w:p>
    <w:p>
      <w:pPr>
        <w:pStyle w:val="Corpsdetexte"/>
        <w:spacing w:before="6264" w:after="57"/>
        <w:rPr/>
      </w:pPr>
      <w:r>
        <w:rPr/>
        <w:t xml:space="preserve">Pasākumus organizēja valdība sadarbībā ar pilsētām, vietējām iestādēm, universitātēm, NVO un jaunatnes organizācijām, kā arī Somijas parlamentu, Eiropas Parlamentu un Eiropas Komisijas </w:t>
      </w:r>
      <w:r>
        <w:drawing>
          <wp:anchor behindDoc="0" distT="0" distB="0" distL="0" distR="0" simplePos="0" locked="0" layoutInCell="1" allowOverlap="1" relativeHeight="23">
            <wp:simplePos x="0" y="0"/>
            <wp:positionH relativeFrom="column">
              <wp:posOffset>5080</wp:posOffset>
            </wp:positionH>
            <wp:positionV relativeFrom="paragraph">
              <wp:posOffset>3077845</wp:posOffset>
            </wp:positionV>
            <wp:extent cx="6120130" cy="3977640"/>
            <wp:effectExtent l="0" t="0" r="0" b="0"/>
            <wp:wrapSquare wrapText="largest"/>
            <wp:docPr id="58" name="Fotoattēls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otoattēls18" descr=""/>
                    <pic:cNvPicPr>
                      <a:picLocks noChangeAspect="1" noChangeArrowheads="1"/>
                    </pic:cNvPicPr>
                  </pic:nvPicPr>
                  <pic:blipFill>
                    <a:blip r:embed="rId50"/>
                    <a:stretch>
                      <a:fillRect/>
                    </a:stretch>
                  </pic:blipFill>
                  <pic:spPr bwMode="auto">
                    <a:xfrm>
                      <a:off x="0" y="0"/>
                      <a:ext cx="6120130" cy="3977640"/>
                    </a:xfrm>
                    <a:prstGeom prst="rect">
                      <a:avLst/>
                    </a:prstGeom>
                  </pic:spPr>
                </pic:pic>
              </a:graphicData>
            </a:graphic>
          </wp:anchor>
        </w:drawing>
      </w:r>
      <w:r>
        <w:rPr/>
        <w:t>i</w:t>
      </w:r>
      <w:r>
        <w:rPr/>
        <w:t>nformācijas birojiem Somijā.</w:t>
      </w:r>
    </w:p>
    <w:p>
      <w:pPr>
        <w:pStyle w:val="Normal"/>
        <w:rPr/>
      </w:pPr>
      <w:r>
        <w:rPr/>
      </w:r>
    </w:p>
    <w:p>
      <w:pPr>
        <w:pStyle w:val="P68B1DB1Corpsdetexte12"/>
        <w:rPr>
          <w:b/>
          <w:b/>
          <w:i/>
          <w:i/>
          <w:u w:val="single"/>
        </w:rPr>
      </w:pPr>
      <w:r>
        <w:rPr/>
        <w:t>27 Zviedrija</w:t>
      </w:r>
    </w:p>
    <w:p>
      <w:pPr>
        <w:pStyle w:val="Corpsdetexte"/>
        <w:rPr/>
      </w:pPr>
      <w:r>
        <w:rPr/>
        <w:t>Pasākumi galvenokārt tika organizēti decentralizēti, kopīgi rīkojot valdību, valsts parlamentu, politiskās partijas, sociālos partnerus, vietējos un reģionālos pārstāvjus, pilsoniskās sabiedrības organizācijas un citus attiecīgos sabiedrības dalībniekus.</w:t>
      </w:r>
    </w:p>
    <w:p>
      <w:pPr>
        <w:pStyle w:val="Corpsdetexte"/>
        <w:rPr/>
      </w:pPr>
      <w:r>
        <w:rPr/>
        <w:t>Piemēram, Zviedrijas Eiropas lietu ministrs apsprieda Eiropas nākotni ar skolēniem no dažādām skolām un piedalījās sanāksmēs pašvaldību līmenī, lai apspriestu Eiropas nākotni un demokrātiju ar iedzīvotājiem. Digitālie plašsaziņas līdzekļi ir izmantoti arī, lai piedalītos dialogos ar iedzīvotājiem, piemēram, jautājumu un atbilžu sesijās.</w:t>
      </w:r>
    </w:p>
    <w:p>
      <w:pPr>
        <w:pStyle w:val="Corpsdetexte"/>
        <w:rPr/>
      </w:pPr>
      <w:r>
        <w:rPr/>
        <w:t>Iepriekš minētie apraksti nav izsmeļoši. Plašāka informācija par valstu pasākumiem ir atrodama īpašā daudzvalodu digitālās platformas sadaļā.</w:t>
      </w:r>
    </w:p>
    <w:p>
      <w:pPr>
        <w:pStyle w:val="Corpsdetexte"/>
        <w:rPr/>
      </w:pPr>
      <w:r>
        <w:rPr/>
      </w:r>
    </w:p>
    <w:p>
      <w:pPr>
        <w:pStyle w:val="Corpsdetexte"/>
        <w:rPr/>
      </w:pPr>
      <w:r>
        <w:rPr/>
      </w:r>
      <w:r>
        <w:br w:type="page"/>
      </w:r>
    </w:p>
    <w:p>
      <w:pPr>
        <w:pStyle w:val="Titre3"/>
        <w:numPr>
          <w:ilvl w:val="2"/>
          <w:numId w:val="2"/>
        </w:numPr>
        <w:rPr/>
      </w:pPr>
      <w:bookmarkStart w:id="30" w:name="__RefHeading___Toc298234_1346298689"/>
      <w:bookmarkEnd w:id="30"/>
      <w:r>
        <w:rPr/>
        <w:t>2.</w:t>
        <w:tab/>
        <w:t xml:space="preserve">Eiropas jauniešu tikšanās </w:t>
      </w:r>
    </w:p>
    <w:p>
      <w:pPr>
        <w:pStyle w:val="Normal"/>
        <w:rPr/>
      </w:pPr>
      <w:hyperlink r:id="rId51">
        <w:r>
          <w:rPr>
            <w:rStyle w:val="LienInternet"/>
          </w:rPr>
          <w:t>Eiropas Jaunatnes dienas (EYE 2021)</w:t>
        </w:r>
      </w:hyperlink>
      <w:r>
        <w:rPr/>
        <w:t xml:space="preserve"> notika 2021. gada 8.–9. oktobrī, un tajās piedalījās 10 000 jauniešu tiešsaistē un Eiropas Parlaments Strasbūrā, lai veidotu un apmainītos ar idejām par Eiropas nākotni. EYE </w:t>
      </w:r>
      <w:r>
        <w:rPr>
          <w:i/>
        </w:rPr>
        <w:t>bija unikāla iespēja jauniešiem vecumā no 16 līdz 30 gadiem sadarboties gan klātienē, gan tiešsaistē, iedvesmot viens otru un apmainīties viedokļiem ar ekspertiem, aktīvistiem, ietekmētājiem un lēmumu pieņēmējiem, kas ir Eiropas demokrātijas</w:t>
      </w:r>
      <w:r>
        <w:rPr/>
        <w:t xml:space="preserve"> pamatā.</w:t>
      </w:r>
    </w:p>
    <w:p>
      <w:pPr>
        <w:pStyle w:val="Normal"/>
        <w:spacing w:before="6132" w:after="57"/>
        <w:rPr/>
      </w:pPr>
      <w:r>
        <w:rPr/>
        <w:t xml:space="preserve">Kopš 2021. gada maija sadarbībā ar Eiropas jaunatnes organizācijām </w:t>
      </w:r>
      <w:r>
        <w:drawing>
          <wp:anchor behindDoc="0" distT="0" distB="0" distL="0" distR="0" simplePos="0" locked="0" layoutInCell="1" allowOverlap="1" relativeHeight="24">
            <wp:simplePos x="0" y="0"/>
            <wp:positionH relativeFrom="column">
              <wp:posOffset>53340</wp:posOffset>
            </wp:positionH>
            <wp:positionV relativeFrom="paragraph">
              <wp:posOffset>2400300</wp:posOffset>
            </wp:positionV>
            <wp:extent cx="5980430" cy="3893820"/>
            <wp:effectExtent l="0" t="0" r="0" b="0"/>
            <wp:wrapTopAndBottom/>
            <wp:docPr id="59" name="Fotoattēls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otoattēls19" descr=""/>
                    <pic:cNvPicPr>
                      <a:picLocks noChangeAspect="1" noChangeArrowheads="1"/>
                    </pic:cNvPicPr>
                  </pic:nvPicPr>
                  <pic:blipFill>
                    <a:blip r:embed="rId52"/>
                    <a:stretch>
                      <a:fillRect/>
                    </a:stretch>
                  </pic:blipFill>
                  <pic:spPr bwMode="auto">
                    <a:xfrm>
                      <a:off x="0" y="0"/>
                      <a:ext cx="5980430" cy="3893820"/>
                    </a:xfrm>
                    <a:prstGeom prst="rect">
                      <a:avLst/>
                    </a:prstGeom>
                  </pic:spPr>
                </pic:pic>
              </a:graphicData>
            </a:graphic>
          </wp:anchor>
        </w:drawing>
      </w:r>
      <w:r>
        <w:rPr/>
        <w:t>t</w:t>
      </w:r>
      <w:r>
        <w:rPr/>
        <w:t xml:space="preserve">iešsaistē ir savākti vairāk nekā 2000 priekšlikumi no jauniešiem no visas Eiropas Savienības. Turklāt vairākās sesijās gan tiešsaistē, gan EYE laikā Strasbūrā uzmanība tika pievērsta konferencei par Eiropas nākotni. Pēc pasākuma dalībnieku izvirzītās 20 galvenās idejas — divas idejas no konferences temata — tika apkopotas </w:t>
      </w:r>
      <w:hyperlink r:id="rId53">
        <w:r>
          <w:rPr>
            <w:rStyle w:val="LienInternet"/>
          </w:rPr>
          <w:t>ziņojumā par jaunatnes idejām konferencei par</w:t>
        </w:r>
      </w:hyperlink>
      <w:r>
        <w:rPr/>
        <w:t xml:space="preserve"> Eiropas nākotni, kas publicēts 23 valodās.</w:t>
      </w:r>
    </w:p>
    <w:p>
      <w:pPr>
        <w:pStyle w:val="Normal"/>
        <w:rPr/>
      </w:pPr>
      <w:r>
        <w:rPr/>
        <w:t xml:space="preserve">Ar ziņojumu par jaunatnes idejām konferences plenārsēdē 23. oktobrī iepazīstināja Eiropas pilsoņu paneļdiskusiju jaunie dalībnieki, kuri arī piedalījās 2021. gada EYE. Visas apkopotās idejas ir pieejamas: </w:t>
      </w:r>
      <w:hyperlink r:id="rId54">
        <w:r>
          <w:rPr>
            <w:rStyle w:val="LienInternet"/>
          </w:rPr>
          <w:t>meklēt.youthideas.eu.</w:t>
        </w:r>
      </w:hyperlink>
    </w:p>
    <w:p>
      <w:pPr>
        <w:pStyle w:val="Titre3"/>
        <w:numPr>
          <w:ilvl w:val="2"/>
          <w:numId w:val="2"/>
        </w:numPr>
        <w:rPr/>
      </w:pPr>
      <w:bookmarkStart w:id="31" w:name="__RefHeading___Toc298236_1346298689"/>
      <w:bookmarkEnd w:id="31"/>
      <w:r>
        <w:rPr/>
        <w:t>3.</w:t>
        <w:tab/>
        <w:t>Citi pasākumi</w:t>
      </w:r>
    </w:p>
    <w:p>
      <w:pPr>
        <w:pStyle w:val="Normal"/>
        <w:rPr/>
      </w:pPr>
      <w:r>
        <w:rPr/>
        <w:t>Papildus iepriekš minētajiem pasākumiem daudzas citas iestādes un ieinteresētās personas pulcēja iedzīvotājus, lai apspriestu Eiropas nākotni</w:t>
      </w:r>
      <w:r>
        <w:rPr>
          <w:rStyle w:val="Ancredenotedebasdepage"/>
          <w:rStyle w:val="Ancredenotedebasdepage"/>
        </w:rPr>
        <w:footnoteReference w:id="6"/>
      </w:r>
      <w:r>
        <w:rPr/>
        <w:t>.</w:t>
      </w:r>
    </w:p>
    <w:p>
      <w:pPr>
        <w:pStyle w:val="Normal"/>
        <w:rPr/>
      </w:pPr>
      <w:r>
        <w:rPr/>
        <w:t>Konferences par Eiropas nākotni laikā Eiropas Ekonomikas un sociālo lietu komiteja (EESK) ir strādājusi, lai to informētu un palīdzētu plašajam pilsoniskās sabiedrības organizāciju tīklam dalībvalstīs organizēt konsultācijas valsts līmenī. Kopumā tā atbalstīja 75 pasākumu izvēršanu, tostarp 33 pasākumus valsts līmenī un 42 pasākumus centrālā līmenī. No šiem pasākumiem 60 % publicēja ziņojumus konferences platformā, un šie 45 pasākumi vien pulcēja vairāk nekā 7300 dalībnieku. EESK savu darbību sāka 2021. gada jūnijā, rīkojot nozīmīgu konferenci “</w:t>
      </w:r>
      <w:hyperlink r:id="rId55">
        <w:r>
          <w:rPr>
            <w:rStyle w:val="LienInternet"/>
          </w:rPr>
          <w:t>Eiropas projekta atgriešana iedzīvotājiem”</w:t>
        </w:r>
      </w:hyperlink>
      <w:r>
        <w:rPr/>
        <w:t>un 2021. gada novembrī Lisabonā organizēja semināru “</w:t>
      </w:r>
      <w:hyperlink r:id="rId56">
        <w:r>
          <w:rPr>
            <w:rStyle w:val="LienInternet"/>
          </w:rPr>
          <w:t>ES savienošana</w:t>
        </w:r>
      </w:hyperlink>
      <w:r>
        <w:rPr/>
        <w:t>” un 2022. gada februārī Briselē — augsta līmeņa pasākumu “</w:t>
      </w:r>
      <w:hyperlink r:id="rId57">
        <w:r>
          <w:rPr>
            <w:rStyle w:val="LienInternet"/>
          </w:rPr>
          <w:t>Eiropas veidošana kopā”</w:t>
        </w:r>
      </w:hyperlink>
      <w:r>
        <w:rPr/>
        <w:t>. Komiteja arī mudināja izmantot tiešsaistes platformu, kurā tā augšupielādēja 60 jaunas idejas, un uzsāka plašu komunikācijas kampaņu sociālajos plašsaziņas līdzekļos, kurā varētu piedalīties 32 miljoni cilvēku tikai Twitter tīklā, lai popularizētu valsts mēroga pasākumus angļu valodā un vietējā valodā un sniegtu informāciju pirms un pēc katras plenārsesijas un ar konferenci saistītās sanāksmes.</w:t>
      </w:r>
    </w:p>
    <w:p>
      <w:pPr>
        <w:pStyle w:val="Normal"/>
        <w:rPr/>
      </w:pPr>
      <w:r>
        <w:rPr/>
        <w:t xml:space="preserve">Eiropas Reģionu komiteja (RK) savās komisijās un plenārsesijās rīkoja tematiskas debates, kā arī 140 pasākumus vietējā, pārrobežu un starpreģionālā līmenī, kuros piedalījās 10 000 iedzīvotāju un 200 vietējo politiķu. Turklāt 2021. </w:t>
      </w:r>
      <w:hyperlink r:id="rId58">
        <w:r>
          <w:rPr>
            <w:rStyle w:val="LienInternet"/>
          </w:rPr>
          <w:t>gada oktobrī tika publicēts pirmais 1,2 miljonu vietējo politiķu apsekojums</w:t>
        </w:r>
      </w:hyperlink>
      <w:r>
        <w:rPr/>
        <w:t xml:space="preserve"> ES-27 par viņu viedokli par Eiropas nākotni. Turklāt Cdr ierosināja </w:t>
      </w:r>
      <w:hyperlink r:id="rId59">
        <w:r>
          <w:rPr>
            <w:rStyle w:val="LienInternet"/>
          </w:rPr>
          <w:t>44 idejas</w:t>
        </w:r>
      </w:hyperlink>
      <w:r>
        <w:rPr/>
        <w:t xml:space="preserve"> daudzvalodu digitālajā platformā. 2022. gada sākumā</w:t>
      </w:r>
      <w:hyperlink r:id="rId60">
        <w:r>
          <w:rPr>
            <w:rStyle w:val="LienInternet"/>
          </w:rPr>
          <w:t xml:space="preserve"> neatkarīga augsta līmeņa grupa Eiropas demokrātijas jautājumos</w:t>
        </w:r>
      </w:hyperlink>
      <w:r>
        <w:rPr/>
        <w:t xml:space="preserve"> iepazīstināja ar idejām par to, kā uzlabot demokrātiju ES. RK pieņēma rezolūciju ar priekšlikumiem konferences noslēguma ziņojumam, un </w:t>
      </w:r>
      <w:hyperlink r:id="rId61">
        <w:r>
          <w:rPr>
            <w:rStyle w:val="LienInternet"/>
          </w:rPr>
          <w:t>Eiropas Reģionu un pilsētu samitā 2022. gada martā tika apstiprināts 12 punktu manifests, kas izstrādāts miljoniem ES vietējo un</w:t>
        </w:r>
      </w:hyperlink>
      <w:r>
        <w:rPr/>
        <w:t xml:space="preserve"> reģionālo politiķu. Ziņojumā</w:t>
      </w:r>
      <w:hyperlink r:id="rId62">
        <w:r>
          <w:rPr>
            <w:rStyle w:val="LienInternet"/>
          </w:rPr>
          <w:t>“Pilsoņi, vietējie politiķi un Eiropas nākotne”</w:t>
        </w:r>
      </w:hyperlink>
      <w:r>
        <w:rPr/>
        <w:t>(2022. gada marts) ir apkopoti visi RK pasākumi saistībā ar konferenci.</w:t>
      </w:r>
    </w:p>
    <w:p>
      <w:pPr>
        <w:pStyle w:val="Normal"/>
        <w:rPr/>
      </w:pPr>
      <w:r>
        <w:rPr/>
      </w:r>
    </w:p>
    <w:p>
      <w:pPr>
        <w:pStyle w:val="Normal"/>
        <w:rPr/>
      </w:pPr>
      <w:r>
        <w:rPr/>
        <w:t xml:space="preserve">Visas trīs darba devēju organizācijas, kas saistītas ar ES sociālo partnerību, </w:t>
      </w:r>
      <w:hyperlink r:id="rId63">
        <w:r>
          <w:rPr>
            <w:rStyle w:val="LienInternet"/>
          </w:rPr>
          <w:t>BusinessEurope</w:t>
        </w:r>
      </w:hyperlink>
      <w:r>
        <w:rPr/>
        <w:t xml:space="preserve">, </w:t>
      </w:r>
      <w:hyperlink r:id="rId64">
        <w:r>
          <w:rPr>
            <w:rStyle w:val="LienInternet"/>
          </w:rPr>
          <w:t>SGI Europe</w:t>
        </w:r>
      </w:hyperlink>
      <w:r>
        <w:rPr/>
        <w:t xml:space="preserve"> un </w:t>
      </w:r>
      <w:hyperlink r:id="rId65">
        <w:r>
          <w:rPr>
            <w:rStyle w:val="LienInternet"/>
          </w:rPr>
          <w:t>UEAPME</w:t>
        </w:r>
      </w:hyperlink>
      <w:r>
        <w:rPr/>
        <w:t>, digitālajā platformā publicēja savas prioritātes un ieguldījumu un iepazīstināja tos ar tiem attiecīgajām darba grupām un plenārsēdēm. Turklāt visi popularizēja konferenci gan iekšēji, gan ārēji, kā arī organizēja pasākumus un iesaistījās dialogā ar ieinteresētajām personām dažādos forumos. Eiropas Arodbiedrību konfederācija (ETUC) mobilizējās, lai sniegtu ieguldījumu konferencē, un piedalījās pilnsapulces un darba grupu sanāksmēs. ETUC apzināja arodbiedrību priekšlikumus par taisnīgāku nākotni Eiropai un publicēja tos tiešsaistes platformā (tie bija vieni no visvairāk atbalstītajiem priekšlikumiem). Eiropas Arodbiedrību konfederācija un tās saistītie uzņēmumi organizēja pasākumus un komunikācijas pasākumus, lai iepazīstinātu ar un apspriestu arodbiedrību priekšlikumus.</w:t>
      </w:r>
    </w:p>
    <w:p>
      <w:pPr>
        <w:pStyle w:val="Normal"/>
        <w:rPr/>
      </w:pPr>
      <w:r>
        <w:rPr/>
        <w:t xml:space="preserve">Pilsoniskās sabiedrības pārstāvji — </w:t>
      </w:r>
      <w:hyperlink r:id="rId66">
        <w:r>
          <w:rPr>
            <w:rStyle w:val="LienInternet"/>
          </w:rPr>
          <w:t>Konvents pilsoniskās sabiedrības konferencei par Eiropas nākotni</w:t>
        </w:r>
      </w:hyperlink>
      <w:r>
        <w:rPr/>
        <w:t xml:space="preserve"> un </w:t>
      </w:r>
      <w:hyperlink r:id="rId67">
        <w:r>
          <w:rPr>
            <w:rStyle w:val="LienInternet"/>
          </w:rPr>
          <w:t>Eiropas starptautiskajai kustībai</w:t>
        </w:r>
      </w:hyperlink>
      <w:r>
        <w:rPr/>
        <w:t xml:space="preserve"> — organizēja </w:t>
      </w:r>
      <w:hyperlink r:id="rId68">
        <w:r>
          <w:rPr>
            <w:rStyle w:val="LienInternet"/>
          </w:rPr>
          <w:t>daudzus pasākumus</w:t>
        </w:r>
      </w:hyperlink>
      <w:r>
        <w:rPr/>
        <w:t xml:space="preserve"> visā Eiropā un </w:t>
      </w:r>
      <w:hyperlink r:id="rId69">
        <w:r>
          <w:rPr>
            <w:rStyle w:val="LienInternet"/>
          </w:rPr>
          <w:t>aktīvi darbojās plenārsēžu līmenī</w:t>
        </w:r>
      </w:hyperlink>
      <w:r>
        <w:rPr/>
        <w:t xml:space="preserve">. Pilsoniskā sabiedrība ir iesaistījusi simtiem pilsoniskās sabiedrības organizāciju augšupējā pieejā, izmantojot </w:t>
      </w:r>
      <w:hyperlink r:id="rId70">
        <w:r>
          <w:rPr>
            <w:rStyle w:val="LienInternet"/>
          </w:rPr>
          <w:t>tematiskās grupas</w:t>
        </w:r>
      </w:hyperlink>
      <w:r>
        <w:rPr/>
        <w:t xml:space="preserve">, lai izstrādātu kopīgus un visaptverošus priekšlikumus </w:t>
      </w:r>
      <w:hyperlink r:id="rId71">
        <w:r>
          <w:rPr>
            <w:rStyle w:val="LienInternet"/>
          </w:rPr>
          <w:t>dažādās politikas jomās, uz kurām attiecas konference</w:t>
        </w:r>
      </w:hyperlink>
      <w:r>
        <w:rPr/>
        <w:t>. Idejas tika izmantotas konferencē ar platformas, darba grupu, plenārsēžu starpniecību un tiešā kontaktā ar valdi, līdzpriekšsēdētājiem un Apvienoto sekretariātu.</w:t>
      </w:r>
    </w:p>
    <w:p>
      <w:pPr>
        <w:pStyle w:val="Normal"/>
        <w:rPr/>
      </w:pPr>
      <w:r>
        <w:rPr/>
        <w:t>Eiropas Komisijas pārstāvniecības dalībvalstīs, Europe Direct centri, Eiropas dokumentācijas centri un EP vietējie biroji aktīvi informēja iedzīvotājus par konferenci par Eiropas nākotni. Eiropas Komisijas pārstāvniecības ziņoja par 1400 pasākumiem, kas palīdzēja komunicēt un īstenot konferenci visā Eiropā. Viņi organizēja vai aktīvi piedalījās vairāk nekā 850 pasākumos, no kuriem aptuveni 65 % bija paredzēti jauniešiem un sievietēm, lai veicinātu viņu dalību konferencē kopumā. EP vietējie biroji ir organizējuši vairāk nekā 1300 veicināšanas pasākumus visās dalībvalstīs.</w:t>
      </w:r>
    </w:p>
    <w:p>
      <w:pPr>
        <w:pStyle w:val="Normal"/>
        <w:rPr/>
      </w:pPr>
      <w:r>
        <w:rPr/>
        <w:t>Lai palielinātu konferences pamanāmību, tika organizēti arī tematiski semināri par konferences galvenajiem tematiem, klātesot EP deputātiem, iedzīvotājiem, ieinteresētajām personām, valsts un reģionālajām iestādēm un vietējiem plašsaziņas līdzekļiem. Eiropas dokumentācijas centri ziņoja par vairāk nekā 120 pasākumiem, kas saistīti ar konferences saziņu.</w:t>
      </w:r>
    </w:p>
    <w:p>
      <w:pPr>
        <w:pStyle w:val="Normal"/>
        <w:rPr/>
      </w:pPr>
      <w:r>
        <w:rPr/>
        <w:t>Europe Direct centri ziņoja par vairāk nekā 1000 tematiskiem pasākumiem par konferenci un vairāk nekā 600 reklāmas pasākumiem, tostarp plašu jauniešu grupu un organizāciju loku. Eiropas dokumentācijas centri ziņoja par vairāk nekā 120 pasākumiem, kas saistīti ar konferences saziņu.</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32" w:name="__RefHeading___Toc298238_1346298689"/>
      <w:bookmarkEnd w:id="32"/>
      <w:r>
        <w:rPr/>
        <w:t>III. Konferences pilnsapulce</w:t>
      </w:r>
    </w:p>
    <w:p>
      <w:pPr>
        <w:pStyle w:val="Normal"/>
        <w:rPr/>
      </w:pPr>
      <w:r>
        <w:rPr/>
      </w:r>
      <w:r>
        <w:br w:type="page"/>
      </w:r>
    </w:p>
    <w:p>
      <w:pPr>
        <w:pStyle w:val="Titre2"/>
        <w:numPr>
          <w:ilvl w:val="1"/>
          <w:numId w:val="2"/>
        </w:numPr>
        <w:rPr/>
      </w:pPr>
      <w:bookmarkStart w:id="33" w:name="__RefHeading___Toc298240_1346298689"/>
      <w:bookmarkEnd w:id="33"/>
      <w:r>
        <w:rPr/>
        <w:t>A. Plenārās asamblejas loma un darbība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Corpsdetexte"/>
        <w:rPr/>
      </w:pPr>
      <w:r>
        <w:rPr/>
        <w:t>Konferences pilnsapulce tika izveidota, lai apspriestu valstu un Eiropas pilsoņu paneļdiskusiju ieteikumus, kas sagrupēti pa tematiem, iepriekš nenosakot debašu rezultātus un neaprobežojoties ar iepriekš noteiktām politikas jomām.</w:t>
      </w:r>
    </w:p>
    <w:p>
      <w:pPr>
        <w:pStyle w:val="Corpsdetexte"/>
        <w:rPr/>
      </w:pPr>
      <w:r>
        <w:rPr/>
        <w:t>Attiecīgā gadījumā tika apspriestas arī daudzvalodu platformā apkopotās atbildes. Pilnsapulcei ir unikāls sastāvs: tajā pirmo reizi piedalījās iedzīvotāji, kas pārstāv Eiropas un valstu pilsoņu pasākumus un paneļdiskusijus, ES iestāžu un to padomdevēju struktūru pārstāvji, vēlēti pārstāvji valsts, reģionālā un vietējā līmenī, kā arī pilsoniskās sabiedrības un sociālo partneru pārstāvji.</w:t>
      </w:r>
    </w:p>
    <w:p>
      <w:pPr>
        <w:pStyle w:val="Corpsdetexte"/>
        <w:rPr/>
      </w:pPr>
      <w:r>
        <w:rPr/>
        <w:t>Iedzīvotāji iepazīstināja ar ieteikumiem un apsprieda tos ar viņiem; pēc tam plenārsēdei savi priekšlikumi bija jāiesniedz valdei, pamatojoties</w:t>
      </w:r>
      <w:r>
        <w:rPr>
          <w:rStyle w:val="Ancredenotedebasdepage"/>
          <w:rStyle w:val="Ancredenotedebasdepage"/>
        </w:rPr>
        <w:footnoteReference w:id="7"/>
      </w:r>
      <w:r>
        <w:rPr/>
        <w:t xml:space="preserve"> uz vienprātīgu vienošanos. Konferences plenārsēde no 2021. gada jūnija līdz 2022. gada aprīlim tikās septiņas reizes.</w:t>
      </w:r>
    </w:p>
    <w:p>
      <w:pPr>
        <w:pStyle w:val="Corpsdetexte"/>
        <w:rPr/>
      </w:pPr>
      <w:r>
        <w:rPr/>
        <w:t>Konferences plenārajā sesijā piedalījās 108 Eiropas Parlamenta pārstāvji, 54 Padomes pārstāvji un trīs</w:t>
      </w:r>
      <w:r>
        <w:rPr>
          <w:rStyle w:val="Ancredenotedebasdepage"/>
          <w:rStyle w:val="Ancredenotedebasdepage"/>
        </w:rPr>
        <w:footnoteReference w:id="8"/>
      </w:r>
      <w:r>
        <w:rPr/>
        <w:t>Eiropas Komisijas pārstāvji, kā arī 108 pārstāvji no visiem valstu parlamentiem ar vienlīdzīgām tiesībām un pilsoņi.</w:t>
      </w:r>
    </w:p>
    <w:p>
      <w:pPr>
        <w:pStyle w:val="Corpsdetexte"/>
        <w:rPr/>
      </w:pPr>
      <w:r>
        <w:rPr/>
        <w:t>Piedalījās arī astoņdesmit Eiropas pilsoņu paneļdiskusiju pārstāvji, no kuriem vismaz viena trešdaļa bija jaunāki par 25 gadiem, Eiropas Jaunatnes foruma priekšsēdētājs un 27 valstu pasākumu un/vai valsts pilsoņu paneļdiskusiju</w:t>
      </w:r>
      <w:r>
        <w:rPr>
          <w:rStyle w:val="Ancredenotedebasdepage"/>
          <w:rStyle w:val="Ancredenotedebasdepage"/>
        </w:rPr>
        <w:footnoteReference w:id="9"/>
      </w:r>
      <w:r>
        <w:rPr/>
        <w:t xml:space="preserve"> pārstāvji.</w:t>
      </w:r>
    </w:p>
    <w:p>
      <w:pPr>
        <w:pStyle w:val="Corpsdetexte"/>
        <w:rPr/>
      </w:pPr>
      <w:r>
        <w:rPr/>
        <w:t>Piedalījās arī astoņpadsmit Reģionu komitejas pārstāvji un 18 Ekonomikas un sociālo lietu komitejas pārstāvji, seši ievēlēti reģionālo pašvaldību pārstāvji un seši vēlēti vietējo pašvaldību pārstāvji, 12 sociālo partneru pārstāvji un astoņi pilsoniskās sabiedrības pārstāvji. Savienības Augstā pārstāve ārlietās un drošības politikas jautājumos tika aicināta apspriest ES starptautisko lomu.</w:t>
      </w:r>
    </w:p>
    <w:p>
      <w:pPr>
        <w:pStyle w:val="Corpsdetexte"/>
        <w:rPr/>
      </w:pPr>
      <w:r>
        <w:rPr/>
        <w:t>Tika uzaicināti arī galveno ieinteresēto personu pārstāvji, piemēram, partneru pārstāvji no Rietumbalkāniem, Ukrainas, reliģiskām, filozofiskām un nekonfesionālām grupām.</w:t>
      </w:r>
    </w:p>
    <w:p>
      <w:pPr>
        <w:pStyle w:val="Corpsdetexte"/>
        <w:rPr/>
      </w:pPr>
      <w:r>
        <w:rPr/>
        <w:t>Pilnsapulces sanāksmes kopīgi vadīja konferences līdzpriekšsēdētāji. Konferences plenārsēdes notika Eiropas Parlamenta ēkās Strasbūrā. Ņemot vērā piemērojamos veselības aizsardzības un drošības noteikumus, pirmās piecas konferences plenārsēdes sanāksmes notika hibrīdformātā, bet divas pēdējās — klātienē. Konferences plenārsēdes tika straumētas tiešraidē, un visi sanāksmju dokumenti tika publiskoti daudzvalodu digitālajā platformā.</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2"/>
        <w:numPr>
          <w:ilvl w:val="1"/>
          <w:numId w:val="2"/>
        </w:numPr>
        <w:rPr/>
      </w:pPr>
      <w:bookmarkStart w:id="34" w:name="__RefHeading___Toc298242_1346298689"/>
      <w:bookmarkEnd w:id="34"/>
      <w:r>
        <w:rPr/>
        <w:t>B. Darba grupas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Saskaņā ar konferences reglamentu līdzpriekšsēdētāji ierosināja konferences plenārsēdei izveidot deviņas tematiskās darba grupas, pamatojoties uz daudzvalodu digitālās platformas tematiem, lai sniegtu ieguldījumu konferences plenārsēdes debašu un priekšlikumu sagatavošanā saskaņā ar kopīgās deklarācijas parametriem. 2021. gada oktobrī līdzpriekšsēdētāji vienojās par darba grupu pilnvarām. Dažādās darba grupas izskatīja šādus tematus: Klimata pārmaiņas un vide; Veselība; Spēcīgāka ekonomika, sociālais taisnīgums un nodarbinātība; ES pasaulē; Vērtības un tiesības, tiesiskums, drošība; Digitālā pārveide; Eiropas demokrātija; Migrācija; izglītība, kultūra, jaunatne un sports.</w:t>
      </w:r>
    </w:p>
    <w:p>
      <w:pPr>
        <w:pStyle w:val="Normal"/>
        <w:rPr/>
      </w:pPr>
      <w:r>
        <w:rPr/>
        <w:t>Darba grupas iepazīstināja ar savu ieguldījumu konferences plenārsēdē, izskatot attiecīgo valstu un Eiropas pilsoņu paneļdiskusiju ieteikumus, kā arī komentārus, kas publicēti daudzvalodu digitālajā platformā par deviņām tēmām, kas apkopotas saistībā ar konferenci. Konferences pilnsapulces locekļi tika sadalīti starp deviņām darba grupām šādi: divpadsmit locekļi no Eiropas Parlamenta un valstu parlamentu darba grupas, seši no Padomes, trīs pārstāvji no valstu pilsoņu paneļdiskusiju vai valsts pasākumu pārstāvjiem, divi — Reģionu komitejā un divi — Ekonomikas un sociālo lietu komitejā, viens vai divi — sociālajiem partneriem, viens — pilsoniskajai sabiedrībai un viens — ievēlētiem vietējo un reģionālo pašvaldību locekļiem, kā arī Eiropas pilsoņu paneļdiskusiju pārstāvji. Eiropas pilsoņu paneļdiskusiju pārstāvji piedalījās par viņu paneļdiskusiju atbildīgās darba grupas darbā. Turklāt ir veikti īpaši pasākumi, lai komisāru kolēģijas locekļi varētu piedalīties darba grupās atbilstoši viņu atbildības jomām.</w:t>
      </w:r>
    </w:p>
    <w:p>
      <w:pPr>
        <w:pStyle w:val="Normal"/>
        <w:rPr/>
      </w:pPr>
      <w:r>
        <w:rPr/>
        <w:t>Darba grupas rīkoja aktīvas debates un strādāja pie priekšlikumu projektiem, kas sagatavoti priekšsēdētāja un runaspersonas vadībā, kuru ar apvienotā sekretariāta palīdzību izraudzījās no darba grupas Eiropas pilsoņu paneļdiskusiju pārstāvjiem. Darba grupām jāstrādā, pamatojoties uz konsensu, kas noteikts konferences Reglamenta 17. pantā. Pēc tam priekšsēdētājs un runaspersona iepazīstināja pilnsapulci ar darba grupas rezultātiem. Darba grupas priekšsēdētājam palīdzēja apvienotais sekretariāts. Kopīgais konferences sekretariāts sagatavoja kopsavilkuma ziņojumus par katru darba grupas sanāksmi priekšsēdētāja vadībā un apspriežoties ar darba grupas locekļiem.</w:t>
      </w:r>
    </w:p>
    <w:p>
      <w:pPr>
        <w:pStyle w:val="Normal"/>
        <w:rPr/>
      </w:pPr>
      <w:r>
        <w:rPr/>
        <w:t>Darba grupas tikās konferences plenārsēdes laikā no 2021. gada oktobra līdz 2022. gada 8. aprīlim, kā arī tiešsaistē 2021. gada decembrī. Dažas darba grupas rīkoja papildu sanāksmes. Darba grupas sanāksmes tika pārraidītas tiešraidē no 2022. gada 20. janvāra. Kopsavilkuma ziņojumi ir pienācīgi publicēti daudzvalodu digitālās platformas sadaļā “Konferenču plenārsesija”.</w:t>
      </w:r>
    </w:p>
    <w:p>
      <w:pPr>
        <w:pStyle w:val="Normal"/>
        <w:rPr/>
      </w:pPr>
      <w:r>
        <w:rPr/>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2"/>
        <w:numPr>
          <w:ilvl w:val="1"/>
          <w:numId w:val="2"/>
        </w:numPr>
        <w:rPr/>
      </w:pPr>
      <w:bookmarkStart w:id="35" w:name="__RefHeading___Toc298244_1346298689"/>
      <w:bookmarkEnd w:id="35"/>
      <w:r>
        <w:rPr/>
        <w:t>C. hronoloģiskais kopsavilkums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KONFERENCES KONSTITUTĪVĀ PLENĀRSESIJA, 2021. GADA 19. JŪNIJS</w:t>
      </w:r>
    </w:p>
    <w:p>
      <w:pPr>
        <w:pStyle w:val="Normal"/>
        <w:rPr/>
      </w:pPr>
      <w:r>
        <w:rPr/>
        <w:t>Konferences konstitutīvā plenārsēde notika 2021. gada 19. jūnijā hibrīdformātā</w:t>
      </w:r>
      <w:r>
        <w:rPr>
          <w:rStyle w:val="Ancredenotedebasdepage"/>
          <w:rStyle w:val="Ancredenotedebasdepage"/>
        </w:rPr>
        <w:footnoteReference w:id="10"/>
      </w:r>
      <w:r>
        <w:rPr/>
        <w:t>. Tā ļāva plenārsesijas locekļiem uzklausīt prezentāciju un rīkot vispārējas debates par konferences mērķi un cerībām. Līdzpriekšsēdētāji uzsvēra bezprecedenta raksturu šim ES līmeņa apspriežu demokrātijas procesam, kas nostiprināja pārstāvības demokrātiju, izvirzot pilsoņus Eiropas Savienības politikas veidošanas centrā. Līdzpriekšsēdētāji arī izklāstīja konferences trīs pīlāru darbību: daudzvalodu digitālā platforma, Eiropas un valstu pilsoņu paneļdiskusija un pilnsapulce.</w:t>
      </w:r>
    </w:p>
    <w:p>
      <w:pPr>
        <w:pStyle w:val="Normal"/>
        <w:rPr/>
      </w:pPr>
      <w:r>
        <w:rPr/>
        <w:t>Turklāt plenārsesijas locekļi tika informēti par nodomu izveidot deviņas tematiskās darba grupas, kā arī par konferences grafiku. Sekojošajās debatēs, kurās uzstājās vairāk nekā 150 dalībnieku, tika apspriests plašs tematu klāsts. Tā kā Eiropas pilsoņu paneļdiskusiju dalībnieku atlase vēl nav pabeigta, Eiropas Jaunatnes foruma priekšsēdētājs un 27 valstu pasākumu un/vai valsts pilsoņu paneļdiskusiju pārstāvji piedalījās, lai pārstāvētu pilsoņus.</w:t>
      </w:r>
    </w:p>
    <w:p>
      <w:pPr>
        <w:pStyle w:val="Normal"/>
        <w:rPr/>
      </w:pPr>
      <w:r>
        <w:rPr>
          <w:b/>
          <w:i/>
          <w:u w:val="single"/>
        </w:rPr>
        <w:t>KONFERENCES OTRĀ PLENĀRSESIJA, 2021. GADA 22.–23. OKTOBRIS</w:t>
      </w:r>
      <w:r>
        <w:rPr/>
        <w:t xml:space="preserve"> </w:t>
      </w:r>
    </w:p>
    <w:p>
      <w:pPr>
        <w:pStyle w:val="Normal"/>
        <w:rPr/>
      </w:pPr>
      <w:r>
        <w:rPr/>
        <w:t>Konferences otrā plenārsesija notika 2021. gada 22.–23. oktobrī hibrīdformātā, kurā pirmo reizi piedalījās Eiropas pilsoņu paneļdiskusiju pārstāvji. Plenārsesijas locekļiem bija iespēja uzklausīt prezentāciju par pašreizējo stāvokli četrās Eiropas pilsoņu paneļdiskusijās un rīkot debates. Turklāt valstu pasākumu un paneļdiskusiju pārstāvji varēja iepazīstināt ar valsts līmenī organizētajiem pasākumiem. Konferences plenārsēdē tika iesniegts ziņojums par Eiropas Jaunatnes dienām (EYE); tajā sniegts pārskats par 20 konkrētām idejām, ko atlasījuši jaunieši, kuri piedalījās sanāksmē.</w:t>
      </w:r>
    </w:p>
    <w:p>
      <w:pPr>
        <w:pStyle w:val="Normal"/>
        <w:rPr/>
      </w:pPr>
      <w:r>
        <w:rPr/>
        <w:t>Turpmākajās debatēs uzsvars tika likts uz daudzvalodu digitālās platformas novatorisko raksturu, kas deva iedzīvotājiem iespēju paust savu viedokli šajā sadaļā un vietu debatēm visās ES oficiālajās valodās. Šo debašu pamatā bija otrais starpposma ziņojums par platformu. Rietumbalkānu partneri tika aicināti piedalīties šajā plenārsēdē kā galvenās ieinteresētās personas.</w:t>
      </w:r>
    </w:p>
    <w:p>
      <w:pPr>
        <w:pStyle w:val="Normal"/>
        <w:rPr/>
      </w:pPr>
      <w:r>
        <w:rPr>
          <w:b/>
          <w:i/>
          <w:u w:val="single"/>
        </w:rPr>
        <w:t>KONFERENCES TREŠĀ PLENĀRSESIJA, 2022. GADA 21.–22. JANVĀRIS</w:t>
      </w:r>
      <w:r>
        <w:rPr/>
        <w:t xml:space="preserve"> </w:t>
      </w:r>
    </w:p>
    <w:p>
      <w:pPr>
        <w:pStyle w:val="Normal"/>
        <w:rPr/>
      </w:pPr>
      <w:r>
        <w:rPr/>
        <w:t>Konferences trešā plenārsesija, kas notika 2022. gada 21.–22. janvārī, bija pirmā konference, kas bija veltīta Eiropas pilsoņu paneļdiskusiju, kā arī saistīto valstu pilsoņu paneļdiskusiju oficiālajai iepazīstināšanai. Šī bija pirmā plenārsēde, kas notika pēc dažu Eiropas pilsoņu paneļdiskusiju ieteikumu pabeigšanas, proti: paneļdiskusija Nr. 2 (Eiropas demokrātija; vērtības un tiesības, tiesiskums, drošība) un 3. punkts (Klimata pārmaiņas un vide; veselība). Plenārsesija notika hibrīdformātā, kurā piedalījās vairāk nekā 400 konferences plenārsesijas locekļu vai nu klātienē, vai neklātienē.</w:t>
      </w:r>
    </w:p>
    <w:p>
      <w:pPr>
        <w:pStyle w:val="Normal"/>
        <w:rPr/>
      </w:pPr>
      <w:r>
        <w:rPr/>
        <w:t>Šo plenārsēdi iezīmēja arī Eiropas Parlamenta priekšsēdētāja David Maria Sassoli nāve īsi pirms tam. Sanāksmes atklāšanā līdzpriekšsēdētāji godināja viņa piemiņu. Šīs plenārsēdes debates tika organizētas pēc tēmas par tematiem, uz kuriem attiecas Eiropas pilsoņu paneļdiskusija Nr. 2 un Nr. 3.</w:t>
      </w:r>
    </w:p>
    <w:p>
      <w:pPr>
        <w:pStyle w:val="Normal"/>
        <w:rPr/>
      </w:pPr>
      <w:r>
        <w:rPr/>
        <w:t>Diskusijas notika novatoriskā interaktīvā formātā, tostarp mirkļus, kas veltīti iedzīvotāju atsauksmēm, kā arī īpašu “zilās kartes” jautājumu sistēmu, kas ļāva spontāni un aktīvi apmainīties ar iedzīvotāju ieteikumiem.</w:t>
      </w:r>
    </w:p>
    <w:p>
      <w:pPr>
        <w:pStyle w:val="Normal"/>
        <w:rPr/>
      </w:pPr>
      <w:r>
        <w:rPr>
          <w:b/>
          <w:i/>
          <w:u w:val="single"/>
        </w:rPr>
        <w:t>KONFERENCES CETURTĀ PLENĀRSESIJA, 2022. GADA 11.–12. MARTS</w:t>
      </w:r>
      <w:r>
        <w:rPr/>
        <w:t xml:space="preserve"> </w:t>
      </w:r>
    </w:p>
    <w:p>
      <w:pPr>
        <w:pStyle w:val="Normal"/>
        <w:rPr/>
      </w:pPr>
      <w:r>
        <w:rPr/>
        <w:t>Konferences ceturtā plenārsesija bija veltīta arī Eiropas pilsoņu paneļdiskusiju, kā arī attiecīgo valstu pilsoņu paneļdiskusiju ieteikumu iesniegšanai. Šī plenārsēde notika pēc divu atlikušo Eiropas pilsoņu paneļdiskusiju ieteikumu pabeigšanas, proti: 1. paneļdiskusija (Spēcīgāka ekonomika, sociālais taisnīgums un nodarbinātība; izglītība, kultūra, jaunatne un sports; digitālā pārveide) un 4 (ES pasaulē; migrācija).</w:t>
      </w:r>
    </w:p>
    <w:p>
      <w:pPr>
        <w:pStyle w:val="Normal"/>
        <w:rPr/>
      </w:pPr>
      <w:r>
        <w:rPr/>
        <w:t>Janvāra plenārajā sesijā šīs plenārsesijas debates tika organizētas pēc tematiem. Šoreiz tika apspriesti jautājumi par Eiropas pilsoņu paneļdiskusijām Nr. 1 un Nr. 4. Diskusijas par iedzīvotāju ieteikumiem atkal izraisīja aktīvu un padziļinātu viedokļu apmaiņu, ko atbalstīja novatorisks interaktīvs formāts.</w:t>
      </w:r>
    </w:p>
    <w:p>
      <w:pPr>
        <w:pStyle w:val="Normal"/>
        <w:rPr/>
      </w:pPr>
      <w:r>
        <w:rPr>
          <w:b/>
          <w:i/>
          <w:u w:val="single"/>
        </w:rPr>
        <w:t>KONFERENCES PIEKTĀ PLENĀRSESIJA, 2022. GADA 25.–26. MARTS</w:t>
      </w:r>
      <w:r>
        <w:rPr/>
        <w:t xml:space="preserve"> </w:t>
      </w:r>
    </w:p>
    <w:p>
      <w:pPr>
        <w:pStyle w:val="Normal"/>
        <w:rPr/>
      </w:pPr>
      <w:r>
        <w:rPr/>
        <w:t>Piektā plenārsesija iezīmēja konferences uzsākšanu tās nākamajā posmā, uzsākot plenārsēžu priekšlikumu definēšanu, pamatojoties uz pilsoņu ieteikumiem. Tāpēc plenārsesijas locekļi, gatavojoties darba grupu mazākajam tematiskajam satvaram, pirmo reizi rīkoja debates par deviņiem konferences tematiem: spēcīgāka ekonomika, sociālais taisnīgums un nodarbinātība; izglītība, kultūra, jaunatne un sports; digitālā pārveide; Eiropas demokrātija; vērtības un tiesības, tiesiskums, drošība; klimata pārmaiņas un vide; veselība; ES pasaulē; migrācija. Šī plenārsēde bija arī iespēja 27 ES dalībvalstīs organizēto valsts pasākumu pārstāvjiem iepazīstināt ar savu iniciatīvu rezultātiem.</w:t>
      </w:r>
    </w:p>
    <w:p>
      <w:pPr>
        <w:pStyle w:val="Normal"/>
        <w:rPr/>
      </w:pPr>
      <w:r>
        <w:rPr>
          <w:b/>
          <w:i/>
          <w:u w:val="single"/>
        </w:rPr>
        <w:t>KONFERENCES SESTĀ PLENĀRSESIJA, 2022. GADA 8.–9. APRĪLIS</w:t>
      </w:r>
      <w:r>
        <w:rPr/>
        <w:t xml:space="preserve"> </w:t>
      </w:r>
    </w:p>
    <w:p>
      <w:pPr>
        <w:pStyle w:val="Normal"/>
        <w:rPr/>
      </w:pPr>
      <w:r>
        <w:rPr/>
        <w:t>Konferences sestajā plenārsēdē tika pabeigta plenārsēdes priekšlikumu projektu galīgā redakcija.</w:t>
      </w:r>
    </w:p>
    <w:p>
      <w:pPr>
        <w:pStyle w:val="Normal"/>
        <w:rPr/>
      </w:pPr>
      <w:r>
        <w:rPr/>
        <w:t>Pēc tam, kad būs pabeigtas pēdējās tematisko darba grupu sanāksmes, visi plenārsēdes locekļi deviņās būtiskās debatēs pauda savu viedokli un komentārus par pēdējo mēnešu laikā sagatavotajiem priekšlikumu projektiem. Šī viedokļu apmaiņa arī deva viņiem iespēju pārdomāt plenārsēžu priekšlikumu unikālo izstrādes procesu, pamatojoties uz pilsoņu ieteikumiem, un darbu, kas paveikts kopš to formulēšanas. Iedzīvotāji jo īpaši uzsvēra unikālo cilvēcisko pieredzi un pievienoto vērtību, ko sniedz šis apspriešanas process, kas viņus vienoja saistībā ar šo kopīgo projektu. Šīs debates tika iekļautas galīgajā priekšlikumu projektā, kas iesniedzams konferences plenārajā sesijā.</w:t>
      </w:r>
    </w:p>
    <w:p>
      <w:pPr>
        <w:pStyle w:val="Normal"/>
        <w:rPr/>
      </w:pPr>
      <w:r>
        <w:rPr>
          <w:b/>
          <w:i/>
          <w:u w:val="single"/>
        </w:rPr>
        <w:t>KONFERENCES SEPTĪTĀ PLENĀRSESIJA, 2022. GADA 29.–30. APRĪLIS</w:t>
      </w:r>
      <w:r>
        <w:rPr/>
        <w:t xml:space="preserve"> </w:t>
      </w:r>
    </w:p>
    <w:p>
      <w:pPr>
        <w:pStyle w:val="Normal"/>
        <w:rPr/>
      </w:pPr>
      <w:r>
        <w:rPr/>
        <w:t>Konferences par Eiropas nākotni septītā un pēdējā plenārsēde bija svarīgs pavērsiens, noslēdzot intensīvu apspriežu procesu, kas ilga vairākus mēnešus, formulējot 49 priekšlikumus. 49 priekšlikumus plenārsēdē iesniedza un formulēja valdei, pamatojoties uz vienprātīgu vienošanos. Šī vienprātība tika panākta starp Eiropas Parlamenta, Padomes, Eiropas Komisijas un valstu parlamentu pārstāvjiem.</w:t>
      </w:r>
    </w:p>
    <w:p>
      <w:pPr>
        <w:pStyle w:val="Normal"/>
        <w:rPr/>
      </w:pPr>
      <w:r>
        <w:rPr/>
        <w:t xml:space="preserve">Reģionu komitejas un Eiropas Ekonomikas un sociālo lietu komitejas pārstāvji, reģionālo un vietējo pašvaldību vēlētie pārstāvji, kā arī sociālo partneru un pilsoniskās sabiedrības pārstāvji arī pauda atbalstu procesam un atbalstīja priekšlikumus. </w:t>
      </w:r>
    </w:p>
    <w:p>
      <w:pPr>
        <w:pStyle w:val="Normal"/>
        <w:rPr/>
      </w:pPr>
      <w:r>
        <w:rPr/>
        <w:t>Iedzīvotāju komponents iepazīstināja ar savu galīgo nostāju par priekšlikumiem (sk. galvenos vēstījumus turpmāk).</w:t>
      </w:r>
    </w:p>
    <w:p>
      <w:pPr>
        <w:sectPr>
          <w:footnotePr>
            <w:numFmt w:val="upperRoman"/>
          </w:footnotePr>
          <w:type w:val="continuous"/>
          <w:pgSz w:w="11906" w:h="16838"/>
          <w:pgMar w:left="1134" w:right="1134" w:header="1134" w:top="1700" w:footer="1134" w:bottom="1727" w:gutter="0"/>
          <w:cols w:num="2" w:space="170" w:equalWidth="true" w:sep="false"/>
          <w:formProt w:val="false"/>
          <w:textDirection w:val="lrTb"/>
          <w:docGrid w:type="default" w:linePitch="312" w:charSpace="0"/>
        </w:sectPr>
      </w:pPr>
    </w:p>
    <w:p>
      <w:pPr>
        <w:pStyle w:val="Normal"/>
        <w:rPr/>
      </w:pPr>
      <w:r>
        <w:rPr/>
      </w:r>
    </w:p>
    <w:p>
      <w:pPr>
        <w:pStyle w:val="P68B1DB1Normal13"/>
        <w:shd w:val="clear" w:fill="EEEEEE"/>
        <w:rPr>
          <w:i/>
          <w:i/>
          <w:sz w:val="20"/>
        </w:rPr>
      </w:pPr>
      <w:r>
        <w:rPr/>
        <w:t>Noslēguma plenārsēdē (2022. gada 29.–30. aprīlis) 108 pilsoņi, kas pārstāv iedzīvotājus, iepazīstināja ar savu galīgo nostāju par plenārsēdes priekšlikumiem. Viņu prezentācija tika izstrādāta kolektīvi, un 17 no viņiem to izklāstīja kā stāstījuma runu noslēguma debatēs. Turpmāk tekstā ir sniegts kopsavilkums par galvenajiem vēstījumiem saistībā ar viņu intervencēm.</w:t>
      </w:r>
    </w:p>
    <w:p>
      <w:pPr>
        <w:pStyle w:val="P68B1DB1Normal14"/>
        <w:shd w:val="clear" w:fill="EEEEEE"/>
        <w:jc w:val="center"/>
        <w:rPr>
          <w:sz w:val="20"/>
        </w:rPr>
      </w:pPr>
      <w:r>
        <w:rPr/>
        <w:t>**</w:t>
      </w:r>
    </w:p>
    <w:p>
      <w:pPr>
        <w:pStyle w:val="P68B1DB1Normal14"/>
        <w:shd w:val="clear" w:fill="EEEEEE"/>
        <w:rPr>
          <w:sz w:val="20"/>
        </w:rPr>
      </w:pPr>
      <w:r>
        <w:rPr/>
        <w:t>Vispirms mēs pateicamies Eiropas Parlamentam, Padomei un Komisijai par iespēju palīdzēt veidot Eiropas nākotni. Mēs esam tikušies ar Eiropas kolēģiem no visas Savienības, no dažādām paneļdiskusijām un pasākumiem, ar politiskajiem pārstāvjiem un sociālajiem dalībniekiem, un esam paplašinājuši mūsu redzesloku. Mēs uzaugām kā eiropieši. Par to mēs visi esam upurējuši: mēs tikām izņemti no ikdienas dzīves, atņemtas un pavadītas Eiropas pilsoņu paneļdiskusiju dalībniekiem deviņas nedēļas nogalēs prom no mūsu ģimenēm. Bet mums bija neticama un unikāla pieredze. Mums tas nebija laika izšķiešana.</w:t>
      </w:r>
    </w:p>
    <w:p>
      <w:pPr>
        <w:pStyle w:val="P68B1DB1Normal14"/>
        <w:shd w:val="clear" w:fill="EEEEEE"/>
        <w:rPr>
          <w:sz w:val="20"/>
        </w:rPr>
      </w:pPr>
      <w:r>
        <w:rPr/>
        <w:t>Pa ceļam bija kāpumi un kritumi. Mēs ne vienmēr esam saņēmuši atbildi uz mūsu jautājumiem. Mēs zinām, ka priekšlikumu īstenošanai būs vajadzīgs laiks. Bet mēs esam pārliecināti, ka jūs darīsiet to, kas nepieciešams, lai to panāktu, cienot mūsu kopīgo darbu. Ja mēs, pilsoņi, būtu spējuši pārvarēt mūsu atšķirības, valodas barjeras, strādāt kopā un paaugstināt sevi līdz jūsu līmenim, arī jūs varat.</w:t>
      </w:r>
    </w:p>
    <w:p>
      <w:pPr>
        <w:pStyle w:val="P68B1DB1Normal14"/>
        <w:shd w:val="clear" w:fill="EEEEEE"/>
        <w:jc w:val="center"/>
        <w:rPr>
          <w:sz w:val="20"/>
        </w:rPr>
      </w:pPr>
      <w:r>
        <w:rPr/>
        <w:t>**</w:t>
      </w:r>
    </w:p>
    <w:p>
      <w:pPr>
        <w:pStyle w:val="P68B1DB1Normal14"/>
        <w:shd w:val="clear" w:fill="EEEEEE"/>
        <w:rPr>
          <w:sz w:val="20"/>
        </w:rPr>
      </w:pPr>
      <w:r>
        <w:rPr/>
        <w:t>Mēs visi esam nogājuši garu ceļu, un tagad, kad mūsu darbs plenārsēdē ir beidzies, mēs varam ar to lepoties. Mēs redzam 8 transversālas tēmas, kas dod skaidras un spēcīgas pilnvaras Eiropas nākotnei.</w:t>
      </w:r>
    </w:p>
    <w:p>
      <w:pPr>
        <w:pStyle w:val="P68B1DB1Normal14"/>
        <w:shd w:val="clear" w:fill="EEEEEE"/>
        <w:rPr>
          <w:sz w:val="20"/>
        </w:rPr>
      </w:pPr>
      <w:r>
        <w:rPr>
          <w:b/>
        </w:rPr>
        <w:t>Pirmkārt</w:t>
      </w:r>
      <w:r>
        <w:rPr/>
        <w:t>, Eiropas Savienība, kuras pamatā ir solidaritāte, sociālais taisnīgums un vienlīdzība. Patiešām, pilsoņiem ir lielas bažas par to, lai dažādās jomās rastu vienlīdzīgus nosacījumus un tiesības: veselības aprūpe, sociālie pakalpojumi, mūžizglītība, vienlīdzīgas iespējas lauku un pilsētu iedzīvotājiem, ņemot vērā demogrāfiskos apsvērumus. Nākotnē Eiropas iedzīvotājus visās dalībvalstīs un reģionos vairs nedrīkstētu diskriminēt vecuma, dzīvesvietas, valstspiederības, dzimuma, reliģijas vai politisko prioritāšu dēļ. Viņiem būtu jāpiedāvā pienācīgs dzīves līmenis, algas un darba apstākļi. ES ir jābūt vairāk nekā ekonomiskai savienībai. Dalībvalstīm ir jāizrāda lielāka solidaritāte savā starpā. Mēs esam ģimene, un mums ir jārīkojas kā tādi krīzes situācijās.</w:t>
      </w:r>
    </w:p>
    <w:p>
      <w:pPr>
        <w:pStyle w:val="P68B1DB1Normal14"/>
        <w:shd w:val="clear" w:fill="EEEEEE"/>
        <w:rPr>
          <w:sz w:val="20"/>
        </w:rPr>
      </w:pPr>
      <w:r>
        <w:rPr>
          <w:b/>
        </w:rPr>
        <w:t>Otrkārt</w:t>
      </w:r>
      <w:r>
        <w:rPr/>
        <w:t>, ES ir jāuzdrošinās un ātri jārīkojas, lai kļūtu par līderi vides un klimata jomā, paātrinot pāreju uz zaļo enerģiju, uzlabojot savu dzelzceļa tīklu, veicinot ilgtspējīgu transportu un patiesu aprites ekonomiku. Nav laika izšķērdēt. ES ir jāveicina pārmaiņas daudzās politikas jomās: lauksaimniecība, bioloģiskā daudzveidība, ekonomika, enerģētika, transports, izglītība, veselība, digitālā pārveide un klimata diplomātija. Mums ir pētniecības spējas, ekonomiskais spēks un ģeopolitiskā ietekme, lai to izdarītu. Ja mēs klimata jautājumus izvirzīsim par prioritāti, mēs varam cerēt uz pārticīgu nākotni.</w:t>
      </w:r>
    </w:p>
    <w:p>
      <w:pPr>
        <w:pStyle w:val="P68B1DB1Normal14"/>
        <w:shd w:val="clear" w:fill="EEEEEE"/>
        <w:rPr>
          <w:sz w:val="20"/>
        </w:rPr>
      </w:pPr>
      <w:r>
        <w:rPr>
          <w:b/>
        </w:rPr>
        <w:t>Treškārt</w:t>
      </w:r>
      <w:r>
        <w:rPr/>
        <w:t>, Eiropai ir vajadzīga demokrātiskāka Savienība. Eiropas pilsoņi mīl ES, bet būsim atklāti: tas ne vienmēr ir viegli. Jūs aicinājāt mūs, lai palīdzētu jums, un jūs mums jautāja: kā nākotnē vajadzētu izskatīties Eiropas demokrātijai? Un mēs jums atbildējām: Mēs, pilsoņi, vēlamies Eiropu, kurā lēmumus pieņem pārredzami un ātri, kurā tiek pārskatīts vienprātības princips un kurā mēs, pilsoņi, esam regulāri un nopietni iesaistīti.</w:t>
      </w:r>
    </w:p>
    <w:p>
      <w:pPr>
        <w:pStyle w:val="P68B1DB1Normal14"/>
        <w:shd w:val="clear" w:fill="EEEEEE"/>
        <w:rPr>
          <w:sz w:val="20"/>
        </w:rPr>
      </w:pPr>
      <w:r>
        <w:rPr>
          <w:b/>
        </w:rPr>
        <w:t>Ceturtkārt</w:t>
      </w:r>
      <w:r>
        <w:rPr/>
        <w:t>, dažās jomās ES ir vajadzīga lielāka saskaņošana un ciešāka Eiropas Savienība. Karš streiko pie mūsu vārtiem austrumos, kas aicina mūs būt vienotākiem nekā jebkad agrāk un dot ES vairāk prasmju ārlietās. Šī konference var kalpot par pamatu vienotākas un politiski saskaņotākas Eiropas izveidei. Tas viss nāk pie šī vārda: Eiropas Savienība. Mēs nevaram sevi raksturot kā tādus, ja mums neizdodas panākt sadarbību, ko šī konference ir ilustrējusi.</w:t>
      </w:r>
    </w:p>
    <w:p>
      <w:pPr>
        <w:pStyle w:val="P68B1DB1Normal14"/>
        <w:shd w:val="clear" w:fill="EEEEEE"/>
        <w:rPr>
          <w:sz w:val="20"/>
        </w:rPr>
      </w:pPr>
      <w:r>
        <w:rPr>
          <w:b/>
        </w:rPr>
        <w:t>Piektkārt</w:t>
      </w:r>
      <w:r>
        <w:rPr/>
        <w:t>, ES ir jāiegūst autonomija un jānodrošina tās globālā konkurētspēja. Šajā procesā mēs runājām par šā mērķa sasniegšanu galvenajās stratēģiskajās jomās: lauksaimniecība, enerģētika, rūpniecība, veselība. Mums ir jāizvairās no atkarības no trešām valstīm attiecībā uz daudziem paaugstināta riska produktiem. Mums ir jābalstās uz mūsu darbaspēka talantiem, jānovērš intelektuālā darbaspēka emigrācija un jānodrošina pienācīga prasmju apmācība iedzīvotājiem visos viņu dzīves posmos neatkarīgi no tā, kur viņi dzīvo ES. Mums nevar būt milzīgas atšķirības ES iekšienē, un jaunieši, kuriem nav perspektīvas vienā valstī, ir spiesti doties uz citu valsti.</w:t>
      </w:r>
    </w:p>
    <w:p>
      <w:pPr>
        <w:pStyle w:val="P68B1DB1Normal14"/>
        <w:shd w:val="clear" w:fill="EEEEEE"/>
        <w:rPr>
          <w:sz w:val="20"/>
        </w:rPr>
      </w:pPr>
      <w:r>
        <w:rPr>
          <w:b/>
        </w:rPr>
        <w:t>Sestkārt</w:t>
      </w:r>
      <w:r>
        <w:rPr/>
        <w:t>, ES nākotne ir balstīta uz tās vērtībām. Tās ir vadījušas mūsu darbu. Kad mēs sākām, neviens nevarēja iedomāties, ka karš izcēlīsies mūsu kontinentā. Šī cīņa par brīvību liek mums apzināties iespēju dzīvot mierīgā savienībā. Aiz visiem mūsu priekšlikumiem šīs vērtības ir izteiktas: humāna un cieņpilna migrantu uzņemšana, vienlīdzīga piekļuve veselības aprūpei, cīņa pret korupciju, aicinājums aizsargāt dabu un bioloģisko daudzveidību un demokrātiskāka Savienība.</w:t>
      </w:r>
    </w:p>
    <w:p>
      <w:pPr>
        <w:pStyle w:val="P68B1DB1Normal14"/>
        <w:shd w:val="clear" w:fill="EEEEEE"/>
        <w:rPr>
          <w:sz w:val="20"/>
        </w:rPr>
      </w:pPr>
      <w:r>
        <w:rPr>
          <w:b/>
        </w:rPr>
        <w:t>Septītkārt</w:t>
      </w:r>
      <w:r>
        <w:rPr/>
        <w:t>, nākotnē pilsoņiem vajadzētu justies vairāk eiropeiskākiem un labāk iepazīt ES. Šis ir transversāls jautājums, kas ir bijis visu paneļu darba pamatā. Digitālā pārveide, izglītība, mobilitāte un apmaiņa var dot pamatu šai Eiropas identitātei, kas, neapšaubot to, papildina mūsu nacionālo identitāti. Daudzi no mums nejuta eiropieti pirms šīs konferences: tas šeit parādījās lēni, apmainoties viens ar otru. Mums bija paveicies, lai būtu šī iespēja, bet daudzi to nedara. Tāpēc informācija, komunikācija un informētība ir tik svarīga.</w:t>
      </w:r>
    </w:p>
    <w:p>
      <w:pPr>
        <w:pStyle w:val="P68B1DB1Normal14"/>
        <w:shd w:val="clear" w:fill="EEEEEE"/>
        <w:rPr>
          <w:sz w:val="20"/>
        </w:rPr>
      </w:pPr>
      <w:r>
        <w:rPr/>
        <w:t xml:space="preserve">Visbeidzot, </w:t>
      </w:r>
      <w:r>
        <w:rPr>
          <w:b/>
        </w:rPr>
        <w:t>astotā</w:t>
      </w:r>
      <w:r>
        <w:rPr/>
        <w:t xml:space="preserve"> transversālā tēma, kas mums ir ārkārtīgi svarīga, ir izglītība un iedzīvotāju iespēju nodrošināšana kopumā. Šajā konferencē jūs nolēmāt uzaicināt pilsoņus no 16 gadu vecuma. Mēs esam pateicīgi par to, jo vairāk nekā jebkad agrāk ir nepieciešams dot iespējas jauniešiem. Lielais jauniešu atturēšanās līmenis liecina, ka ir jāatjauno saikne starp jauniešiem un politiku. Tām jābūt arī ekonomiski un sociāli atbildīgām: joprojām ir pārāk grūti iekļauties darba tirgū, aizstāvēt savas sociālās tiesības. Covid-19 pandēmijas laikā viņi jutās pamesti, un daudzi joprojām cieš no sekām attiecībā uz viņu garīgo veselību. Taču visiem eiropiešiem ir jābūt pilntiesīgiem, ne tikai jauniešiem: izmantojot mobilitātes programmas un mūžizglītību, mums jāpaplašina visu eiropiešu redzesloks. Mums ir jāapmāca iedzīvotāji arī par demokrātiju, pilsonisko līdzdalību un plašsaziņas līdzekļu lietotprasmi. Mums ir vajadzīga patiesi holistiska pieeja.</w:t>
      </w:r>
    </w:p>
    <w:p>
      <w:pPr>
        <w:pStyle w:val="P68B1DB1Normal14"/>
        <w:shd w:val="clear" w:fill="EEEEEE"/>
        <w:jc w:val="center"/>
        <w:rPr>
          <w:sz w:val="20"/>
        </w:rPr>
      </w:pPr>
      <w:r>
        <w:rPr/>
        <w:t>**</w:t>
      </w:r>
    </w:p>
    <w:p>
      <w:pPr>
        <w:pStyle w:val="P68B1DB1Normal14"/>
        <w:shd w:val="clear" w:fill="EEEEEE"/>
        <w:rPr>
          <w:sz w:val="20"/>
        </w:rPr>
      </w:pPr>
      <w:r>
        <w:rPr/>
        <w:t>Neviens nezināja, kāds būs rezultāts. 27 valstis, 24 valodas, dažāda vecuma. Un tomēr, strādājot kopā, mēs jutāmies saistīti: mūsu smadzenes, mūsu domas, mūsu pieredze. Mēs neesam eksperti no ES vai viena no konferences tēmām, bet mēs esam reālās dzīves eksperti, un mums ir savi stāsti. Mēs ejam uz darbu, dzīvojam laukos un priekšpilsētās, mēs strādājam naktī, mēs mācāmies, mums ir bērni, mēs izmantojam sabiedrisko transportu. Mēs varam paļauties uz mūsu daudzveidību. Tika panākta vienprātība par priekšlikumiem starp četriem dažādajiem komponentiem un starp iedzīvotājiem. Mēs piekrītam un atbalstām visus priekšlikumus, kas tagad ir jūsu rokās. Mēs paužam atšķirīgu nostāju attiecībā uz 38.4. pasākuma trešo punktu, jo tas neizriet no Eiropas paneļdiskusijām vai valstu paneļdiskusijām un nav pietiekami apspriests visa darba grupā. Tāpēc mēs nesniedzam komentārus par šā pasākuma būtību vai atbilstību. Ņemot to vērā, mēs aicinām jūs apsvērt šos priekšlikumus kopumā, lai tos īstenotu, nevis tikai tos, kas jums ir vispiemērotākie un ir viegli piemērojami. Dari to pārredzami. Mēs esam strādājuši pie šiem priekšlikumiem ar centību un aizrautību, mēs lepojamies ar savu darbu: cieniet viņu.</w:t>
      </w:r>
    </w:p>
    <w:p>
      <w:pPr>
        <w:pStyle w:val="P68B1DB1Normal14"/>
        <w:shd w:val="clear" w:fill="EEEEEE"/>
        <w:rPr>
          <w:sz w:val="20"/>
        </w:rPr>
      </w:pPr>
      <w:r>
        <w:rPr/>
        <w:t>Konference par Eiropas nākotni piedzīvoja pandēmiju un piedzīvoja karu Eiropā, apliecinot pilnīgu solidaritāti ar Ukrainas tautu. Gads bija drudžains dalībniekiem un visiem eiropiešiem. Bet konference turpināja darbu pret vējiem un plūdmaiņām. Konferences pilsoņu vārdā ļaujiet mums noslēgt, nosūtot Jums vienkāršu vēstījumu: mēs jūtamies eiropeiski, jūtamies apņēmības pilni un uzklausīti demokratizācijas procesā, mēs ticam ES un vēlamies arī turpmāk ticēt tai. Tātad no mūsu sirds apakšas labi izlasiet priekšlikumus un tos īstenojiet Eiropas nākotnes labad.</w:t>
      </w:r>
    </w:p>
    <w:p>
      <w:pPr>
        <w:pStyle w:val="Normal"/>
        <w:shd w:val="clear" w:fill="EEEEEE"/>
        <w:rPr/>
      </w:pPr>
      <w:r>
        <w:rPr/>
      </w:r>
      <w:r>
        <w:br w:type="page"/>
      </w:r>
    </w:p>
    <w:p>
      <w:pPr>
        <w:pStyle w:val="Corpsdetexte"/>
        <w:rPr/>
      </w:pPr>
      <w:r>
        <w:rPr/>
        <w:t>Pilnsapulces Padomes daļas pārstāvji atturējās no komentāriem par priekšlikumu būtību, bet tā vietā atbalstīja un mudināja pilsoņus veikt pasākumus un ņēma vērā viņu ieteikumus. Pēc 2022. gada 9. maija Padome savā kompetences jomā un saskaņā ar Līgumiem noteiks, kā veikt turpmākus pasākumus saistībā ar konferences rezultātiem.</w:t>
      </w:r>
    </w:p>
    <w:p>
      <w:pPr>
        <w:pStyle w:val="Normal"/>
        <w:rPr/>
      </w:pPr>
      <w:r>
        <w:rPr/>
      </w:r>
    </w:p>
    <w:p>
      <w:pPr>
        <w:pStyle w:val="Corpsdetexte"/>
        <w:rPr/>
      </w:pPr>
      <w:r>
        <w:rPr/>
        <w:t>Konferences par Eiropas nākotni valde pieņem zināšanai pilnsapulces priekšlikumus un izklāsta tos kā konferences galīgo rezultātu. Sniedzot norādes par Eiropas nākotni, šie priekšlikumi tika saņemti pēc gandrīz gadu ilgām apspriedēm saskaņā ar Kopīgo deklarāciju un konferences reglamentu.</w:t>
      </w:r>
    </w:p>
    <w:p>
      <w:pPr>
        <w:pStyle w:val="Normal"/>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spacing w:before="9574" w:after="57"/>
        <w:rPr/>
      </w:pPr>
      <w:r>
        <w:rPr/>
        <w:drawing>
          <wp:anchor behindDoc="0" distT="0" distB="0" distL="0" distR="0" simplePos="0" locked="0" layoutInCell="1" allowOverlap="1" relativeHeight="5">
            <wp:simplePos x="0" y="0"/>
            <wp:positionH relativeFrom="column">
              <wp:align>center</wp:align>
            </wp:positionH>
            <wp:positionV relativeFrom="paragraph">
              <wp:posOffset>635</wp:posOffset>
            </wp:positionV>
            <wp:extent cx="6120130" cy="6079490"/>
            <wp:effectExtent l="0" t="0" r="0" b="0"/>
            <wp:wrapSquare wrapText="largest"/>
            <wp:docPr id="60" name="Fotoattēls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otoattēls20" descr=""/>
                    <pic:cNvPicPr>
                      <a:picLocks noChangeAspect="1" noChangeArrowheads="1"/>
                    </pic:cNvPicPr>
                  </pic:nvPicPr>
                  <pic:blipFill>
                    <a:blip r:embed="rId72"/>
                    <a:stretch>
                      <a:fillRect/>
                    </a:stretch>
                  </pic:blipFill>
                  <pic:spPr bwMode="auto">
                    <a:xfrm>
                      <a:off x="0" y="0"/>
                      <a:ext cx="6120130" cy="6079490"/>
                    </a:xfrm>
                    <a:prstGeom prst="rect">
                      <a:avLst/>
                    </a:prstGeom>
                  </pic:spPr>
                </pic:pic>
              </a:graphicData>
            </a:graphic>
          </wp:anchor>
        </w:drawing>
      </w:r>
      <w:r>
        <w:br w:type="page"/>
      </w:r>
    </w:p>
    <w:p>
      <w:pPr>
        <w:pStyle w:val="Titre1"/>
        <w:numPr>
          <w:ilvl w:val="0"/>
          <w:numId w:val="2"/>
        </w:numPr>
        <w:rPr/>
      </w:pPr>
      <w:bookmarkStart w:id="36" w:name="__RefHeading___Toc298246_1346298689"/>
      <w:bookmarkEnd w:id="36"/>
      <w:r>
        <w:rPr/>
        <w:t xml:space="preserve">IV. Pilnsapulces priekšlikumi </w:t>
      </w:r>
      <w:r>
        <w:br w:type="page"/>
      </w:r>
    </w:p>
    <w:p>
      <w:pPr>
        <w:pStyle w:val="Normal"/>
        <w:rPr/>
      </w:pPr>
      <w:r>
        <w:rPr/>
        <w:drawing>
          <wp:anchor behindDoc="0" distT="0" distB="0" distL="0" distR="0" simplePos="0" locked="0" layoutInCell="1" allowOverlap="1" relativeHeight="3">
            <wp:simplePos x="0" y="0"/>
            <wp:positionH relativeFrom="column">
              <wp:posOffset>1270</wp:posOffset>
            </wp:positionH>
            <wp:positionV relativeFrom="paragraph">
              <wp:posOffset>635</wp:posOffset>
            </wp:positionV>
            <wp:extent cx="913765" cy="913765"/>
            <wp:effectExtent l="0" t="0" r="0" b="0"/>
            <wp:wrapSquare wrapText="largest"/>
            <wp:docPr id="61" name="Fotoattēls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otoattēls21" descr=""/>
                    <pic:cNvPicPr>
                      <a:picLocks noChangeAspect="1" noChangeArrowheads="1"/>
                    </pic:cNvPicPr>
                  </pic:nvPicPr>
                  <pic:blipFill>
                    <a:blip r:embed="rId73"/>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37" w:name="__RefHeading___Toc298248_1346298689"/>
      <w:bookmarkEnd w:id="37"/>
      <w:r>
        <w:rPr/>
        <w:t>Klimata pārmaiņas un vide</w:t>
      </w:r>
    </w:p>
    <w:p>
      <w:pPr>
        <w:pStyle w:val="Titre3"/>
        <w:numPr>
          <w:ilvl w:val="2"/>
          <w:numId w:val="2"/>
        </w:numPr>
        <w:rPr/>
      </w:pPr>
      <w:bookmarkStart w:id="38" w:name="__RefHeading___Toc298250_1346298689"/>
      <w:bookmarkEnd w:id="38"/>
      <w:r>
        <w:rPr/>
        <w:t>1. Priekšlikums: Lauksaimniecība, pārtikas ražošana, bioloģiskā daudzveidība un ekosistēmas, piesārņojums</w:t>
      </w:r>
    </w:p>
    <w:p>
      <w:pPr>
        <w:pStyle w:val="P68B1DB1Normal15"/>
        <w:rPr>
          <w:b/>
          <w:b/>
        </w:rPr>
      </w:pPr>
      <w:r>
        <w:rPr/>
        <w:t>Mērķis: Droša, ilgtspējīga, taisnīga, klimatnoturīga un cenas ziņā pieejama pārtikas ražošana, kurā tiek ievēroti ilgtspējas un vides principi un aizsargāta bioloģiskā daudzveidība un ekosistēmas, vienlaikus nodrošinot nodrošinātību ar pārtiku.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rPr/>
      </w:pPr>
      <w:r>
        <w:rPr/>
        <w:t>1.</w:t>
        <w:tab/>
        <w:t>Izvirzīt zaļās un zilās ekonomikas jēdzienus priekšplānā, veicinot efektīvu un videi nekaitīgu un klimatam nekaitīgu lauksaimniecību un zivsaimniecību ES un visā pasaulē, tostarp bioloģisko lauksaimniecību un citus inovatīvus un ilgtspējīgus lauksaimniecības veidus, piemēram, vertikālo lauksaimniecību, kas ļauj palielināt ražošanu ar mazākiem resursiem, vienlaikus samazinot emisijas un ietekmi uz vidi, bet turpinot nodrošināt ražīgumu un nodrošinātību ar pārtiku (3. nodaļa — 1., 2. un 10. ieteikums; paneļdiskusija — 4. ieteikums).</w:t>
      </w:r>
    </w:p>
    <w:p>
      <w:pPr>
        <w:pStyle w:val="Puce3"/>
        <w:rPr/>
      </w:pPr>
      <w:r>
        <w:rPr/>
        <w:t>2.</w:t>
        <w:tab/>
        <w:t>Pārorientēt subsīdijas un stiprināt stimulus bioloģiskajai un ilgtspējīgai lauksaimniecībai, kas atbilst konkrētiem vides standartiem un palīdz sasniegt globālos klimata mērķus (3. sadaļa — 1. un 12. ieteikums).</w:t>
      </w:r>
    </w:p>
    <w:p>
      <w:pPr>
        <w:pStyle w:val="Puce3"/>
        <w:rPr/>
      </w:pPr>
      <w:r>
        <w:rPr/>
        <w:t>3.</w:t>
        <w:tab/>
        <w:t>Piemērot aprites ekonomikas principus lauksaimniecībai un veicināt pasākumus pārtikas izšķērdēšanas apkarošanai (debates darba grupā, daudzvalodu digitālajā platformā — NPC).</w:t>
      </w:r>
    </w:p>
    <w:p>
      <w:pPr>
        <w:pStyle w:val="Puce3"/>
        <w:rPr/>
      </w:pPr>
      <w:r>
        <w:rPr/>
        <w:t>4.</w:t>
        <w:tab/>
        <w:t>Ievērojami samazināt pesticīdu un ķīmisko mēslošanas līdzekļu izmantošanu saskaņā ar pašreizējiem mērķiem, vienlaikus turpinot nodrošināt pārtikas nekaitīgumu, un atbalstīt pētniecību, lai izstrādātu ilgtspējīgākas un dabā balstītas alternatīvas (3. ieteikums — 10. ieteikums, debates darba grupā).</w:t>
      </w:r>
    </w:p>
    <w:p>
      <w:pPr>
        <w:pStyle w:val="Puce3"/>
        <w:rPr/>
      </w:pPr>
      <w:r>
        <w:rPr/>
        <w:t>5.</w:t>
        <w:tab/>
        <w:t>Ieviest oglekļa piesaistes sertifikāciju, pamatojoties uz stabilu, stabilu un pārredzamu oglekļa uzskaiti (plenārsēdes debates).</w:t>
      </w:r>
    </w:p>
    <w:p>
      <w:pPr>
        <w:pStyle w:val="Puce3"/>
        <w:rPr/>
      </w:pPr>
      <w:r>
        <w:rPr/>
        <w:t>6.</w:t>
        <w:tab/>
        <w:t>Palielināt pētniecību un inovāciju, jo īpaši tehnoloģiskos risinājumos, kas saistīti ar ilgtspējīgu ražošanu, izturību pret kaitēkļiem un precīzo lauksaimniecību, kā arī komunikācijas, konsultāciju sistēmas un lauksaimnieku apmācību (3. panelis — 10. ieteikums, debates darba grupā, plenārsēdes debates).</w:t>
      </w:r>
    </w:p>
    <w:p>
      <w:pPr>
        <w:pStyle w:val="Puce3"/>
        <w:rPr/>
      </w:pPr>
      <w:r>
        <w:rPr/>
        <w:t>7.</w:t>
        <w:tab/>
        <w:t>Izskaust sociālo dempingu un veicināt taisnīgu zaļo pārkārtošanos uz labākām darbvietām lauksaimniecības nozarē, nodrošinot augstas kvalitātes drošību, veselību un darba apstākļus (debates darba grupā).</w:t>
      </w:r>
    </w:p>
    <w:p>
      <w:pPr>
        <w:pStyle w:val="Puce3"/>
        <w:rPr/>
      </w:pPr>
      <w:r>
        <w:rPr/>
        <w:t>8.</w:t>
        <w:tab/>
        <w:t>Apspriest tādus aspektus kā plastmasas izmantošana lauksaimniecības plēvēs un veidi, kā samazināt ūdens patēriņu lauksaimniecībā (PNM).</w:t>
      </w:r>
    </w:p>
    <w:p>
      <w:pPr>
        <w:pStyle w:val="Puce3"/>
        <w:rPr/>
      </w:pPr>
      <w:r>
        <w:rPr/>
        <w:t>9.</w:t>
        <w:tab/>
        <w:t>Pamatota gaļas audzēšana un ražošana koncentrējās uz dzīvnieku labturību un ilgtspēju, izmantojot tādus pasākumus kā skaidrs marķējums, augsta kvalitāte un kopēji lopkopības un pārvadāšanas standarti, stiprinot saikni starp mājlopiem un barību (3. panelis — 16. un 30. ieteikums).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39" w:name="__RefHeading___Toc298252_1346298689"/>
      <w:bookmarkEnd w:id="39"/>
      <w:r>
        <w:rPr/>
        <w:t>2. Priekšlikums: Lauksaimniecība, pārtikas ražošana, bioloģiskā daudzveidība un ekosistēmas, piesārņojums</w:t>
      </w:r>
    </w:p>
    <w:p>
      <w:pPr>
        <w:pStyle w:val="P68B1DB1Normal15"/>
        <w:rPr>
          <w:b/>
          <w:b/>
        </w:rPr>
      </w:pPr>
      <w:r>
        <w:rPr/>
        <w:t>Mērķis: Aizsargāt un atjaunot bioloģisko daudzveidību, ainavu un okeānus un likvidēt piesārņojumu.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0" w:name="__RefHeading___Toc298254_1346298689"/>
      <w:bookmarkEnd w:id="40"/>
      <w:r>
        <w:rPr/>
        <w:t>Pasākumi:</w:t>
      </w:r>
    </w:p>
    <w:p>
      <w:pPr>
        <w:pStyle w:val="Puce3"/>
        <w:tabs>
          <w:tab w:val="clear" w:pos="720"/>
        </w:tabs>
        <w:rPr/>
      </w:pPr>
      <w:r>
        <w:rPr/>
        <w:t>1.</w:t>
        <w:tab/>
        <w:t>Aizsargājamo teritoriju izveide, atjaunošana, pārvaldība un paplašināšana bioloģiskās daudzveidības saglabāšanai (FR ieteikums, 3. paneļdiskusija — 11. ieteikums).</w:t>
      </w:r>
    </w:p>
    <w:p>
      <w:pPr>
        <w:pStyle w:val="Puce3"/>
        <w:tabs>
          <w:tab w:val="clear" w:pos="720"/>
        </w:tabs>
        <w:rPr/>
      </w:pPr>
      <w:r>
        <w:rPr/>
        <w:t>2.</w:t>
        <w:tab/>
        <w:t>Izveidot piespiešanas un atalgošanas sistēmu piesārņojuma apkarošanai, piemērojot principu “piesārņotājs maksā”, kas būtu jāiekļauj arī nodokļu pasākumos un ar labāku informētību un stimuliem (3. panelis — 32. ieteikums, FR ieteikums, plenārsēdes debates).</w:t>
      </w:r>
    </w:p>
    <w:p>
      <w:pPr>
        <w:pStyle w:val="Puce3"/>
        <w:tabs>
          <w:tab w:val="clear" w:pos="720"/>
        </w:tabs>
        <w:rPr/>
      </w:pPr>
      <w:r>
        <w:rPr/>
        <w:t>3.</w:t>
        <w:tab/>
        <w:t>Paplašināt pašvaldību lomu pilsētplānošanā un tādu jaunu ēku būvniecībā, kas atbalsta zilo un zaļo infrastruktūru, novērst turpmāku zemes noslēgšanu un to izbeigt, obligātas zaļās zonas jaunām būvēm, lai veicinātu bioloģisko daudzveidību un pilsētu mežus (3. ieteikums — 5. ieteikums, 1. panelis — 18. ieteikums, FR ieteikums).</w:t>
      </w:r>
    </w:p>
    <w:p>
      <w:pPr>
        <w:pStyle w:val="Puce3"/>
        <w:tabs>
          <w:tab w:val="clear" w:pos="720"/>
        </w:tabs>
        <w:rPr/>
      </w:pPr>
      <w:r>
        <w:rPr/>
        <w:t>4.</w:t>
        <w:tab/>
        <w:t>Aizsargāt kukaiņus, jo īpaši vietējās un apputeksnējošās sugas, tostarp aizsargājot pret invazīvām sugām un labāk īstenojot spēkā esošos noteikumus (1. panelis — 18. ieteikums).</w:t>
      </w:r>
    </w:p>
    <w:p>
      <w:pPr>
        <w:pStyle w:val="Puce3"/>
        <w:tabs>
          <w:tab w:val="clear" w:pos="720"/>
        </w:tabs>
        <w:rPr/>
      </w:pPr>
      <w:r>
        <w:rPr/>
        <w:t>5.</w:t>
        <w:tab/>
        <w:t>Atbalstīt apmežošanu un mežu atjaunošanu, tostarp mežus, kas iznīcināti ugunsgrēkos, piemērot atbildīgu meža apsaimniekošanu un veicināt koksnes labāku izmantošanu citu materiālu aizstāšanai. Noteikt saistošus valsts mērķus visās ES dalībvalstīs attiecībā uz mežu atjaunošanu ar vietējiem kokiem un vietējo floru, ņemot vērā atšķirīgās valstu situācijas un īpatnības (3. panelis — 14. ieteikums, 1. paneļdiskusija — 18. ieteikums).</w:t>
      </w:r>
    </w:p>
    <w:p>
      <w:pPr>
        <w:pStyle w:val="Puce3"/>
        <w:tabs>
          <w:tab w:val="clear" w:pos="720"/>
        </w:tabs>
        <w:rPr/>
      </w:pPr>
      <w:r>
        <w:rPr/>
        <w:t>6.</w:t>
        <w:tab/>
        <w:t>Ieviest un paplašināt aizliegumu attiecībā uz vienreizlietojamiem plastmasas izstrādājumiem (BIT).</w:t>
      </w:r>
    </w:p>
    <w:p>
      <w:pPr>
        <w:pStyle w:val="Puce3"/>
        <w:tabs>
          <w:tab w:val="clear" w:pos="720"/>
        </w:tabs>
        <w:rPr/>
      </w:pPr>
      <w:r>
        <w:rPr/>
        <w:t>7.</w:t>
        <w:tab/>
        <w:t>Aizsargāt ūdens avotus un apkarot upju un okeānu piesārņojumu, tostarp veicot pētījumus un apkarojot mikroplastmasas piesārņojumu, un veicināt videi draudzīgu transportu, izmantojot labākās pieejamās tehnoloģijas, un izveidot Savienības pētniecību un finansējumu alternatīvām jūras degvielām un tehnoloģijām (NMP, debates darba grupā).</w:t>
      </w:r>
    </w:p>
    <w:p>
      <w:pPr>
        <w:pStyle w:val="Puce3"/>
        <w:tabs>
          <w:tab w:val="clear" w:pos="720"/>
        </w:tabs>
        <w:rPr/>
      </w:pPr>
      <w:r>
        <w:rPr/>
        <w:t>8.</w:t>
        <w:tab/>
        <w:t>Ierobežot gaismas piesārņojumu (debates darba grupā).</w:t>
      </w:r>
    </w:p>
    <w:p>
      <w:pPr>
        <w:pStyle w:val="Normal"/>
        <w:rPr/>
      </w:pPr>
      <w:r>
        <w:rPr/>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41" w:name="__RefHeading___Toc298256_1346298689"/>
      <w:bookmarkEnd w:id="41"/>
      <w:r>
        <w:rPr/>
        <w:t>3. Priekšlikums: Klimata pārmaiņas, enerģētika, transports</w:t>
      </w:r>
    </w:p>
    <w:p>
      <w:pPr>
        <w:pStyle w:val="P68B1DB1Normal15"/>
        <w:rPr>
          <w:b/>
          <w:b/>
        </w:rPr>
      </w:pPr>
      <w:r>
        <w:rPr/>
        <w:t>Mērķis: Palielināt Eiropas enerģētisko drošību un panākt Savienības enerģētisko neatkarību, vienlaikus nodrošinot taisnīgu pārkārtošanos un nodrošinot pietiekamu ilgtspējīgu un cenas ziņā pieejamu enerģiju eiropiešiem. Cīnīties pret klimata pārmaiņām, piešķirot ES vadošo lomu ilgtspējīgas enerģētikas politikā un ievērojot globālos klimata aizsardzības mērķus.</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2" w:name="__RefHeading___Toc298258_1346298689"/>
      <w:bookmarkEnd w:id="42"/>
      <w:r>
        <w:rPr/>
        <w:t>Pasākumi:</w:t>
      </w:r>
    </w:p>
    <w:p>
      <w:pPr>
        <w:pStyle w:val="Puce3"/>
        <w:tabs>
          <w:tab w:val="clear" w:pos="720"/>
        </w:tabs>
        <w:rPr/>
      </w:pPr>
      <w:r>
        <w:rPr/>
        <w:t>1.</w:t>
        <w:tab/>
        <w:t>Panākt un, ja iespējams, paātrināt zaļo pārkārtošanos, tostarp vairāk ieguldot atjaunojamos energoresursos, lai samazinātu ārējo atkarību no enerģijas, atzīstot arī vietējo un reģionālo pašvaldību lomu zaļajā pārkārtošanā (debates darba grupā).</w:t>
      </w:r>
    </w:p>
    <w:p>
      <w:pPr>
        <w:pStyle w:val="Puce3"/>
        <w:tabs>
          <w:tab w:val="clear" w:pos="720"/>
        </w:tabs>
        <w:rPr/>
      </w:pPr>
      <w:r>
        <w:rPr/>
        <w:t>2.</w:t>
        <w:tab/>
        <w:t>Enerģētikas politikā izskatīt visu trešo valstu enerģijas piegādātāju ģeopolitisko un drošības ietekmi, jo īpaši attiecībā uz cilvēktiesībām, ekoloģiju, labu pārvaldību un tiesiskumu (debates darba grupā).</w:t>
      </w:r>
    </w:p>
    <w:p>
      <w:pPr>
        <w:pStyle w:val="Puce3"/>
        <w:tabs>
          <w:tab w:val="clear" w:pos="720"/>
        </w:tabs>
        <w:rPr/>
      </w:pPr>
      <w:r>
        <w:rPr/>
        <w:t>3.</w:t>
        <w:tab/>
        <w:t>Samazināt atkarību no naftas un gāzes importa, izmantojot energoefektivitātes projektus, atbalstot cenas ziņā pieejamu sabiedrisko transportu, ātrgaitas kravu dzelzceļa tīklu un paplašinot tīras un atjaunojamas enerģijas piegādi (4. panelis — 2. ieteikums, 1. apakšiedaļa — 10. ieteikums, FR un DE ieteikumi).</w:t>
      </w:r>
    </w:p>
    <w:p>
      <w:pPr>
        <w:pStyle w:val="Puce3"/>
        <w:tabs>
          <w:tab w:val="clear" w:pos="720"/>
        </w:tabs>
        <w:rPr/>
      </w:pPr>
      <w:r>
        <w:rPr/>
        <w:t>4.</w:t>
        <w:tab/>
        <w:t>Uzlabot kvalitāti un savienojamību, nodrošināt elektroenerģijas infrastruktūras un tīklu uzturēšanu un pārveidošanu, lai uzlabotu drošību un dotu iespēju pāriet uz atjaunojamiem enerģijas avotiem (1. panelis — 10. ieteikums, debates darba grupā).</w:t>
      </w:r>
    </w:p>
    <w:p>
      <w:pPr>
        <w:pStyle w:val="Puce3"/>
        <w:tabs>
          <w:tab w:val="clear" w:pos="720"/>
        </w:tabs>
        <w:rPr/>
      </w:pPr>
      <w:r>
        <w:rPr/>
        <w:t>5.</w:t>
        <w:tab/>
        <w:t>Ieguldīt tehnoloģijās, kas spēj ražot atjaunojamo enerģiju, piemēram, zaļā ūdeņraža efektīvā ražošanā, jo īpaši nozarēs, kurās ir grūti elektrificēt (3. panelis — 31. ieteikums, debates darba grupā).</w:t>
      </w:r>
    </w:p>
    <w:p>
      <w:pPr>
        <w:pStyle w:val="Puce3"/>
        <w:tabs>
          <w:tab w:val="clear" w:pos="720"/>
        </w:tabs>
        <w:rPr/>
      </w:pPr>
      <w:r>
        <w:rPr/>
        <w:t>6.</w:t>
        <w:tab/>
        <w:t>Ieguldīt jaunu enerģijas avotu izpētē un videi draudzīgās uzglabāšanas metodēs un, gaidot taustāmu risinājumu, veikt papildu ieguldījumus pašreizējos optimālos enerģijas ražošanas un uzglabāšanas risinājumos (3. nodaļa — 9. un 31. ieteikums).</w:t>
      </w:r>
    </w:p>
    <w:p>
      <w:pPr>
        <w:pStyle w:val="Puce3"/>
        <w:tabs>
          <w:tab w:val="clear" w:pos="720"/>
        </w:tabs>
        <w:rPr/>
      </w:pPr>
      <w:r>
        <w:rPr/>
        <w:t>7.</w:t>
        <w:tab/>
        <w:t>Noteikt</w:t>
      </w:r>
      <w:r>
        <w:rPr>
          <w:vertAlign w:val="subscript"/>
        </w:rPr>
        <w:t>obligātus CO2</w:t>
      </w:r>
      <w:r>
        <w:rPr/>
        <w:t xml:space="preserve"> filtrus fosilā kurināmā spēkstacijās un sniegt finansiālu atbalstu dalībvalstīm, kurām nav finanšu resursu CO2 filtru ieviešanai (3.</w:t>
      </w:r>
      <w:r>
        <w:rPr>
          <w:vertAlign w:val="subscript"/>
        </w:rPr>
        <w:t>panelis</w:t>
      </w:r>
      <w:r>
        <w:rPr/>
        <w:t xml:space="preserve"> — 29. ieteikums).</w:t>
      </w:r>
    </w:p>
    <w:p>
      <w:pPr>
        <w:pStyle w:val="Puce3"/>
        <w:tabs>
          <w:tab w:val="clear" w:pos="720"/>
        </w:tabs>
        <w:rPr/>
      </w:pPr>
      <w:r>
        <w:rPr/>
        <w:t>8.</w:t>
        <w:tab/>
        <w:t>Nodrošināt taisnīgu pārkārtošanos, aizsargāt darba ņēmējus un darbvietas, izmantojot pienācīgu finansējumu pārejai un turpmākai pētniecībai, reformēt nodokļu sistēmu, izmantojot taisnīgākus nodokļu un krāpšanas apkarošanas pasākumus, un nodrošināt iekļaujošu pieeju pārvaldībai politikas veidošanā visos līmeņos (piemēram, vērienīgi pārkvalificēšanās un prasmju pilnveides pasākumi, spēcīga sociālā aizsardzība, sabiedrisko pakalpojumu saglabāšana valsts rokās, veselības un drošības noteikumu saglabāšana darbā) (puspusējās debates, debates darba grupā, NPC).</w:t>
      </w:r>
    </w:p>
    <w:p>
      <w:pPr>
        <w:pStyle w:val="Puce3"/>
        <w:tabs>
          <w:tab w:val="clear" w:pos="720"/>
        </w:tabs>
        <w:rPr/>
      </w:pPr>
      <w:r>
        <w:rPr/>
        <w:t>9.</w:t>
        <w:tab/>
        <w:t>Ieviest investīciju paketi klimatam draudzīgām tehnoloģijām un inovācijām, kas būtu jāfinansē, izmantojot ar klimatu saistītus ievedmuitas nodokļus un ar klimatu saistītas oglekļa korekcijas nodevas (DE ieteikums).</w:t>
      </w:r>
    </w:p>
    <w:p>
      <w:pPr>
        <w:pStyle w:val="Puce3"/>
        <w:tabs>
          <w:tab w:val="clear" w:pos="720"/>
        </w:tabs>
        <w:rPr/>
      </w:pPr>
      <w:r>
        <w:rPr/>
        <w:t>10.</w:t>
        <w:tab/>
        <w:t>Pārejas perioda beigās fosilajam kurināmajam vairs nevajadzētu saņemt subsīdijas, un tradicionālajai gāzes infrastruktūrai nevajadzētu piešķirt finansējumu (debates darba grupā).</w:t>
      </w:r>
    </w:p>
    <w:p>
      <w:pPr>
        <w:pStyle w:val="Puce3"/>
        <w:tabs>
          <w:tab w:val="clear" w:pos="720"/>
        </w:tabs>
        <w:rPr/>
      </w:pPr>
      <w:r>
        <w:rPr/>
        <w:t>11.</w:t>
        <w:tab/>
        <w:t>Palielināt ES vadošo lomu un lomu un atbildību veicināt vērienīgu rīcību klimata jomā un taisnīgu pārkārtošanos, kā arī palīdzēt reaģēt uz zaudējumiem un kaitējumu starptautiskā mērogā, kur rīcības centrā jābūt ANO (NL ieteikums, darba grupas debates).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43" w:name="__RefHeading___Toc298260_1346298689"/>
      <w:bookmarkEnd w:id="43"/>
      <w:r>
        <w:rPr/>
        <w:t>4. Priekšlikums: Klimata pārmaiņas, enerģētika, transports</w:t>
      </w:r>
    </w:p>
    <w:p>
      <w:pPr>
        <w:pStyle w:val="P68B1DB1Normal15"/>
        <w:rPr>
          <w:b/>
          <w:b/>
        </w:rPr>
      </w:pPr>
      <w:r>
        <w:rPr/>
        <w:t>Mērķis: Nodrošināt modernu, drošu, ekoloģisku un kvalitatīvu infrastruktūru, kas nodrošina savienojamību, tostarp lauku un salu teritorijās, tostarp izmantojot pieejamu sabiedrisko transportu.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4" w:name="__RefHeading___Toc298262_1346298689"/>
      <w:bookmarkEnd w:id="44"/>
      <w:r>
        <w:rPr/>
        <w:t>Pasākumi:</w:t>
      </w:r>
    </w:p>
    <w:p>
      <w:pPr>
        <w:pStyle w:val="Puce3"/>
        <w:tabs>
          <w:tab w:val="clear" w:pos="720"/>
        </w:tabs>
        <w:rPr/>
      </w:pPr>
      <w:r>
        <w:rPr/>
        <w:t>1.</w:t>
        <w:tab/>
        <w:t>Atbalstīt sabiedrisko transportu un attīstīt efektīvu, uzticamu un cenas ziņā pieejamu Eiropas sabiedriskā transporta tīklu, jo īpaši lauku un salu teritorijās, izmantojot papildu stimulus sabiedriskā transporta izmantošanai (3. panelis — 36. ieteikums, 4. paneļdiskusija — 2. ieteikums).</w:t>
      </w:r>
    </w:p>
    <w:p>
      <w:pPr>
        <w:pStyle w:val="Puce3"/>
        <w:tabs>
          <w:tab w:val="clear" w:pos="720"/>
        </w:tabs>
        <w:rPr/>
      </w:pPr>
      <w:r>
        <w:rPr/>
        <w:t>2.</w:t>
        <w:tab/>
        <w:t>Ieguldīt ātrgaitas nakts vilcienos un noteikt vienotu videi draudzīgu dzelzceļa tehnoloģiju standartu Eiropā, lai piedāvātu uzticamu alternatīvu un atvieglotu iespēju aizstāt un atturēt no tuviem lidojumiem (debates darba grupā, NPM).</w:t>
      </w:r>
    </w:p>
    <w:p>
      <w:pPr>
        <w:pStyle w:val="Puce3"/>
        <w:tabs>
          <w:tab w:val="clear" w:pos="720"/>
        </w:tabs>
        <w:rPr/>
      </w:pPr>
      <w:r>
        <w:rPr/>
        <w:t>3.</w:t>
        <w:tab/>
        <w:t>Veicināt tādu elektrotransportlīdzekļu iegādi, kas atbilst labam akumulatora ekspluatācijas standartam, ņemot vērā to pieejamību mājsaimniecībām, un (dalītu) izmantošanu, kā arī ieguldījumus nepieciešamajā uzlādes infrastruktūrā un ieguldījumus citu tīro tehnoloģiju izstrādē transportlīdzekļiem, kuru elektrifikācija ir grūti sasniedzama (paplašinājums Nr. 3–38. ieteikums).</w:t>
      </w:r>
    </w:p>
    <w:p>
      <w:pPr>
        <w:pStyle w:val="Puce3"/>
        <w:tabs>
          <w:tab w:val="clear" w:pos="720"/>
        </w:tabs>
        <w:rPr/>
      </w:pPr>
      <w:r>
        <w:rPr/>
        <w:t>4.</w:t>
        <w:tab/>
        <w:t>Izveidot platjoslas savienojamību ar internetu un mobilo tīklu lauku un salu teritorijās (3. panelis — 36. ieteikums).</w:t>
      </w:r>
    </w:p>
    <w:p>
      <w:pPr>
        <w:pStyle w:val="Puce3"/>
        <w:tabs>
          <w:tab w:val="clear" w:pos="720"/>
        </w:tabs>
        <w:rPr/>
      </w:pPr>
      <w:r>
        <w:rPr/>
        <w:t>5.</w:t>
        <w:tab/>
        <w:t>Uzlabot esošo transporta infrastruktūru no ekoloģiskā viedokļa (3. panelis — 37. ieteikums).</w:t>
      </w:r>
    </w:p>
    <w:p>
      <w:pPr>
        <w:pStyle w:val="Puce3"/>
        <w:tabs>
          <w:tab w:val="clear" w:pos="720"/>
        </w:tabs>
        <w:rPr/>
      </w:pPr>
      <w:r>
        <w:rPr/>
        <w:t>6.</w:t>
        <w:tab/>
        <w:t>Pieprasīt pilsētu attīstības programmas “zaļākām” pilsētām ar mazākām emisijām, ar konkrētām teritorijām bez automašīnām pilsētās, nekaitējot komerciālajām teritorijām (3. panelis — 6. ieteikums).</w:t>
      </w:r>
    </w:p>
    <w:p>
      <w:pPr>
        <w:pStyle w:val="Puce3"/>
        <w:tabs>
          <w:tab w:val="clear" w:pos="720"/>
        </w:tabs>
        <w:rPr/>
      </w:pPr>
      <w:r>
        <w:rPr/>
        <w:t>7.</w:t>
        <w:tab/>
        <w:t>Uzlabot velosipēdu infrastruktūru un nodrošināt vairāk tiesību un tiesisko aizsardzību velosipēdistiem un gājējiem, jo īpaši gadījumos, kad noticis negadījums ar mehānisko transportlīdzekli, nodrošinot ceļu satiksmes drošību un nodrošinot apmācību par ceļu satiksmes kodeksu (3. posms — 4. ieteikums).</w:t>
      </w:r>
    </w:p>
    <w:p>
      <w:pPr>
        <w:pStyle w:val="Puce3"/>
        <w:tabs>
          <w:tab w:val="clear" w:pos="720"/>
        </w:tabs>
        <w:rPr/>
      </w:pPr>
      <w:r>
        <w:rPr/>
        <w:t>8.</w:t>
        <w:tab/>
        <w:t>Regulēt kriptovalūtu ieguvi, kas izmanto ievērojamu enerģijas daudzumu (PNM).</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Titre3"/>
        <w:numPr>
          <w:ilvl w:val="2"/>
          <w:numId w:val="2"/>
        </w:numPr>
        <w:rPr/>
      </w:pPr>
      <w:bookmarkStart w:id="45" w:name="__RefHeading___Toc298264_1346298689"/>
      <w:bookmarkEnd w:id="45"/>
      <w:r>
        <w:rPr/>
        <w:t>5. Priekšlikums: Ilgtspējīgs patēriņš, iepakošana un ražošana</w:t>
      </w:r>
    </w:p>
    <w:p>
      <w:pPr>
        <w:pStyle w:val="P68B1DB1Normal15"/>
        <w:rPr>
          <w:b/>
          <w:b/>
        </w:rPr>
      </w:pPr>
      <w:r>
        <w:rPr/>
        <w:t>Mērķis: Uzlabot materiālu izmantošanu un pārvaldību Savienībā, lai veicinātu aprites ekonomiku, kļūtu autonomāka un mazāk atkarīga. Attīstīt aprites ekonomiku, veicinot ilgtspējīgu ražošanu un produktus Savienībā. Nodrošina, ka visi produkti, ko laiž Savienības tirgū, atbilst kopējiem Savienības vides standartiem.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6" w:name="__RefHeading___Toc298266_1346298689"/>
      <w:bookmarkEnd w:id="46"/>
      <w:r>
        <w:rPr/>
        <w:t>Pasākumi:</w:t>
      </w:r>
    </w:p>
    <w:p>
      <w:pPr>
        <w:pStyle w:val="Puce3"/>
        <w:tabs>
          <w:tab w:val="clear" w:pos="720"/>
        </w:tabs>
        <w:rPr/>
      </w:pPr>
      <w:r>
        <w:rPr/>
        <w:t>1.</w:t>
        <w:tab/>
        <w:t>Stingrāki un saskaņoti Savienības ražošanas standarti un pārredzama marķēšanas sistēma visiem ES tirgū pārdotajiem produktiem attiecībā uz to ilgtspējas/vides pēdu un ilgmūžību, izmantojot QR kodu un ekoscore vai digitālo produkta pasi (3. panelis — 8., 13., 20. un 21. ieteikums, 1. apakšiedaļa — 16. ieteikums, 4. apakšiedaļa — 13. ieteikums).</w:t>
      </w:r>
    </w:p>
    <w:p>
      <w:pPr>
        <w:pStyle w:val="Puce3"/>
        <w:tabs>
          <w:tab w:val="clear" w:pos="720"/>
        </w:tabs>
        <w:rPr/>
      </w:pPr>
      <w:r>
        <w:rPr/>
        <w:t>2.</w:t>
        <w:tab/>
        <w:t>Pārskatīt globālās piegādes ķēdes, tostarp lauksaimnieciskajā ražošanā, lai samazinātu ES atkarību un saīsinātu ķēdes (PNM).</w:t>
      </w:r>
    </w:p>
    <w:p>
      <w:pPr>
        <w:pStyle w:val="Puce3"/>
        <w:tabs>
          <w:tab w:val="clear" w:pos="720"/>
        </w:tabs>
        <w:rPr/>
      </w:pPr>
      <w:r>
        <w:rPr/>
        <w:t>3.</w:t>
        <w:tab/>
        <w:t>Turpināt novērst atkritumu rašanos, nosakot novēršanas un atkārtotas izmantošanas mērķus un nosakot kvalitātes standartus atkritumu šķirošanas sistēmām (debates darba grupā, FR ieteikums).</w:t>
      </w:r>
    </w:p>
    <w:p>
      <w:pPr>
        <w:pStyle w:val="Puce3"/>
        <w:tabs>
          <w:tab w:val="clear" w:pos="720"/>
        </w:tabs>
        <w:rPr/>
      </w:pPr>
      <w:r>
        <w:rPr/>
        <w:t>4.</w:t>
        <w:tab/>
        <w:t>Pakāpeniski likvidēt neilgtspējīgus iepakojuma veidus, regulēt videi draudzīgu iepakojumu un izvairīties no materiālu izšķērdēšanas iepakojumā, izmantojot finansiālus stimulus un sankcijas, kā arī ieguldījumus alternatīvā pētniecībā (3. un 25. ieteikums, 1. paneļdiskusija — 12. ieteikums, 4. paneļdiskusija — 16. ieteikums).</w:t>
      </w:r>
    </w:p>
    <w:p>
      <w:pPr>
        <w:pStyle w:val="Puce3"/>
        <w:tabs>
          <w:tab w:val="clear" w:pos="720"/>
        </w:tabs>
        <w:rPr/>
      </w:pPr>
      <w:r>
        <w:rPr/>
        <w:t>5.</w:t>
        <w:tab/>
        <w:t>Ieviest Eiropas iepakojuma depozīta sistēmu un progresīvus standartus konteineriem (3. panelis — 22. un 23. ieteikums, NPC).</w:t>
      </w:r>
    </w:p>
    <w:p>
      <w:pPr>
        <w:pStyle w:val="Puce3"/>
        <w:tabs>
          <w:tab w:val="clear" w:pos="720"/>
        </w:tabs>
        <w:rPr/>
      </w:pPr>
      <w:r>
        <w:rPr/>
        <w:t>6.</w:t>
        <w:tab/>
        <w:t>Izveidot ES zināšanu platformu par to, kā nodrošināt produktu ilgtspējīgu un ilgtermiņa izmantošanu un kā tos “remontēt”, tostarp informāciju, kas pieejama no patērētāju apvienībām (3. panelis — 20. ieteikums).</w:t>
      </w:r>
    </w:p>
    <w:p>
      <w:pPr>
        <w:pStyle w:val="Puce3"/>
        <w:tabs>
          <w:tab w:val="clear" w:pos="720"/>
        </w:tabs>
        <w:rPr/>
      </w:pPr>
      <w:r>
        <w:rPr/>
        <w:t>7.</w:t>
        <w:tab/>
        <w:t>Ieviest pasākumus, lai apkarotu agrīnu vai priekšlaicīgu novecošanos, tostarp plānoto novecošanos, nodrošināt ilgākus aizsardzības pasākumus, veicināt tiesības uz remontu un savietojamu rezerves daļu pieejamību un pieejamību (3. ieteikums — 20. ieteikums, FR ieteikums, DE ieteikums, 1. paneļdiskusija — 14. ieteikums).</w:t>
      </w:r>
    </w:p>
    <w:p>
      <w:pPr>
        <w:pStyle w:val="Puce3"/>
        <w:tabs>
          <w:tab w:val="clear" w:pos="720"/>
        </w:tabs>
        <w:rPr/>
      </w:pPr>
      <w:r>
        <w:rPr/>
        <w:t>8.</w:t>
        <w:tab/>
        <w:t>Izveidot otrreizējo izejvielu tirgu, ņemot vērā obligātās pārstrādātā satura likmes, mudinot samazināt izejvielu izmantošanu (debates darba grupā).</w:t>
      </w:r>
    </w:p>
    <w:p>
      <w:pPr>
        <w:pStyle w:val="Puce3"/>
        <w:tabs>
          <w:tab w:val="clear" w:pos="720"/>
        </w:tabs>
        <w:rPr/>
      </w:pPr>
      <w:r>
        <w:rPr/>
        <w:t>9.</w:t>
        <w:tab/>
        <w:t>Vērienīgas tekstilizstrādājumu stratēģijas ātra īstenošana un mehānisma noteikšana, lai patērētāji zinātu, ka produkts atbilst ilgtspējības kritērijiem (3. panelis — 28. ieteikums, debates darba grupā).</w:t>
      </w:r>
    </w:p>
    <w:p>
      <w:pPr>
        <w:pStyle w:val="Puce3"/>
        <w:tabs>
          <w:tab w:val="clear" w:pos="720"/>
        </w:tabs>
        <w:rPr/>
      </w:pPr>
      <w:r>
        <w:rPr/>
        <w:t>10.</w:t>
        <w:tab/>
        <w:t>ES pasākumi, lai ļautu patērētājiem ilgāk lietot produktus un mudinātu viņus to darīt (3. paziņojums — 20. ieteikums).</w:t>
      </w:r>
    </w:p>
    <w:p>
      <w:pPr>
        <w:pStyle w:val="Puce3"/>
        <w:tabs>
          <w:tab w:val="clear" w:pos="720"/>
        </w:tabs>
        <w:rPr/>
      </w:pPr>
      <w:r>
        <w:rPr/>
        <w:t>11.</w:t>
        <w:tab/>
        <w:t>Stiprināt vides standartus un izpildīt noteikumus par atkritumu eksportu ES un uz trešām valstīm (4. papildinājums — 15. ieteikums, NPC).</w:t>
      </w:r>
    </w:p>
    <w:p>
      <w:pPr>
        <w:pStyle w:val="Puce3"/>
        <w:tabs>
          <w:tab w:val="clear" w:pos="720"/>
        </w:tabs>
        <w:rPr/>
      </w:pPr>
      <w:r>
        <w:rPr/>
        <w:t>12.</w:t>
        <w:tab/>
        <w:t>Ieviest pasākumus, lai ierobežotu videi kaitīgu produktu reklāmu, ieviešot obligātu atrunu attiecībā uz produktiem, kas ir īpaši kaitīgi videi (3. panelis — 22. ieteikums).</w:t>
      </w:r>
    </w:p>
    <w:p>
      <w:pPr>
        <w:pStyle w:val="Puce3"/>
        <w:tabs>
          <w:tab w:val="clear" w:pos="720"/>
        </w:tabs>
        <w:rPr/>
      </w:pPr>
      <w:r>
        <w:rPr/>
        <w:t>13.</w:t>
        <w:tab/>
        <w:t>Piemērot stingrākus ražošanas standartus un taisnīgus darba apstākļus visā ražošanas un vērtības ķēdē (3. paneļa 21. ieteikums).</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47" w:name="__RefHeading___Toc298268_1346298689"/>
      <w:bookmarkEnd w:id="47"/>
      <w:r>
        <w:rPr/>
        <w:t>6. Priekšlikums: Informācija, informētība, dialogs un dzīvesveids</w:t>
      </w:r>
    </w:p>
    <w:p>
      <w:pPr>
        <w:pStyle w:val="P68B1DB1Normal15"/>
        <w:rPr>
          <w:b/>
          <w:b/>
        </w:rPr>
      </w:pPr>
      <w:r>
        <w:rPr/>
        <w:t>Mērķis: Veicināt zināšanas, izpratni, izglītību un dialogu par vidi, klimata pārmaiņām, enerģijas izmantošanu un ilgtspēju.</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48" w:name="__RefHeading___Toc298270_1346298689"/>
      <w:bookmarkEnd w:id="48"/>
      <w:r>
        <w:rPr/>
        <w:t>Pasākumi:</w:t>
      </w:r>
    </w:p>
    <w:p>
      <w:pPr>
        <w:pStyle w:val="Puce3"/>
        <w:tabs>
          <w:tab w:val="clear" w:pos="720"/>
        </w:tabs>
        <w:rPr/>
      </w:pPr>
      <w:r>
        <w:rPr/>
        <w:t>1.</w:t>
        <w:tab/>
        <w:t>Izveidot interaktīvu platformu, kuras fakti ir pārbaudīti, lai sniegtu daudzveidīgu un regulāri atjauninātu zinātnisko informāciju vides jomā (3. panelis — 33. ieteikums).</w:t>
      </w:r>
    </w:p>
    <w:p>
      <w:pPr>
        <w:pStyle w:val="Puce3"/>
        <w:tabs>
          <w:tab w:val="clear" w:pos="720"/>
        </w:tabs>
        <w:rPr/>
      </w:pPr>
      <w:r>
        <w:rPr/>
        <w:t>2.</w:t>
        <w:tab/>
        <w:t>Atbalstīt ekoloģiskās izpratnes veicināšanas kampaņas, tostarp Eiropas ilgtermiņa kampaņu par ilgtspējīgu patēriņu un dzīvesveidu (ieteikumi DE, NL un FR, 3. paneļdiskusija — 7. ieteikums).</w:t>
      </w:r>
    </w:p>
    <w:p>
      <w:pPr>
        <w:pStyle w:val="Puce3"/>
        <w:tabs>
          <w:tab w:val="clear" w:pos="720"/>
        </w:tabs>
        <w:rPr/>
      </w:pPr>
      <w:r>
        <w:rPr/>
        <w:t>3.</w:t>
        <w:tab/>
        <w:t>Veicināt un veicināt dialogu un konsultācijas starp visiem lēmumu pieņemšanas līmeņiem, jo īpaši ar jauniešiem, un vietējā līmenī (DE, NL un FR ieteikumi, 3. paneļdiskusija — 27. un 35. ieteikums, plenārsēdes debates).</w:t>
      </w:r>
    </w:p>
    <w:p>
      <w:pPr>
        <w:pStyle w:val="Puce3"/>
        <w:tabs>
          <w:tab w:val="clear" w:pos="720"/>
        </w:tabs>
        <w:rPr/>
      </w:pPr>
      <w:r>
        <w:rPr/>
        <w:t>4.</w:t>
        <w:tab/>
        <w:t>Eiropas Savienība ar dalībvalstu palīdzību nosaka kopēju Eiropas hartu, kas vērsta uz vides jautājumiem un veicina visu iedzīvotāju izpratni par vidi (3. panelis — 7. ieteikums).</w:t>
      </w:r>
    </w:p>
    <w:p>
      <w:pPr>
        <w:pStyle w:val="Puce3"/>
        <w:tabs>
          <w:tab w:val="clear" w:pos="720"/>
        </w:tabs>
        <w:rPr/>
      </w:pPr>
      <w:r>
        <w:rPr/>
        <w:t>5.</w:t>
        <w:tab/>
        <w:t>Nodrošināt mācību kursus un mācību materiālus visiem, lai uzlabotu zināšanas par klimatu un ilgtspēju un nodrošinātu mūžizglītību par vides jautājumiem (1. panelis — 15. un 35. ieteikums, 3. paneļdiskusija — 24. ieteikums, darba grupas debates).</w:t>
      </w:r>
    </w:p>
    <w:p>
      <w:pPr>
        <w:pStyle w:val="Puce3"/>
        <w:tabs>
          <w:tab w:val="clear" w:pos="720"/>
        </w:tabs>
        <w:rPr/>
      </w:pPr>
      <w:r>
        <w:rPr/>
        <w:t>6.</w:t>
        <w:tab/>
        <w:t>Integrēt pārtikas ražošanu un bioloģiskās daudzveidības aizsardzību izglītības sistēmā, tostarp ieguvumus, ko sniedz neapstrādāta pārtika salīdzinājumā ar apstrādātu pārtiku, un veicināt skolu dārzu izveidi un dotācijas pilsētu dārzkopības projektiem un vertikālajai lauksaimniecībai (3. ieteikums — 5. ieteikums, 1. paneļdiskusija — 18. ieteikums). Apsvērt iespēju padarīt bioloģisko daudzveidību par obligātu priekšmetu skolās un palielināt sabiedrības informētību par bioloģisko daudzveidību, izmantojot plašsaziņas līdzekļu kampaņas un “konkursus”, kas tiek popularizēti visā ES (vietējās valdības konkursi) (3. panelis — 5. ieteikums, 1. paneļdiskusija — 18. ieteikums).</w:t>
      </w:r>
    </w:p>
    <w:p>
      <w:pPr>
        <w:pStyle w:val="Puce3"/>
        <w:tabs>
          <w:tab w:val="clear" w:pos="720"/>
        </w:tabs>
        <w:rPr/>
      </w:pPr>
      <w:r>
        <w:rPr/>
        <w:t>7.</w:t>
        <w:tab/>
        <w:t>Stiprināt Savienības lomu un rīcību vides un izglītības jomā, paplašinot Savienības kompetenci izglītības jomā klimata pārmaiņu un vides jomā un paplašinot lēmumu pieņemšanu ar kvalificētu balsu vairākumu, attiecinot to arī uz tematiem, kas definēti kā “Eiropas intereses”, piemēram, vides jomā (NL un FR ieteikumi).</w:t>
      </w:r>
    </w:p>
    <w:p>
      <w:pPr>
        <w:pStyle w:val="Puce3"/>
        <w:tabs>
          <w:tab w:val="clear" w:pos="720"/>
        </w:tabs>
        <w:rPr/>
      </w:pPr>
      <w:r>
        <w:rPr/>
        <w:t>8.</w:t>
        <w:tab/>
        <w:t>Veicināt augu uzturu klimata aizsardzības un vides saglabāšanas (PNM) apsvērumu dēļ.</w:t>
      </w:r>
    </w:p>
    <w:p>
      <w:pPr>
        <w:sectPr>
          <w:footnotePr>
            <w:numFmt w:val="upperRoman"/>
          </w:foot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20">
            <wp:simplePos x="0" y="0"/>
            <wp:positionH relativeFrom="column">
              <wp:posOffset>23495</wp:posOffset>
            </wp:positionH>
            <wp:positionV relativeFrom="paragraph">
              <wp:posOffset>51435</wp:posOffset>
            </wp:positionV>
            <wp:extent cx="913765" cy="913765"/>
            <wp:effectExtent l="0" t="0" r="0" b="0"/>
            <wp:wrapSquare wrapText="largest"/>
            <wp:docPr id="62" name="Fotoattēls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otoattēls22" descr=""/>
                    <pic:cNvPicPr>
                      <a:picLocks noChangeAspect="1" noChangeArrowheads="1"/>
                    </pic:cNvPicPr>
                  </pic:nvPicPr>
                  <pic:blipFill>
                    <a:blip r:embed="rId74"/>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49" w:name="__RefHeading___Toc298272_1346298689"/>
      <w:bookmarkEnd w:id="49"/>
      <w:r>
        <w:rPr/>
        <w:t>“</w:t>
      </w:r>
      <w:r>
        <w:rPr/>
        <w:t>Veselība”</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2"/>
        <w:numPr>
          <w:ilvl w:val="1"/>
          <w:numId w:val="2"/>
        </w:numPr>
        <w:rPr/>
      </w:pPr>
      <w:r>
        <w:rPr/>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Titre3"/>
        <w:numPr>
          <w:ilvl w:val="2"/>
          <w:numId w:val="2"/>
        </w:numPr>
        <w:rPr/>
      </w:pPr>
      <w:bookmarkStart w:id="50" w:name="__RefHeading___Toc298274_1346298689"/>
      <w:bookmarkEnd w:id="50"/>
      <w:r>
        <w:rPr/>
        <w:t xml:space="preserve">7.Projekts: Veselīgs uzturs un veselīgs dzīvesveids </w:t>
      </w:r>
    </w:p>
    <w:p>
      <w:pPr>
        <w:pStyle w:val="P68B1DB1Normal15"/>
        <w:rPr>
          <w:b/>
          <w:b/>
        </w:rPr>
      </w:pPr>
      <w:r>
        <w:rPr/>
        <w:t>Mērķis: Nodrošināt, ka visiem eiropiešiem ir pieejama veselīga uztura izglītība un piekļuve veselīgai un cenas ziņā pieejamai pārtikai, kas ir veselīga dzīvesveida pamatā, jo īpaši ar šādiem pasākumiem:</w:t>
      </w:r>
    </w:p>
    <w:p>
      <w:pPr>
        <w:sectPr>
          <w:footnotePr>
            <w:numFmt w:val="upperRoman"/>
          </w:foot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1" w:name="__RefHeading___Toc298276_1346298689"/>
      <w:bookmarkEnd w:id="51"/>
      <w:r>
        <w:rPr/>
        <w:t>Pasākumi</w:t>
      </w:r>
      <w:r>
        <w:rPr>
          <w:rStyle w:val="Ancredenotedefin"/>
          <w:rStyle w:val="Ancredenotedefin"/>
        </w:rPr>
        <w:endnoteReference w:id="2"/>
      </w:r>
      <w:r>
        <w:rPr/>
        <w:t>:</w:t>
      </w:r>
    </w:p>
    <w:p>
      <w:pPr>
        <w:pStyle w:val="Puce3"/>
        <w:tabs>
          <w:tab w:val="clear" w:pos="720"/>
        </w:tabs>
        <w:rPr/>
      </w:pPr>
      <w:r>
        <w:rPr/>
        <w:t>1.</w:t>
        <w:tab/>
        <w:t>Noteikt pārtikas kvalitātes un izsekojamības minimālos standartus, jo īpaši ierobežojot antibiotiku un citu veterināro zāļu lietošanu līdz tam, kas ir absolūti nepieciešams, lai aizsargātu dzīvnieku veselību un labturību, tā vietā, lai tos izmantotu preventīvā veidā, un lai nodrošinātu kontroles pastiprināšanu šajā sakarā. [#23, #17]</w:t>
      </w:r>
    </w:p>
    <w:p>
      <w:pPr>
        <w:pStyle w:val="Puce3"/>
        <w:tabs>
          <w:tab w:val="clear" w:pos="720"/>
        </w:tabs>
        <w:rPr/>
      </w:pPr>
      <w:r>
        <w:rPr/>
        <w:t>2.</w:t>
        <w:tab/>
        <w:t>Izglītot iedzīvotājus par veselīgiem ieradumiem, lai tos pieņemtu jau no agrīna vecuma, un mudināt viņus izdarīt drošu un veselīgu izvēli, uzliekot nodokli pārstrādātiem pārtikas produktiem, kas nav pieejami, un padarot viegli pieejamu veselības informāciju par pārtiku; šajā nolūkā izveidot Eiropas mēroga novērtēšanas sistēmu pārstrādātai pārtikai, pamatojoties uz zinātniskām un neatkarīgām zināšanām, kā arī marķējumu par hormonālo vielu un endokrīno disruptoru izmantošanu pārtikas ražošanā, un šajā sakarā stiprināt spēkā esošo noteikumu uzraudzību un izpildi un apsvērt iespēju tos stiprināt. [#18, #19, GT]</w:t>
      </w:r>
    </w:p>
    <w:p>
      <w:pPr>
        <w:pStyle w:val="Puce3"/>
        <w:tabs>
          <w:tab w:val="clear" w:pos="720"/>
        </w:tabs>
        <w:rPr/>
      </w:pPr>
      <w:r>
        <w:rPr/>
        <w:t>3.</w:t>
        <w:tab/>
        <w:t>Veicināt dialogu ar pārtikas ķēdes dalībniekiem, sākot no ražošanas līdz pārdošanai, kā daļu no korporatīvās sociālās atbildības par veselīgu pārtiku. [#19, GT]</w:t>
      </w:r>
    </w:p>
    <w:p>
      <w:pPr>
        <w:pStyle w:val="Puce3"/>
        <w:tabs>
          <w:tab w:val="clear" w:pos="720"/>
        </w:tabs>
        <w:rPr/>
      </w:pPr>
      <w:r>
        <w:rPr/>
        <w:t>4.</w:t>
        <w:tab/>
        <w:t>Savienības līmenī atbalstīt veselīgas, daudzveidīgas un cenas ziņā pieejamas pārtikas nodrošināšanu sabiedrisko pakalpojumu iestādēs, piemēram, skolu ēdnīcās, slimnīcās vai veselības aprūpes iestādēs, tostarp izmantojot īpašu finansējumu. [#3, Plenārsēde, darba grupa]</w:t>
      </w:r>
    </w:p>
    <w:p>
      <w:pPr>
        <w:pStyle w:val="Puce3"/>
        <w:tabs>
          <w:tab w:val="clear" w:pos="720"/>
        </w:tabs>
        <w:rPr/>
      </w:pPr>
      <w:r>
        <w:rPr/>
        <w:t>5.</w:t>
        <w:tab/>
        <w:t>Ieguldīt pētījumos par antibiotiku lietošanas sekām un hormonālo vielu un endokrīno disruptoru ietekmi uz cilvēku veselību. [#17, #18]</w:t>
      </w:r>
      <w:r>
        <w:rPr>
          <w:rStyle w:val="Ancredenotedefin"/>
          <w:rStyle w:val="Ancredenotedefin"/>
        </w:rPr>
        <w:endnoteReference w:id="3"/>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2" w:name="__RefHeading___Toc298278_1346298689"/>
      <w:bookmarkEnd w:id="52"/>
      <w:r>
        <w:rPr/>
        <w:t>8. Priekšlikums: Veselības aprūpes sistēmas stiprināšana</w:t>
      </w:r>
    </w:p>
    <w:p>
      <w:pPr>
        <w:pStyle w:val="P68B1DB1Normal15"/>
        <w:rPr>
          <w:b/>
          <w:b/>
        </w:rPr>
      </w:pPr>
      <w:r>
        <w:rPr/>
        <w:t>Mērķis: Stiprināt mūsu veselības aprūpes sistēmu noturību un kvalitāti, tostarp:</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3" w:name="__RefHeading___Toc298280_1346298689"/>
      <w:bookmarkEnd w:id="53"/>
      <w:r>
        <w:rPr/>
        <w:t>Pasākumi</w:t>
      </w:r>
      <w:r>
        <w:rPr>
          <w:rStyle w:val="Ancredenotedefin"/>
          <w:rStyle w:val="Ancredenotedefin"/>
        </w:rPr>
        <w:endnoteReference w:id="4"/>
      </w:r>
      <w:r>
        <w:rPr/>
        <w:t>:</w:t>
      </w:r>
    </w:p>
    <w:p>
      <w:pPr>
        <w:pStyle w:val="Puce3"/>
        <w:tabs>
          <w:tab w:val="clear" w:pos="720"/>
        </w:tabs>
        <w:rPr/>
      </w:pPr>
      <w:r>
        <w:rPr/>
        <w:t>1.</w:t>
        <w:tab/>
        <w:t>Izveidot Eiropas veselības datu telpu, kas atvieglotu veselības datu apmaiņu; individuālās medicīniskās kartes varētu brīvprātīgi darīt pieejamas, izmantojot ES individuālo elektronisko veselības pasi saskaņā ar datu aizsardzības noteikumiem. [#41, GT]</w:t>
      </w:r>
    </w:p>
    <w:p>
      <w:pPr>
        <w:pStyle w:val="Puce3"/>
        <w:tabs>
          <w:tab w:val="clear" w:pos="720"/>
        </w:tabs>
        <w:rPr/>
      </w:pPr>
      <w:r>
        <w:rPr/>
        <w:t>2.</w:t>
        <w:tab/>
        <w:t>Pienācīgi darba apstākļi, jo īpaši izmantojot spēcīgu sociālo dialogu, tostarp algas un darba kārtību, un veselības aprūpes speciālistu apmācības un sertifikācijas standartu saskaņošana; būtu jāizstrādā tīklu veidošanas un apmaiņas programmas, piemēram, Erasmus medicīnas skolām, kas ievērojami veicinātu prasmju attīstību. Lai saglabātu talantus Eiropā un dotu iespēju jaunajiem profesionāļiem paplašināt savas zināšanas un iegūt profesionālo pieredzi, būtu jāievieš ES apmaiņas programmas, lai nodrošinātu, ka mūsu labākās dzīvības zinātnes netiek piesaistītas trešām valstīm. [#39, GT]</w:t>
      </w:r>
    </w:p>
    <w:p>
      <w:pPr>
        <w:pStyle w:val="Puce3"/>
        <w:tabs>
          <w:tab w:val="clear" w:pos="720"/>
        </w:tabs>
        <w:rPr/>
      </w:pPr>
      <w:r>
        <w:rPr/>
        <w:t>3.</w:t>
        <w:tab/>
        <w:t>Nodrošināt stratēģisku autonomiju Savienības līmenī, lai izvairītos no atkarības no trešām valstīm [NL2]</w:t>
      </w:r>
      <w:r>
        <w:rPr>
          <w:rStyle w:val="Ancredenotedefin"/>
          <w:rStyle w:val="Ancredenotedefin"/>
        </w:rPr>
        <w:endnoteReference w:id="5"/>
      </w:r>
      <w:r>
        <w:rPr/>
        <w:t xml:space="preserve"> attiecībā uz zālēm (jo īpaši aktīvajām vielām) un medicīniskajām ierīcēm (tostarp izejvielām); jo īpaši Savienības līmenī būtu jāizveido saraksts ar būtiskām un prioritārām zālēm un ārstēšanu, kā arī ar inovatīvām zālēm un ārstēšanu (piemēram, biotehnoloģiskie risinājumi), pamatojoties uz esošajām Eiropas aģentūrām un HERA, lai nodrošinātu to pieejamību iedzīvotājiem. Apsvērt koordinētas stratēģiskās glabāšanas organizēšanu visā Savienībā. Lai panāktu nepieciešamo koordinēto un ilgtermiņa rīcību Savienības līmenī, veselības aizsardzību un veselības aprūpi iekļauj Savienības un tās dalībvalstu dalītā kompetencē, grozot LESD 4. pantu. [#40, #49, plenārsēde, darba grupa]</w:t>
      </w:r>
    </w:p>
    <w:p>
      <w:pPr>
        <w:pStyle w:val="Puce3"/>
        <w:tabs>
          <w:tab w:val="clear" w:pos="720"/>
        </w:tabs>
        <w:rPr/>
      </w:pPr>
      <w:r>
        <w:rPr/>
        <w:t>4.</w:t>
        <w:tab/>
        <w:t>Turpināt esošo veselības pētniecības un inovācijas programmu izstrādi, koordinēšanu un finansēšanu, neapdraudot citas ar veselību saistītas programmas, jo īpaši Eiropas references tīkliem, jo tās veido pamatu veselības aprūpes tīklu attīstībai augsti specializētiem un sarežģītiem ārstēšanas veidiem. [#42, #43, GT]</w:t>
      </w:r>
    </w:p>
    <w:p>
      <w:pPr>
        <w:pStyle w:val="Puce3"/>
        <w:tabs>
          <w:tab w:val="clear" w:pos="720"/>
        </w:tabs>
        <w:rPr/>
      </w:pPr>
      <w:r>
        <w:rPr/>
        <w:t>5.</w:t>
        <w:tab/>
        <w:t>Ieguldīt veselības aprūpes sistēmās, jo īpaši sabiedriskajā un bezpeļņas jomā, infrastruktūrā un digitālajā veselībā, un nodrošināt, ka veselības aprūpes sniedzēji ievēro pakalpojumu pilnīgas pieejamības, cenas pieejamības un kvalitātes principus, tādējādi nodrošinot, ka veselības aprūpes speciālisti neizmanto resursus, kas ir maz vai nemaz nerūpējas par sabiedrības interesēm. [#51, GT]</w:t>
      </w:r>
    </w:p>
    <w:p>
      <w:pPr>
        <w:pStyle w:val="Puce3"/>
        <w:tabs>
          <w:tab w:val="clear" w:pos="720"/>
        </w:tabs>
        <w:rPr/>
      </w:pPr>
      <w:r>
        <w:rPr/>
        <w:t>6.</w:t>
        <w:tab/>
        <w:t>Sniegt stingrus ieteikumus dalībvalstīm ieguldīt efektīvās, pieejamās, cenas ziņā pieņemamās, kvalitatīvās un noturīgās veselības aprūpes sistēmās, tostarp saistībā ar Eiropas pusgadu. Ukrainas kara ietekme uz sabiedrības veselību liecina, ka jāturpina attīstīt noturīgas veselības aprūpes sistēmas un solidaritātes mehānismi. [#51,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54" w:name="__RefHeading___Toc298282_1346298689"/>
      <w:bookmarkEnd w:id="54"/>
      <w:r>
        <w:rPr/>
        <w:t>9. Priekšlikums: Plašāks skatījums uz veselību</w:t>
      </w:r>
    </w:p>
    <w:p>
      <w:pPr>
        <w:pStyle w:val="P68B1DB1Normal15"/>
        <w:rPr>
          <w:b/>
          <w:b/>
        </w:rPr>
      </w:pPr>
      <w:r>
        <w:rPr/>
        <w:t>Mērķis: Pieņemt holistisku pieeju veselībai, papildus slimībām un ārstēšanai pievēršoties veselības kultūrai un profilaksei un veicinot vienotu izpratni par problēmām, ar kurām saskaras slimi cilvēki vai cilvēki ar invaliditāti, saskaņā ar pieeju “Viena veselība”, kas būtu jāuzsver kā transversāls un pamatprincips, kas aptver visas Savienības politikas jomas.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bookmarkStart w:id="55" w:name="__RefHeading___Toc298284_1346298689"/>
      <w:bookmarkEnd w:id="55"/>
      <w:r>
        <w:rPr/>
        <w:t>Pasākumi</w:t>
      </w:r>
      <w:r>
        <w:rPr>
          <w:rStyle w:val="Ancredenotedefin"/>
          <w:rStyle w:val="Ancredenotedefin"/>
        </w:rPr>
        <w:endnoteReference w:id="6"/>
      </w:r>
      <w:r>
        <w:rPr/>
        <w:t>:</w:t>
      </w:r>
    </w:p>
    <w:p>
      <w:pPr>
        <w:pStyle w:val="Puce3"/>
        <w:tabs>
          <w:tab w:val="clear" w:pos="720"/>
        </w:tabs>
        <w:rPr/>
      </w:pPr>
      <w:r>
        <w:rPr/>
        <w:t>1.</w:t>
        <w:tab/>
        <w:t>Uzlabot izpratni par garīgās veselības problēmām un to risināšanu, tostarp agrīnu bērnību un agrīnu diagnostiku, pamatojoties uz visā Savienībā iedibinātu labu praksi, kurai vajadzētu būt viegli pieejamai, izmantojot Sabiedrības veselības labas prakses portālu. Lai palielinātu informētību, Savienības iestādēm un attiecīgajām ieinteresētajām personām būtu jāorganizē pasākumi paraugprakses apmaiņai un jāpalīdz saviem locekļiem to izplatīt savā vēlēšanu apgabalā. Būtu jāizstrādā ES rīcības plāns garīgās veselības jomā, kas nodrošinātu ilgtermiņa stratēģiju garīgās veselības jomā, tostarp pētniecību, kā arī pievērstos speciālistu, tostarp nepilngadīgo, pieejamībai, un tuvākajā nākotnē būtu jānosaka Eiropas garīgās veselības gads.</w:t>
      </w:r>
    </w:p>
    <w:p>
      <w:pPr>
        <w:pStyle w:val="Puce3"/>
        <w:tabs>
          <w:tab w:val="clear" w:pos="720"/>
        </w:tabs>
        <w:rPr/>
      </w:pPr>
      <w:r>
        <w:rPr/>
        <w:t>2.</w:t>
        <w:tab/>
        <w:t>ES līmenī izstrādāt standarta izglītības programmu par veselīgu dzīvesveidu, kas aptver arī dzimumizglītību. Programmā būtu jāiekļauj arī darbības, kuru mērķis ir gan veselīgs dzīvesveids, gan vides aizsardzība un kā tās var palīdzēt novērst daudzas slimības, piemēram, riteņbraukšana kā veselīgs ikdienas ceļošanas līdzeklis. Tā būtu bez maksas pieejama dalībvalstīm un skolām, kas vajadzības gadījumā to varētu izmantot savās programmās. Šāda programma risinātu stereotipus par cilvēkiem, kas ir slimi vai invalīdi. [#46, GT]</w:t>
      </w:r>
    </w:p>
    <w:p>
      <w:pPr>
        <w:pStyle w:val="Puce3"/>
        <w:tabs>
          <w:tab w:val="clear" w:pos="720"/>
        </w:tabs>
        <w:rPr/>
      </w:pPr>
      <w:r>
        <w:rPr/>
        <w:t>3.</w:t>
        <w:tab/>
        <w:t>Izstrādāt praktisku pirmās palīdzības apmācību, ko bez maksas piedāvātu visiem iedzīvotājiem, un apsvērt iespēju regulāri apmeklēt kursus kā vispārpieņemtu praksi gan studentiem, gan darbavietā. Visās dalībvalstīs publiskajās vietās vajadzētu būt pieejamam arī minimālajam defibrilatoru skaitam. [#50]</w:t>
      </w:r>
    </w:p>
    <w:p>
      <w:pPr>
        <w:pStyle w:val="Puce3"/>
        <w:tabs>
          <w:tab w:val="clear" w:pos="720"/>
        </w:tabs>
        <w:rPr/>
      </w:pPr>
      <w:r>
        <w:rPr/>
        <w:t>4.</w:t>
        <w:tab/>
        <w:t>Paplašināt veselības nedēļas iniciatīvu, kas visā Savienībā notiktu vienā un tajā pašā nedēļā un kuras laikā būtu jārisina un jāapspriež visi veselības jautājumi. Apsveriet arī Veselības gada iniciatīvas, sākot ar Garīgās veselības gadu. [#44, GT]</w:t>
      </w:r>
    </w:p>
    <w:p>
      <w:pPr>
        <w:pStyle w:val="Puce3"/>
        <w:tabs>
          <w:tab w:val="clear" w:pos="720"/>
        </w:tabs>
        <w:rPr/>
      </w:pPr>
      <w:r>
        <w:rPr/>
        <w:t>5.</w:t>
        <w:tab/>
        <w:t>Atzīt par regulāru ārstēšanu, lai apliktu ar nodokli hormonālos kontracepcijas līdzekļus, ko izmanto medicīnisku iemeslu dēļ, piemēram, fibromialģijas un endometriozes gadījumos, kā arī sievišķīgus higiēnas produktus. Nodrošināt reproduktīvās terapijas pieejamību visiem cilvēkiem ar auglības problēmām. [#45, GT]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6" w:name="__RefHeading___Toc298286_1346298689"/>
      <w:bookmarkEnd w:id="56"/>
      <w:r>
        <w:rPr/>
        <w:t>10. Priekšlikums: Vienlīdzīga piekļuve veselības aprūpei visiem</w:t>
      </w:r>
    </w:p>
    <w:p>
      <w:pPr>
        <w:pStyle w:val="Normal"/>
        <w:rPr/>
      </w:pPr>
      <w:r>
        <w:rPr/>
        <w:t>Mērķis: Izveidot “tiesības uz veselību”, garantējot visiem eiropiešiem vienlīdzīgu un vispārēju piekļuvi cenas ziņā pieejamai, profilaktiskai, ārstnieciskai un kvalitatīvai veselības aprūpei.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7"/>
      </w:r>
      <w:r>
        <w:rPr/>
        <w:t>:</w:t>
      </w:r>
    </w:p>
    <w:p>
      <w:pPr>
        <w:pStyle w:val="Puce3"/>
        <w:tabs>
          <w:tab w:val="clear" w:pos="720"/>
        </w:tabs>
        <w:rPr/>
      </w:pPr>
      <w:r>
        <w:rPr/>
        <w:t>1.</w:t>
        <w:tab/>
        <w:t>Noteikt kopējus minimālos veselības standartus Savienības līmenī, kas aptver arī aprūpes profilaksi un pieejamību, kā arī tuvumu aprūpei, un sniedz atbalstu šādu standartu izveidei. [#39, GT]</w:t>
      </w:r>
    </w:p>
    <w:p>
      <w:pPr>
        <w:pStyle w:val="Puce3"/>
        <w:tabs>
          <w:tab w:val="clear" w:pos="720"/>
        </w:tabs>
        <w:rPr/>
      </w:pPr>
      <w:r>
        <w:rPr/>
        <w:t>2.</w:t>
        <w:tab/>
        <w:t>Atzīst nepieciešamību pilnībā ņemt vērā subsidiaritātes principu un vietējo, reģionālo un valsts veselības jomas dalībnieku svarīgo lomu [NL3], lai nodrošinātu, ka Savienības līmenī var rīkoties, ja labāk tiek ievērotas tiesības uz veselību. Nodrošināt ātrāku un stingrāku lēmumu pieņemšanu par galvenajiem jautājumiem un uzlabot Eiropas pārvaldības efektivitāti Eiropas veselības savienības attīstībai (piemēram, pandēmija vai retas slimības). [#49, FRsouhait11, digitālā platforma]</w:t>
      </w:r>
    </w:p>
    <w:p>
      <w:pPr>
        <w:pStyle w:val="Puce3"/>
        <w:tabs>
          <w:tab w:val="clear" w:pos="720"/>
        </w:tabs>
        <w:rPr/>
      </w:pPr>
      <w:r>
        <w:rPr/>
        <w:t>3.</w:t>
        <w:tab/>
        <w:t>Stiprināt Eiropas veselības savienību, pilnībā izmantojot pašreizējā regulējuma potenciālu, un veselības aizsardzību un veselības aprūpi iekļaut Savienības un tās dalībvalstu dalītajās kompetencēs, grozot LESD 4. pantu. [#49, FRsouhait11, digitālā platforma, GT]</w:t>
      </w:r>
      <w:r>
        <w:rPr>
          <w:rStyle w:val="Ancredenotedefin"/>
          <w:rStyle w:val="Ancredenotedefin"/>
        </w:rPr>
        <w:endnoteReference w:id="8"/>
      </w:r>
      <w:r>
        <w:rPr/>
        <w:t>.</w:t>
      </w:r>
    </w:p>
    <w:p>
      <w:pPr>
        <w:pStyle w:val="Puce3"/>
        <w:tabs>
          <w:tab w:val="clear" w:pos="720"/>
        </w:tabs>
        <w:rPr/>
      </w:pPr>
      <w:r>
        <w:rPr/>
        <w:t>4.</w:t>
        <w:tab/>
        <w:t>Nodrošināt, ka ikvienai personai ir pieejama ārstēšana pirmajā ES valstī, kurā tā ir pieejama; šajā nolūkā uzlabot pārrobežu sadarbību, jo īpaši attiecībā uz retām slimībām, vēzi, sirds un asinsvadu slimībām un ļoti specializētu ārstēšanu, piemēram, orgānu transplantāciju un smagu apdegumu ārstēšanu. Visiem Eiropas pacientiem, kam nepieciešama transplantācija, būtu jāizveido Eiropas orgānu transplantācijas un ziedošanas tīkls. [plenārsēde un GT]</w:t>
      </w:r>
    </w:p>
    <w:p>
      <w:pPr>
        <w:pStyle w:val="Puce3"/>
        <w:tabs>
          <w:tab w:val="clear" w:pos="720"/>
        </w:tabs>
        <w:rPr/>
      </w:pPr>
      <w:r>
        <w:rPr/>
        <w:t>5.</w:t>
        <w:tab/>
        <w:t>Nodrošināt cenas ziņā pieejamu aprūpi, palielinot ieguldījumus veselības aprūpē, jo īpaši zobārstniecībā, tostarp profilaksē, un nodrošināt, ka 15–20 gadu laikā visiem ir pieejama zobārstniecības aprūpe par pieņemamu cenu. [#48, GT]</w:t>
      </w:r>
    </w:p>
    <w:p>
      <w:pPr>
        <w:pStyle w:val="Puce3"/>
        <w:tabs>
          <w:tab w:val="clear" w:pos="720"/>
        </w:tabs>
        <w:rPr/>
      </w:pPr>
      <w:r>
        <w:rPr/>
        <w:t>6.</w:t>
        <w:tab/>
        <w:t>Nodrošināt, ka ārstēšana un zāles visā Savienībā ir vienlīdz kvalitatīvas un ka tām ir taisnīgas vietējās izmaksas, tostarp novēršot pašreizējo iekšējā tirgus sadrumstalotību. [#40, NL3, darba grupa, plenārsēde]</w:t>
      </w:r>
    </w:p>
    <w:p>
      <w:pPr>
        <w:pStyle w:val="Puce3"/>
        <w:tabs>
          <w:tab w:val="clear" w:pos="720"/>
        </w:tabs>
        <w:rPr/>
      </w:pPr>
      <w:r>
        <w:rPr/>
        <w:t>7.</w:t>
        <w:tab/>
        <w:t>Apkarot veselības nedrošību, veicinot bezmaksas zobārstniecības pakalpojumu sniegšanu bērniem, grupām ar zemiem ienākumiem un citām neaizsargātām grupām, piemēram, personām ar invaliditāti. Pētījums arī par sliktu mājokļu ietekmi uz veselību. [#48, GT]</w:t>
      </w:r>
    </w:p>
    <w:p>
      <w:pPr>
        <w:pStyle w:val="Puce3"/>
        <w:tabs>
          <w:tab w:val="clear" w:pos="720"/>
        </w:tabs>
        <w:rPr/>
      </w:pPr>
      <w:r>
        <w:rPr/>
        <w:t>8.</w:t>
        <w:tab/>
        <w:t>Ņemt vērā veselības starptautisko dimensiju un atzīt, ka zālēm vajadzētu būt vispārēji pieejamām, tostarp nabadzīgākajās valstīs. [NL2]</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5">
            <wp:simplePos x="0" y="0"/>
            <wp:positionH relativeFrom="column">
              <wp:posOffset>44450</wp:posOffset>
            </wp:positionH>
            <wp:positionV relativeFrom="paragraph">
              <wp:posOffset>43180</wp:posOffset>
            </wp:positionV>
            <wp:extent cx="913765" cy="913765"/>
            <wp:effectExtent l="0" t="0" r="0" b="0"/>
            <wp:wrapSquare wrapText="largest"/>
            <wp:docPr id="63" name="Fotoattēls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otoattēls23" descr=""/>
                    <pic:cNvPicPr>
                      <a:picLocks noChangeAspect="1" noChangeArrowheads="1"/>
                    </pic:cNvPicPr>
                  </pic:nvPicPr>
                  <pic:blipFill>
                    <a:blip r:embed="rId75"/>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57" w:name="__RefHeading___Toc298288_1346298689"/>
      <w:bookmarkEnd w:id="57"/>
      <w:r>
        <w:rPr/>
        <w:t>Spēcīgāka ekonomika, sociālais taisnīgums un nodarbinātība</w:t>
      </w:r>
    </w:p>
    <w:p>
      <w:pPr>
        <w:pStyle w:val="P68B1DB1Normal15"/>
        <w:rPr>
          <w:b/>
          <w:b/>
        </w:rPr>
      </w:pPr>
      <w:r>
        <w:rPr/>
        <w:t>Ievads Ievads</w:t>
      </w:r>
    </w:p>
    <w:p>
      <w:pPr>
        <w:pStyle w:val="Normal"/>
        <w:rPr/>
      </w:pPr>
      <w:r>
        <w:rPr/>
        <w:t>Mēs dzīvojam ārkārtas apstākļos, un Eiropas Savienība tiks vērtēta pēc tās centieniem izkļūt spēcīgāku no pašreizējām krīzēm ar ilgtspējīgāku, iekļaujošāku, konkurētspējīgāku un noturīgāku izaugsmes modeli. Krievijas iebrukums Ukrainā un Covid-19 pandēmija ir mainījuši ES seju. Konferencē būs jāpievēršas arī šā kara sociālajām un ekonomiskajām sekām jau tā ļoti sarežģītajā pēcpandēmijas kontekstā. Tajā pašā laikā klimata pārmaiņas joprojām apdraud cilvēci un dramatiski ietekmēs ekonomiku un mūsu sabiedrību. No saņemtajiem ieteikumiem ir skaidrs, ka iedzīvotāji prasa stingrāku ES rīcību. Neatrisinātām transnacionālām problēmām, piemēram, nevienlīdzībai, konkurētspējai, veselībai, klimata pārmaiņām, migrācijai, digitalizācijai vai taisnīgai nodokļu uzlikšanai, ir vajadzīgi atbilstoši Eiropas risinājumi. No ieteikumiem un diskusijām ir arī skaidrs, ka mums ir vajadzīga visaptveroša stratēģija, lai nodrošinātu lielāku labklājību Eiropas pilsoņiem dažādos viņu dzīves aspektos. Daži šīs stratēģijas elementi ir iekļauti esošajās politikas jomās, un tos var panākt, pilnībā izmantojot esošo iestāžu sistēmu Eiropas un valstu līmenī; citiem būs vajadzīga jauna politika un dažos gadījumos izmaiņas līgumos. Tomēr jauna politika un izmaiņas līgumos būtu jāuzskata par labklājības uzlabošanas līdzekli, nevis par pašmērķi. Saskaņā ar atjaunotu sociālo līgumu ir gan iespējams, gan nepieciešams no jauna definēt Savienību, lai garantētu tās stratēģisko autonomiju, ilgtspējīgu izaugsmi, dzīves un darba apstākļu uzlabošanu un cilvēku progresu, nenogurstot vai neiznīcinot mūsu planētas resursus. Šo ieteikumu mērķis ir sasniegt šos mērķus. Turpmāk izklāstītie priekšlikumi būtu jālasa, ņemot vērā to, ka iedzīvotāji visā Eiropā ir izteikuši dažādus viedokļus un ieteikumus. Tieši šī viedokļu dažādība ir viena no Eiropas nesalīdzināmajām vērtībām.</w:t>
      </w:r>
    </w:p>
    <w:p>
      <w:pPr>
        <w:pStyle w:val="Normal"/>
        <w:rPr/>
      </w:pPr>
      <w:r>
        <w:rPr/>
      </w:r>
      <w:r>
        <w:br w:type="page"/>
      </w:r>
    </w:p>
    <w:p>
      <w:pPr>
        <w:pStyle w:val="Titre3"/>
        <w:numPr>
          <w:ilvl w:val="2"/>
          <w:numId w:val="2"/>
        </w:numPr>
        <w:rPr/>
      </w:pPr>
      <w:bookmarkStart w:id="58" w:name="__RefHeading___Toc298290_1346298689"/>
      <w:bookmarkEnd w:id="58"/>
      <w:r>
        <w:rPr/>
        <w:t>11. Priekšlikums: Ilgtspējīga izaugsme un inovācija</w:t>
      </w:r>
    </w:p>
    <w:p>
      <w:pPr>
        <w:pStyle w:val="P68B1DB1Normal15"/>
        <w:rPr>
          <w:b/>
          <w:b/>
        </w:rPr>
      </w:pPr>
      <w:r>
        <w:rPr/>
        <w:t>Mērķis: Mēs ierosinām ES atbalstīt pāreju uz ilgtspējīgu un noturīgu izaugsmes modeli, ņemot vērā zaļo un digitālo pārkārtošanos ar spēcīgu sociālo dimensiju Eiropas pusgadā un iespēju nodrošināšanu iedzīvotājiem, arodbiedrībām un uzņēmumiem. Tradicionālos makroekonomiskos rādītājus un IKP varētu papildināt ar jauniem rādītājiem, lai reaģētu uz jaunām Eiropas prioritātēm, piemēram, Eiropas zaļo kursu vai Eiropas sociālo tiesību pīlāru, un lai labāk atspoguļotu zaļo un digitālo pārkārtošanos un cilvēku labklājību. To varētu panākt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9"/>
      </w:r>
      <w:r>
        <w:rPr/>
        <w:t>:</w:t>
      </w:r>
    </w:p>
    <w:p>
      <w:pPr>
        <w:pStyle w:val="Puce3"/>
        <w:rPr/>
      </w:pPr>
      <w:r>
        <w:rPr/>
        <w:t>1.</w:t>
        <w:tab/>
        <w:t>Veicināt videi draudzīgākus ražošanas procesus uzņēmumos, palīdzēt uzņēmumiem rast labākos risinājumus un nodrošināt pozitīvus un negatīvus stimulus. (PCE 11 un 12) un palielināt vietējo ražošanu un patēriņu (apspriedes).</w:t>
      </w:r>
    </w:p>
    <w:p>
      <w:pPr>
        <w:pStyle w:val="Puce3"/>
        <w:tabs>
          <w:tab w:val="clear" w:pos="720"/>
        </w:tabs>
        <w:rPr/>
      </w:pPr>
      <w:r>
        <w:rPr/>
        <w:t>2.</w:t>
        <w:tab/>
        <w:t>Strādāt pie ilgtspējīgākas aprites ekonomikas, risinot plānotās novecošanās problēmu un garantējot tiesības uz kompensāciju (PCE 14).</w:t>
      </w:r>
    </w:p>
    <w:p>
      <w:pPr>
        <w:pStyle w:val="Puce3"/>
        <w:tabs>
          <w:tab w:val="clear" w:pos="720"/>
        </w:tabs>
        <w:rPr/>
      </w:pPr>
      <w:r>
        <w:rPr/>
        <w:t>3.</w:t>
        <w:tab/>
        <w:t>Izskatīt Savienības ekonomikas pārvaldību un Eiropas pusgadu, lai nodrošinātu, ka zaļā un digitālā pārkārtošanās, sociālais taisnīgums un sociālais progress iet roku rokā ar ekonomikas konkurētspēju, neņemot vērā Eiropas pusgada ekonomisko un budžeta raksturu. Turklāt Eiropas pusgada īstenošanā ir labāk jāiesaista sociālie partneri un vietējās un reģionālās pašvaldības, lai uzlabotu tā piemērošanu un pārskatatbildību (e-platforma, diskusijas).</w:t>
      </w:r>
    </w:p>
    <w:p>
      <w:pPr>
        <w:pStyle w:val="Puce3"/>
        <w:tabs>
          <w:tab w:val="clear" w:pos="720"/>
        </w:tabs>
        <w:rPr/>
      </w:pPr>
      <w:r>
        <w:rPr/>
        <w:t>4.</w:t>
        <w:tab/>
        <w:t>Apkarot vienreizlietojama plastmasas iepakojuma/konteineru izmantošanu (PCE 12).</w:t>
      </w:r>
    </w:p>
    <w:p>
      <w:pPr>
        <w:pStyle w:val="Puce3"/>
        <w:tabs>
          <w:tab w:val="clear" w:pos="720"/>
        </w:tabs>
        <w:rPr/>
      </w:pPr>
      <w:r>
        <w:rPr/>
        <w:t>5.</w:t>
        <w:tab/>
        <w:t>Paplašināt Eiropas tehnoloģiju izmantošanu un padarīt to par dzīvotspējīgu alternatīvu ārvalstu tehnoloģijām (diskusija).</w:t>
      </w:r>
    </w:p>
    <w:p>
      <w:pPr>
        <w:pStyle w:val="Puce3"/>
        <w:tabs>
          <w:tab w:val="clear" w:pos="720"/>
        </w:tabs>
        <w:rPr/>
      </w:pPr>
      <w:r>
        <w:rPr/>
        <w:t>6.</w:t>
        <w:tab/>
        <w:t>Veicināt jaunu materiālu un tehnoloģiju pētniecību, kā arī esošo materiālu novatorisku izmantošanu, vienlaikus izvairoties no pētniecības centienu dublēšanās (PCE 9, NL 1).</w:t>
      </w:r>
    </w:p>
    <w:p>
      <w:pPr>
        <w:pStyle w:val="Puce3"/>
        <w:tabs>
          <w:tab w:val="clear" w:pos="720"/>
        </w:tabs>
        <w:rPr/>
      </w:pPr>
      <w:r>
        <w:rPr/>
        <w:t>7.</w:t>
        <w:tab/>
        <w:t>Apsvērt enerģijas ilgtspēju, pieejamību cenas ziņā un pieejamību, ņemot vērā enerģētisko nabadzību un atkarību no trešām valstīm, palielinot ilgtspējīgi saražotās enerģijas īpatsvaru (CEP 10, LT 3, IT 1.1).</w:t>
      </w:r>
    </w:p>
    <w:p>
      <w:pPr>
        <w:pStyle w:val="Puce3"/>
        <w:tabs>
          <w:tab w:val="clear" w:pos="720"/>
        </w:tabs>
        <w:rPr/>
      </w:pPr>
      <w:r>
        <w:rPr/>
        <w:t>8.</w:t>
        <w:tab/>
        <w:t>Palielināt uzņēmumu un iedzīvotāju informētību par ilgtspējīgāku uzvedību un nodrošināt taisnīgu pāreju, pamatojoties uz sociālo dialogu un kvalitatīvām darbvietām (CEP 12 un tiešsaistes platforma).</w:t>
      </w:r>
    </w:p>
    <w:p>
      <w:pPr>
        <w:pStyle w:val="Puce3"/>
        <w:tabs>
          <w:tab w:val="clear" w:pos="720"/>
        </w:tabs>
        <w:rPr/>
      </w:pPr>
      <w:r>
        <w:rPr/>
        <w:t>9.</w:t>
        <w:tab/>
        <w:t>Iekļaut vērienīgus sociālos, darba un veselības standartus, tostarp veselības aizsardzību un drošību darbā, jaunajos ES tirdzniecības nolīgumos. (LT8)</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59" w:name="__RefHeading___Toc298292_1346298689"/>
      <w:bookmarkEnd w:id="59"/>
      <w:r>
        <w:rPr/>
        <w:t>12. Priekšlikums: Savienības konkurētspējas stiprināšana un vienotā tirgus turpmāka padziļināšana</w:t>
      </w:r>
    </w:p>
    <w:p>
      <w:pPr>
        <w:pStyle w:val="Normal"/>
        <w:rPr/>
      </w:pPr>
      <w:r>
        <w:rPr/>
        <w:t>Mērķis: Mēs ierosinām stiprināt ES ekonomikas, vienotā tirgus un rūpniecības konkurētspēju un noturību un risināt stratēģisko atkarību. Mums ir jāveicina uzņēmējdarbības kultūra Eiropas Savienībā, kurā tiek veicināti un var attīstīties visu lielumu inovatīvi uzņēmumi, jo īpaši mikrouzņēmumi, mazie un vidējie uzņēmumi un jaunuzņēmumi, lai veicinātu noturīgāku un iekļaujošāku sabiedrību. Lai veicinātu redzējumu par sociālāku Eiropu, ir vajadzīga spēcīga un dzīvotspējīga tirgus ekonomika. To varētu panākt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0"/>
      </w:r>
      <w:r>
        <w:rPr/>
        <w:t>:</w:t>
      </w:r>
    </w:p>
    <w:p>
      <w:pPr>
        <w:pStyle w:val="Puce3"/>
        <w:tabs>
          <w:tab w:val="clear" w:pos="720"/>
        </w:tabs>
        <w:rPr/>
      </w:pPr>
      <w:r>
        <w:rPr/>
        <w:t>1.</w:t>
        <w:tab/>
        <w:t>Izstrādāt skaidru redzējumu par Eiropas ekonomiku un balstīties uz Eiropas stiprajām pusēm, kvalitāti un daudzveidību, vienlaikus ņemot vērā ekonomiskās un citas atšķirības starp dalībvalstīm, un veicināt sadarbību un konkurenci starp uzņēmumiem. (NL 1 un 2)</w:t>
      </w:r>
    </w:p>
    <w:p>
      <w:pPr>
        <w:pStyle w:val="Puce3"/>
        <w:tabs>
          <w:tab w:val="clear" w:pos="720"/>
        </w:tabs>
        <w:rPr/>
      </w:pPr>
      <w:r>
        <w:rPr/>
        <w:t>2.</w:t>
        <w:tab/>
        <w:t>Konsolidēt to, kas ir paveikts attiecībā uz vienoto valūtu un maksājumu sistēmu un telekomunikāciju savstarpējo savienojamību. (4.a.2. punkts)</w:t>
      </w:r>
    </w:p>
    <w:p>
      <w:pPr>
        <w:pStyle w:val="Puce3"/>
        <w:tabs>
          <w:tab w:val="clear" w:pos="720"/>
        </w:tabs>
        <w:rPr/>
      </w:pPr>
      <w:r>
        <w:rPr/>
        <w:t>3.</w:t>
        <w:tab/>
        <w:t>Samazināt produktu standartizāciju un atzīt vietējās un reģionālās īpatnības kultūras un ražošanas jomā (ražošanas tradīciju ievērošana). (TAS 2.2)</w:t>
      </w:r>
    </w:p>
    <w:p>
      <w:pPr>
        <w:pStyle w:val="Puce3"/>
        <w:tabs>
          <w:tab w:val="clear" w:pos="720"/>
        </w:tabs>
        <w:rPr/>
      </w:pPr>
      <w:r>
        <w:rPr/>
        <w:t>4.</w:t>
        <w:tab/>
        <w:t>Stiprināt augšupēju sociālo un ekonomisko konverģenci vienotajā tirgū, pabeidzot esošās iniciatīvas, piemēram, banku savienību un kapitāla tirgu savienību, un īstenojot uz nākotni vērstu mūsu ekonomiskās un monetārās savienības reformu (apspriedes).</w:t>
      </w:r>
    </w:p>
    <w:p>
      <w:pPr>
        <w:pStyle w:val="Puce3"/>
        <w:tabs>
          <w:tab w:val="clear" w:pos="720"/>
        </w:tabs>
        <w:rPr/>
      </w:pPr>
      <w:r>
        <w:rPr/>
        <w:t>5.</w:t>
        <w:tab/>
        <w:t>Veicināt politiku spēcīgai rūpnieciskai bāzei un inovācijai svarīgās pamattehnoloģijās, kā arī uz nākotni vērstu klimata politiku apvienojumā ar rūpniecības konkurētspēju ar spēcīgu sociālo dimensiju, pamatojoties uz sociālo dialogu un labi funkcionējošām darba attiecībām (diskusijām).</w:t>
      </w:r>
    </w:p>
    <w:p>
      <w:pPr>
        <w:pStyle w:val="Puce3"/>
        <w:tabs>
          <w:tab w:val="clear" w:pos="720"/>
        </w:tabs>
        <w:rPr/>
      </w:pPr>
      <w:r>
        <w:rPr/>
        <w:t>6.</w:t>
        <w:tab/>
        <w:t>Visās jaunajās iniciatīvās īpašu uzmanību pievērst MVU, kas ir mūsu ekonomikas pamats. Visos ES tiesību aktu priekšlikumos ir jāievēro princips “vispirms domāt par MVU”, un Komisijas ietekmes novērtējumos būtu jāpastiprina MVU tests saskaņā ar skaidriem principiem, vienlaikus pilnībā ievērojot sociālos un vides standartus un patērētāju tiesības (apspriedes).</w:t>
      </w:r>
    </w:p>
    <w:p>
      <w:pPr>
        <w:pStyle w:val="Puce3"/>
        <w:tabs>
          <w:tab w:val="clear" w:pos="720"/>
        </w:tabs>
        <w:rPr/>
      </w:pPr>
      <w:r>
        <w:rPr/>
        <w:t>7.</w:t>
        <w:tab/>
        <w:t>Nodrošināt MVU dalību finansējuma pieteikumos, uzaicinājumos iesniegt piedāvājumus un tīklos, nodrošinot pēc iespējas mazāku administratīvo slogu. Tādām struktūrām kā Eiropas Inovācijas padome un Eiropas Investīciju banka (apspriedes) būtu jāturpina attīstīt finansējuma pieejamību MVU ar augsta riska inovācijas projektiem.</w:t>
      </w:r>
    </w:p>
    <w:p>
      <w:pPr>
        <w:pStyle w:val="Puce3"/>
        <w:tabs>
          <w:tab w:val="clear" w:pos="720"/>
        </w:tabs>
        <w:rPr/>
      </w:pPr>
      <w:r>
        <w:rPr/>
        <w:t>8.</w:t>
        <w:tab/>
        <w:t>Izveidot labāku satvaru ieguldījumiem pētniecībā un inovācijā, lai veidotu ilgtspējīgākus un ar bioloģisko daudzveidību bagātus uzņēmējdarbības modeļus (CEP 10, 11 un 14); koncentrēšanās uz tehnoloģijām un inovācijām kā izaugsmes virzītājspēkiem. (TAS 1.3)</w:t>
      </w:r>
    </w:p>
    <w:p>
      <w:pPr>
        <w:pStyle w:val="Puce3"/>
        <w:tabs>
          <w:tab w:val="clear" w:pos="720"/>
        </w:tabs>
        <w:rPr/>
      </w:pPr>
      <w:r>
        <w:rPr/>
        <w:t>9.</w:t>
        <w:tab/>
        <w:t>Veicināt kolektīvos ekonomiskos rādītājus, izmantojot autonomu un konkurētspējīgu nozari. (FR3)</w:t>
      </w:r>
    </w:p>
    <w:p>
      <w:pPr>
        <w:pStyle w:val="Puce3"/>
        <w:tabs>
          <w:tab w:val="clear" w:pos="720"/>
        </w:tabs>
        <w:rPr/>
      </w:pPr>
      <w:r>
        <w:rPr/>
        <w:t>10.</w:t>
        <w:tab/>
        <w:t>Apzināt un attīstīt stratēģiskas nozares, tostarp kosmosu, robotiku un mākslīgo intelektu. (Lv 3 un 9)</w:t>
      </w:r>
    </w:p>
    <w:p>
      <w:pPr>
        <w:pStyle w:val="Puce3"/>
        <w:tabs>
          <w:tab w:val="clear" w:pos="720"/>
        </w:tabs>
        <w:rPr/>
      </w:pPr>
      <w:r>
        <w:rPr/>
        <w:t>11.</w:t>
        <w:tab/>
        <w:t>Ieguldīt tūrisma un kultūras ekonomikā, novērtējot arī daudzos mazos galamērķus Eiropā. (TAS 1.2)</w:t>
      </w:r>
    </w:p>
    <w:p>
      <w:pPr>
        <w:pStyle w:val="Puce3"/>
        <w:tabs>
          <w:tab w:val="clear" w:pos="720"/>
        </w:tabs>
        <w:rPr/>
      </w:pPr>
      <w:r>
        <w:rPr/>
        <w:t>12.</w:t>
        <w:tab/>
        <w:t>Nodrošināt piegādes drošību, dažādojot izejmateriālu/izejvielu avotus un palielinot Eiropā pirmās nepieciešamības preču, piemēram, veselības, pārtikas, enerģētikas, aizsardzības un transporta, ražošanu. (LV 9, LT 1, IT 1.4)</w:t>
      </w:r>
    </w:p>
    <w:p>
      <w:pPr>
        <w:pStyle w:val="Puce3"/>
        <w:tabs>
          <w:tab w:val="clear" w:pos="720"/>
        </w:tabs>
        <w:rPr/>
      </w:pPr>
      <w:r>
        <w:rPr/>
        <w:t>13.</w:t>
        <w:tab/>
        <w:t>Veicināt Eiropas uzņēmumu digitalizāciju, piemēram, izmantojot īpašu rezultātu pārskatu, kas ļautu uzņēmumiem salīdzināt savu digitalizācijas pakāpi ar vispārējo mērķi palielināt to konkurētspēju. (NO 2,1)</w:t>
      </w:r>
    </w:p>
    <w:p>
      <w:pPr>
        <w:pStyle w:val="Puce3"/>
        <w:tabs>
          <w:tab w:val="clear" w:pos="720"/>
        </w:tabs>
        <w:rPr/>
      </w:pPr>
      <w:r>
        <w:rPr/>
        <w:t>14.</w:t>
        <w:tab/>
        <w:t>Veicināt digitālo kohēziju, lai veicinātu ekonomisko, sociālo un teritoriālo kohēziju, kā definēts Līgumā par Eiropas Savienības darbību (apspriedes).</w:t>
      </w:r>
    </w:p>
    <w:p>
      <w:pPr>
        <w:pStyle w:val="Puce3"/>
        <w:tabs>
          <w:tab w:val="clear" w:pos="720"/>
        </w:tabs>
        <w:rPr/>
      </w:pPr>
      <w:r>
        <w:rPr/>
        <w:t>15.</w:t>
        <w:tab/>
        <w:t>Stiprināt pārrobežu sadarbību, lai stiprinātu kohēziju un noturību reģionos un ārpus tiem, veicinot Eiropas pārrobežu mehānismu un līdzīgus instrumentus (diskusijas).</w:t>
      </w:r>
    </w:p>
    <w:p>
      <w:pPr>
        <w:pStyle w:val="Puce3"/>
        <w:tabs>
          <w:tab w:val="clear" w:pos="720"/>
        </w:tabs>
        <w:rPr/>
      </w:pPr>
      <w:r>
        <w:rPr/>
        <w:t>16.</w:t>
        <w:tab/>
        <w:t>Stiprināt un veicināt pārrobežu apmācības iespējas, lai uzlabotu Eiropas darbaspēka prasmes un palielinātu konkurētspēju, vienlaikus stiprinot iedzīvotāju prasmes ekonomikas jomā. (DE 2.2, LT7). Veicināt tirdzniecību starp darba ņēmējiem Eiropā, izmantojot Eiropas Nodarbinātības centru; (Tas 6.1. punkts) mudina jauniešus studēt zinātnes priekšmetus. (TAS 1.5)</w:t>
      </w:r>
    </w:p>
    <w:p>
      <w:pPr>
        <w:pStyle w:val="Puce3"/>
        <w:tabs>
          <w:tab w:val="clear" w:pos="720"/>
        </w:tabs>
        <w:rPr/>
      </w:pPr>
      <w:r>
        <w:rPr/>
        <w:t>17.</w:t>
        <w:tab/>
        <w:t>Samazināt birokrātiju (atļaujas, sertifikātus), ja tas nav būtiski. (TAS 2.1)</w:t>
      </w:r>
    </w:p>
    <w:p>
      <w:pPr>
        <w:pStyle w:val="Puce3"/>
        <w:tabs>
          <w:tab w:val="clear" w:pos="720"/>
        </w:tabs>
        <w:rPr/>
      </w:pPr>
      <w:r>
        <w:rPr/>
        <w:t>18.</w:t>
        <w:tab/>
        <w:t>Cīņa pret viltošanu un negodīgu konkurenci. (TAS 2.4)</w:t>
      </w:r>
    </w:p>
    <w:p>
      <w:pPr>
        <w:pStyle w:val="Puce3"/>
        <w:tabs>
          <w:tab w:val="clear" w:pos="720"/>
        </w:tabs>
        <w:rPr/>
      </w:pPr>
      <w:r>
        <w:rPr/>
        <w:t>19.</w:t>
        <w:tab/>
        <w:t>Nodrošināt jaunu uzņēmumu un MVU lielāku līdzdalību inovācijas projektos, jo tas stiprina to inovācijas spēju, konkurētspēju un tīklu veidošanu (e-platforma, diskusijas).</w:t>
      </w:r>
    </w:p>
    <w:p>
      <w:pPr>
        <w:pStyle w:val="Puce3"/>
        <w:tabs>
          <w:tab w:val="clear" w:pos="720"/>
        </w:tabs>
        <w:rPr/>
      </w:pPr>
      <w:r>
        <w:rPr/>
        <w:t>20.</w:t>
        <w:tab/>
        <w:t>Vienotā tirgus konsolidācijai un aizsardzībai arī turpmāk vajadzētu būt prioritātei; valstu un Savienības līmenī īstenotajiem pasākumiem un iniciatīvām nebūtu jāskar vienotais tirgus, un tiem būtu jāveicina personu brīva pārvietošanās, preču, pakalpojumu un kapitāla brīva aprite (apspriedes).</w:t>
      </w:r>
    </w:p>
    <w:p>
      <w:pPr>
        <w:pStyle w:val="Puce3"/>
        <w:tabs>
          <w:tab w:val="clear" w:pos="720"/>
        </w:tabs>
        <w:rPr/>
      </w:pPr>
      <w:r>
        <w:rPr/>
        <w:t>21.</w:t>
        <w:tab/>
        <w:t>Jaunajām ES politikas iniciatīvām būtu jāveic “konkurētspējas pārbaude”, lai analizētu to ietekmi uz uzņēmumiem un uzņēmējdarbības vidi (saimnieciskās darbības izmaksas, inovācijas spēja, starptautiskā konkurētspēja, vienlīdzīgi konkurences apstākļi utt.). Šī uzraudzība atbilst Parīzes nolīgumam un ilgtspējīgas attīstības mērķiem, tostarp dzimumu līdztiesībai, un neapdraud cilvēktiesību, sociālo un darba tiesību vai vides un patērētāju aizsardzības standartu aizsardzību. Šajā nolūkā mēs arī ierosinām izveidot Eiropas konkurētspējas padomdevēju struktūru, lai uzraudzītu, kā tiek veikta konkurētspējas uzraudzība, un jo īpaši lai novērtētu tiesību aktu kumulatīvo ietekmi, kā arī iesniegtu priekšlikumus, lai uzlabotu piemērotus pamatnosacījumus ES uzņēmumu konkurētspējai. Šīs struktūras pārvaldībā būtu jāiesaista organizēta pilsoniskā sabiedrība un sociālie partneri; (diskusija)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0" w:name="__RefHeading___Toc298294_1346298689"/>
      <w:bookmarkEnd w:id="60"/>
      <w:r>
        <w:rPr/>
        <w:t>13. Priekšlikums: Iekļaujoši darba tirgi</w:t>
      </w:r>
    </w:p>
    <w:p>
      <w:pPr>
        <w:pStyle w:val="P68B1DB1Normal15"/>
        <w:rPr>
          <w:b/>
          <w:b/>
        </w:rPr>
      </w:pPr>
      <w:r>
        <w:rPr/>
        <w:t>Mērķis: Mēs ierosinām uzlabot darba tirgu darbību, lai nodrošinātu taisnīgākus darba apstākļus un veicinātu dzimumu līdztiesību un nodarbinātību, jo īpaši attiecībā uz jauniešiem un neaizsargātām grupām. ES, dalībvalstīm un sociālajiem partneriem ir jāstrādā, lai izbeigtu darba ņēmēju nabadzību, stiprinātu platformu darbinieku tiesības, aizliegtu neapmaksātu stažēšanos un nodrošinātu taisnīgu darbaspēka mobilitāti Savienībā. Mums ir jāveicina sociālais dialogs un darba koplīguma slēgšanas sarunas. Mums ir jānodrošina Eiropas sociālo tiesību pīlāra, tostarp tā attiecīgo 2030. gada pamatmērķu, pilnīga īstenošana Eiropas, valstu, reģionālā un vietējā līmenī tādās jomās kā “vienlīdzīgas iespējas un piekļuve darba tirgum” un “taisnīgi darba apstākļi”, vienlaikus ievērojot subsidiaritātes un proporcionalitātes kompetences un principus, un Līgumos jāiekļauj protokols par sociālo progresu. To darot, ir jāievēro valstu tradīcijas un sociālo partneru autonomija un jāsadarbojas ar pilsonisko sabiedrību. To varētu panākt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1"/>
      </w:r>
      <w:r>
        <w:rPr/>
        <w:t>:</w:t>
      </w:r>
    </w:p>
    <w:p>
      <w:pPr>
        <w:pStyle w:val="Puce3"/>
        <w:tabs>
          <w:tab w:val="clear" w:pos="720"/>
        </w:tabs>
        <w:rPr/>
      </w:pPr>
      <w:r>
        <w:rPr/>
        <w:t>1.</w:t>
        <w:tab/>
        <w:t>Nodrošināt, ka likumā noteiktā minimālā alga garantē katram darba ņēmējam pienācīgu un līdzīgu dzīves kvalitāti visās dalībvalstīs. Nosakot minimālo algu, būtu jānosaka skaidri kritēriji (piemēram, dzīves dārdzība, inflācija, līmenis virs nabadzības sliekšņa, vidējā un vidējā alga valsts līmenī). Likumā noteiktās minimālās algas līmenis būtu regulāri jāpārskata, ņemot vērā šos kritērijus, lai nodrošinātu to adekvātumu. Īpaša uzmanība būtu jāpievērš šo noteikumu efektīvai īstenošanai un dzīves līmeņa uzlabošanas uzraudzībai un uzraudzībai. Vienlaikus visā Savienībā būtu jāstiprina un jāveicina darba koplīguma slēgšanas sarunas (PCE 1 un 30; 4.2; tiešsaistes platforma).</w:t>
      </w:r>
    </w:p>
    <w:p>
      <w:pPr>
        <w:pStyle w:val="Puce3"/>
        <w:tabs>
          <w:tab w:val="clear" w:pos="720"/>
        </w:tabs>
        <w:rPr/>
      </w:pPr>
      <w:r>
        <w:rPr/>
        <w:t>2.</w:t>
        <w:tab/>
        <w:t>Izvērtēt un vēl vairāk stiprināt Darba laika direktīvas (Direktīva 2003/88/EK) un citu attiecīgu tiesību aktu īstenošanu, kas nodrošina veselīgu darba un privātās dzīves līdzsvaru, vienlaikus apsverot jaunu valstu politiku šajā jomā (CEP 2).</w:t>
      </w:r>
    </w:p>
    <w:p>
      <w:pPr>
        <w:pStyle w:val="Puce3"/>
        <w:tabs>
          <w:tab w:val="clear" w:pos="720"/>
        </w:tabs>
        <w:rPr/>
      </w:pPr>
      <w:r>
        <w:rPr/>
        <w:t>3.</w:t>
        <w:tab/>
        <w:t>Ieviest vai stiprināt spēkā esošos tiesību aktus par “viedu darbu” un mudināt uzņēmumus veicināt šo jauno darba veidu. (PCE 7) Savienībai būtu jāgarantē tiesības atslēgties, darīt vairāk, lai novērstu digitālo plaisu darbavietā un novērtētu attālināta darba ietekmi uz veselību, darba laiku un sniegumu. Ir jānodrošina taisnīga digitalizācija, kuras pamatā ir cilvēktiesības, uzlaboti darba apstākļi un darba koplīguma slēgšanas sarunas (diskusija).</w:t>
      </w:r>
    </w:p>
    <w:p>
      <w:pPr>
        <w:pStyle w:val="Puce3"/>
        <w:tabs>
          <w:tab w:val="clear" w:pos="720"/>
        </w:tabs>
        <w:rPr/>
      </w:pPr>
      <w:r>
        <w:rPr/>
        <w:t>4.</w:t>
        <w:tab/>
        <w:t>Nodarbinātības politikas integrēšana ES līmenī, kur aktīva darba tirgus politika joprojām ir centrāla un arvien koordinētāka (IT 6.2), savukārt dalībvalstis koncentrējas uz turpmākiem reformu centieniem, lai radītu labvēlīgus apstākļus kvalitatīvu darbvietu radīšanai (apspriedes).</w:t>
      </w:r>
    </w:p>
    <w:p>
      <w:pPr>
        <w:pStyle w:val="Puce3"/>
        <w:tabs>
          <w:tab w:val="clear" w:pos="720"/>
        </w:tabs>
        <w:rPr/>
      </w:pPr>
      <w:r>
        <w:rPr/>
        <w:t>5.</w:t>
        <w:tab/>
        <w:t>Veikt pasākumus, lai nodrošinātu, ka sociālās tiesības ir pilnībā aizsargātas un konfliktu gadījumā tām ir prioritāte pār ekonomiskajām brīvībām, tostarp līgumos ieviešot protokolu par sociālo progresu (tiešsaistes platforma, diskusijas).</w:t>
      </w:r>
    </w:p>
    <w:p>
      <w:pPr>
        <w:pStyle w:val="Puce3"/>
        <w:tabs>
          <w:tab w:val="clear" w:pos="720"/>
        </w:tabs>
        <w:rPr/>
      </w:pPr>
      <w:r>
        <w:rPr/>
        <w:t>6.</w:t>
        <w:tab/>
        <w:t>Dzimumu līdztiesības nodrošināšana saskaņā ar ES Dzimumu līdztiesības stratēģiju 2020.–2025. gadam. Savienībai būtu jāturpina novērtēt dzimumu līdztiesību, izmantojot dzimumu līdztiesības indeksu (attieksmes, darba samaksas atšķirības, nodarbinātība, vadība utt.), katru gadu jāuzrauga stratēģija, jāpārrauga sasniegtie rezultāti, jāveicina pieredzes un paraugprakses apmaiņa un jāizveido iespējams tiešs mehānisms iedzīvotāju atsauksmēm (piemēram, ombudam) (ECP 28); 5.a.1.). Ir jārisina jautājums par vīriešu un sieviešu darba samaksas atšķirībām un jāievieš kvotas augstākā līmeņa vadības amatiem. Sievietēm uzņēmējām būtu jāsaņem lielāks atbalsts uzņēmējdarbības vidē, kā arī sievietēm zinātnē, tehnoloģijā, inženierzinātnēs un matemātikā (diskusija).</w:t>
      </w:r>
    </w:p>
    <w:p>
      <w:pPr>
        <w:pStyle w:val="Puce3"/>
        <w:tabs>
          <w:tab w:val="clear" w:pos="720"/>
        </w:tabs>
        <w:rPr/>
      </w:pPr>
      <w:r>
        <w:rPr/>
        <w:t>7.</w:t>
        <w:tab/>
        <w:t>Veicināt jauniešu nodarbinātību, cita starpā sniedzot finansiālu atbalstu uzņēmumiem, kā arī sniedzot papildu atbalstu darba devējiem un darba ņēmējiem (NL 4) un atbalstu jaunajiem uzņēmējiem un gados jauniem pašnodarbinātajiem, piemēram, izmantojot izglītības instrumentus un kursus (apspriedes).</w:t>
      </w:r>
    </w:p>
    <w:p>
      <w:pPr>
        <w:pStyle w:val="Puce3"/>
        <w:tabs>
          <w:tab w:val="clear" w:pos="720"/>
        </w:tabs>
        <w:rPr/>
      </w:pPr>
      <w:r>
        <w:rPr/>
        <w:t>8.</w:t>
        <w:tab/>
        <w:t>Veicināt nelabvēlīgā situācijā esošu grupu nodarbinātību (NL 4), jo īpaši personām ar invaliditāti (tiešsaistes platforma).</w:t>
      </w:r>
    </w:p>
    <w:p>
      <w:pPr>
        <w:pStyle w:val="Puce3"/>
        <w:tabs>
          <w:tab w:val="clear" w:pos="720"/>
        </w:tabs>
        <w:rPr/>
      </w:pPr>
      <w:r>
        <w:rPr/>
        <w:t>9.</w:t>
        <w:tab/>
        <w:t>Veicināt nodarbinātību un sociālo mobilitāti, lai cilvēkiem būtu visas personīgās attīstības un pašnoteikšanās iespējas. (5.a.4. un IT 6.1. punkts) varētu būt ilgtermiņa stratēģija, lai nodrošinātu, ka ikvienam mūsu sabiedrībā ir vajadzīgās prasmes, lai atrastu darbu un attīstītu savu talantu, jo īpaši jaunāko paaudzi (diskusija). Ir svarīgi ieguldīt prasmēs, kas pielāgotas mainīgajām darba tirgus vajadzībām, un veicināt mūžizglītību, cita starpā izmantojot apmaiņas programmu visos dzīves posmos, un garantēt tiesības uz mūžizglītību un tiesības uz apmācību. (FR 6; Šajā nolūkā ir jāstiprina sadarbība starp uzņēmumiem, arodbiedrībām un profesionālās izglītības un apmācības pakalpojumu sniedzējiem (diskusijas).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1" w:name="__RefHeading___Toc298296_1346298689"/>
      <w:bookmarkEnd w:id="61"/>
      <w:r>
        <w:rPr/>
        <w:t>14. Priekšlikums: Spēcīgāka sociālā politika</w:t>
      </w:r>
    </w:p>
    <w:p>
      <w:pPr>
        <w:pStyle w:val="Normal"/>
        <w:rPr/>
      </w:pPr>
      <w:r>
        <w:rPr/>
        <w:t>Mērķis: Mēs ierosinām samazināt nevienlīdzību, apkarot sociālo atstumtību un nabadzību. Mums ir jāievieš visaptveroša nabadzības novēršanas stratēģija, kas cita starpā varētu ietvert Garantijas bērniem un garantijas jauniešiem stiprināšanu, minimālās algas ieviešanu, kopēju Eiropas sistēmu minimālo ienākumu shēmām un pienācīgu sociālo mājokli. Mums ir jānodrošina Eiropas sociālo tiesību pīlāra, tostarp tā attiecīgo 2030. gada pamatmērķu, pilnīga īstenošana Eiropas, valstu, reģionālā un vietējā līmenī “sociālās aizsardzības un iekļaušanas” jomās, vienlaikus ievērojot attiecīgās kompetences un subsidiaritātes un proporcionalitātes principus, un Līgumos jāiekļauj protokols par sociālo progresu. To varētu panākt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2"/>
      </w:r>
      <w:r>
        <w:rPr/>
        <w:t>:</w:t>
      </w:r>
    </w:p>
    <w:p>
      <w:pPr>
        <w:pStyle w:val="Puce3"/>
        <w:tabs>
          <w:tab w:val="clear" w:pos="720"/>
        </w:tabs>
        <w:rPr/>
      </w:pPr>
      <w:r>
        <w:rPr/>
        <w:t>1.</w:t>
        <w:tab/>
        <w:t>Stiprināt Savienības kompetenci sociālās politikas jomā un ierosināt saskaņotus Savienības mēroga tiesību aktus, lai veicinātu sociālo politiku un nodrošinātu vienlīdzīgas tiesības, tostarp tiesības veselības jomā, ņemot vērā pieņemtos noteikumus un minimālās prasības visā teritorijā. (CEP 19 un 21) ES varētu atbalstīt un papildināt dalībvalstu politiku, cita starpā ierosinot kopēju sistēmu, lai nodrošinātu minimālos ienākumus tā, lai neviens netiktu atstāts novārtā. Šīs darbības būtu jāveic, pilnībā īstenojot Eiropas sociālo tiesību pīlāru un tā rīcības plānu (apspriedes).</w:t>
      </w:r>
    </w:p>
    <w:p>
      <w:pPr>
        <w:pStyle w:val="Puce3"/>
        <w:tabs>
          <w:tab w:val="clear" w:pos="720"/>
        </w:tabs>
        <w:rPr/>
      </w:pPr>
      <w:r>
        <w:rPr/>
        <w:t>2.</w:t>
        <w:tab/>
        <w:t>Kompromitēt sociālās tiesības (sabiedrības veselība, valsts izglītība, nodarbinātības politika). (4.a.1. punkts)</w:t>
      </w:r>
    </w:p>
    <w:p>
      <w:pPr>
        <w:pStyle w:val="Puce3"/>
        <w:tabs>
          <w:tab w:val="clear" w:pos="720"/>
        </w:tabs>
        <w:rPr/>
      </w:pPr>
      <w:r>
        <w:rPr/>
        <w:t>3.</w:t>
        <w:tab/>
        <w:t>Veicināt sociālo un veselības pētniecību ES, ievērojot prioritātes, kas uzskatāmas par sabiedrības interesēm un ko apstiprinājušas dalībvalstis, un nodrošināt pienācīgu finansējumu. Daļēji to varētu panākt, stiprinot sadarbību starp zinātības jomām, valstīm un studiju centriem (universitātēm u. c.) (CEP 20).</w:t>
      </w:r>
    </w:p>
    <w:p>
      <w:pPr>
        <w:pStyle w:val="Puce3"/>
        <w:tabs>
          <w:tab w:val="clear" w:pos="720"/>
        </w:tabs>
        <w:rPr/>
      </w:pPr>
      <w:r>
        <w:rPr/>
        <w:t>4.</w:t>
        <w:tab/>
        <w:t>Nodrošināt piekļuvi medicīnas pakalpojumiem visām personām, kas jaunākas par 16 gadiem visā ES, ja šie pakalpojumi nav pieejami valsts kontekstā (diskusija).</w:t>
      </w:r>
    </w:p>
    <w:p>
      <w:pPr>
        <w:pStyle w:val="Puce3"/>
        <w:tabs>
          <w:tab w:val="clear" w:pos="720"/>
        </w:tabs>
        <w:rPr/>
      </w:pPr>
      <w:r>
        <w:rPr/>
        <w:t>5.</w:t>
        <w:tab/>
        <w:t>Nodrošināt, ka ES kopā ar sociālajiem partneriem un valstu valdībām atbalsta mērķtiecīgu piekļuvi pienācīgiem sociālajiem mājokļiem iedzīvotājiem atbilstoši viņu īpašajām vajadzībām; finansiālais ieguldījums būtu jāsadala starp privātiem līdzekļu devējiem, mājokļu īpašniekiem, mājokļu saņēmējiem, dalībvalstu valdībām centrālā un vietējā līmenī un Eiropas Savienību (ECP 25).</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2" w:name="__RefHeading___Toc298298_1346298689"/>
      <w:bookmarkEnd w:id="62"/>
      <w:r>
        <w:rPr/>
        <w:t>15. Priekšlikums: Demogrāfiskā pāreja</w:t>
      </w:r>
    </w:p>
    <w:p>
      <w:pPr>
        <w:pStyle w:val="P68B1DB1Normal15"/>
        <w:rPr>
          <w:b/>
          <w:b/>
        </w:rPr>
      </w:pPr>
      <w:r>
        <w:rPr/>
        <w:t>Mērķis: mēs ierosinām risināt problēmas, ko rada demogrāfiskā pāreja kā Eiropas vispārējās izturētspējas būtisks elements, jo īpaši zems dzimstības līmenis un pastāvīga iedzīvotāju novecošana, sniedzot atbalstu cilvēkiem visā viņu dzīves laikā. Tai vajadzētu būt visaptverošai rīcībai, kas vērsta uz visām paaudzēm, sākot no bērniem un jauniešiem līdz ģimenēm, darbspējīgā vecuma iedzīvotājiem, gados vecākiem cilvēkiem, kas joprojām ir gatavi strādāt, un tiem, kuri ir pensionējušies vai kuriem nepieciešama aprūpe. To varētu panākt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3"/>
      </w:r>
      <w:r>
        <w:rPr/>
        <w:t>:</w:t>
      </w:r>
    </w:p>
    <w:p>
      <w:pPr>
        <w:pStyle w:val="Puce3"/>
        <w:tabs>
          <w:tab w:val="clear" w:pos="720"/>
        </w:tabs>
        <w:rPr/>
      </w:pPr>
      <w:r>
        <w:rPr/>
        <w:t>1.</w:t>
        <w:tab/>
        <w:t>Nodrošināt kvalitatīvus, cenas ziņā pieejamus un pieejamus bērnu aprūpes pakalpojumus visā ES, lai mātes un tēvi varētu pārliecinoši saskaņot darba un ģimenes dzīvi. Vajadzības gadījumā tas varētu ietvert bērnu aprūpes iespējas darbavietā vai tās tuvumā. Dažās dalībvalstīs bērnu aprūpe uz nakti ir pieejama arī kā piemērs. Turklāt šos pasākumus varētu papildināt ar atbalsta pasākumiem, piemēram, samazinātas PVN likmes bērniem nepieciešamajam aprīkojumam. Ir svarīgi novērst bērnu nabadzību un sociālo atstumtību. (CEP 22–26) Garantijas bērniem stiprināšana, nodrošinot bērniem piekļuvi tādiem pakalpojumiem kā izglītība un bērnu aprūpe, veselības aprūpe, uzturs un mājokļi, varētu būt instruments šā mērķa sasniegšanai (e-platforma, diskusijas).</w:t>
      </w:r>
    </w:p>
    <w:p>
      <w:pPr>
        <w:pStyle w:val="Puce3"/>
        <w:tabs>
          <w:tab w:val="clear" w:pos="720"/>
        </w:tabs>
        <w:rPr/>
      </w:pPr>
      <w:r>
        <w:rPr/>
        <w:t>2.</w:t>
        <w:tab/>
        <w:t>Izveidot īpašu atbalstu un darba aizsardzību jauniešiem. Pasākumiem, kas vērsti uz darbspējīgā vecuma iedzīvotājiem, būtu jāietver piekļuve zināšanām mātēm un tēviem pēc atgriešanās darbā (CEP 22). Garantijas jauniešiem stiprināšana varētu būt instruments, ar ko uzlabot jauniešu, kas jaunāki par 30 gadiem, piekļuvi kvalitatīvam darba, tālākizglītības, mācekļa prakses vai stažēšanās piedāvājumam. (diskusija)</w:t>
      </w:r>
    </w:p>
    <w:p>
      <w:pPr>
        <w:pStyle w:val="Puce3"/>
        <w:tabs>
          <w:tab w:val="clear" w:pos="720"/>
        </w:tabs>
        <w:rPr/>
      </w:pPr>
      <w:r>
        <w:rPr/>
        <w:t>3.</w:t>
        <w:tab/>
        <w:t>Veicināt tiesības uz izglītības brīvu apriti Savienībā, jo īpaši savstarpēji atzīstot diplomus, pakāpes, kompetences un kvalifikāciju. (diskusija)</w:t>
      </w:r>
    </w:p>
    <w:p>
      <w:pPr>
        <w:pStyle w:val="Puce3"/>
        <w:tabs>
          <w:tab w:val="clear" w:pos="720"/>
        </w:tabs>
        <w:rPr/>
      </w:pPr>
      <w:r>
        <w:rPr/>
        <w:t>4.</w:t>
        <w:tab/>
        <w:t>Uzlabot tiesību aktus un to īstenošanu, lai sniegtu atbalstu ģimenēm visās dalībvalstīs, piemēram, attiecībā uz bērna kopšanas atvaļinājumu un bērna kopšanas pabalstiem. (PCE 26 un IT 5.a.1) Mājoklim ir izšķiroša nozīme ģimeņu atbalstīšanā, un tas būtu jārisina (tiešsaistes platforma, diskusijas).</w:t>
      </w:r>
    </w:p>
    <w:p>
      <w:pPr>
        <w:pStyle w:val="Puce3"/>
        <w:tabs>
          <w:tab w:val="clear" w:pos="720"/>
        </w:tabs>
        <w:rPr/>
      </w:pPr>
      <w:r>
        <w:rPr/>
        <w:t>5.</w:t>
        <w:tab/>
        <w:t>Veikt pasākumus, lai nodrošinātu, ka visām ģimenēm visās dalībvalstīs ir vienādas ģimenes tiesības. Tam būtu jāietver tiesības uz laulību un adopciju. (PCE 27)</w:t>
      </w:r>
    </w:p>
    <w:p>
      <w:pPr>
        <w:pStyle w:val="Puce3"/>
        <w:tabs>
          <w:tab w:val="clear" w:pos="720"/>
        </w:tabs>
        <w:rPr/>
      </w:pPr>
      <w:r>
        <w:rPr/>
        <w:t>6.</w:t>
        <w:tab/>
        <w:t>Veicināt elastīgu pensionēšanās vecumu, ņemot vērā vecāka gadagājuma cilvēku īpašo situāciju. Nosakot pensionēšanās vecumu, ir nepieciešams diferencēt atkarībā no profesijas un tādējādi ņemt vērā īpaši prasīgu darbu — gan garīgo, gan fizisko. (PCE 21 un IT 5.a.1)</w:t>
      </w:r>
    </w:p>
    <w:p>
      <w:pPr>
        <w:pStyle w:val="Puce3"/>
        <w:tabs>
          <w:tab w:val="clear" w:pos="720"/>
        </w:tabs>
        <w:rPr/>
      </w:pPr>
      <w:r>
        <w:rPr/>
        <w:t>7.</w:t>
        <w:tab/>
        <w:t>Novērst vecāka gadagājuma cilvēku nabadzību, ieviešot minimālās pensijas. Šajos minimālajos līmeņos būtu jāņem vērā dzīves līmenis, nabadzības līmenis un pirktspēja attiecīgajā dalībvalstī. (PCE 21)</w:t>
      </w:r>
    </w:p>
    <w:p>
      <w:pPr>
        <w:pStyle w:val="Puce3"/>
        <w:tabs>
          <w:tab w:val="clear" w:pos="720"/>
        </w:tabs>
        <w:rPr/>
      </w:pPr>
      <w:r>
        <w:rPr/>
        <w:t>8.</w:t>
        <w:tab/>
        <w:t>Nodrošināt pienācīgu sociālo palīdzību un veselības aprūpi vecāka gadagājuma cilvēkiem. To darot, ir svarīgi koncentrēties gan uz aprūpi sabiedrībā, gan uz aprūpi dzīvesvietā. Tāpat pasākumos jāņem vērā gan aprūpes saņēmēji, gan aprūpes sniedzēji. (PCE 23)</w:t>
      </w:r>
    </w:p>
    <w:p>
      <w:pPr>
        <w:pStyle w:val="Puce3"/>
        <w:tabs>
          <w:tab w:val="clear" w:pos="720"/>
        </w:tabs>
        <w:rPr/>
      </w:pPr>
      <w:r>
        <w:rPr/>
        <w:t>9.</w:t>
        <w:tab/>
        <w:t>Nodrošināt atpalikušo reģionu ilgtspējīgu attīstību un demogrāfisko noturību, lai padarītu tos dinamiskākus un pievilcīgākus, tostarp izmantojot kohēzijas politiku. (tiešsaistes platforma un diskusijas)</w:t>
      </w:r>
    </w:p>
    <w:p>
      <w:pPr>
        <w:pStyle w:val="Puce3"/>
        <w:tabs>
          <w:tab w:val="clear" w:pos="720"/>
        </w:tabs>
        <w:rPr/>
      </w:pPr>
      <w:r>
        <w:rPr/>
        <w:t>10.</w:t>
        <w:tab/>
        <w:t>Koordinēti rīkoties Eiropas līmenī, lai vāktu datus, kas sadalīti pēc tādiem faktoriem kā dzimums, analizētu demogrāfiskās tendences, apmainītos ar paraugpraksi un zināšanām un palīdzētu dalībvalstīm izstrādāt un īstenot atbilstīgu politiku, tostarp izveidojot šajā jomā specializētu ES struktūru. (tiešsaistes platforma un diskusijas).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3" w:name="__RefHeading___Toc298300_1346298689"/>
      <w:bookmarkEnd w:id="63"/>
      <w:r>
        <w:rPr/>
        <w:t>16. Priekšlikums: Fiskālā un fiskālā politika</w:t>
      </w:r>
    </w:p>
    <w:p>
      <w:pPr>
        <w:pStyle w:val="P68B1DB1Normal15"/>
        <w:rPr>
          <w:b/>
          <w:b/>
        </w:rPr>
      </w:pPr>
      <w:r>
        <w:rPr/>
        <w:t>Mērķis: mēs ierosinām ES veicināt uz nākotni vērstas investīcijas, kas vērstas uz zaļo un digitālo pārkārtošanos ar spēcīgu sociālo un dzimumu dimensiju, ņemot vērā piemērus kā Next Generation EU un Eiropas pagaidu atbalsta instruments bezdarba riska mazināšanai ārkārtas situācijās (SURE). Savienībai ir jāņem vērā pret Ukrainu vērstā kara sociālā un ekonomiskā ietekme un saikne starp tās ekonomikas pārvaldību un jauno ģeopolitisko kontekstu, stiprinot savu budžetu ar jauniem pašu resursiem. Iedzīvotāji vēlas, lai nodokļi tiktu novērsti no iedzīvotājiem un MVU un vērstos pret nodokļu krāpniekiem, lielajiem piesārņotājiem un digitālajiem milžiem, vienlaikus vēloties ES atbalstīt dalībvalstu un vietējo iestāžu spēju finansēt sevi un izmantot ES līdzekļus. Šis mērķis būtu jāsasniedz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4"/>
      </w:r>
      <w:r>
        <w:rPr/>
        <w:t>:</w:t>
      </w:r>
    </w:p>
    <w:p>
      <w:pPr>
        <w:pStyle w:val="Puce3"/>
        <w:tabs>
          <w:tab w:val="clear" w:pos="720"/>
        </w:tabs>
        <w:rPr/>
      </w:pPr>
      <w:r>
        <w:rPr/>
        <w:t>1.</w:t>
        <w:tab/>
        <w:t>Saskaņot un koordinēt nodokļu politiku ES dalībvalstīs, lai novērstu izvairīšanos no nodokļu maksāšanas un izvairīšanos no nodokļu maksāšanas, izvairītos no nodokļu oāzēm Eiropas Savienībā un vērstos pret pārvietošanu Eiropā, tostarp nodrošinot, ka nodokļu lēmumus var pieņemt ar kvalificētu balsu vairākumu ES Padomē. No otras puses, iedzīvotāju grupu ieteikumi, ka nodokļi ir dažādu valstu kompetencē, kurām ir savi mērķi un apstākļi. (PCE 13 un 31, IT 4.b.3, NL 2.3)</w:t>
      </w:r>
    </w:p>
    <w:p>
      <w:pPr>
        <w:pStyle w:val="Puce3"/>
        <w:tabs>
          <w:tab w:val="clear" w:pos="720"/>
        </w:tabs>
        <w:rPr/>
      </w:pPr>
      <w:r>
        <w:rPr/>
        <w:t>2.</w:t>
        <w:tab/>
        <w:t>Veicināt sadarbību starp ES dalībvalstīm, lai nodrošinātu, ka visi ES uzņēmumi maksā taisnīgu nodokļu daļu; ieviest kopēju uzņēmumu ienākuma nodokļa bāzi (KUINB) vai minimālo faktisko likmi. (NL 3)</w:t>
      </w:r>
    </w:p>
    <w:p>
      <w:pPr>
        <w:pStyle w:val="Puce3"/>
        <w:tabs>
          <w:tab w:val="clear" w:pos="720"/>
        </w:tabs>
        <w:rPr/>
      </w:pPr>
      <w:r>
        <w:rPr/>
        <w:t>3.</w:t>
        <w:tab/>
        <w:t>Nodrošināt, ka uzņēmumi maksā nodokļus tur, kur tiek gūta peļņa. (PCE 13)</w:t>
      </w:r>
    </w:p>
    <w:p>
      <w:pPr>
        <w:pStyle w:val="Puce3"/>
        <w:tabs>
          <w:tab w:val="clear" w:pos="720"/>
        </w:tabs>
        <w:rPr/>
      </w:pPr>
      <w:r>
        <w:rPr/>
        <w:t>4.</w:t>
        <w:tab/>
        <w:t>Nodrošināt, ka nodokļu politika atbalsta Eiropas rūpniecību un novērš darbvietu zudumu Eiropā. (PCE 13 un 31)</w:t>
      </w:r>
    </w:p>
    <w:p>
      <w:pPr>
        <w:pStyle w:val="Puce3"/>
        <w:tabs>
          <w:tab w:val="clear" w:pos="720"/>
        </w:tabs>
        <w:rPr/>
      </w:pPr>
      <w:r>
        <w:rPr/>
        <w:t>5.</w:t>
        <w:tab/>
        <w:t>Sīkāk izpētīt iespēju kopīgi aizņemties Savienības līmenī, lai radītu labvēlīgākus aizņēmuma nosacījumus, vienlaikus saglabājot atbildīgu fiskālo politiku dalībvalstu līmenī. (LT 9)</w:t>
      </w:r>
    </w:p>
    <w:p>
      <w:pPr>
        <w:pStyle w:val="Puce3"/>
        <w:tabs>
          <w:tab w:val="clear" w:pos="720"/>
        </w:tabs>
        <w:rPr/>
      </w:pPr>
      <w:r>
        <w:rPr/>
        <w:t>6.</w:t>
        <w:tab/>
        <w:t>Stiprināt Savienības līdzekļu apguves un izmantošanas uzraudzību, tostarp vietējā un pašvaldību līmenī.(LT 10)</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4">
            <wp:simplePos x="0" y="0"/>
            <wp:positionH relativeFrom="column">
              <wp:posOffset>14605</wp:posOffset>
            </wp:positionH>
            <wp:positionV relativeFrom="paragraph">
              <wp:posOffset>8890</wp:posOffset>
            </wp:positionV>
            <wp:extent cx="913765" cy="913765"/>
            <wp:effectExtent l="0" t="0" r="0" b="0"/>
            <wp:wrapSquare wrapText="largest"/>
            <wp:docPr id="64" name="Fotoattēls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otoattēls24" descr=""/>
                    <pic:cNvPicPr>
                      <a:picLocks noChangeAspect="1" noChangeArrowheads="1"/>
                    </pic:cNvPicPr>
                  </pic:nvPicPr>
                  <pic:blipFill>
                    <a:blip r:embed="rId76"/>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64" w:name="__RefHeading___Toc298302_1346298689"/>
      <w:bookmarkEnd w:id="64"/>
      <w:r>
        <w:rPr/>
        <w:t>“</w:t>
      </w:r>
      <w:r>
        <w:rPr/>
        <w:t>ES pasaulē”</w:t>
      </w:r>
    </w:p>
    <w:p>
      <w:pPr>
        <w:pStyle w:val="Titre3"/>
        <w:numPr>
          <w:ilvl w:val="2"/>
          <w:numId w:val="2"/>
        </w:numPr>
        <w:rPr/>
      </w:pPr>
      <w:bookmarkStart w:id="65" w:name="__RefHeading___Toc298304_1346298689"/>
      <w:bookmarkEnd w:id="65"/>
      <w:r>
        <w:rPr/>
        <w:t>17. Priekšlikums: Samazināt ES atkarību no ārvalstu dalībniekiem stratēģiskās nozarēs no ekonomiskā viedokļa</w:t>
      </w:r>
    </w:p>
    <w:p>
      <w:pPr>
        <w:pStyle w:val="P68B1DB1Normal15"/>
        <w:rPr>
          <w:b/>
          <w:b/>
        </w:rPr>
      </w:pPr>
      <w:r>
        <w:rPr/>
        <w:t>Mērķis: Mēs ierosinām ES veikt pasākumus, lai stiprinātu savu autonomiju tādās svarīgās stratēģiskās nozarēs kā lauksaimniecības produkti, stratēģiskas ekonomiskās preces, pusvadītāji, medicīnas produkti, inovatīvas digitālās un vides tehnoloģijas un enerģētika, izmantojot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Pētniecības, attīstības un inovācijas pasākumu veicināšana un sadarbība starp publiskā un privātā sektora partneriem šajā jomā.</w:t>
      </w:r>
    </w:p>
    <w:p>
      <w:pPr>
        <w:pStyle w:val="Puce3"/>
        <w:tabs>
          <w:tab w:val="clear" w:pos="720"/>
        </w:tabs>
        <w:rPr/>
      </w:pPr>
      <w:r>
        <w:rPr/>
        <w:t>2.</w:t>
        <w:tab/>
        <w:t>Saglabāt vērienīgu tirdzniecības sarunu programmu, kas var palīdzēt stiprināt piegādes ķēžu noturību un diversifikāciju, jo īpaši attiecībā uz izejvielām, vienlaikus taisnīgāk un ar vairākiem partneriem daloties ar tirdzniecības priekšrocībām, tādējādi ierobežojot mūsu pakļautību un atkarību no neliela skaita piegādātāju, kuri var radīt risku</w:t>
      </w:r>
      <w:r>
        <w:rPr>
          <w:rStyle w:val="Ancredenotedefin"/>
          <w:rStyle w:val="Ancredenotedefin"/>
        </w:rPr>
        <w:endnoteReference w:id="15"/>
      </w:r>
      <w:r>
        <w:rPr/>
        <w:t>.</w:t>
      </w:r>
    </w:p>
    <w:p>
      <w:pPr>
        <w:pStyle w:val="Puce3"/>
        <w:tabs>
          <w:tab w:val="clear" w:pos="720"/>
        </w:tabs>
        <w:rPr/>
      </w:pPr>
      <w:r>
        <w:rPr/>
        <w:t>3.</w:t>
        <w:tab/>
        <w:t>Lielāka ES piegādes ķēžu noturība, veicinot investīcijas stratēģiskās nozarēs Savienībā, uzglabājot kritiski svarīgu ražošanu un ierīces un dažādojot kritiski svarīgu izejvielu piegādes avotus.</w:t>
      </w:r>
    </w:p>
    <w:p>
      <w:pPr>
        <w:pStyle w:val="Puce3"/>
        <w:tabs>
          <w:tab w:val="clear" w:pos="720"/>
        </w:tabs>
        <w:rPr/>
      </w:pPr>
      <w:r>
        <w:rPr/>
        <w:t>4.</w:t>
        <w:tab/>
        <w:t>Jauni ieguldījumi iekšējā tirgus izveides pabeigšanā un vienlīdzīgu konkurences apstākļu radīšanā, lai padarītu šo preču ražošanu un iegādi pievilcīgāku Eiropas Savienībā.</w:t>
      </w:r>
    </w:p>
    <w:p>
      <w:pPr>
        <w:pStyle w:val="Puce3"/>
        <w:tabs>
          <w:tab w:val="clear" w:pos="720"/>
        </w:tabs>
        <w:rPr/>
      </w:pPr>
      <w:r>
        <w:rPr/>
        <w:t>5.</w:t>
        <w:tab/>
        <w:t>Atbalstīt šo produktu pieejamību un pieejamību Eiropas patērētājiem un palīdzēt mazināt atkarību no ārējiem apstākļiem, piemēram, izmantojot strukturālo un reģionālo politiku, nodokļu atvieglojumus, subsīdijas, ieguldījumus infrastruktūrā un pētniecībā, MVU konkurētspējas palielināšanu, kā arī izglītības programmas, lai Eiropā saglabātu attiecīgās prasmes un darbvietas, kas ir būtiskas pamatvajadzību nodrošināšanai</w:t>
      </w:r>
      <w:r>
        <w:rPr>
          <w:rStyle w:val="Ancredenotedefin"/>
          <w:rStyle w:val="Ancredenotedefin"/>
        </w:rPr>
        <w:endnoteReference w:id="16"/>
      </w:r>
      <w:r>
        <w:rPr/>
        <w:t>.</w:t>
      </w:r>
    </w:p>
    <w:p>
      <w:pPr>
        <w:pStyle w:val="Puce3"/>
        <w:tabs>
          <w:tab w:val="clear" w:pos="720"/>
        </w:tabs>
        <w:rPr/>
      </w:pPr>
      <w:r>
        <w:rPr/>
        <w:t>6.</w:t>
        <w:tab/>
        <w:t>Eiropas programma mazo vietējo ražotāju atbalstam stratēģiskās nozarēs visās</w:t>
      </w:r>
      <w:r>
        <w:rPr>
          <w:rStyle w:val="Ancredenotedefin"/>
          <w:rStyle w:val="Ancredenotedefin"/>
        </w:rPr>
        <w:endnoteReference w:id="17"/>
      </w:r>
      <w:r>
        <w:rPr/>
        <w:t>dalībvalstīs, plašāk izmantojot ES programmas un finanšu instrumentus, piemēram, InvestEU.</w:t>
      </w:r>
    </w:p>
    <w:p>
      <w:pPr>
        <w:pStyle w:val="Puce3"/>
        <w:tabs>
          <w:tab w:val="clear" w:pos="720"/>
        </w:tabs>
        <w:rPr/>
      </w:pPr>
      <w:r>
        <w:rPr/>
        <w:t>7.</w:t>
        <w:tab/>
        <w:t>Labāka sadarbība starp dalībvalstīm, lai pārvaldītu piegādes ķēdes riska pārvaldību.</w:t>
      </w:r>
      <w:r>
        <w:rPr>
          <w:rStyle w:val="Ancredenotedefin"/>
          <w:rStyle w:val="Ancredenotedefin"/>
        </w:rPr>
        <w:endnoteReference w:id="18"/>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6" w:name="__RefHeading___Toc298306_1346298689"/>
      <w:bookmarkEnd w:id="66"/>
      <w:r>
        <w:rPr/>
        <w:t>18. Priekšlikums: ES atkarības no ārvalstu enerģētikas nozares dalībniekiem samazināšana</w:t>
      </w:r>
    </w:p>
    <w:p>
      <w:pPr>
        <w:pStyle w:val="P68B1DB1Normal15"/>
        <w:rPr>
          <w:b/>
          <w:b/>
        </w:rPr>
      </w:pPr>
      <w:r>
        <w:rPr/>
        <w:t>Mērķis: Mēs ierosinām ES panākt lielāku autonomiju enerģijas ražošanā un piegādē saistībā ar notiekošo ekoloģisko pārkārtošanos, veicot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Stratēģijas pieņemšana, lai padarītu to autonomāku enerģijas ražošanā. Eiropas struktūrai būtu jāintegrē esošās Eiropas enerģētikas aģentūras, jākoordinē atjaunojamo energoresursu attīstība un jāveicina zināšanu apmaiņa</w:t>
      </w:r>
      <w:r>
        <w:rPr>
          <w:rStyle w:val="Ancredenotedefin"/>
          <w:rStyle w:val="Ancredenotedefin"/>
        </w:rPr>
        <w:endnoteReference w:id="19"/>
      </w:r>
      <w:r>
        <w:rPr/>
        <w:t>.</w:t>
      </w:r>
    </w:p>
    <w:p>
      <w:pPr>
        <w:pStyle w:val="Puce3"/>
        <w:tabs>
          <w:tab w:val="clear" w:pos="720"/>
        </w:tabs>
        <w:rPr/>
      </w:pPr>
      <w:r>
        <w:rPr/>
        <w:t>2.</w:t>
        <w:tab/>
        <w:t>Aktīvs atbalsts sabiedriskā transporta un energoefektivitātes projektiem, ātrgaitas Eiropas kravu pārvadājumu dzelzceļa tīklam, tīras un atjaunojamas enerģijas piegādes paplašināšanai (tostarp saules un vēja enerģijai), alternatīvām tehnoloģijām (piemēram, ūdeņradim vai atkritumu reģenerācijai) un pārejai pilsētu teritorijās no viena automobiļu kultūras uz sabiedriskā transporta, elektromobiļu koplietošanas un riteņbraukšanas kultūru</w:t>
      </w:r>
      <w:r>
        <w:rPr>
          <w:rStyle w:val="Ancredenotedefin"/>
          <w:rStyle w:val="Ancredenotedefin"/>
        </w:rPr>
        <w:endnoteReference w:id="20"/>
      </w:r>
      <w:r>
        <w:rPr/>
        <w:t>.</w:t>
      </w:r>
    </w:p>
    <w:p>
      <w:pPr>
        <w:pStyle w:val="Puce3"/>
        <w:tabs>
          <w:tab w:val="clear" w:pos="720"/>
        </w:tabs>
        <w:rPr/>
      </w:pPr>
      <w:r>
        <w:rPr/>
        <w:t>3.</w:t>
        <w:tab/>
        <w:t>Nodrošināt taisnīgu un taisnīgu pārkārtošanos, jo īpaši atbalstot neaizsargātus iedzīvotājus, kuri saskaras ar lielākajām problēmām saistībā ar pārkārtošanos uz klimatneitralitāti un kuri jau cieš no augstākām enerģijas cenām enerģētiskās atkarības un nesenās enerģijas cenu trīskāršošanas dēļ.</w:t>
      </w:r>
    </w:p>
    <w:p>
      <w:pPr>
        <w:pStyle w:val="Normal"/>
        <w:rPr/>
      </w:pPr>
      <w:r>
        <w:rPr/>
      </w:r>
    </w:p>
    <w:p>
      <w:pPr>
        <w:pStyle w:val="Puce3"/>
        <w:tabs>
          <w:tab w:val="clear" w:pos="720"/>
        </w:tabs>
        <w:rPr/>
      </w:pPr>
      <w:r>
        <w:rPr/>
        <w:t>4.</w:t>
        <w:tab/>
        <w:t>Pastiprināta sadarbība, novērtējot kodolenerģijas izmantošanu saistībā ar notiekošo zaļo pārkārtošanos uz atjaunojamiem energoresursiem Eiropā, izskatot kolektīvos jautājumus, ko tā varētu atrisināt vai radīt, jo to joprojām izmanto daudzas dalībvalstis</w:t>
      </w:r>
      <w:r>
        <w:rPr>
          <w:rStyle w:val="Ancredenotedefin"/>
          <w:rStyle w:val="Ancredenotedefin"/>
        </w:rPr>
        <w:endnoteReference w:id="21"/>
      </w:r>
      <w:r>
        <w:rPr/>
        <w:t>.</w:t>
      </w:r>
    </w:p>
    <w:p>
      <w:pPr>
        <w:pStyle w:val="Puce3"/>
        <w:tabs>
          <w:tab w:val="clear" w:pos="720"/>
        </w:tabs>
        <w:rPr/>
      </w:pPr>
      <w:r>
        <w:rPr/>
        <w:t>5.</w:t>
        <w:tab/>
        <w:t>Sadarbība ar starptautiskajiem partneriem, lai tie apņemtos sasniegt vērienīgākus mērķus klimata pārmaiņu jomā dažādos starptautiskos forumos, tostarp G7 un G20.</w:t>
      </w:r>
    </w:p>
    <w:p>
      <w:pPr>
        <w:pStyle w:val="Puce3"/>
        <w:tabs>
          <w:tab w:val="clear" w:pos="720"/>
        </w:tabs>
        <w:rPr/>
      </w:pPr>
      <w:r>
        <w:rPr/>
        <w:t>6.</w:t>
        <w:tab/>
        <w:t>Ārējās tirdzniecības sasaiste ar klimata pārmaiņu politikas pasākumiem (piemēram, ieviešot investīciju pasākumu kopumu klimatam draudzīgām tehnoloģijām un inovācijām, tostarp finansēšanas programmām)</w:t>
      </w:r>
      <w:r>
        <w:rPr>
          <w:rStyle w:val="Ancredenotedefin"/>
          <w:rStyle w:val="Ancredenotedefin"/>
        </w:rPr>
        <w:endnoteReference w:id="22"/>
      </w:r>
      <w:r>
        <w:rPr/>
        <w:t>.</w:t>
      </w:r>
    </w:p>
    <w:p>
      <w:pPr>
        <w:pStyle w:val="Puce3"/>
        <w:tabs>
          <w:tab w:val="clear" w:pos="720"/>
        </w:tabs>
        <w:rPr/>
      </w:pPr>
      <w:r>
        <w:rPr/>
        <w:t>7.</w:t>
        <w:tab/>
        <w:t>Kopīgi importētas enerģijas iepirkumi un ilgtspējīgas enerģijas partnerības, lai samazinātu Eiropas atkarību no enerģijas importa, jo īpaši gāzes un naftas jomā, un attīstītu ES iekšējos enerģijas avotus.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7" w:name="__RefHeading___Toc298308_1346298689"/>
      <w:bookmarkEnd w:id="67"/>
      <w:r>
        <w:rPr/>
        <w:t>19. Priekšlikums: Standartu noteikšana ES un ārpus tās tirdzniecības un ieguldījumu attiecībās</w:t>
      </w:r>
    </w:p>
    <w:p>
      <w:pPr>
        <w:pStyle w:val="P68B1DB1Normal15"/>
        <w:rPr>
          <w:b/>
          <w:b/>
        </w:rPr>
      </w:pPr>
      <w:r>
        <w:rPr/>
        <w:t>Mērķis: Mēs ierosinām ES stiprināt savu tirdzniecības un ieguldījumu attiecību ētisko dimensiju, veicot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Mūsu noteikumos balstītās daudzpusējās starptautiskās tirdzniecības struktūras saglabāšana un reforma un partnerība ar līdzīgi domājošām demokrātijām.</w:t>
      </w:r>
    </w:p>
    <w:p>
      <w:pPr>
        <w:pStyle w:val="Puce3"/>
        <w:tabs>
          <w:tab w:val="clear" w:pos="720"/>
        </w:tabs>
        <w:rPr/>
      </w:pPr>
      <w:r>
        <w:rPr/>
        <w:t>2.</w:t>
        <w:tab/>
        <w:t>Efektīvi un samērīgi ES tiesību akti, lai nodrošinātu, ka pienācīgas kvalitātes darba standarti tiek pilnībā piemēroti visās globālajās vērtības ķēdēs, tostarp ES ražošanas un piegādes procesos, un ka importētās preces atbilst kvalitatīviem ētikas standartiem, ilgtspējīgas attīstības un cilvēktiesību standartiem, tostarp darba un arodbiedrību tiesībām, piedāvājot produktu sertifikāciju saskaņā ar šiem ES tiesību aktiem</w:t>
      </w:r>
      <w:r>
        <w:rPr>
          <w:rStyle w:val="Ancredenotedefin"/>
          <w:rStyle w:val="Ancredenotedefin"/>
        </w:rPr>
        <w:endnoteReference w:id="23"/>
      </w:r>
      <w:r>
        <w:rPr/>
        <w:t xml:space="preserve"> un iesaistoties ES mēroga dialoga procesā, kura mērķis ir informēt un izglītot par starptautiskās tirdzniecības stratēģisko izmaiņu ietekmi uz vidi un ētisko ietekmi.</w:t>
      </w:r>
    </w:p>
    <w:p>
      <w:pPr>
        <w:pStyle w:val="Normal"/>
        <w:rPr/>
      </w:pPr>
      <w:r>
        <w:rPr/>
      </w:r>
    </w:p>
    <w:p>
      <w:pPr>
        <w:pStyle w:val="Puce3"/>
        <w:tabs>
          <w:tab w:val="clear" w:pos="720"/>
        </w:tabs>
        <w:rPr/>
      </w:pPr>
      <w:r>
        <w:rPr/>
        <w:t>3.</w:t>
        <w:tab/>
        <w:t>Ierobežojumi importēt un pārdot produktus no valstīm, kas pieļauj piespiedu darbu un bērnu darbu, regulāri atjaunināts uzņēmumu un patērētāju informētības par bērnu darbu melnais saraksts, izmantojot informāciju, kas publicēta, izmantojot oficiālos ES kanālus</w:t>
      </w:r>
      <w:r>
        <w:rPr>
          <w:rStyle w:val="Ancredenotedefin"/>
          <w:rStyle w:val="Ancredenotedefin"/>
        </w:rPr>
        <w:endnoteReference w:id="24"/>
      </w:r>
      <w:r>
        <w:rPr/>
        <w:t>.</w:t>
      </w:r>
    </w:p>
    <w:p>
      <w:pPr>
        <w:pStyle w:val="Puce3"/>
        <w:tabs>
          <w:tab w:val="clear" w:pos="720"/>
        </w:tabs>
        <w:rPr/>
      </w:pPr>
      <w:r>
        <w:rPr/>
        <w:t>4.</w:t>
        <w:tab/>
        <w:t>ES brīvās tirdzniecības nolīgumos iekļauto tirdzniecības un ilgtspējīgas attīstības sadaļu uzraudzība un izpilde, tostarp iespēja izmantot uz sankcijām balstītu mehānismu kā galējo līdzekli.</w:t>
      </w:r>
    </w:p>
    <w:p>
      <w:pPr>
        <w:pStyle w:val="Puce3"/>
        <w:tabs>
          <w:tab w:val="clear" w:pos="720"/>
        </w:tabs>
        <w:rPr/>
      </w:pPr>
      <w:r>
        <w:rPr/>
        <w:t>5.</w:t>
        <w:tab/>
        <w:t>ES vispārējās preferenču sistēmas (VPS) reforma, lai iekļautu stingrus savstarpējās atbilstības noteikumus un efektīvus un piemērotus uzraudzības, ziņošanas un dialoga procesus, lai uzlabotu VPS iespējamo ietekmi uz tirdzniecību, cilvēktiesībām un attīstību partnervalstīs, paredzot iespēju neatbilstības gadījumā atcelt tirdzniecības preferences.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68" w:name="__RefHeading___Toc298310_1346298689"/>
      <w:bookmarkEnd w:id="68"/>
      <w:r>
        <w:rPr/>
        <w:t>20. Priekšlikums: Vides politikas standartu noteikšana Eiropas Savienībā un ārpus tās</w:t>
      </w:r>
    </w:p>
    <w:p>
      <w:pPr>
        <w:pStyle w:val="P68B1DB1Normal15"/>
        <w:rPr>
          <w:b/>
          <w:b/>
        </w:rPr>
      </w:pPr>
      <w:r>
        <w:rPr/>
        <w:t>Mērķis: Mēs ierosinām ES stiprināt savu tirdzniecības attiecību vides dimensiju, veicot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Ekomarķējuma saskaņošana un stiprināšana un obligāta Eiropas ietekmes uz vidi indikatora (skaidrā) norādīšana uz visām patēriņa precēm. Ekoscore tiktu aprēķināts, pamatojoties uz ražošanas un transportēšanas radītajām emisijām, kā arī satura kaitīgumu, pamatojoties uz bīstamo produktu sarakstu. Ecoscore būtu jāpārvalda un jāuzrauga Eiropas iestādei</w:t>
      </w:r>
      <w:r>
        <w:rPr>
          <w:rStyle w:val="Ancredenotedefin"/>
          <w:rStyle w:val="Ancredenotedefin"/>
        </w:rPr>
        <w:endnoteReference w:id="25"/>
      </w:r>
      <w:r>
        <w:rPr/>
        <w:t>.</w:t>
      </w:r>
    </w:p>
    <w:p>
      <w:pPr>
        <w:pStyle w:val="Puce3"/>
        <w:tabs>
          <w:tab w:val="clear" w:pos="720"/>
        </w:tabs>
        <w:rPr/>
      </w:pPr>
      <w:r>
        <w:rPr/>
        <w:t>2.</w:t>
        <w:tab/>
        <w:t>Augstāki vides standarti atkritumu eksportam, kā arī stingrākas kontroles un sankcijas, lai apturētu nelikumīgu eksportu. Savienībai būtu jāmudina dalībvalstis pārstrādāt savus atkritumus un izmantot tos enerģijas ražošanai</w:t>
      </w:r>
      <w:r>
        <w:rPr>
          <w:rStyle w:val="Ancredenotedefin"/>
          <w:rStyle w:val="Ancredenotedefin"/>
        </w:rPr>
        <w:endnoteReference w:id="26"/>
      </w:r>
      <w:r>
        <w:rPr/>
        <w:t>.</w:t>
      </w:r>
    </w:p>
    <w:p>
      <w:pPr>
        <w:pStyle w:val="Puce3"/>
        <w:tabs>
          <w:tab w:val="clear" w:pos="720"/>
        </w:tabs>
        <w:rPr/>
      </w:pPr>
      <w:r>
        <w:rPr/>
        <w:t>3.</w:t>
        <w:tab/>
        <w:t>Noteikt mērķi likvidēt piesārņojošu iepakojumu, veicinot mazāk piesārņojošu iepakojumu vai videi draudzīgāku iepakojumu,</w:t>
      </w:r>
      <w:r>
        <w:rPr>
          <w:rStyle w:val="Ancredenotedefin"/>
          <w:rStyle w:val="Ancredenotedefin"/>
        </w:rPr>
        <w:endnoteReference w:id="27"/>
      </w:r>
      <w:r>
        <w:rPr/>
        <w:t xml:space="preserve"> un veidot partnerības ar jaunattīstības valstīm, atbalstot to infrastruktūru un apsverot savstarpēji izdevīgus tirdzniecības nolīgumus, lai palīdzētu tām pāriet uz videi nekaitīgiem enerģijas avotiem</w:t>
      </w:r>
      <w:r>
        <w:rPr>
          <w:rStyle w:val="Ancredenotedefin"/>
          <w:rStyle w:val="Ancredenotedefin"/>
        </w:rPr>
        <w:endnoteReference w:id="28"/>
      </w:r>
      <w:r>
        <w:rPr/>
        <w:t>.</w:t>
      </w:r>
    </w:p>
    <w:p>
      <w:pPr>
        <w:pStyle w:val="Puce3"/>
        <w:tabs>
          <w:tab w:val="clear" w:pos="720"/>
        </w:tabs>
        <w:rPr/>
      </w:pPr>
      <w:r>
        <w:rPr/>
        <w:t>4.</w:t>
        <w:tab/>
        <w:t>Iespēja atalgot valstis ar augstiem ilgtspējības standartiem, nodrošinot to ilglietojuma preču un pakalpojumu papildu piekļuvi ES tirgum vai nu vienpusēji, izmantojot VPS+ vispārējo preferenču sistēmu, vai divpusēji, izmantojot tirdzniecības nolīgumus, par kuriem panākta vienošanās, vai daudzpusējām iniciatīvām Pasaules Tirdzniecības organizācijā.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69" w:name="__RefHeading___Toc298312_1346298689"/>
      <w:bookmarkEnd w:id="69"/>
      <w:r>
        <w:rPr/>
        <w:t>21. Priekšlikums: Lēmumu pieņemšana un kohēzija Savienībā</w:t>
      </w:r>
    </w:p>
    <w:p>
      <w:pPr>
        <w:pStyle w:val="P68B1DB1Normal15"/>
        <w:rPr>
          <w:b/>
          <w:b/>
        </w:rPr>
      </w:pPr>
      <w:r>
        <w:rPr/>
        <w:t>Mērķis: Mēs ierosinām, lai ES uzlabotu savu spēju ātri un efektīvi pieņemt lēmumus kopējās ārpolitikas un drošības politikas (KĀDP) ietvaros, paužot vienotu nostāju un darbojoties kā patiesi globāla mēroga dalībniece, lai tai būtu pozitīva loma pasaulē un lai rastu pārmaiņas reaģēšanā uz jebkuru krīzi, tostarp:</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Nodrošinot, ka, jo īpaši KĀDP jomā, jautājumi, kas pašlaik tiek pieņemti vienprātīgi, parasti tiek pieņemti ar kvalificētu balsu vairākumu</w:t>
      </w:r>
      <w:r>
        <w:rPr>
          <w:rStyle w:val="Ancredenotedefin"/>
          <w:rStyle w:val="Ancredenotedefin"/>
        </w:rPr>
        <w:endnoteReference w:id="29"/>
      </w:r>
      <w:r>
        <w:rPr/>
        <w:t>.</w:t>
      </w:r>
    </w:p>
    <w:p>
      <w:pPr>
        <w:pStyle w:val="Puce3"/>
        <w:tabs>
          <w:tab w:val="clear" w:pos="720"/>
        </w:tabs>
        <w:rPr/>
      </w:pPr>
      <w:r>
        <w:rPr/>
        <w:t>2.</w:t>
        <w:tab/>
        <w:t>Balstīt sadarbību uz drošības un aizsardzības politiku uz nesen apstiprināto stratēģisko kompasu un izmantot Eiropas Miera nodrošināšanas fondu</w:t>
      </w:r>
      <w:r>
        <w:rPr>
          <w:rStyle w:val="Ancredenotedefin"/>
          <w:rStyle w:val="Ancredenotedefin"/>
        </w:rPr>
        <w:endnoteReference w:id="30"/>
      </w:r>
      <w:r>
        <w:rPr/>
        <w:t>.</w:t>
      </w:r>
    </w:p>
    <w:p>
      <w:pPr>
        <w:pStyle w:val="Puce3"/>
        <w:tabs>
          <w:tab w:val="clear" w:pos="720"/>
        </w:tabs>
        <w:rPr/>
      </w:pPr>
      <w:r>
        <w:rPr/>
        <w:t>3.</w:t>
        <w:tab/>
        <w:t>Stiprināt Augstā pārstāvja lomu, lai nodrošinātu, ka ES pauž vienotu nostāju</w:t>
      </w:r>
      <w:r>
        <w:rPr>
          <w:rStyle w:val="Ancredenotedefin"/>
          <w:rStyle w:val="Ancredenotedefin"/>
        </w:rPr>
        <w:endnoteReference w:id="31"/>
      </w:r>
      <w:r>
        <w:rPr/>
        <w:t>.</w:t>
      </w:r>
    </w:p>
    <w:p>
      <w:pPr>
        <w:pStyle w:val="Puce3"/>
        <w:tabs>
          <w:tab w:val="clear" w:pos="720"/>
        </w:tabs>
        <w:rPr/>
      </w:pPr>
      <w:r>
        <w:rPr/>
        <w:t>4.</w:t>
        <w:tab/>
        <w:t>Vienoties par stingru redzējumu un kopīgu stratēģiju ES vienotības un lēmumu pieņemšanas spēju nostiprināšanai, lai sagatavotu Savienību turpmākām paplašināšanās kārtām</w:t>
      </w:r>
      <w:r>
        <w:rPr>
          <w:rStyle w:val="Ancredenotedefin"/>
          <w:rStyle w:val="Ancredenotedefin"/>
        </w:rPr>
        <w:endnoteReference w:id="32"/>
      </w:r>
      <w:r>
        <w:rPr/>
        <w:t>.</w:t>
      </w:r>
    </w:p>
    <w:p>
      <w:pPr>
        <w:pStyle w:val="Puce3"/>
        <w:tabs>
          <w:tab w:val="clear" w:pos="720"/>
        </w:tabs>
        <w:rPr/>
      </w:pPr>
      <w:r>
        <w:rPr/>
        <w:t>5.</w:t>
        <w:tab/>
        <w:t>Ātri ratificējot nesen noslēgtos tirdzniecības nolīgumus, neatsakoties no pienācīgas apsvēršanas un apspriešanas.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0" w:name="__RefHeading___Toc298314_1346298689"/>
      <w:bookmarkEnd w:id="70"/>
      <w:r>
        <w:rPr/>
        <w:t>22. Priekšlikums: ES pārredzamība un tās attiecības ar pilsoņiem</w:t>
      </w:r>
    </w:p>
    <w:p>
      <w:pPr>
        <w:pStyle w:val="P68B1DB1Normal15"/>
        <w:rPr>
          <w:b/>
          <w:b/>
        </w:rPr>
      </w:pPr>
      <w:r>
        <w:rPr/>
        <w:t>Mērķis: mēs ierosinām, lai ES, jo īpaši tās darbībās starptautiskā līmenī, tostarp tirdzniecības sarunās, palielinātu tās pieejamību iedzīvotājiem, uzlabojot informāciju, izglītību, pilsoņu līdzdalību un pārredzamību,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Stiprināt saiknes ar iedzīvotājiem un vietējām iestādēm, lai uzlabotu pārredzamību, sasniegtu iedzīvotājus un labāk komunicētu un uzturētu sakarus ar viņiem par konkrētām ES iniciatīvām starptautiskā līmenī</w:t>
      </w:r>
      <w:r>
        <w:rPr>
          <w:rStyle w:val="Ancredenotedefin"/>
          <w:rStyle w:val="Ancredenotedefin"/>
        </w:rPr>
        <w:endnoteReference w:id="33"/>
      </w:r>
      <w:r>
        <w:rPr/>
        <w:t>.</w:t>
      </w:r>
    </w:p>
    <w:p>
      <w:pPr>
        <w:pStyle w:val="Puce3"/>
        <w:tabs>
          <w:tab w:val="clear" w:pos="720"/>
        </w:tabs>
        <w:rPr/>
      </w:pPr>
      <w:r>
        <w:rPr/>
        <w:t>2.</w:t>
        <w:tab/>
        <w:t>Lielāka pilsoņu līdzdalība ES starptautiskajā politikā un pasākumos, kuros tieši piedalās iedzīvotāji, piemēram, konferencē par Eiropas nākotni, kas tiek organizēta valsts, vietējā un Eiropas līmenī</w:t>
      </w:r>
      <w:r>
        <w:rPr>
          <w:rStyle w:val="Ancredenotedefin"/>
          <w:rStyle w:val="Ancredenotedefin"/>
        </w:rPr>
        <w:endnoteReference w:id="34"/>
      </w:r>
      <w:r>
        <w:rPr/>
        <w:t xml:space="preserve"> un kurā aktīvi piedalās organizēta pilsoniskā sabiedrība</w:t>
      </w:r>
      <w:r>
        <w:rPr>
          <w:rStyle w:val="Ancredenotedefin"/>
          <w:rStyle w:val="Ancredenotedefin"/>
        </w:rPr>
        <w:endnoteReference w:id="35"/>
      </w:r>
      <w:r>
        <w:rPr/>
        <w:t>.</w:t>
      </w:r>
    </w:p>
    <w:p>
      <w:pPr>
        <w:pStyle w:val="Puce3"/>
        <w:tabs>
          <w:tab w:val="clear" w:pos="720"/>
        </w:tabs>
        <w:rPr/>
      </w:pPr>
      <w:r>
        <w:rPr/>
        <w:t>3.</w:t>
        <w:tab/>
        <w:t>Visu attiecīgo ieinteresēto personu pilnīgs atbalsts iedzīvotājiem, kuri izvēlas piedalīties organizētas pilsoniskās sabiedrības organizācijās, kā tas ir bijis Covid-19 un Ukrainas gadījumā.</w:t>
      </w:r>
    </w:p>
    <w:p>
      <w:pPr>
        <w:pStyle w:val="Puce3"/>
        <w:tabs>
          <w:tab w:val="clear" w:pos="720"/>
        </w:tabs>
        <w:rPr/>
      </w:pPr>
      <w:r>
        <w:rPr/>
        <w:t>4.</w:t>
        <w:tab/>
        <w:t>Īpaša budžeta piešķiršana izglītības programmu izstrādei par ES darbību un tās vērtībām, ko tā varētu ierosināt dalībvalstīm, ja tās to vēlas, lai tās varētu integrēt savās mācību programmās (pamatskolas, vidusskolas un universitātes). Turklāt studentiem, kas vēlas studēt citā Eiropas valstī, izmantojot Erasmus programmu, varētu piedāvāt īpašu kursu par Savienību un tās darbību. Studentiem, kuri izvēlas šo kursu, tiks piešķirta prioritāte, lai gūtu labumu no Erasmus programmām.</w:t>
      </w:r>
    </w:p>
    <w:p>
      <w:pPr>
        <w:pStyle w:val="Puce3"/>
        <w:tabs>
          <w:tab w:val="clear" w:pos="720"/>
        </w:tabs>
        <w:rPr/>
      </w:pPr>
      <w:r>
        <w:rPr/>
        <w:t>5.</w:t>
        <w:tab/>
        <w:t>Uzlabot ES plašsaziņas līdzekļu stratēģiju, palielinot pamanāmību sociālajos plašsaziņas līdzekļos un aktīvi popularizējot tās saturu; inovācijas veicināšana, uzlabojot ES klātbūtnes sociālajos plašsaziņas līdzekļos pieejamību</w:t>
      </w:r>
      <w:r>
        <w:rPr>
          <w:rStyle w:val="Ancredenotedefin"/>
          <w:rStyle w:val="Ancredenotedefin"/>
        </w:rPr>
        <w:endnoteReference w:id="36"/>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1" w:name="__RefHeading___Toc298316_1346298689"/>
      <w:bookmarkEnd w:id="71"/>
      <w:r>
        <w:rPr/>
        <w:t>23. Priekšlikums: ES kā pasaules līdere miera un drošības jomā</w:t>
      </w:r>
    </w:p>
    <w:p>
      <w:pPr>
        <w:pStyle w:val="P68B1DB1Normal15"/>
        <w:rPr>
          <w:b/>
          <w:b/>
        </w:rPr>
      </w:pPr>
      <w:r>
        <w:rPr/>
        <w:t>Mērķis: mēs ierosinām ES turpināt rīkoties, lai veicinātu dialogu un nodrošinātu mieru un uz noteikumiem balstītu starptautisko kārtību, stiprinot multilaterālismu un pamatojoties uz ieilgušajām ES miera iniciatīvām, kas veicināja Nobela prēmijas piešķiršanu 2012. gadā, vienlaikus stiprinot tās kopējo drošību ar šādiem pasākumiem: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b/>
        </w:rPr>
        <w:endnoteReference w:id="37"/>
      </w:r>
      <w:r>
        <w:rPr>
          <w:rStyle w:val="Ancredenotedefin"/>
          <w:rStyle w:val="Ancredenotedefin"/>
          <w:b/>
        </w:rPr>
        <w:endnoteReference w:id="38"/>
      </w:r>
      <w:r>
        <w:rPr/>
        <w:t>:</w:t>
      </w:r>
    </w:p>
    <w:p>
      <w:pPr>
        <w:pStyle w:val="Puce3"/>
        <w:tabs>
          <w:tab w:val="clear" w:pos="720"/>
        </w:tabs>
        <w:rPr/>
      </w:pPr>
      <w:r>
        <w:rPr/>
        <w:t>1.</w:t>
        <w:tab/>
        <w:t>Kopīgi bruņotie spēki, ko izmanto pašaizsardzības nolūkos un kas paredzēti, lai novērstu jebkāda veida agresīvu militāru darbību, un kas spēj sniegt palīdzību krīzes laikā, tostarp dabas katastrofas gadījumā. Ārpus Eiropas robežām tos varētu izvietot ārkārtas apstākļos, vēlams saskaņā ar Apvienoto Nāciju Organizācijas Drošības padomes juridiskām pilnvarām un tādējādi saskaņā ar starptautiskajām tiesībām</w:t>
      </w:r>
      <w:r>
        <w:rPr>
          <w:rStyle w:val="Ancredenotedefin"/>
          <w:rStyle w:val="Ancredenotedefin"/>
        </w:rPr>
        <w:endnoteReference w:id="39"/>
      </w:r>
      <w:r>
        <w:rPr/>
        <w:t>, nekonkurējot ar NATO, nedublējot NATO un respektējot dažādās valstu attiecības ar NATO; šajā sakarā būtu jāizvērtē ES attiecības ar NATO saistībā ar debatēm par ES stratēģisko autonomiju.</w:t>
      </w:r>
    </w:p>
    <w:p>
      <w:pPr>
        <w:pStyle w:val="Normal"/>
        <w:rPr/>
      </w:pPr>
      <w:r>
        <w:rPr/>
      </w:r>
    </w:p>
    <w:p>
      <w:pPr>
        <w:pStyle w:val="Puce3"/>
        <w:tabs>
          <w:tab w:val="clear" w:pos="720"/>
        </w:tabs>
        <w:rPr/>
      </w:pPr>
      <w:r>
        <w:rPr/>
        <w:t>2.</w:t>
        <w:tab/>
        <w:t>Vadošā loma pēckara globālās drošības kārtības veidošanā Ukrainā, pamatojoties uz nesen pieņemto ES stratēģisko kompasu.</w:t>
      </w:r>
    </w:p>
    <w:p>
      <w:pPr>
        <w:pStyle w:val="Puce3"/>
        <w:tabs>
          <w:tab w:val="clear" w:pos="720"/>
        </w:tabs>
        <w:rPr/>
      </w:pPr>
      <w:r>
        <w:rPr/>
        <w:t>3.</w:t>
        <w:tab/>
        <w:t>Tās stratēģiskās pētniecības un spēju aizsardzība tādās prioritārās nozarēs kā kosmosa nozare, kiberdrošība, medicīnas nozare un vide</w:t>
      </w:r>
      <w:r>
        <w:rPr>
          <w:rStyle w:val="Ancredenotedefin"/>
          <w:rStyle w:val="Ancredenotedefin"/>
        </w:rPr>
        <w:endnoteReference w:id="40"/>
      </w:r>
      <w:r>
        <w:rPr/>
        <w:t>.</w:t>
      </w:r>
    </w:p>
    <w:p>
      <w:pPr>
        <w:pStyle w:val="Puce3"/>
        <w:tabs>
          <w:tab w:val="clear" w:pos="720"/>
        </w:tabs>
        <w:rPr/>
      </w:pPr>
      <w:r>
        <w:rPr/>
        <w:t>4.</w:t>
        <w:tab/>
        <w:t>To operatīvo spēju stiprināšana, kas vajadzīgas, lai nodrošinātu Līguma par Eiropas Savienību 42. panta 7. punktā paredzētās savstarpējās palīdzības klauzulas efektivitāti, kas garantē pienācīgu ES aizsardzību jebkurai dalībvalstij, kurai uzbrukusi trešā valsts.</w:t>
      </w:r>
    </w:p>
    <w:p>
      <w:pPr>
        <w:pStyle w:val="Puce3"/>
        <w:tabs>
          <w:tab w:val="clear" w:pos="720"/>
        </w:tabs>
        <w:rPr/>
      </w:pPr>
      <w:r>
        <w:rPr/>
        <w:t>5.</w:t>
        <w:tab/>
        <w:t>Pārdomas par to, kā objektīvi un faktiski apkarot dezinformāciju un propagandu.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2" w:name="__RefHeading___Toc298318_1346298689"/>
      <w:bookmarkEnd w:id="72"/>
      <w:r>
        <w:rPr/>
        <w:t>24. Priekšlikums: ES kā vadoša pasaules mēroga dalībniece attiecību veidošanā</w:t>
      </w:r>
    </w:p>
    <w:p>
      <w:pPr>
        <w:pStyle w:val="P68B1DB1Normal15"/>
        <w:rPr>
          <w:b/>
          <w:b/>
        </w:rPr>
      </w:pPr>
      <w:r>
        <w:rPr/>
        <w:t>Mērķis: Mēs ierosinām ES attiecībās ar trešām valstīm: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Vairāk izmantot tās kolektīvo politisko un ekonomisko ietekmi, paužot vienotu nostāju un rīkojoties vienoti, dažas dalībvalstis nesadalot Savienību ar nepiemērotām divpusējām intervencēm</w:t>
      </w:r>
      <w:r>
        <w:rPr>
          <w:rStyle w:val="Ancredenotedefin"/>
          <w:rStyle w:val="Ancredenotedefin"/>
        </w:rPr>
        <w:endnoteReference w:id="41"/>
      </w:r>
      <w:r>
        <w:rPr/>
        <w:t>.</w:t>
      </w:r>
    </w:p>
    <w:p>
      <w:pPr>
        <w:pStyle w:val="Puce3"/>
        <w:tabs>
          <w:tab w:val="clear" w:pos="720"/>
        </w:tabs>
        <w:rPr/>
      </w:pPr>
      <w:r>
        <w:rPr/>
        <w:t>2.</w:t>
        <w:tab/>
        <w:t>Stiprina tās spēju sodīt valstis, valdības, organizācijas, grupas vai organizācijas, kā arī personas, kas neievēro tās pamatprincipus, nolīgumus un likumus, un nodrošina, ka spēkā esošās sankcijas tiek ātri īstenotas un piemērotas. Sodiem, kas uzlikti trešām valstīm, vajadzētu būt samērīgiem ar rīcību, kas tos izraisīja, tiem vajadzētu būt efektīviem un piemērotiem laikus</w:t>
      </w:r>
      <w:r>
        <w:rPr>
          <w:rStyle w:val="Ancredenotedefin"/>
          <w:rStyle w:val="Ancredenotedefin"/>
        </w:rPr>
        <w:endnoteReference w:id="42"/>
      </w:r>
      <w:r>
        <w:rPr/>
        <w:t>.</w:t>
      </w:r>
    </w:p>
    <w:p>
      <w:pPr>
        <w:pStyle w:val="Puce3"/>
        <w:tabs>
          <w:tab w:val="clear" w:pos="720"/>
        </w:tabs>
        <w:rPr/>
      </w:pPr>
      <w:r>
        <w:rPr/>
        <w:t>3.</w:t>
        <w:tab/>
        <w:t>Veicina ilgtspējīgu un uz noteikumiem balstītu tirdzniecību, vienlaikus paverot jaunas tirdzniecības un ieguldījumu iespējas Eiropas uzņēmumiem. Lai gan divpusēji tirdzniecības un ieguldījumu nolīgumi ir būtiski, lai veicinātu Eiropas konkurētspēju, ir vajadzīgi standarti un noteikumi, lai nodrošinātu vienlīdzīgus konkurences apstākļus. ES arī turpmāk jābūt aktīvam un uzticamam partnerim sarunās par tirdzniecības nolīgumiem, to noslēgšanā un īstenošanā, kuros noteikti arī augsti ilgtspējas standarti.</w:t>
      </w:r>
    </w:p>
    <w:p>
      <w:pPr>
        <w:pStyle w:val="Puce3"/>
        <w:tabs>
          <w:tab w:val="clear" w:pos="720"/>
        </w:tabs>
        <w:rPr/>
      </w:pPr>
      <w:r>
        <w:rPr/>
        <w:t>4.</w:t>
        <w:tab/>
        <w:t>Noslēdza galvenos starptautiskās sadarbības nolīgumus, pārstāvot Eiropas Savienību, nevis atsevišķas valstis</w:t>
      </w:r>
      <w:r>
        <w:rPr>
          <w:rStyle w:val="Ancredenotedefin"/>
          <w:rStyle w:val="Ancredenotedefin"/>
        </w:rPr>
        <w:endnoteReference w:id="43"/>
      </w:r>
      <w:r>
        <w:rPr/>
        <w:t>.</w:t>
      </w:r>
    </w:p>
    <w:p>
      <w:pPr>
        <w:pStyle w:val="Puce3"/>
        <w:tabs>
          <w:tab w:val="clear" w:pos="720"/>
        </w:tabs>
        <w:rPr/>
      </w:pPr>
      <w:r>
        <w:rPr/>
        <w:t>5.</w:t>
        <w:tab/>
        <w:t>Reformēt ES tirdzniecības un ieguldījumu politiku, lai atjaunotu globālo multilaterālismu ar mērķi radīt pienācīgas darbvietas un aizsargāt cilvēka pamattiesības, tostarp darba ņēmēju tiesības un arodbiedrību tiesības, saglabāt vidi un bioloģisko daudzveidību un ievērot Parīzes nolīgumu par klimata pārmaiņām, nodrošināt kvalitatīvus sabiedriskos pakalpojumus un stiprināt Eiropas rūpniecisko bāzi. ES būtu jāveicina globālā multilaterālisma atjaunošana, veicot padziļinātas reformas, kuru pamatā ir demokrātija un miers, solidaritāte un cilvēktiesību, sociālo un vides tiesību ievērošana, kā arī stiprinot SDO lomu.</w:t>
      </w:r>
    </w:p>
    <w:p>
      <w:pPr>
        <w:pStyle w:val="Puce3"/>
        <w:tabs>
          <w:tab w:val="clear" w:pos="720"/>
        </w:tabs>
        <w:rPr/>
      </w:pPr>
      <w:r>
        <w:rPr/>
        <w:t>6.</w:t>
        <w:tab/>
        <w:t>Ietver cīņu pret cilvēku tirdzniecību un nelegālo imigrāciju, kā arī sadarbību iespējamās atgriešanas operācijās, sadarbības un ieguldījumu nolīgumos ar trešām valstīm.</w:t>
      </w:r>
    </w:p>
    <w:p>
      <w:pPr>
        <w:pStyle w:val="Puce3"/>
        <w:tabs>
          <w:tab w:val="clear" w:pos="720"/>
        </w:tabs>
        <w:rPr/>
      </w:pPr>
      <w:r>
        <w:rPr/>
        <w:t>7.</w:t>
        <w:tab/>
        <w:t>Veidot partnerības ar jaunattīstības valstīm, lai atbalstītu to infrastruktūru un apsvērtu abpusēji izdevīgus tirdzniecības nolīgumus, kas tām palīdzētu pārejā uz videi draudzīgiem enerģijas avotiem</w:t>
      </w:r>
      <w:r>
        <w:rPr>
          <w:rStyle w:val="Ancredenotedefin"/>
          <w:rStyle w:val="Ancredenotedefin"/>
        </w:rPr>
        <w:endnoteReference w:id="44"/>
      </w:r>
      <w:r>
        <w:rPr/>
        <w:t>.</w:t>
      </w:r>
    </w:p>
    <w:p>
      <w:pPr>
        <w:pStyle w:val="Puce3"/>
        <w:tabs>
          <w:tab w:val="clear" w:pos="720"/>
        </w:tabs>
        <w:rPr/>
      </w:pPr>
      <w:r>
        <w:rPr/>
        <w:t>8.</w:t>
        <w:tab/>
        <w:t>Izstrādā efektīvāku un vienotāku politiku attiecībā uz autokrātiskiem un hibrīdrežīmiem un attīsta partnerības ar pilsoniskās sabiedrības organizācijām šajās valstīs.</w:t>
      </w:r>
    </w:p>
    <w:p>
      <w:pPr>
        <w:pStyle w:val="Puce3"/>
        <w:tabs>
          <w:tab w:val="clear" w:pos="720"/>
        </w:tabs>
        <w:rPr/>
      </w:pPr>
      <w:r>
        <w:rPr/>
        <w:t>9.</w:t>
        <w:tab/>
        <w:t>Palielina ES vēlēšanu novērošanas misiju resursus.</w:t>
      </w:r>
    </w:p>
    <w:p>
      <w:pPr>
        <w:pStyle w:val="Puce3"/>
        <w:tabs>
          <w:tab w:val="clear" w:pos="720"/>
        </w:tabs>
        <w:rPr/>
      </w:pPr>
      <w:r>
        <w:rPr/>
        <w:t>10.</w:t>
        <w:tab/>
        <w:t>Piedāvā ticamas izredzes pievienoties kandidātvalstīm un potenciālajām kandidātvalstīm, lai veicinātu mieru un stabilitāti Eiropā un nodrošinātu labklājību miljoniem eiropiešu</w:t>
      </w:r>
      <w:r>
        <w:rPr>
          <w:rStyle w:val="Ancredenotedefin"/>
          <w:rStyle w:val="Ancredenotedefin"/>
        </w:rPr>
        <w:endnoteReference w:id="4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t>PIEZĪME: Vairāki darba grupas locekļi uzskata, ka priekšlikumi “Samazināt ES atkarību no ārvalstu dalībniekiem enerģētikas jomā” un “ES pārredzamība un tās attiecības ar iedzīvotājiem” jo īpaši ietilpst citās darba grupās. Daži locekļi papildus kvalificēta vairākuma balsošanai vēlējās minēt alternatīvas vienprātībai Padomē, piemēram, mainīgo ģeometriju, nepiedalīšanās klauzulas un ciešāku sadarbību. Daži darba grupas locekļi aicināja priekšlikumā “standartu noteikšana ES un ārpus tās tirdzniecības un ieguldījumu attiecībās” lietot terminu “ilgtspējīgs”, nevis “ētisks”. Pastāv viedokļu atšķirības par to, vai jauno dalībvalstu pievienošanās arī turpmāk prasītu visu pašreizējo dalībvalstu vienprātīgu piekrišanu. Radās dažādi viedokļi par vēlamo kopējo bruņoto spēku pakāpi. Divi locekļi atsaucās uz Īrijas vienotības perspektīvu gadījumā, ja Ziemeļīrija balsotu šajā virzienā saskaņā ar Lielās piektdienas vienošanās noteikumiem, un uz nepieciešamību Savienībai būt gatavai šādai iespējamībai.</w:t>
      </w:r>
    </w:p>
    <w:p>
      <w:pPr>
        <w:pStyle w:val="Normal"/>
        <w:rPr/>
      </w:pPr>
      <w:r>
        <w:rPr/>
      </w:r>
      <w:r>
        <w:br w:type="page"/>
      </w:r>
    </w:p>
    <w:p>
      <w:pPr>
        <w:pStyle w:val="Normal"/>
        <w:rPr/>
      </w:pPr>
      <w:r>
        <w:rPr/>
        <w:drawing>
          <wp:anchor behindDoc="0" distT="0" distB="0" distL="0" distR="0" simplePos="0" locked="0" layoutInCell="1" allowOverlap="1" relativeHeight="11">
            <wp:simplePos x="0" y="0"/>
            <wp:positionH relativeFrom="column">
              <wp:posOffset>19050</wp:posOffset>
            </wp:positionH>
            <wp:positionV relativeFrom="paragraph">
              <wp:posOffset>17145</wp:posOffset>
            </wp:positionV>
            <wp:extent cx="913765" cy="913765"/>
            <wp:effectExtent l="0" t="0" r="0" b="0"/>
            <wp:wrapSquare wrapText="largest"/>
            <wp:docPr id="65" name="Attēls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ttēls25" descr=""/>
                    <pic:cNvPicPr>
                      <a:picLocks noChangeAspect="1" noChangeArrowheads="1"/>
                    </pic:cNvPicPr>
                  </pic:nvPicPr>
                  <pic:blipFill>
                    <a:blip r:embed="rId77"/>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73" w:name="__RefHeading___Toc298320_1346298689"/>
      <w:bookmarkEnd w:id="73"/>
      <w:r>
        <w:rPr/>
        <w:t>Vērtības un tiesības, tiesiskums, drošība</w:t>
      </w:r>
    </w:p>
    <w:p>
      <w:pPr>
        <w:pStyle w:val="Titre3"/>
        <w:numPr>
          <w:ilvl w:val="2"/>
          <w:numId w:val="2"/>
        </w:numPr>
        <w:rPr/>
      </w:pPr>
      <w:bookmarkStart w:id="74" w:name="__RefHeading___Toc298322_1346298689"/>
      <w:bookmarkEnd w:id="74"/>
      <w:r>
        <w:rPr/>
        <w:t>25. Priekšlikums: Tiesiskums, demokrātiskās vērtības un Eiropas identitāte</w:t>
      </w:r>
    </w:p>
    <w:p>
      <w:pPr>
        <w:pStyle w:val="P68B1DB1Normal15"/>
        <w:rPr>
          <w:b/>
          <w:b/>
        </w:rPr>
      </w:pPr>
      <w:r>
        <w:rPr/>
        <w:t>Mērķis: Sistemātiski ievērot tiesiskumu visās dalībvalstīs, tostarp:</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46"/>
      </w:r>
      <w:r>
        <w:rPr/>
        <w:t>:</w:t>
      </w:r>
    </w:p>
    <w:p>
      <w:pPr>
        <w:pStyle w:val="Puce3"/>
        <w:tabs>
          <w:tab w:val="clear" w:pos="720"/>
        </w:tabs>
        <w:rPr/>
      </w:pPr>
      <w:r>
        <w:rPr/>
        <w:t>1.</w:t>
        <w:tab/>
        <w:t>Nodrošināt, ka ES līgumos un Eiropas Savienības Pamattiesību hartā nostiprinātās vērtības un principi nav apspriežami un neatgriezeniski un ir sine qua non nosacījumi dalībai Savienībā un pievienošanās Savienībai. ES vērtības ir pilnībā jāievēro visās dalībvalstīs; tām būtu arī jādarbojas kā starptautiskam standartam un ar diplomātijas un dialoga palīdzību jāveido piesaistes punkts. Savienības paplašināšanās nedrīkst apdraudēt ES acquis attiecībā uz pamatvērtībām un pilsoņu tiesībām</w:t>
      </w:r>
      <w:r>
        <w:rPr>
          <w:rStyle w:val="Ancredenotedefin"/>
          <w:rStyle w:val="Ancredenotedefin"/>
        </w:rPr>
        <w:endnoteReference w:id="47"/>
      </w:r>
      <w:r>
        <w:rPr/>
        <w:t>.</w:t>
      </w:r>
    </w:p>
    <w:p>
      <w:pPr>
        <w:pStyle w:val="Puce3"/>
        <w:tabs>
          <w:tab w:val="clear" w:pos="720"/>
        </w:tabs>
        <w:rPr/>
      </w:pPr>
      <w:r>
        <w:rPr/>
        <w:t>2.</w:t>
        <w:tab/>
        <w:t>Padarot Eiropas vērtības par taustāmu realitāti ES pilsoņiem, jo īpaši ar interaktīvāku un tiešu līdzdalību, būtu jāstiprina Eiropas pilsonība, piemēram, izmantojot Savienības pilsoņa statusu ar pilsoņu tiesībām un brīvībām, kā arī Eiropas pārrobežu apvienību un bezpeļņas organizāciju statūtus. Tāpat Eiropas vērtības būtu jāveicina, izmantojot “integrācijas portfeli”, kas ietver izglītojošus elementus un informatīvus materiālus iedzīvotājiem. Visbeidzot, Eiropas audiovizuālo un tiešsaistes plašsaziņas līdzekļu publiskā telpa būtu jāveido, izmantojot jaunas ES investīcijas, uzlabojot esošās plašsaziņas līdzekļu platformas un palielinot atbalstu vairāk nekā 500 vietējā līmenī esošajiem Eiropas vietējiem birojiem</w:t>
      </w:r>
      <w:r>
        <w:rPr>
          <w:rStyle w:val="Ancredenotedefin"/>
          <w:rStyle w:val="Ancredenotedefin"/>
        </w:rPr>
        <w:endnoteReference w:id="48"/>
      </w:r>
      <w:r>
        <w:rPr/>
        <w:t xml:space="preserve">. </w:t>
      </w:r>
    </w:p>
    <w:p>
      <w:pPr>
        <w:pStyle w:val="Puce3"/>
        <w:tabs>
          <w:tab w:val="clear" w:pos="720"/>
        </w:tabs>
        <w:rPr/>
      </w:pPr>
      <w:r>
        <w:rPr/>
        <w:t>3.</w:t>
        <w:tab/>
        <w:t>Eiropas Savienības Pamattiesību hartai vajadzētu būt vispārēji piemērojamai. Turklāt būtu jāorganizē ikgadējas konferences par tiesiskumu (pēc Komisijas ziņojuma par tiesiskumu), kurās piedalās delegācijas no visām dalībvalstīm, kuru sastāvā ir pilsoņi, ierēdņi, parlamentārieši, vietējās iestādes, sociālie partneri un pilsoniskā sabiedrība un kuras izvēlas izlases veidā un dažādi. Ir svarīgi arī turpmāk atbalstīt organizācijas, tostarp pilsoniskās sabiedrības organizācijas, kas veicina tiesiskumu uz vietas</w:t>
      </w:r>
      <w:r>
        <w:rPr>
          <w:rStyle w:val="Ancredenotedefin"/>
          <w:rStyle w:val="Ancredenotedefin"/>
        </w:rPr>
        <w:endnoteReference w:id="49"/>
      </w:r>
      <w:r>
        <w:rPr/>
        <w:t>.</w:t>
      </w:r>
    </w:p>
    <w:p>
      <w:pPr>
        <w:pStyle w:val="Puce3"/>
        <w:tabs>
          <w:tab w:val="clear" w:pos="720"/>
        </w:tabs>
        <w:rPr/>
      </w:pPr>
      <w:r>
        <w:rPr/>
        <w:t>4.</w:t>
        <w:tab/>
        <w:t>Efektīvi piemērojot tā saukto savstarpējās atbilstības regulu, novērtējot minētās regulas un citu tiesiskuma instrumentu darbības jomu, kā arī apsverot to darbības jomas paplašināšanu, attiecinot to uz jaunām jomām neatkarīgi no to nozīmīguma Savienības budžetā. Visi nepieciešamie tiesiskās aizsardzības līdzekļi, tostarp Līgumu grozījumi, būtu jāuzskata par tādiem, kas soda par tiesiskuma pārkāpumiem</w:t>
      </w:r>
      <w:r>
        <w:rPr>
          <w:rStyle w:val="Ancredenotedefin"/>
          <w:rStyle w:val="Ancredenotedefin"/>
        </w:rPr>
        <w:endnoteReference w:id="50"/>
      </w:r>
      <w:r>
        <w:rPr/>
        <w:t>.</w:t>
      </w:r>
    </w:p>
    <w:p>
      <w:pPr>
        <w:pStyle w:val="Puce3"/>
        <w:tabs>
          <w:tab w:val="clear" w:pos="720"/>
        </w:tabs>
        <w:rPr/>
      </w:pPr>
      <w:r>
        <w:rPr/>
        <w:t>5.</w:t>
        <w:tab/>
        <w:t>Veicināt izglītības un plašsaziņas līdzekļu programmas, kas migrantu integrācijas procesa centrā izvirza Savienības vērtības un veicina mijiedarbību starp Savienības pilsoņiem un migrantiem, lai nodrošinātu viņu veiksmīgu integrāciju Savienības sabiedrībā un palielinātu Savienības pilsoņu informētību par migrācijas jautājumiem.</w:t>
      </w:r>
      <w:r>
        <w:rPr>
          <w:rStyle w:val="Ancredenotedefin"/>
          <w:rStyle w:val="Ancredenotedefin"/>
        </w:rPr>
        <w:endnoteReference w:id="5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5" w:name="__RefHeading___Toc298324_1346298689"/>
      <w:bookmarkEnd w:id="75"/>
      <w:r>
        <w:rPr/>
        <w:t>26. Priekšlikums: Datu aizsardzība</w:t>
      </w:r>
    </w:p>
    <w:p>
      <w:pPr>
        <w:pStyle w:val="Corpsdetexte"/>
        <w:rPr/>
      </w:pPr>
      <w:r>
        <w:rPr/>
      </w:r>
    </w:p>
    <w:p>
      <w:pPr>
        <w:pStyle w:val="P68B1DB1Normal15"/>
        <w:rPr>
          <w:b/>
          <w:b/>
        </w:rPr>
      </w:pPr>
      <w:r>
        <w:rPr/>
        <w:t>Mērķis: nodrošināt iedzīvotājiem aizsargājošāku un labāku datu apstrādes politiku,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52"/>
      </w:r>
      <w:r>
        <w:rPr/>
        <w:t>:</w:t>
      </w:r>
    </w:p>
    <w:p>
      <w:pPr>
        <w:pStyle w:val="Puce3"/>
        <w:tabs>
          <w:tab w:val="clear" w:pos="720"/>
        </w:tabs>
        <w:rPr/>
      </w:pPr>
      <w:r>
        <w:rPr/>
        <w:t>1.</w:t>
        <w:tab/>
        <w:t>Pilnībā īstenojot un pārskatot spēkā esošos tiesību aktus datu aizsardzības jomā, lai novērtētu vajadzību pēc uzlabotiem izpildes mehānismiem struktūrām, kas apstrādā personas datus, kuri pašlaik ir neatkarīgu valsts datu aizsardzības iestāžu kompetencē, ievērojot subsidiaritātes principu. Šīs vienības būtu jāsoda stingrāk nekā pašlaik, piemērojot noteikumus, proporcionāli to gada apgrozījumam (līdz 4 %) vai pat aizliedzot to darbību, un tām būtu jāveic neatkarīga ikgadēja revīzija</w:t>
      </w:r>
      <w:r>
        <w:rPr>
          <w:rStyle w:val="Ancredenotedefin"/>
          <w:rStyle w:val="Ancredenotedefin"/>
        </w:rPr>
        <w:endnoteReference w:id="53"/>
      </w:r>
      <w:r>
        <w:rPr>
          <w:rStyle w:val="Ancredenotedefin"/>
          <w:rStyle w:val="Ancredenotedefin"/>
        </w:rPr>
        <w:endnoteReference w:id="54"/>
      </w:r>
      <w:r>
        <w:rPr/>
        <w:t>.</w:t>
      </w:r>
    </w:p>
    <w:p>
      <w:pPr>
        <w:pStyle w:val="Puce3"/>
        <w:tabs>
          <w:tab w:val="clear" w:pos="720"/>
        </w:tabs>
        <w:rPr/>
      </w:pPr>
      <w:r>
        <w:rPr/>
        <w:t>2.</w:t>
        <w:tab/>
        <w:t xml:space="preserve">Nodrošinot integrētās privātuma aizsardzības vai noklusējuma privātuma principa lielāku ietekmi, piemēram, izvērtējot un izstrādājot viegli saprotamas, kodolīgas un intuitīvas datu piekrišanas veidlapas un skaidri norādot, kas ir nepieciešams un kas nav. Lietotājiem ir jāspēj sniegt vai atsaukt savu piekrišanu datu apstrādei vienkāršā, ātrā un pastāvīgā veidā. </w:t>
      </w:r>
      <w:r>
        <w:rPr>
          <w:rStyle w:val="Ancredenotedefin"/>
          <w:rStyle w:val="Ancredenotedefin"/>
        </w:rPr>
        <w:endnoteReference w:id="55"/>
      </w:r>
      <w:r>
        <w:rPr/>
        <w:t xml:space="preserve"> </w:t>
      </w:r>
      <w:r>
        <w:rPr>
          <w:rStyle w:val="Ancredenotedefin"/>
          <w:rStyle w:val="Ancredenotedefin"/>
        </w:rPr>
        <w:endnoteReference w:id="56"/>
      </w:r>
    </w:p>
    <w:p>
      <w:pPr>
        <w:pStyle w:val="Puce3"/>
        <w:tabs>
          <w:tab w:val="clear" w:pos="720"/>
        </w:tabs>
        <w:rPr/>
      </w:pPr>
      <w:r>
        <w:rPr/>
        <w:t>3.</w:t>
        <w:tab/>
        <w:t>Izvērtēt un ieviest skaidrākus un aizsargājošākus noteikumus par nepilngadīgu personu datu apstrādi, iespējams, ES VDAR, jo īpaši izveidojot īpašu kategoriju sensitīviem nepilngadīgo datiem un saskaņojot minimālo piekrišanas vecumu dalībvalstīs. Lai gan lielākā daļa privātuma un informētības palielināšanas noteikumu īstenošanas arī turpmāk būtu jāiekļauj dalībvalstu kompetencē, jo īpaši palielinot ieguldījumus un resursus valstu līmenī, arī Savienībai vajadzētu būt svarīgākai lomai, piemēram, veidojot Eiropas kompetences pilsoniskajā izglītībā par datu aizsardzību</w:t>
      </w:r>
      <w:r>
        <w:rPr>
          <w:rStyle w:val="Ancredenotedefin"/>
          <w:rStyle w:val="Ancredenotedefin"/>
        </w:rPr>
        <w:endnoteReference w:id="57"/>
      </w:r>
      <w:r>
        <w:rPr/>
        <w:t>.</w:t>
      </w:r>
    </w:p>
    <w:p>
      <w:pPr>
        <w:pStyle w:val="Puce3"/>
        <w:tabs>
          <w:tab w:val="clear" w:pos="720"/>
        </w:tabs>
        <w:rPr/>
      </w:pPr>
      <w:r>
        <w:rPr/>
        <w:t>4.</w:t>
        <w:tab/>
        <w:t>Labāka atbilstība atbilstības kritērijiem, ko piemēro Eiropas un valstu datu aizsardzības iestādēm attiecībā uz kvalifikāciju un piemērotību, lai nodrošinātu to locekļu maksimālu neatkarību.</w:t>
      </w:r>
      <w:r>
        <w:rPr>
          <w:rStyle w:val="Ancredenotedefin"/>
          <w:rStyle w:val="Ancredenotedefin"/>
        </w:rPr>
        <w:endnoteReference w:id="58"/>
      </w:r>
      <w:r>
        <w:rPr/>
        <w:t xml:space="preserve"> </w:t>
      </w:r>
      <w:r>
        <w:rPr>
          <w:rStyle w:val="Ancredenotedefin"/>
          <w:rStyle w:val="Ancredenotedefin"/>
        </w:rPr>
        <w:endnoteReference w:id="59"/>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6" w:name="__RefHeading___Toc298326_1346298689"/>
      <w:bookmarkEnd w:id="76"/>
      <w:r>
        <w:rPr/>
        <w:t>27. Priekšlikums: Plašsaziņas līdzekļi, viltus ziņas, dezinformācija, faktu pārbaude, kiberdrošība</w:t>
      </w:r>
    </w:p>
    <w:p>
      <w:pPr>
        <w:pStyle w:val="P68B1DB1Normal15"/>
        <w:rPr>
          <w:b/>
          <w:b/>
        </w:rPr>
      </w:pPr>
      <w:r>
        <w:rPr/>
        <w:t>Mērķis: Apkarot dezinformāciju, palielinot plašsaziņas līdzekļu neatkarības un plurālisma un plašsaziņas līdzekļu lietotprasmes veicināšanu,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60"/>
      </w:r>
      <w:r>
        <w:rPr/>
        <w:t>:</w:t>
      </w:r>
    </w:p>
    <w:p>
      <w:pPr>
        <w:pStyle w:val="Puce3"/>
        <w:tabs>
          <w:tab w:val="clear" w:pos="720"/>
        </w:tabs>
        <w:rPr/>
      </w:pPr>
      <w:r>
        <w:rPr/>
        <w:t>1.</w:t>
        <w:tab/>
        <w:t>Ieviest tiesību aktus, lai apkarotu draudus plašsaziņas līdzekļu neatkarībai, nosakot minimālos standartus, kas piemērojami visā Savienībā, tostarp pārskatot plašsaziņas līdzekļu uzņēmējdarbības modeli, lai nodrošinātu Eiropas plašsaziņas līdzekļu tirgus integritāti un neatkarību</w:t>
      </w:r>
      <w:r>
        <w:rPr>
          <w:rStyle w:val="Ancredenotedefin"/>
          <w:rStyle w:val="Ancredenotedefin"/>
        </w:rPr>
        <w:endnoteReference w:id="61"/>
      </w:r>
      <w:r>
        <w:rPr/>
        <w:t>.</w:t>
      </w:r>
    </w:p>
    <w:p>
      <w:pPr>
        <w:pStyle w:val="Puce3"/>
        <w:tabs>
          <w:tab w:val="clear" w:pos="720"/>
        </w:tabs>
        <w:rPr/>
      </w:pPr>
      <w:r>
        <w:rPr/>
        <w:t>2.</w:t>
        <w:tab/>
        <w:t>Stingri piemērot ES konkurences noteikumus plašsaziņas līdzekļu nozarē, lai novērstu lielu plašsaziņas līdzekļu monopolu veidošanos un nodrošinātu plašsaziņas līdzekļu plurālismu un neatkarību no jebkādas nevēlamas politiskās, uzņēmējdarbības un/vai ārvalstu iejaukšanās. Būtu jāveicina arī kvalitatīva žurnālistika ar atzītiem un augstiem ētikas un pašregulācijas standartiem</w:t>
      </w:r>
      <w:r>
        <w:rPr>
          <w:rStyle w:val="Ancredenotedefin"/>
          <w:rStyle w:val="Ancredenotedefin"/>
        </w:rPr>
        <w:endnoteReference w:id="62"/>
      </w:r>
      <w:r>
        <w:rPr/>
        <w:t>.</w:t>
      </w:r>
    </w:p>
    <w:p>
      <w:pPr>
        <w:pStyle w:val="Puce3"/>
        <w:tabs>
          <w:tab w:val="clear" w:pos="720"/>
        </w:tabs>
        <w:rPr/>
      </w:pPr>
      <w:r>
        <w:rPr/>
        <w:t>3.</w:t>
        <w:tab/>
        <w:t xml:space="preserve">Izveidot ES struktūru, lai apkarotu mērķtiecīgu dezinformāciju un iejaukšanos, uzlabotu situācijas uztveri un stiprinātu faktu pārbaudes organizācijas un neatkarīgus plašsaziņas līdzekļus. Būtu vēl vairāk jāatbalsta un jāpopularizē arī “ārkārtas numuri” un vietnes, piemēram, Europe Direct, kas ļauj iedzīvotājiem un valstu plašsaziņas līdzekļiem pieprasīt un saņemt pārbaudītu informāciju par ES stratēģijām un politiku. </w:t>
      </w:r>
      <w:r>
        <w:rPr>
          <w:rStyle w:val="Ancredenotedefin"/>
          <w:rStyle w:val="Ancredenotedefin"/>
        </w:rPr>
        <w:endnoteReference w:id="63"/>
      </w:r>
      <w:r>
        <w:rPr/>
        <w:t xml:space="preserve"> </w:t>
      </w:r>
      <w:r>
        <w:rPr>
          <w:rStyle w:val="Ancredenotedefin"/>
          <w:rStyle w:val="Ancredenotedefin"/>
        </w:rPr>
        <w:endnoteReference w:id="64"/>
      </w:r>
    </w:p>
    <w:p>
      <w:pPr>
        <w:pStyle w:val="Puce3"/>
        <w:tabs>
          <w:tab w:val="clear" w:pos="720"/>
        </w:tabs>
        <w:rPr/>
      </w:pPr>
      <w:r>
        <w:rPr/>
        <w:t>4.</w:t>
        <w:tab/>
        <w:t xml:space="preserve">Veicināt plašsaziņas līdzekļu lietotprasmi un sabiedrības informētību par dezinformāciju un netīšu ziņu izplatīšanu, tostarp izmantojot obligāto skolas izglītību. Dalībvalstis būtu arī jāmudina šim nolūkam veltīt pienācīgus cilvēkresursus un finanšu resursus. </w:t>
      </w:r>
      <w:r>
        <w:rPr>
          <w:rStyle w:val="Ancredenotedefin"/>
          <w:rStyle w:val="Ancredenotedefin"/>
        </w:rPr>
        <w:endnoteReference w:id="65"/>
      </w:r>
    </w:p>
    <w:p>
      <w:pPr>
        <w:pStyle w:val="Puce3"/>
        <w:tabs>
          <w:tab w:val="clear" w:pos="720"/>
        </w:tabs>
        <w:rPr/>
      </w:pPr>
      <w:r>
        <w:rPr/>
        <w:t>5.</w:t>
        <w:tab/>
        <w:t>Pamatojoties uz esošajām iniciatīvām, piemēram, Prakses kodeksu dezinformācijas apkarošanai un Eiropas Digitālo plašsaziņas līdzekļu novērošanas centru (EDMO), noteikt tiešsaistes platformām pienākumu publicēt skaidru informāciju par algoritmiem, ko tās izmanto (ar iespēju lietotājiem dot piekrišanu vai ne), un dezinformācijas riskiem, kuriem lietotāji ir pakļauti, vienlaikus saglabājot tiesības uz vārda brīvību un tiesības uz privātumu.</w:t>
      </w:r>
      <w:r>
        <w:rPr>
          <w:rStyle w:val="Ancredenotedefin"/>
          <w:rStyle w:val="Ancredenotedefin"/>
        </w:rPr>
        <w:endnoteReference w:id="66"/>
      </w:r>
      <w:r>
        <w:rPr/>
        <w:t xml:space="preserve"> </w:t>
      </w:r>
      <w:r>
        <w:rPr>
          <w:rStyle w:val="Ancredenotedefin"/>
          <w:rStyle w:val="Ancredenotedefin"/>
        </w:rPr>
        <w:endnoteReference w:id="67"/>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77" w:name="__RefHeading___Toc298328_1346298689"/>
      <w:bookmarkEnd w:id="77"/>
      <w:r>
        <w:rPr/>
        <w:t>28. Priekšlikums: Plašsaziņas līdzekļi, viltus ziņas, dezinformācija, faktu pārbaude, kiberdrošība (bis)</w:t>
      </w:r>
    </w:p>
    <w:p>
      <w:pPr>
        <w:pStyle w:val="P68B1DB1Normal15"/>
        <w:rPr>
          <w:b/>
          <w:b/>
        </w:rPr>
      </w:pPr>
      <w:r>
        <w:rPr/>
        <w:t>Mērķis: stiprināt Savienības lomu kiberdrošības draudu novēršanā,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 xml:space="preserve">Stiprināt Eiropas Savienības Kiberdrošības aģentūru (ENISA), lai labāk aizsargātu personas, organizācijas un iestādes pret kiberdrošības pārkāpumiem un mākslīgā intelekta izmantošanu noziedzīgiem mērķiem. Vienlaikus būtu jāsaglabā personas datu konfidencialitāte un aizsardzība. </w:t>
      </w:r>
      <w:r>
        <w:rPr>
          <w:rStyle w:val="Ancredenotedefin"/>
          <w:rStyle w:val="Ancredenotedefin"/>
        </w:rPr>
        <w:endnoteReference w:id="68"/>
      </w:r>
      <w:r>
        <w:rPr/>
        <w:t xml:space="preserve"> </w:t>
      </w:r>
      <w:r>
        <w:rPr>
          <w:rStyle w:val="Ancredenotedefin"/>
          <w:rStyle w:val="Ancredenotedefin"/>
        </w:rPr>
        <w:endnoteReference w:id="69"/>
      </w:r>
    </w:p>
    <w:p>
      <w:pPr>
        <w:pStyle w:val="Puce3"/>
        <w:tabs>
          <w:tab w:val="clear" w:pos="720"/>
        </w:tabs>
        <w:rPr/>
      </w:pPr>
      <w:r>
        <w:rPr/>
        <w:t>2.</w:t>
        <w:tab/>
        <w:t>Uzlabot valstu kiberdrošības iestāžu koordināciju un pielikt papildu pūles, lai nodrošinātu Savienības noteikumu efektīvu īstenošanu valsts līmenī.</w:t>
      </w:r>
      <w:r>
        <w:rPr>
          <w:rStyle w:val="Ancredenotedefin"/>
          <w:rStyle w:val="Ancredenotedefin"/>
        </w:rPr>
        <w:endnoteReference w:id="70"/>
      </w:r>
      <w:r>
        <w:rPr/>
        <w:t xml:space="preserve"> </w:t>
      </w:r>
      <w:r>
        <w:rPr>
          <w:rStyle w:val="Ancredenotedefin"/>
          <w:rStyle w:val="Ancredenotedefin"/>
        </w:rPr>
        <w:endnoteReference w:id="71"/>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78" w:name="__RefHeading___Toc298330_1346298689"/>
      <w:bookmarkEnd w:id="78"/>
      <w:r>
        <w:rPr/>
        <w:t>29. Priekšlikums: Cīņa pret diskrimināciju, vienlīdzību un dzīves kvalitāti</w:t>
      </w:r>
    </w:p>
    <w:p>
      <w:pPr>
        <w:pStyle w:val="P68B1DB1Normal15"/>
        <w:rPr>
          <w:b/>
          <w:b/>
        </w:rPr>
      </w:pPr>
      <w:r>
        <w:rPr/>
        <w:t>MĒRĶIS: Veikt pasākumus, lai saskaņotu dzīves apstākļus visā Savienībā un uzlabotu tās iedzīvotāju sociālekonomisko dzīves kvalitāti,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72"/>
      </w:r>
      <w:r>
        <w:rPr/>
        <w:t>:</w:t>
      </w:r>
    </w:p>
    <w:p>
      <w:pPr>
        <w:pStyle w:val="Puce3"/>
        <w:tabs>
          <w:tab w:val="clear" w:pos="720"/>
        </w:tabs>
        <w:rPr/>
      </w:pPr>
      <w:r>
        <w:rPr/>
        <w:t>1.</w:t>
        <w:tab/>
        <w:t>Apspriežoties ar ekspertiem un sociālajiem partneriem, izstrādāt pārredzamus dzīves kvalitātes rādītājus, tostarp ekonomiskos, sociālos un tiesiskuma kritērijus, lai noteiktu skaidru un reālistisku grafiku sociālo standartu paaugstināšanai un kopējas Savienības sociālekonomiskās struktūras izveidei, tostarp īstenojot Eiropas sociālo tiesību pīlāru. Šie pasākumi būtu jāintegrē ekonomikas pārvaldības sistēmā un Eiropas pusgada procesā</w:t>
      </w:r>
      <w:r>
        <w:rPr>
          <w:rStyle w:val="Ancredenotedefin"/>
          <w:rStyle w:val="Ancredenotedefin"/>
        </w:rPr>
        <w:endnoteReference w:id="73"/>
      </w:r>
      <w:r>
        <w:rPr>
          <w:rStyle w:val="Ancredenotedefin"/>
          <w:rStyle w:val="Ancredenotedefin"/>
        </w:rPr>
        <w:endnoteReference w:id="74"/>
      </w:r>
      <w:r>
        <w:rPr/>
        <w:t>.</w:t>
      </w:r>
    </w:p>
    <w:p>
      <w:pPr>
        <w:pStyle w:val="Puce3"/>
        <w:tabs>
          <w:tab w:val="clear" w:pos="720"/>
        </w:tabs>
        <w:rPr/>
      </w:pPr>
      <w:r>
        <w:rPr/>
        <w:t>2.</w:t>
        <w:tab/>
        <w:t>Palielināt un veicināt tiešos publiskos ieguldījumus veselības aprūpē, izglītībā, fiziskajā infrastruktūrā un aprūpē veciem cilvēkiem un personām ar invaliditāti. Papildu ieguldījumiem vajadzētu būt vērstiem arī uz to, lai iedzīvotājiem nodrošinātu apmierinošu darba un privātās dzīves līdzsvaru. Šie ieguldījumi būtu jāveic pilnīgi pārredzamā veidā, lai uzraudzītu visu procesu</w:t>
      </w:r>
      <w:r>
        <w:rPr>
          <w:rStyle w:val="Ancredenotedefin"/>
          <w:rStyle w:val="Ancredenotedefin"/>
        </w:rPr>
        <w:endnoteReference w:id="75"/>
      </w:r>
      <w:r>
        <w:rPr/>
        <w:t>.</w:t>
      </w:r>
    </w:p>
    <w:p>
      <w:pPr>
        <w:pStyle w:val="Puce3"/>
        <w:tabs>
          <w:tab w:val="clear" w:pos="720"/>
        </w:tabs>
        <w:rPr/>
      </w:pPr>
      <w:r>
        <w:rPr/>
        <w:t>3.</w:t>
        <w:tab/>
        <w:t>Veicināt nodokļu uzlikšanu lieliem uzņēmumiem, apkarot piekļuvi nodokļu oāzēm un likvidēt to pastāvēšanu ES, lai palielinātu publiskos ieguldījumus tādās prioritārās jomās kā izglītība (studiju stipendijas, Erasmus) un pētniecība. Cīņai pret izvairīšanos no nodokļu maksāšanas ES līmenī vajadzētu būt arī līdzeklim, kā piesaistīt līdzekļus valsts finansētām iniciatīvām</w:t>
      </w:r>
      <w:r>
        <w:rPr>
          <w:rStyle w:val="Ancredenotedefin"/>
          <w:rStyle w:val="Ancredenotedefin"/>
        </w:rPr>
        <w:endnoteReference w:id="76"/>
      </w:r>
      <w:r>
        <w:rPr>
          <w:rStyle w:val="Ancredenotedefin"/>
          <w:rStyle w:val="Ancredenotedefin"/>
        </w:rPr>
        <w:endnoteReference w:id="77"/>
      </w:r>
      <w:r>
        <w:rPr/>
        <w:t>.</w:t>
      </w:r>
    </w:p>
    <w:p>
      <w:pPr>
        <w:pStyle w:val="Puce3"/>
        <w:tabs>
          <w:tab w:val="clear" w:pos="720"/>
        </w:tabs>
        <w:rPr/>
      </w:pPr>
      <w:r>
        <w:rPr/>
        <w:t>4.</w:t>
        <w:tab/>
        <w:t>Nosakot Savienības mēroga kritērijus diskriminācijas apkarošanai darba tirgū un mudinot privātos uzņēmumus pieņemt darbā cilvēkus, kurus kopumā visvairāk skar diskriminācija (tostarp jauniešus, vecāka gadagājuma cilvēkus, sievietes un minoritāšu pārstāvjus), tostarp izmantojot subsīdijas, un, otrkārt, pagaidu kvotas. Šajos centienos būtu cieši jāiesaista sociālie partneri. Ar likumu būtu jāaizliedz arī diskriminācija ārpus darba tirgus, un būtu jāveicina vienlīdzība</w:t>
      </w:r>
      <w:r>
        <w:rPr>
          <w:rStyle w:val="Ancredenotedefin"/>
          <w:rStyle w:val="Ancredenotedefin"/>
        </w:rPr>
        <w:endnoteReference w:id="78"/>
      </w:r>
      <w:r>
        <w:rPr/>
        <w:t>.</w:t>
      </w:r>
    </w:p>
    <w:p>
      <w:pPr>
        <w:pStyle w:val="Puce3"/>
        <w:tabs>
          <w:tab w:val="clear" w:pos="720"/>
        </w:tabs>
        <w:rPr/>
      </w:pPr>
      <w:r>
        <w:rPr/>
        <w:t>5.</w:t>
        <w:tab/>
        <w:t>Nodrošināt cenas ziņā pieejamu gan valsts, gan privātu bērnudārzu izveidi un veicināšanu, kā arī bezmaksas bērnu aprūpes pakalpojumus tiem, kam tā nepieciešama</w:t>
      </w:r>
      <w:r>
        <w:rPr>
          <w:rStyle w:val="Ancredenotedefin"/>
          <w:rStyle w:val="Ancredenotedefin"/>
        </w:rPr>
        <w:endnoteReference w:id="79"/>
      </w:r>
      <w:r>
        <w:rPr/>
        <w:t>.</w:t>
      </w:r>
    </w:p>
    <w:p>
      <w:pPr>
        <w:pStyle w:val="Puce3"/>
        <w:tabs>
          <w:tab w:val="clear" w:pos="720"/>
        </w:tabs>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79" w:name="__RefHeading___Toc298332_1346298689"/>
      <w:bookmarkEnd w:id="79"/>
      <w:r>
        <w:rPr/>
        <w:t>30. Priekšlikums: Dzīvnieku tiesības, lauksaimniecība</w:t>
      </w:r>
    </w:p>
    <w:p>
      <w:pPr>
        <w:pStyle w:val="P68B1DB1Normal15"/>
        <w:rPr>
          <w:b/>
          <w:b/>
        </w:rPr>
      </w:pPr>
      <w:r>
        <w:rPr/>
        <w:t>Mērķis: Veikt izšķirošus pasākumus, lai veicinātu un nodrošinātu videi draudzīgāku un klimatam draudzīgāku lauksaimniecību,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80"/>
      </w:r>
      <w:r>
        <w:rPr/>
        <w:t>:</w:t>
      </w:r>
    </w:p>
    <w:p>
      <w:pPr>
        <w:pStyle w:val="Puce3"/>
        <w:tabs>
          <w:tab w:val="clear" w:pos="720"/>
        </w:tabs>
        <w:rPr/>
      </w:pPr>
      <w:r>
        <w:rPr/>
        <w:t>1.</w:t>
        <w:tab/>
        <w:t>Nosakot sīki izstrādātus, izmērāmus un laikā ierobežotus obligātos kritērijus lauksaimniecības dzīvnieku aizsardzībai, lai nodrošinātu augstākus dzīvnieku labturības standartus saskaņā ar ilgtspējas mērķu ieviešanu un pamatojoties uz integrētu pieeju pārtikas sistēmai</w:t>
      </w:r>
      <w:r>
        <w:rPr>
          <w:rStyle w:val="Ancredenotedefin"/>
          <w:rStyle w:val="Ancredenotedefin"/>
        </w:rPr>
        <w:endnoteReference w:id="81"/>
      </w:r>
      <w:r>
        <w:rPr>
          <w:rStyle w:val="Ancredenotedefin"/>
          <w:rStyle w:val="Ancredenotedefin"/>
        </w:rPr>
        <w:endnoteReference w:id="82"/>
      </w:r>
      <w:r>
        <w:rPr/>
        <w:t>.</w:t>
      </w:r>
    </w:p>
    <w:p>
      <w:pPr>
        <w:pStyle w:val="Puce3"/>
        <w:tabs>
          <w:tab w:val="clear" w:pos="720"/>
        </w:tabs>
        <w:rPr/>
      </w:pPr>
      <w:r>
        <w:rPr/>
        <w:t>2.</w:t>
        <w:tab/>
        <w:t>Ieviest finansiālus sodus par lauksaimnieciskas darbības izraisītu nelabvēlīgu ietekmi (piemēram, siltumnīcefekta gāzu emisijām, pesticīdu izmantošanu, pārmērīgu ūdens patēriņu, tālsatiksmes transportu utt.) atkarībā no to ietekmes uz vidi. Uz šā pamata būtu jānovērtē arī Savienībā importētie lauksaimniecības produkti, tostarp ar muitas nodokļiem, lai likvidētu konkurences priekšrocības, ko rada mazāk stingri vides standarti</w:t>
      </w:r>
      <w:r>
        <w:rPr>
          <w:rStyle w:val="Ancredenotedefin"/>
          <w:rStyle w:val="Ancredenotedefin"/>
        </w:rPr>
        <w:endnoteReference w:id="83"/>
      </w:r>
      <w:r>
        <w:rPr/>
        <w:t>.</w:t>
      </w:r>
    </w:p>
    <w:p>
      <w:pPr>
        <w:pStyle w:val="Puce3"/>
        <w:tabs>
          <w:tab w:val="clear" w:pos="720"/>
        </w:tabs>
        <w:rPr/>
      </w:pPr>
      <w:r>
        <w:br w:type="column"/>
      </w:r>
      <w:r>
        <w:rPr/>
      </w:r>
    </w:p>
    <w:p>
      <w:pPr>
        <w:pStyle w:val="Puce3"/>
        <w:tabs>
          <w:tab w:val="clear" w:pos="720"/>
        </w:tabs>
        <w:rPr/>
      </w:pPr>
      <w:r>
        <w:rPr/>
        <w:t>3.</w:t>
        <w:tab/>
        <w:t>Samazināt subsīdijas masveida lauksaimnieciskajai ražošanai, ja tās neveicina ilgtspējīgu pārkārtošanos, un novirzīt šos resursus ekoloģiski ilgtspējīgas lauksaimniecības atbalstam, vienlaikus nodrošinot pārtikas produktu pieejamību cenas ziņā.</w:t>
      </w:r>
      <w:r>
        <w:rPr>
          <w:rStyle w:val="Ancredenotedefin"/>
          <w:rStyle w:val="Ancredenotedefin"/>
        </w:rPr>
        <w:endnoteReference w:id="84"/>
      </w:r>
      <w:r>
        <w:rPr/>
        <w:t xml:space="preserve"> </w:t>
      </w:r>
      <w:r>
        <w:rPr>
          <w:rStyle w:val="Ancredenotedefin"/>
          <w:rStyle w:val="Ancredenotedefin"/>
        </w:rPr>
        <w:endnoteReference w:id="85"/>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7">
            <wp:simplePos x="0" y="0"/>
            <wp:positionH relativeFrom="column">
              <wp:posOffset>27940</wp:posOffset>
            </wp:positionH>
            <wp:positionV relativeFrom="paragraph">
              <wp:posOffset>30480</wp:posOffset>
            </wp:positionV>
            <wp:extent cx="913765" cy="913765"/>
            <wp:effectExtent l="0" t="0" r="0" b="0"/>
            <wp:wrapSquare wrapText="largest"/>
            <wp:docPr id="66" name="Fotoattēls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otoattēls26" descr=""/>
                    <pic:cNvPicPr>
                      <a:picLocks noChangeAspect="1" noChangeArrowheads="1"/>
                    </pic:cNvPicPr>
                  </pic:nvPicPr>
                  <pic:blipFill>
                    <a:blip r:embed="rId78"/>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0" w:name="__RefHeading___Toc298334_1346298689"/>
      <w:bookmarkEnd w:id="80"/>
      <w:r>
        <w:rPr/>
        <w:t>“</w:t>
      </w:r>
      <w:r>
        <w:rPr/>
        <w:t>Digitālā transformācija”</w:t>
      </w:r>
    </w:p>
    <w:p>
      <w:pPr>
        <w:pStyle w:val="Normal"/>
        <w:rPr/>
      </w:pPr>
      <w:r>
        <w:rPr/>
        <w:t>Eiropai ir jābūt pasaules priekšgalā un jānosaka digitālās pārveides standarti, un tai ir jāveido Eiropas ceļš uz ētisku, uz cilvēku orientētu, pārredzamu un drošu sabiedrību. Eiropai ir jāpieņem vērienīga pieeja un pilnībā jāizmanto digitalizācijas sniegtās iespējas, vienlaikus pārvaldot digitalizācijas radītos riskus un problēmas. Digitalizācija attiecas uz visām mūsu sabiedrības jomām, un tā ir sistemātiski jāņem vērā. Šajā sakarā ir atsauce uz Eiropas Deklarāciju par digitālajām tiesībām un digitālās desmitgades principiem, un ir ierosināts nākotnē apsvērt iespēju izstrādāt Digitālo tiesību hartu.</w:t>
      </w:r>
    </w:p>
    <w:p>
      <w:pPr>
        <w:pStyle w:val="Normal"/>
        <w:rPr/>
      </w:pPr>
      <w:r>
        <w:rPr/>
        <w:t>Krievijas agresija Ukrainā apstiprina tikai daudzus priekšlikumos aplūkotos elementus, piemēram, nepieciešamību pēc digitālās suverenitātes, lielāku uzmanību kiberaizsardzībai un aizsardzībai pret dezinformāciju. Tas arī pierāda, ka mūsdienu konflikti ietekmē digitālo jomu, un rada jaunus jautājumus, piemēram, personas informācijas ļaunprātīgas izmantošanas ilgtermiņa sekas un šo datu nelikumīgu izmantošanu nākotnē.</w:t>
      </w:r>
    </w:p>
    <w:p>
      <w:pPr>
        <w:pStyle w:val="Normal"/>
        <w:rPr/>
      </w:pPr>
      <w:r>
        <w:rPr/>
      </w:r>
    </w:p>
    <w:p>
      <w:pPr>
        <w:pStyle w:val="Titre3"/>
        <w:numPr>
          <w:ilvl w:val="2"/>
          <w:numId w:val="2"/>
        </w:numPr>
        <w:rPr/>
      </w:pPr>
      <w:bookmarkStart w:id="81" w:name="__RefHeading___Toc298336_1346298689"/>
      <w:bookmarkEnd w:id="81"/>
      <w:r>
        <w:rPr/>
        <w:t>31. Priekšlikums: Piekļuve digitālajai infrastruktūrai</w:t>
      </w:r>
    </w:p>
    <w:p>
      <w:pPr>
        <w:pStyle w:val="Normal"/>
        <w:rPr/>
      </w:pPr>
      <w:r>
        <w:rPr/>
        <w:t>Mērķis: Vienlīdzīga piekļuve internetam ir ikviena Eiropas pilsoņa pamattiesības. Mēs ierosinām ikvienam Eiropā efektīvi piekļūt internetam un digitālajiem pakalpojumiem un stiprināt ES digitālās infrastruktūras suverenitāti, īstenojot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86"/>
      </w:r>
      <w:r>
        <w:rPr/>
        <w:t>:</w:t>
      </w:r>
    </w:p>
    <w:p>
      <w:pPr>
        <w:pStyle w:val="Puce3"/>
        <w:tabs>
          <w:tab w:val="clear" w:pos="720"/>
        </w:tabs>
        <w:rPr/>
      </w:pPr>
      <w:r>
        <w:rPr/>
        <w:t>1.</w:t>
        <w:tab/>
        <w:t>Ieguldījumi kvalitatīvā un inovatīvā Eiropas digitālajā infrastruktūrā (tostarp 5G un 6G attīstībā Eiropā) (Nīderlandes VKP ECP 1 un Nr. 1 40. un 47. ieteikums).</w:t>
      </w:r>
    </w:p>
    <w:p>
      <w:pPr>
        <w:pStyle w:val="Puce3"/>
        <w:tabs>
          <w:tab w:val="clear" w:pos="720"/>
        </w:tabs>
        <w:rPr/>
      </w:pPr>
      <w:r>
        <w:rPr/>
        <w:t>2.</w:t>
        <w:tab/>
        <w:t>Nodrošināt ātru, cenas ziņā pieejamu, drošu un stabilu piekļuvi internetam visā Savienībā, tostarp viesabonēšanu, prioritāti piešķirot interneta savienojumu izveidei “baltajās/mirušās zonās”, lauku, attālos un perifēros apgabalos, lai novērstu digitālo plaisu starp dalībvalstīm un to iekšienē un nodrošinātu, ka neviens netiek atstāts novārtā (Nīderlandes 1. un 1. ieteikums un 1. ieteikums).</w:t>
      </w:r>
    </w:p>
    <w:p>
      <w:pPr>
        <w:pStyle w:val="Puce3"/>
        <w:tabs>
          <w:tab w:val="clear" w:pos="720"/>
        </w:tabs>
        <w:rPr/>
      </w:pPr>
      <w:r>
        <w:rPr/>
        <w:t>3.</w:t>
        <w:tab/>
        <w:t>Veicināt digitālās un elektroinfrastruktūras ieviešanu publiskās un privātās telpās, kas ļauj izmantot elektriskos un autonomos transportlīdzekļus (debates darba grupā)</w:t>
      </w:r>
      <w:r>
        <w:rPr>
          <w:rStyle w:val="Ancredenotedefin"/>
          <w:rStyle w:val="Ancredenotedefin"/>
        </w:rPr>
        <w:endnoteReference w:id="87"/>
      </w:r>
      <w:r>
        <w:rPr/>
        <w:t>.</w:t>
      </w:r>
    </w:p>
    <w:p>
      <w:pPr>
        <w:pStyle w:val="Puce3"/>
        <w:tabs>
          <w:tab w:val="clear" w:pos="720"/>
        </w:tabs>
        <w:rPr/>
      </w:pPr>
      <w:r>
        <w:rPr/>
        <w:t>4.</w:t>
        <w:tab/>
        <w:t>Veikt pasākumus, lai nodrošinātu godīgu un atklātu konkurenci un novērstu monopolus, atkarību no piegādātājiem, datu koncentrēšanu un atkarību no trešām valstīm infrastruktūras un pakalpojumu jomā; tirgu uzlabošana no patērētāju viedokļa (CEP Ieteikums Nr. 17 1).</w:t>
      </w:r>
    </w:p>
    <w:p>
      <w:pPr>
        <w:pStyle w:val="Puce3"/>
        <w:tabs>
          <w:tab w:val="clear" w:pos="720"/>
        </w:tabs>
        <w:rPr/>
      </w:pPr>
      <w:r>
        <w:rPr/>
        <w:t>5.</w:t>
        <w:tab/>
        <w:t>Noteikt bērniem, ģimenēm, vecāka gadagājuma cilvēkiem un neaizsargātām grupām par prioritāti attiecībā uz piekļuvi internetam un IT iekārtām, tostarp piekļuvi izglītībai, sabiedriskajiem pakalpojumiem un veselības aprūpei (CEP 1 17. ieteikums un diskusijas darba grupā).</w:t>
      </w:r>
    </w:p>
    <w:p>
      <w:pPr>
        <w:pStyle w:val="Puce3"/>
        <w:tabs>
          <w:tab w:val="clear" w:pos="720"/>
        </w:tabs>
        <w:rPr/>
      </w:pPr>
      <w:r>
        <w:rPr/>
        <w:t>6.</w:t>
        <w:tab/>
        <w:t>Uzlabot iedzīvotāju un uzņēmumu digitālo piekļuvi būtiskajiem publiskajiem un privātajiem pakalpojumiem, nodrošinot to pilnīgu pieejamību, piemēram, attiecībā uz administratīvajām procedūrām, un nodrošināt visiem piekļuvi šiem pakalpojumiem un ar tiem saistīto atbalstu, piemēram, izmantojot atbalsta pakalpojumus (debates darba grupā, daudzvalodu digitālā platforma).</w:t>
      </w:r>
    </w:p>
    <w:p>
      <w:pPr>
        <w:pStyle w:val="Puce3"/>
        <w:tabs>
          <w:tab w:val="clear" w:pos="720"/>
        </w:tabs>
        <w:rPr/>
      </w:pPr>
      <w:r>
        <w:rPr/>
        <w:t>7.</w:t>
        <w:tab/>
        <w:t>Saskaņot augstas kvalitātes digitālos standartus un uzlabot drošu datu mobilitāti, lai veicinātu pārrobežu sadarbspēju (debates darba grupā, daudzvalodu digitālā platforma).</w:t>
      </w:r>
    </w:p>
    <w:p>
      <w:pPr>
        <w:pStyle w:val="Puce3"/>
        <w:tabs>
          <w:tab w:val="clear" w:pos="720"/>
        </w:tabs>
        <w:rPr/>
      </w:pPr>
      <w:r>
        <w:rPr/>
        <w:t>8.</w:t>
        <w:tab/>
        <w:t>Apsvērt digitālās infrastruktūras un digitalizācijas ietekmi uz vidi, lai digitālo pārveidi padarītu ilgtspējīgu un virzītos uz zaļu digitālo sabiedrību (debates darba grupā, daudzvalodu digitālā platforma).</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2" w:name="__RefHeading___Toc298338_1346298689"/>
      <w:bookmarkEnd w:id="82"/>
      <w:r>
        <w:rPr/>
        <w:t>32. Priekšlikums: Digitālās zināšanas un prasmes, kas dod iespējas cilvēkiem</w:t>
      </w:r>
    </w:p>
    <w:p>
      <w:pPr>
        <w:pStyle w:val="P68B1DB1Normal15"/>
        <w:rPr>
          <w:b/>
          <w:b/>
        </w:rPr>
      </w:pPr>
      <w:r>
        <w:rPr/>
        <w:t>Mērķis: Mēs ierosinām ES nodrošināt, ka visi Eiropas iedzīvotāji var izmantot digitalizācijas sniegtās priekšrocības, dodot viņiem iespēju apgūt nepieciešamās digitālās prasmes un iespējas, īstenojot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88"/>
      </w:r>
      <w:r>
        <w:rPr/>
        <w:t>:</w:t>
      </w:r>
    </w:p>
    <w:p>
      <w:pPr>
        <w:pStyle w:val="Puce3"/>
        <w:tabs>
          <w:tab w:val="clear" w:pos="720"/>
        </w:tabs>
        <w:rPr/>
      </w:pPr>
      <w:r>
        <w:rPr/>
        <w:t>1.</w:t>
        <w:tab/>
        <w:t>Nodrošināt piekļuvi apmācībai un izglītībai, tostarp skolu, formālajām un neformālām mācību programmām, mūžizglītības digitālajām prasmēm un zināšanām, pamatojoties uz pašreizējām iniciatīvām Eiropas līmenī, īpašu uzmanību pievēršot pie neaizsargātām grupām piederošu cilvēku un vecāka gadagājuma cilvēku iekļaušanai, kā arī bērnu digitālo prasmju stiprināšanai tādā veidā, kas ir savienojams ar viņu pienācīgu attīstību un digitālās nevienlīdzības novēršanu, tostarp digitālo plaisu starp vīriešiem un sievietēm (EKP Ieteikums Nr. 8, Itālijas VKP 5.2. ieteikums un debates darba grupā).</w:t>
      </w:r>
    </w:p>
    <w:p>
      <w:pPr>
        <w:pStyle w:val="Puce3"/>
        <w:tabs>
          <w:tab w:val="clear" w:pos="720"/>
        </w:tabs>
        <w:rPr/>
      </w:pPr>
      <w:r>
        <w:rPr/>
        <w:t>2.</w:t>
        <w:tab/>
        <w:t>Nodrošināt interneta pareizu izmantošanu, mudinot dalībvalstis izstrādāt digitālo prasmju apmācību visām vecuma grupām ar saskaņotām programmām un saturu Eiropas līmenī, piemēram, interneta riskiem un iespējām, lietotāju tiesībām tiešsaistē un tīklu (CEP 1 ieteikums Nr. 47 un debates darba grupā).</w:t>
      </w:r>
    </w:p>
    <w:p>
      <w:pPr>
        <w:pStyle w:val="Puce3"/>
        <w:tabs>
          <w:tab w:val="clear" w:pos="720"/>
        </w:tabs>
        <w:rPr/>
      </w:pPr>
      <w:r>
        <w:rPr/>
        <w:t>3.</w:t>
        <w:tab/>
        <w:t>Veikt visus vajadzīgos pasākumus, lai nodrošinātu, ka sabiedrības digitalizācija neizslēdz vecāka gadagājuma cilvēkus un ka tehnoloģija viņiem ir pieejama, veicinot attiecīgas programmas un iniciatīvas, piemēram, kursus, kas pielāgoti viņu vajadzībām. Vienlaikus būtu jānodrošina, ka pamatpakalpojumi ir pieejami arī personiski un nedigitāli (CEP 34. un 47. ieteikums).</w:t>
      </w:r>
    </w:p>
    <w:p>
      <w:pPr>
        <w:pStyle w:val="Puce3"/>
        <w:tabs>
          <w:tab w:val="clear" w:pos="720"/>
        </w:tabs>
        <w:rPr/>
      </w:pPr>
      <w:r>
        <w:rPr/>
        <w:t>4.</w:t>
        <w:tab/>
        <w:t>Skolās ieviest Eiropas digitālo prasmju sertifikāciju, kas sagatavos jauniešus nākotnes darba tirgum (CEP 8 1. ieteikums).</w:t>
      </w:r>
    </w:p>
    <w:p>
      <w:pPr>
        <w:pStyle w:val="Puce3"/>
        <w:tabs>
          <w:tab w:val="clear" w:pos="720"/>
        </w:tabs>
        <w:rPr/>
      </w:pPr>
      <w:r>
        <w:rPr/>
        <w:t>5.</w:t>
        <w:tab/>
        <w:t>Savienības līmenī īstenot koordinētas apmācības iniciatīvas darba ņēmēju pārkvalificēšanai un kvalifikācijas celšanai, lai saglabātu konkurētspēju darba tirgū, jo īpaši ņemot vērā mazos un vidējos uzņēmumos vajadzīgās prasmes un kvalifikāciju, kā arī nolūkā apmācīt digitālos speciālistus (CEP 8. ieteikums un debates darba grupā).</w:t>
      </w:r>
    </w:p>
    <w:p>
      <w:pPr>
        <w:pStyle w:val="Puce3"/>
        <w:tabs>
          <w:tab w:val="clear" w:pos="720"/>
        </w:tabs>
        <w:rPr/>
      </w:pPr>
      <w:r>
        <w:rPr/>
        <w:t>6.</w:t>
        <w:tab/>
        <w:t>Publiskot esošās digitālās platformas, kas savieno iedzīvotājus ar darba devējiem un palīdz viņiem atrast darbu ES, piemēram, EURES (CEP Ieteikums Nr. 8 1).</w:t>
      </w:r>
    </w:p>
    <w:p>
      <w:pPr>
        <w:pStyle w:val="Puce3"/>
        <w:tabs>
          <w:tab w:val="clear" w:pos="720"/>
        </w:tabs>
        <w:rPr/>
      </w:pPr>
      <w:r>
        <w:rPr/>
        <w:t>7.</w:t>
        <w:tab/>
        <w:t>Palielināt investīcijas un centienus, lai stimulētu izglītības, tostarp augstākās izglītības digitalizāciju (debates darba grupā/daudzvalodu digitālajā platformā).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3" w:name="__RefHeading___Toc298340_1346298689"/>
      <w:bookmarkEnd w:id="83"/>
      <w:r>
        <w:rPr/>
        <w:t>33. Priekšlikums: Droša un uzticama digitālā sabiedrība — kiberdrošība un dezinformācija</w:t>
      </w:r>
    </w:p>
    <w:p>
      <w:pPr>
        <w:pStyle w:val="P68B1DB1Normal15"/>
        <w:rPr>
          <w:b/>
          <w:b/>
        </w:rPr>
      </w:pPr>
      <w:r>
        <w:rPr/>
        <w:t>Mērķis: mēs ierosinām, ka, lai izveidotu drošu, noturīgu un uzticamu digitālo sabiedrību, ES būtu jānodrošina spēkā esošo tiesību aktu efektīva un savlaicīga īstenošana un tai būtu vairāk kompetenču, lai stiprinātu kiberdrošību, apkarotu nelikumīgu saturu un kibernoziedzību, novērstu un novērstu nevalstisku dalībnieku un autoritāru valstu kiberdraudu sekas un apkarotu dezinformāciju, īstenojot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89"/>
      </w:r>
      <w:r>
        <w:rPr/>
        <w:t>:</w:t>
      </w:r>
    </w:p>
    <w:p>
      <w:pPr>
        <w:pStyle w:val="Puce3"/>
        <w:tabs>
          <w:tab w:val="clear" w:pos="720"/>
        </w:tabs>
        <w:rPr/>
      </w:pPr>
      <w:r>
        <w:rPr/>
        <w:t>1.</w:t>
        <w:tab/>
        <w:t>Stiprināt Eiropola/Eiropas Kibernoziedzības centra spējas finanšu resursu un cilvēkresursu ziņā, lai nodrošinātu proaktīvāku pieeju kibernoziedzībai un stiprinātu kopīgas Eiropas kiberaizsardzības spējas pret liela mēroga uzbrukumiem, tostarp uzlabojot sadarbību (EKP Ieteikums Nr. 39, Lietuvas VKP un Nīderlandes VKP 1. ieteikums un debates darba grupā).</w:t>
      </w:r>
    </w:p>
    <w:p>
      <w:pPr>
        <w:pStyle w:val="Puce3"/>
        <w:tabs>
          <w:tab w:val="clear" w:pos="720"/>
        </w:tabs>
        <w:rPr/>
      </w:pPr>
      <w:r>
        <w:rPr/>
        <w:t>2.</w:t>
        <w:tab/>
        <w:t>Veikt nepieciešamos pasākumus, lai sagatavotos plaša mēroga uzbrukumiem un pakalpojumu traucējumiem un spētu tos ātri pārvarēt, piemēram, nodrošinot noturīgu infrastruktūru un alternatīvus sakaru kanālus (debates darba grupā).</w:t>
      </w:r>
    </w:p>
    <w:p>
      <w:pPr>
        <w:pStyle w:val="Puce3"/>
        <w:tabs>
          <w:tab w:val="clear" w:pos="720"/>
        </w:tabs>
        <w:rPr/>
      </w:pPr>
      <w:r>
        <w:rPr/>
        <w:t>3.</w:t>
        <w:tab/>
        <w:t>Nodrošināt līdzīgas sankcijas un to ātru un efektīvu izpildi dalībvalstīs kibernoziedzības gadījumā, uzlabojot vietējo, reģionālo un valsts kiberdrošības centru un iestāžu koordināciju (CEP Ieteikums Nr. 39 1).</w:t>
      </w:r>
    </w:p>
    <w:p>
      <w:pPr>
        <w:pStyle w:val="Puce3"/>
        <w:tabs>
          <w:tab w:val="clear" w:pos="720"/>
        </w:tabs>
        <w:rPr/>
      </w:pPr>
      <w:r>
        <w:rPr/>
        <w:t>4.</w:t>
        <w:tab/>
        <w:t>Uzlabot digitālās zināšanas un kritisko domāšanu kā līdzekli dezinformācijas, tiešsaistes draudu un naida runas apkarošanai, kā arī progresīvas saskarnes un preferenciālas cenas (debates darba grupā).</w:t>
      </w:r>
    </w:p>
    <w:p>
      <w:pPr>
        <w:pStyle w:val="Puce3"/>
        <w:tabs>
          <w:tab w:val="clear" w:pos="720"/>
        </w:tabs>
        <w:rPr/>
      </w:pPr>
      <w:r>
        <w:rPr/>
        <w:t>5.</w:t>
        <w:tab/>
        <w:t>Apkarot dezinformāciju, pieņemot tiesību aktus un pamatnostādnes, kas nodrošina, ka tiešsaistes platformas un sociālo plašsaziņas līdzekļu uzņēmumi vēršas pret savu dezinformācijas neaizsargātību un piemēro pārredzamības pasākumus, tostarp, piemēram, uz mākslīgo intelektu balstītus algoritmus, kas var izcelt informācijas uzticamību sociālajos plašsaziņas līdzekļos un jaunajos plašsaziņas līdzekļos, sniedzot lietotājam pārbaudītus informācijas avotus. Ja tiek izmantoti algoritmi, lēmumu pieņemšanas procesu galīgajai kontrolei vajadzētu būt cilvēku atbildībai (CEP 1 46. ieteikums un diskusija darba grupā).</w:t>
      </w:r>
    </w:p>
    <w:p>
      <w:pPr>
        <w:pStyle w:val="Puce3"/>
        <w:tabs>
          <w:tab w:val="clear" w:pos="720"/>
        </w:tabs>
        <w:rPr/>
      </w:pPr>
      <w:r>
        <w:rPr/>
        <w:t>6.</w:t>
        <w:tab/>
        <w:t>Atbalstīt digitālās platformas, kas veicina plašsaziņas līdzekļu plurālismu un nodrošina resursus un iniciatīvas, lai novērtētu tradicionālo plašsaziņas līdzekļu (televīzijas, drukas, radio) un citu plašsaziņas līdzekļu sniegtās informācijas ticamību un objektivitāti, pilnībā ievērojot plašsaziņas līdzekļu brīvības principu, un sniegt iedzīvotājiem informāciju par informācijas kvalitāti (CEP 46. ieteikums).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4" w:name="__RefHeading___Toc298342_1346298689"/>
      <w:bookmarkEnd w:id="84"/>
      <w:r>
        <w:rPr/>
        <w:t>34. Priekšlikums: Droša un uzticama digitālā sabiedrība — datu aizsardzība</w:t>
      </w:r>
    </w:p>
    <w:p>
      <w:pPr>
        <w:pStyle w:val="P68B1DB1Normal15"/>
        <w:rPr>
          <w:b/>
          <w:b/>
        </w:rPr>
      </w:pPr>
      <w:r>
        <w:rPr/>
        <w:t>Mērķis: Mēs atbalstām cilvēku datu suverenitāti, labāku informētību un spēkā esošo datu aizsardzības noteikumu (VDAR) efektīvāku īstenošanu un izpildi, lai stiprinātu cilvēku kontroli pār saviem datiem un ierobežotu datu ļaunprātīgu izmantošanu, īstenojot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90"/>
      </w:r>
      <w:r>
        <w:rPr/>
        <w:t>:</w:t>
      </w:r>
    </w:p>
    <w:p>
      <w:pPr>
        <w:pStyle w:val="Puce3"/>
        <w:tabs>
          <w:tab w:val="clear" w:pos="720"/>
        </w:tabs>
        <w:rPr/>
      </w:pPr>
      <w:r>
        <w:rPr/>
        <w:t>1.</w:t>
        <w:tab/>
        <w:t>Labāk izskaidrot datu aizsardzības noteikumus (VDAR), palielināt pārredzamību un uzlabot saziņu, izstrādājot pamatnostādnes informētas piekrišanas tekstiem, kuros izmanto vienkāršu, skaidru un saprotamu valodu, tostarp vizuālāku prezentāciju, lai piekristu datu izmantošanai, pievienojot tiem informācijas kampaņu, kā arī nodrošinot, ka datu pārziņiem ir nepieciešamās prasmes un konsultācijas tiem, kam nepieciešama palīdzība (Nīderlandes NKP 1 un Nr. 2) 42. un 45. ieteikums.</w:t>
      </w:r>
    </w:p>
    <w:p>
      <w:pPr>
        <w:pStyle w:val="Puce3"/>
        <w:tabs>
          <w:tab w:val="clear" w:pos="720"/>
        </w:tabs>
        <w:rPr/>
      </w:pPr>
      <w:r>
        <w:rPr/>
        <w:t>2.</w:t>
        <w:tab/>
        <w:t>Nodrošināt spēkā esošā standarta piekrišanas aizlieguma izpildi datu atkalizmantošanai vai tālākpārdošanai (CEP Ieteikums Nr. 42 1).</w:t>
      </w:r>
    </w:p>
    <w:p>
      <w:pPr>
        <w:pStyle w:val="Puce3"/>
        <w:tabs>
          <w:tab w:val="clear" w:pos="720"/>
        </w:tabs>
        <w:rPr/>
      </w:pPr>
      <w:r>
        <w:rPr/>
        <w:t>3.</w:t>
        <w:tab/>
        <w:t>Jānodrošina, ka lietotāju pieprasījumi par datu galīgo dzēšanu tiek apmierināti noteiktā termiņā (CEP Ieteikums Nr. 42).</w:t>
      </w:r>
    </w:p>
    <w:p>
      <w:pPr>
        <w:pStyle w:val="Puce3"/>
        <w:tabs>
          <w:tab w:val="clear" w:pos="720"/>
        </w:tabs>
        <w:rPr/>
      </w:pPr>
      <w:r>
        <w:rPr/>
        <w:t>4.</w:t>
        <w:tab/>
        <w:t>Sniegt lietotājiem skaidru un kodolīgu informāciju par to, kā datus izmantos un kas tos izmantos (CEP Ieteikums Nr. 42 1)</w:t>
      </w:r>
    </w:p>
    <w:p>
      <w:pPr>
        <w:pStyle w:val="Puce3"/>
        <w:tabs>
          <w:tab w:val="clear" w:pos="720"/>
        </w:tabs>
        <w:rPr/>
      </w:pPr>
      <w:r>
        <w:rPr/>
        <w:t>5.</w:t>
        <w:tab/>
        <w:t>Nodrošināt, ka uzņēmumi ārpus Eiropas ievēro Eiropas datu aizsardzības noteikumus (CEP 1 Ieteikums Nr. 42 un 43).</w:t>
      </w:r>
    </w:p>
    <w:p>
      <w:pPr>
        <w:pStyle w:val="Puce3"/>
        <w:tabs>
          <w:tab w:val="clear" w:pos="720"/>
        </w:tabs>
        <w:rPr/>
      </w:pPr>
      <w:r>
        <w:rPr/>
        <w:t>6.</w:t>
        <w:tab/>
        <w:t>Veicināt tādas ES līmeņa sertifikācijas sistēmas izveidi, kas pieejamā, skaidrā un vienkāršā veidā apliecina atbilstību VDAR, ir redzama tīmekļa vietnēs un platformās, un tā būtu jāizdod neatkarīgam sertificētājam Eiropas līmenī. Tam nevajadzētu radīt nesamērīgu slogu maziem un vidējiem uzņēmumiem (CEP 1 ieteikums Nr. 44 un diskusijas darba grupā).</w:t>
      </w:r>
    </w:p>
    <w:p>
      <w:pPr>
        <w:pStyle w:val="Puce3"/>
        <w:tabs>
          <w:tab w:val="clear" w:pos="720"/>
        </w:tabs>
        <w:rPr/>
      </w:pPr>
      <w:r>
        <w:rPr/>
        <w:t>7.</w:t>
        <w:tab/>
        <w:t>Nodrošināt efektīvu un savlaicīgu palīdzību pilsoņiem, kuriem ir grūtības iebilst pret viņu datu apstrādi vai atsaukt savu piekrišanu. Šajā nolūkā Eiropas līmenī ir labāk jādefinē uzmācīga uzvedība un jāizstrādā pamatprincipi un mehānismi, kas ļautu iedzīvotājiem iebilst pret savu datu apstrādi un panākt viņu dzēšanu, kā arī identificēt krāpniekus un sodīt par tiem (CEP 43. ieteikums un debates darba grupā).</w:t>
      </w:r>
    </w:p>
    <w:p>
      <w:pPr>
        <w:pStyle w:val="Puce3"/>
        <w:tabs>
          <w:tab w:val="clear" w:pos="720"/>
        </w:tabs>
        <w:rPr/>
      </w:pPr>
      <w:r>
        <w:rPr/>
        <w:t>8.</w:t>
        <w:tab/>
        <w:t>Paredzēt sankcijas, tostarp naudas sodu, kas ir proporcionāls uzņēmumu apgrozījumam un to darbības ierobežojumiem, piemēram, pagaidu vai galīgus aizliegumus nevēlamai datu apstrādei, un palīdzēt Eiropas Datu aizsardzības uzraudzītājam un valstu aģentūrām nodrošināt to īstenošanu (CEP 1 Ieteikumi Nr. 42 un 43 un debates darba grupā).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85" w:name="__RefHeading___Toc298344_1346298689"/>
      <w:bookmarkEnd w:id="85"/>
      <w:r>
        <w:rPr/>
        <w:t>35. Priekšlikums: Digitālā inovācija sociālās un ilgtspējīgas ekonomikas stiprināšanai</w:t>
      </w:r>
    </w:p>
    <w:p>
      <w:pPr>
        <w:pStyle w:val="Normal"/>
        <w:rPr/>
      </w:pPr>
      <w:r>
        <w:rPr/>
        <w:t>Mērķis: Mēs ierosinām ES veicināt digitalizācijas pasākumus, kas taisnīgā un ilgtspējīgā veidā stiprina ekonomiku un vienoto tirgu, padara Eiropu konkurētspējīgāku tehnoloģiju un inovācijas jomā, uzlabo digitālo vienoto tirgu visu lielumu uzņēmumiem un izvirza Eiropu digitālās pārveides un cilvēkorientētas digitalizācijas pasaules priekšgalā, piemērojot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91"/>
      </w:r>
      <w:r>
        <w:rPr/>
        <w:t>:</w:t>
      </w:r>
    </w:p>
    <w:p>
      <w:pPr>
        <w:pStyle w:val="Puce3"/>
        <w:tabs>
          <w:tab w:val="clear" w:pos="720"/>
        </w:tabs>
        <w:rPr/>
      </w:pPr>
      <w:r>
        <w:rPr/>
        <w:t>1.</w:t>
        <w:tab/>
        <w:t>Ieviest tiesību aktus vai stiprināt spēkā esošos tiesību aktus par “mobilu darbu” (uz cilvēku orientētu darbu), ņemot vērā tā ietekmi uz darba ņēmēju fizisko un garīgo veselību, piemēram, garantējot tiesības būt bezsaistē. “Uz cilvēku vērsta” pieeja paredz “cilvēka kontroles” principu (PCE 1 ieteikums Nr. 7 un debates darba grupā)</w:t>
      </w:r>
      <w:r>
        <w:rPr>
          <w:rStyle w:val="Ancredenotedefin"/>
          <w:rStyle w:val="Ancredenotedefin"/>
        </w:rPr>
        <w:endnoteReference w:id="92"/>
      </w:r>
      <w:r>
        <w:rPr/>
        <w:t>.</w:t>
      </w:r>
    </w:p>
    <w:p>
      <w:pPr>
        <w:pStyle w:val="Puce3"/>
        <w:tabs>
          <w:tab w:val="clear" w:pos="720"/>
        </w:tabs>
        <w:rPr/>
      </w:pPr>
      <w:r>
        <w:rPr/>
        <w:t>2.</w:t>
        <w:tab/>
        <w:t>ES līmenī pieņemt tiesību aktus, lai mudinātu uzņēmumus būt sociāli atbildīgiem un saglabātu kvalitatīvas “mobilas darbavietas” Eiropā, tādējādi izvairoties no šo darbvietu pārvietošanas uz valstīm par zemākām izmaksām. Stimuli var būt finansiāli un/vai ietekmēt korporatīvo tēlu, un tajos būtu jāņem vērā starptautiski atzīti vides, sociālie un pārvaldības (VSP) kritēriji. Šajā nolūkā Savienībai būtu jāizveido darba grupa, kuras sastāvā būtu eksperti no visām ieinteresētajām personām, lai pārskatītu un stiprinātu šos tiesību aktus (CEP 7. ieteikums).</w:t>
      </w:r>
    </w:p>
    <w:p>
      <w:pPr>
        <w:pStyle w:val="Puce3"/>
        <w:tabs>
          <w:tab w:val="clear" w:pos="720"/>
        </w:tabs>
        <w:rPr/>
      </w:pPr>
      <w:r>
        <w:rPr/>
        <w:t>3.</w:t>
        <w:tab/>
        <w:t>Nodrošināt cilvēka kontroli pār lēmumu pieņemšanas procesiem, izmantojot mākslīgo intelektu darbavietā, un izmantoto algoritmu pārredzamību; ņem vērā bezgalīgas digitālās uzraudzības kaitīgo ietekmi darba vietā; darba ņēmēju informēšana un uzklausīšana pirms tādu digitālo tehnoloģiju ieviešanas, kas ietekmē darba apstākļus; nodrošināt, ka jauni nodarbinātības veidi, piemēram, darbs platformās, atbilst darba ņēmēju tiesībām un nodrošina piemērotus darba apstākļus (debates darba grupā).</w:t>
      </w:r>
    </w:p>
    <w:p>
      <w:pPr>
        <w:pStyle w:val="Puce3"/>
        <w:tabs>
          <w:tab w:val="clear" w:pos="720"/>
        </w:tabs>
        <w:rPr/>
      </w:pPr>
      <w:r>
        <w:rPr/>
        <w:t>4.</w:t>
        <w:tab/>
        <w:t>Īstenot iniciatīvas, lai palīdzētu atbalstīt attālinātu darbu, piemēram, izveidojot biroja telpas ar ātru un uzticamu piekļuvi internetam, organizējot digitālo apmācību un nodrošinot resursus ergonomiskam aprīkojumam darbam mājās (CEP 1 17. ieteikums un diskusija darba grupā).</w:t>
      </w:r>
    </w:p>
    <w:p>
      <w:pPr>
        <w:pStyle w:val="Puce3"/>
        <w:tabs>
          <w:tab w:val="clear" w:pos="720"/>
        </w:tabs>
        <w:rPr/>
      </w:pPr>
      <w:r>
        <w:rPr/>
        <w:t>5.</w:t>
        <w:tab/>
        <w:t>Izveidot publiski pieejamu digitālu rezultātu pārskatu, ar ko izveido klasifikācijas sistēmu, kurā norādīts un salīdzināts pašreizējais ES uzņēmumu digitalizācijas līmenis (Vācijas VKP).</w:t>
      </w:r>
    </w:p>
    <w:p>
      <w:pPr>
        <w:pStyle w:val="Puce3"/>
        <w:tabs>
          <w:tab w:val="clear" w:pos="720"/>
        </w:tabs>
        <w:rPr/>
      </w:pPr>
      <w:r>
        <w:rPr/>
        <w:t>6.</w:t>
        <w:tab/>
        <w:t>Spēcīgas un konkurētspējīgas digitālās ekonomikas veidošana un digitālās pārveides sniegto labumu taisnīga dalīšanās visā Eiropā, koncentrējoties uz tehnoloģijām un inovāciju kā izaugsmes virzītājspēku, veicinot pārveidojošu progresīvu pētniecību, kā arī nodrošinot vietu inovācijas ekosistēmām visos reģionos, uzlabojot MVU un jaunuzņēmumu darbības vidi un taisnīgu piekļuvi finansējumam un novēršot juridisko vai citu slogu, kas kavē pārrobežu darbības (Itālijas VKP ieteikums 1.3. ieteikums, darba grupas debates un daudzvalodu digitālā platforma). Uz Eiropas vērtībām balstītas datu infrastruktūras izveide; piemērot “digitālās prioritātes” un “vienotas informācijas pārraides” principus un atvieglot digitālu un drošu piekļuvi datiem inovācijai un uzņēmējdarbībai; veicināt sabiedrisko pakalpojumu digitalizāciju (debates darba grupā un daudzvalodu digitālajā platformā). Pilnībā izmantot mākslīgā intelekta uzticamas un atbildīgas izmantošanas potenciālu un izmantot blokķēdes un mākoņpakalpojumu tehnoloģijas potenciālu, nosakot aizsardzības pasākumus un standartus, kas nodrošina pārredzamību un sadarbspēju, rada uzticēšanos, atvieglo un likvidē diskriminējošus vai neobjektīvus algoritmus (debates darba grupā un daudzvalodu digitālajā platformā).</w:t>
      </w:r>
    </w:p>
    <w:p>
      <w:pPr>
        <w:pStyle w:val="Puce3"/>
        <w:tabs>
          <w:tab w:val="clear" w:pos="720"/>
        </w:tabs>
        <w:rPr/>
      </w:pPr>
      <w:r>
        <w:rPr/>
        <w:t>9.</w:t>
        <w:tab/>
        <w:t>Veicināt bezmaksas programmatūru, tās izmantošanu izglītībā un apmācībā un brīvu piekļuvi publiski finansētiem pētījumiem un programmatūrai (debates darba grupā un daudzvalodu digitālajā platformā).</w:t>
      </w:r>
    </w:p>
    <w:p>
      <w:pPr>
        <w:pStyle w:val="Puce3"/>
        <w:tabs>
          <w:tab w:val="clear" w:pos="720"/>
        </w:tabs>
        <w:rPr/>
      </w:pPr>
      <w:r>
        <w:rPr/>
        <w:t>10.</w:t>
        <w:tab/>
        <w:t>Ieviest vienotu Eiropas digitālo identitāti, lai atvieglotu pārrobežu digitālos darījumus un pakalpojumus, izmantojot Eiropas standartu un pamatprincipu satvaru, kas nodrošina nepieciešamos aizsardzības pasākumus (debates darba grupā un daudzvalodu digitālajā platformā).</w:t>
      </w:r>
    </w:p>
    <w:p>
      <w:pPr>
        <w:pStyle w:val="Puce3"/>
        <w:tabs>
          <w:tab w:val="clear" w:pos="720"/>
        </w:tabs>
        <w:rPr/>
      </w:pPr>
      <w:r>
        <w:rPr/>
        <w:t>11.</w:t>
        <w:tab/>
        <w:t>Novērtēt, vai būtu iespējams digitalizēt informāciju par patērētājiem un pārtikas produktiem, izmantojot standartizētu Eiropas lietojumprogrammu, kas nodrošinātu lietotājam draudzīgāku piekļuvi informācijai un sniegtu papildu informāciju par produktu un ražošanas ķēdi (CEP Ieteikums Nr. 16).</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Normal"/>
        <w:rPr/>
      </w:pPr>
      <w:r>
        <w:rPr/>
      </w:r>
      <w:r>
        <w:br w:type="page"/>
      </w:r>
    </w:p>
    <w:p>
      <w:pPr>
        <w:pStyle w:val="Normal"/>
        <w:rPr/>
      </w:pPr>
      <w:r>
        <w:rPr/>
        <w:drawing>
          <wp:anchor behindDoc="0" distT="0" distB="0" distL="0" distR="0" simplePos="0" locked="0" layoutInCell="1" allowOverlap="1" relativeHeight="4">
            <wp:simplePos x="0" y="0"/>
            <wp:positionH relativeFrom="column">
              <wp:posOffset>14605</wp:posOffset>
            </wp:positionH>
            <wp:positionV relativeFrom="paragraph">
              <wp:posOffset>26035</wp:posOffset>
            </wp:positionV>
            <wp:extent cx="913765" cy="913765"/>
            <wp:effectExtent l="0" t="0" r="0" b="0"/>
            <wp:wrapSquare wrapText="largest"/>
            <wp:docPr id="67" name="Fotoattēls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otoattēls27" descr=""/>
                    <pic:cNvPicPr>
                      <a:picLocks noChangeAspect="1" noChangeArrowheads="1"/>
                    </pic:cNvPicPr>
                  </pic:nvPicPr>
                  <pic:blipFill>
                    <a:blip r:embed="rId79"/>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86" w:name="__RefHeading___Toc298346_1346298689"/>
      <w:bookmarkEnd w:id="86"/>
      <w:r>
        <w:rPr/>
        <w:t>“</w:t>
      </w:r>
      <w:r>
        <w:rPr/>
        <w:t>Eiropas demokrātija”</w:t>
      </w:r>
    </w:p>
    <w:p>
      <w:pPr>
        <w:pStyle w:val="Titre3"/>
        <w:numPr>
          <w:ilvl w:val="2"/>
          <w:numId w:val="2"/>
        </w:numPr>
        <w:rPr/>
      </w:pPr>
      <w:bookmarkStart w:id="87" w:name="__RefHeading___Toc298348_1346298689"/>
      <w:bookmarkEnd w:id="87"/>
      <w:r>
        <w:rPr/>
        <w:t>36. Priekšlikums: Informācija iedzīvotājiem, līdzdalībai un jaunatnei</w:t>
      </w:r>
    </w:p>
    <w:p>
      <w:pPr>
        <w:pStyle w:val="P68B1DB1Normal15"/>
        <w:rPr>
          <w:b/>
          <w:b/>
        </w:rPr>
      </w:pPr>
      <w:r>
        <w:rPr/>
        <w:t>Mērķis: Palielināt pilsoņu līdzdalību un jauniešu iesaistīšanos demokrātijā ES līmenī, lai radītu “pilnīgu pilsoņu pieredzi” eiropiešiem; nodrošināt, ka viņu viedoklis tiek ņemts vērā, tostarp ārpus vēlēšanu periodiem, un ka viņu dalība ir reāla. Tādēļ ir jānosaka, kurš līdzdalības veids ir vispiemērotākais katrai tēmai, piemēram: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Izstrādāt jaunus mehānismus pilsoņu līdzdalībai un padarīt esošos mehānismus efektīvākus saskaņā ar Eiropas acquis, vienlaikus uzlabojot saziņu par visiem šiem mehānismiem. Ideālā gadījumā visa informācija par līdzdalības telpām būtu jāapkopo</w:t>
      </w:r>
      <w:r>
        <w:rPr>
          <w:rStyle w:val="Ancredenotedefin"/>
          <w:rStyle w:val="Ancredenotedefin"/>
        </w:rPr>
        <w:endnoteReference w:id="93"/>
      </w:r>
      <w:r>
        <w:rPr/>
        <w:t xml:space="preserve"> pilnā oficiālā tīmekļa vietnē ar dažādām funkcijām</w:t>
      </w:r>
      <w:r>
        <w:rPr>
          <w:rStyle w:val="Ancredenotedefin"/>
          <w:rStyle w:val="Ancredenotedefin"/>
        </w:rPr>
        <w:endnoteReference w:id="94"/>
      </w:r>
      <w:r>
        <w:rPr/>
        <w:t>. Būtu jāizstrādā mehānisms, lai uzraudzītu politiskās un likumdošanas iniciatīvas, kas izriet no līdzdalības demokrātijas procesiem</w:t>
      </w:r>
      <w:r>
        <w:rPr>
          <w:rStyle w:val="Ancredenotedefin"/>
          <w:rStyle w:val="Ancredenotedefin"/>
        </w:rPr>
        <w:endnoteReference w:id="95"/>
      </w:r>
      <w:r>
        <w:rPr/>
        <w:t>. Visiem līdzdalības mehānismiem būtu jāvēršas pie visiem iedzīvotājiem, lai sasniegtu dažādas auditorijas. Uzmanība jāpievērš moderatoru saturam, tematiem un prasmēm. Šo mehānismu pamatā vajadzētu būt attiecīgo pasākumu ietekmes analīzei, jo īpaši attiecībā uz sievietēm un neaizsargātām personām</w:t>
      </w:r>
      <w:r>
        <w:rPr>
          <w:rStyle w:val="Ancredenotedefin"/>
          <w:rStyle w:val="Ancredenotedefin"/>
        </w:rPr>
        <w:endnoteReference w:id="96"/>
      </w:r>
      <w:r>
        <w:rPr/>
        <w:t>.</w:t>
      </w:r>
    </w:p>
    <w:p>
      <w:pPr>
        <w:pStyle w:val="Puce3"/>
        <w:tabs>
          <w:tab w:val="clear" w:pos="720"/>
        </w:tabs>
        <w:rPr/>
      </w:pPr>
      <w:r>
        <w:rPr/>
        <w:t>2.</w:t>
        <w:tab/>
        <w:t>Dažādos veidos palielinot tiešsaistes un bezsaistes mijiedarbības biežumu starp ES iestādēm un iedzīvotājiem, lai nodrošinātu, ka viņi var piedalīties Eiropas politikas veidošanas procesā, paust savu viedokli un saņemt atsauksmes, kā arī izstrādāt hartu par pilsoņu līdzdalību Eiropas ierēdņiem</w:t>
      </w:r>
      <w:r>
        <w:rPr>
          <w:rStyle w:val="Ancredenotedefin"/>
          <w:rStyle w:val="Ancredenotedefin"/>
        </w:rPr>
        <w:endnoteReference w:id="97"/>
      </w:r>
      <w:r>
        <w:rPr/>
        <w:t>.</w:t>
      </w:r>
    </w:p>
    <w:p>
      <w:pPr>
        <w:pStyle w:val="Puce3"/>
        <w:tabs>
          <w:tab w:val="clear" w:pos="720"/>
        </w:tabs>
        <w:rPr/>
      </w:pPr>
      <w:r>
        <w:rPr/>
        <w:t>3.</w:t>
        <w:tab/>
        <w:t>Ierosināt lietotājdraudzīgu digitālo platformu, kurā iedzīvotāji, jo īpaši jaunieši, varētu dalīties savās idejās, uzdot jautājumus Eiropas iestāžu pārstāvjiem un paust savu viedokli par svarīgiem Eiropas jautājumiem, kā arī tiesību aktu priekšlikumiem. Būtu jāparedz arī iespēja organizēt tiešsaistes aptaujas šajā platformā</w:t>
      </w:r>
      <w:r>
        <w:rPr>
          <w:rStyle w:val="Ancredenotedefin"/>
          <w:rStyle w:val="Ancredenotedefin"/>
        </w:rPr>
        <w:endnoteReference w:id="98"/>
      </w:r>
      <w:r>
        <w:rPr/>
        <w:t>.</w:t>
      </w:r>
    </w:p>
    <w:p>
      <w:pPr>
        <w:pStyle w:val="Puce3"/>
        <w:tabs>
          <w:tab w:val="clear" w:pos="720"/>
        </w:tabs>
        <w:rPr/>
      </w:pPr>
      <w:r>
        <w:rPr/>
        <w:t>4.</w:t>
        <w:tab/>
        <w:t>Uzlabot un saskaņot esošos mehānismus Eiropas, valstu un vietējā līmenī, lai padarītu tos drošākus, pieejamākus, redzamākus un iekļaujošākus</w:t>
      </w:r>
      <w:r>
        <w:rPr>
          <w:rStyle w:val="Ancredenotedefin"/>
          <w:rStyle w:val="Ancredenotedefin"/>
        </w:rPr>
        <w:endnoteReference w:id="99"/>
      </w:r>
      <w:r>
        <w:rPr/>
        <w:t>.</w:t>
      </w:r>
    </w:p>
    <w:p>
      <w:pPr>
        <w:pStyle w:val="Puce3"/>
        <w:tabs>
          <w:tab w:val="clear" w:pos="720"/>
        </w:tabs>
        <w:rPr/>
      </w:pPr>
      <w:r>
        <w:rPr/>
        <w:t>5.</w:t>
        <w:tab/>
        <w:t>Pilsoniskās sabiedrības organizāciju, reģionālo un vietējo iestāžu un esošo struktūru, piemēram, Eiropas Ekonomikas un sociālo lietu komitejas (EESK) un Reģionu komitejas (RK</w:t>
      </w:r>
      <w:r>
        <w:rPr>
          <w:rStyle w:val="Ancredenotedefin"/>
          <w:rStyle w:val="Ancredenotedefin"/>
        </w:rPr>
        <w:endnoteReference w:id="100"/>
      </w:r>
      <w:r>
        <w:rPr/>
        <w:t>), iesaistīšana iedzīvotāju līdzdalības procesos</w:t>
      </w:r>
      <w:r>
        <w:rPr>
          <w:rStyle w:val="Ancredenotedefin"/>
          <w:rStyle w:val="Ancredenotedefin"/>
        </w:rPr>
        <w:endnoteReference w:id="101"/>
      </w:r>
      <w:r>
        <w:rPr/>
        <w:t>.</w:t>
      </w:r>
    </w:p>
    <w:p>
      <w:pPr>
        <w:pStyle w:val="Puce3"/>
        <w:tabs>
          <w:tab w:val="clear" w:pos="720"/>
        </w:tabs>
        <w:rPr/>
      </w:pPr>
      <w:r>
        <w:rPr/>
        <w:t>6.</w:t>
        <w:tab/>
        <w:t>Izveidojot vietējo ES konsultantu sistēmu, lai tuvinātu Eiropas iestādes Eiropas pilsoņiem</w:t>
      </w:r>
      <w:r>
        <w:rPr>
          <w:rStyle w:val="Ancredenotedefin"/>
          <w:rStyle w:val="Ancredenotedefin"/>
        </w:rPr>
        <w:endnoteReference w:id="102"/>
      </w:r>
      <w:r>
        <w:rPr/>
        <w:t>.</w:t>
      </w:r>
    </w:p>
    <w:p>
      <w:pPr>
        <w:pStyle w:val="Puce3"/>
        <w:tabs>
          <w:tab w:val="clear" w:pos="720"/>
        </w:tabs>
        <w:rPr/>
      </w:pPr>
      <w:r>
        <w:rPr/>
        <w:t>7.</w:t>
        <w:tab/>
        <w:t>Periodiski pulcējot pilsoņu asambleju, pamatojoties uz ES tiesību aktiem, kas ir juridiski saistoši. Dalībnieki tiks izlozēti saskaņā ar pārstāvības kritērijiem, un tiks stingri veicināta dalība. Ja nepieciešams, speciālisti sniedz pilnsapulces locekļiem informāciju, kas attiecas uz viņu apspriedēm. Ja iestādes neņem vērā šo sanāksmju secinājumus, tām ir jāpamato savs lēmums</w:t>
      </w:r>
      <w:r>
        <w:rPr>
          <w:rStyle w:val="Ancredenotedefin"/>
          <w:rStyle w:val="Ancredenotedefin"/>
        </w:rPr>
        <w:endnoteReference w:id="103"/>
      </w:r>
      <w:r>
        <w:rPr/>
        <w:t>. Ir svarīgi, lai vēlētie pārstāvji pirms politisku lēmumu pieņemšanas apspriežas ar pilsoņiem un pilsonisko sabiedrību un ņemtu vērā viņu ieguldījumu. Eiropas Savienība ir dibināta uz pārstāvības demokrātijas pamata: Eiropas Parlamenta vēlēšanās pilsoņi sūta skaidru vēstījumu saviem pārstāvjiem un netieši runā par ES politiku</w:t>
      </w:r>
      <w:r>
        <w:rPr>
          <w:rStyle w:val="Ancredenotedefin"/>
          <w:rStyle w:val="Ancredenotedefin"/>
        </w:rPr>
        <w:endnoteReference w:id="104"/>
      </w:r>
      <w:r>
        <w:rPr/>
        <w:t>.</w:t>
      </w:r>
    </w:p>
    <w:p>
      <w:pPr>
        <w:pStyle w:val="Puce3"/>
        <w:tabs>
          <w:tab w:val="clear" w:pos="720"/>
        </w:tabs>
        <w:rPr/>
      </w:pPr>
      <w:r>
        <w:rPr/>
        <w:t>8.</w:t>
        <w:tab/>
        <w:t>Sniegt lielāku finansiālu vai cita veida strukturālu atbalstu pilsoniskajai sabiedrībai, jo īpaši jauniešiem, un vietējām pašvaldībām, lai izveidotu vietējās jaunatnes padomes</w:t>
      </w:r>
      <w:r>
        <w:rPr>
          <w:rStyle w:val="Ancredenotedefin"/>
          <w:rStyle w:val="Ancredenotedefin"/>
        </w:rPr>
        <w:endnoteReference w:id="105"/>
      </w:r>
      <w:r>
        <w:rPr/>
        <w:t>; pilsoniskās sabiedrības un sociālo partneru iesaistīšana varētu būt pilnīgs Eiropas Demokrātijas rīcības plāna pīlārs, un īpašu stratēģiju varētu veltīt pilsoniskajai sabiedrībai</w:t>
      </w:r>
      <w:r>
        <w:rPr>
          <w:rStyle w:val="Ancredenotedefin"/>
          <w:rStyle w:val="Ancredenotedefin"/>
        </w:rPr>
        <w:endnoteReference w:id="106"/>
      </w:r>
      <w:r>
        <w:rPr/>
        <w:t>.</w:t>
      </w:r>
    </w:p>
    <w:p>
      <w:pPr>
        <w:pStyle w:val="Puce3"/>
        <w:tabs>
          <w:tab w:val="clear" w:pos="720"/>
        </w:tabs>
        <w:rPr/>
      </w:pPr>
      <w:r>
        <w:rPr/>
        <w:t>9.</w:t>
        <w:tab/>
        <w:t>Ieviest tiesību aktu “jauniešu kontroli”, kas ietvertu ietekmes novērtējumu un mehānismu konsultācijām ar jauniešu pārstāvjiem, ja tiesību akti varētu ietekmēt jauniešus</w:t>
      </w:r>
      <w:r>
        <w:rPr>
          <w:rStyle w:val="Ancredenotedefin"/>
          <w:rStyle w:val="Ancredenotedefin"/>
        </w:rPr>
        <w:endnoteReference w:id="107"/>
      </w:r>
      <w:r>
        <w:rPr/>
        <w:t>.</w:t>
      </w:r>
    </w:p>
    <w:p>
      <w:pPr>
        <w:pStyle w:val="Puce3"/>
        <w:tabs>
          <w:tab w:val="clear" w:pos="720"/>
        </w:tabs>
        <w:rPr/>
      </w:pPr>
      <w:r>
        <w:br w:type="column"/>
      </w:r>
      <w:r>
        <w:rPr/>
      </w:r>
    </w:p>
    <w:p>
      <w:pPr>
        <w:pStyle w:val="Puce3"/>
        <w:tabs>
          <w:tab w:val="clear" w:pos="720"/>
        </w:tabs>
        <w:rPr/>
      </w:pPr>
      <w:r>
        <w:rPr/>
        <w:t>10.</w:t>
        <w:tab/>
        <w:t>Stiprinot sadarbību starp ES likumdevējiem un pilsoniskās sabiedrības organizācijām, lai izmantotu to saiknes starp lēmumu pieņēmējiem un iedzīvotājiem</w:t>
      </w:r>
      <w:r>
        <w:rPr>
          <w:rStyle w:val="Ancredenotedefin"/>
          <w:rStyle w:val="Ancredenotedefin"/>
        </w:rPr>
        <w:endnoteReference w:id="108"/>
      </w:r>
      <w:r>
        <w:rPr/>
        <w:t>.</w:t>
      </w:r>
    </w:p>
    <w:p>
      <w:pPr>
        <w:pStyle w:val="Puce3"/>
        <w:tabs>
          <w:tab w:val="clear" w:pos="720"/>
        </w:tabs>
        <w:rPr/>
      </w:pPr>
      <w:r>
        <w:rPr/>
        <w:t>11.</w:t>
        <w:tab/>
        <w:t>Apkopojot punktus par pilsoņu līdzdalību Eiropas Hartā par pilsoņu ieguldījumu Eiropas lietās.</w:t>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8" w:name="__RefHeading___Toc298350_1346298689"/>
      <w:bookmarkEnd w:id="88"/>
      <w:r>
        <w:rPr/>
        <w:t>37. Priekšlikums: Informācija iedzīvotājiem, līdzdalībai un jaunatnei (a)</w:t>
      </w:r>
    </w:p>
    <w:p>
      <w:pPr>
        <w:pStyle w:val="P68B1DB1Normal15"/>
        <w:rPr>
          <w:b/>
          <w:b/>
        </w:rPr>
      </w:pPr>
      <w:r>
        <w:rPr/>
        <w:t>Mērķis: Padarīt Eiropas Savienību saprotamāku un pieejamāku; kopējās Eiropas identitātes stiprināšana,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r>
      <w:r>
        <w:rPr>
          <w:rStyle w:val="Ancredenotedefin"/>
          <w:rStyle w:val="Ancredenotedefin"/>
          <w:b/>
        </w:rPr>
        <w:endnoteReference w:id="109"/>
      </w:r>
      <w:r>
        <w:rPr/>
        <w:t>Nodrošināt minimālo izglītības apjomu Eiropas Savienībā, jo īpaši tās demokrātiskajos procesos, neaizmirstot par Eiropas integrācijas un Eiropas pilsonības vēsturi. Visu vecumu cilvēkiem vajadzētu būt iespējai izmantot šīs programmas, kas jāizstrādā pievilcīgā un vecumam atbilstošā veidā, piemēram, izstrādājot īpašas izglītības programmas un materiālus bērniem, skolām</w:t>
      </w:r>
      <w:r>
        <w:rPr>
          <w:rStyle w:val="Ancredenotedefin"/>
          <w:rStyle w:val="Ancredenotedefin"/>
        </w:rPr>
        <w:endnoteReference w:id="110"/>
      </w:r>
      <w:r>
        <w:rPr/>
        <w:t xml:space="preserve"> un pilsoniskās sabiedrības organizācijām, kas aktīvi darbojas neformālās izglītības jomā</w:t>
      </w:r>
      <w:r>
        <w:rPr>
          <w:rStyle w:val="Ancredenotedefin"/>
          <w:rStyle w:val="Ancredenotedefin"/>
        </w:rPr>
        <w:endnoteReference w:id="111"/>
      </w:r>
      <w:r>
        <w:rPr/>
        <w:t>.</w:t>
      </w:r>
    </w:p>
    <w:p>
      <w:pPr>
        <w:pStyle w:val="Puce3"/>
        <w:tabs>
          <w:tab w:val="clear" w:pos="720"/>
        </w:tabs>
        <w:rPr/>
      </w:pPr>
      <w:r>
        <w:rPr/>
        <w:t>2.</w:t>
        <w:tab/>
        <w:t>Iekļaujošā veidā nodrošināt, ka visiem iedzīvotājiem ir viegla piekļuve uzticamai informācijai par Savienību. Eiropas iestādēm savā saziņā būtu jāizmanto pieejamāka valoda un jāizvairās no birokrātiska žargona izmantošanas, vienlaikus saglabājot sniegtās informācijas kvalitāti un tehnisko līmeni, kā arī jāpielāgo informācija dažādiem saziņas kanāliem un saņēmēju profiliem.</w:t>
      </w:r>
      <w:r>
        <w:rPr>
          <w:rStyle w:val="Ancredenotedefin"/>
          <w:rStyle w:val="Ancredenotedefin"/>
        </w:rPr>
        <w:endnoteReference w:id="112"/>
      </w:r>
      <w:r>
        <w:rPr/>
        <w:t xml:space="preserve"> Tās varētu, piemēram, apsvērt iespēju izveidot mobilo lietotni, kas skaidrā valodā sniegtu informāciju par ES politiku</w:t>
      </w:r>
      <w:r>
        <w:rPr>
          <w:rStyle w:val="Ancredenotedefin"/>
          <w:rStyle w:val="Ancredenotedefin"/>
        </w:rPr>
        <w:endnoteReference w:id="113"/>
      </w:r>
      <w:r>
        <w:rPr/>
        <w:t>. Būtu jāpieliek īpašas pūles, lai uzrunātu jauniešus sociālajos tīklos, kā arī izmantojot jauniešu kustības un dažādus “vēstniekus” (organizācijas un privātpersonas),</w:t>
      </w:r>
      <w:r>
        <w:rPr>
          <w:rStyle w:val="Ancredenotedefin"/>
          <w:rStyle w:val="Ancredenotedefin"/>
        </w:rPr>
        <w:endnoteReference w:id="114"/>
      </w:r>
      <w:r>
        <w:rPr/>
        <w:t xml:space="preserve"> kas izskaidro Eiropas projektu</w:t>
      </w:r>
      <w:r>
        <w:rPr>
          <w:rStyle w:val="Ancredenotedefin"/>
          <w:rStyle w:val="Ancredenotedefin"/>
        </w:rPr>
        <w:endnoteReference w:id="115"/>
      </w:r>
      <w:r>
        <w:rPr/>
        <w:t>.</w:t>
      </w:r>
    </w:p>
    <w:p>
      <w:pPr>
        <w:pStyle w:val="Puce3"/>
        <w:tabs>
          <w:tab w:val="clear" w:pos="720"/>
        </w:tabs>
        <w:rPr/>
      </w:pPr>
      <w:r>
        <w:rPr/>
        <w:t>3.</w:t>
        <w:tab/>
        <w:t>Vairāk izmantot mākslīgo intelektu un mašīntulkošanas tehnoloģijas, lai pārvarētu valodas barjeru</w:t>
      </w:r>
      <w:r>
        <w:rPr>
          <w:rStyle w:val="Ancredenotedefin"/>
          <w:rStyle w:val="Ancredenotedefin"/>
        </w:rPr>
        <w:endnoteReference w:id="116"/>
      </w:r>
      <w:r>
        <w:rPr/>
        <w:t>,</w:t>
      </w:r>
      <w:r>
        <w:rPr>
          <w:rStyle w:val="Ancredenotedefin"/>
          <w:rStyle w:val="Ancredenotedefin"/>
        </w:rPr>
        <w:endnoteReference w:id="117"/>
      </w:r>
      <w:r>
        <w:rPr/>
        <w:t>nodrošinot, ka visi digitālie rīki ir pieejami cilvēkiem ar invaliditāti</w:t>
      </w:r>
      <w:r>
        <w:rPr>
          <w:rStyle w:val="Ancredenotedefin"/>
          <w:rStyle w:val="Ancredenotedefin"/>
        </w:rPr>
        <w:endnoteReference w:id="118"/>
      </w:r>
      <w:r>
        <w:rPr/>
        <w:t xml:space="preserve"> un ir viegli lietojami.</w:t>
      </w:r>
    </w:p>
    <w:p>
      <w:pPr>
        <w:pStyle w:val="Puce3"/>
        <w:tabs>
          <w:tab w:val="clear" w:pos="720"/>
        </w:tabs>
        <w:rPr/>
      </w:pPr>
      <w:r>
        <w:rPr/>
        <w:t>4.</w:t>
        <w:tab/>
        <w:t>Aizstāvot un atbalstot plašsaziņas līdzekļu brīvību, plurālismu un neatkarību un mudinot plašsaziņas līdzekļus, tostarp sabiedriskās raidorganizācijas, sabiedriskās ziņu aģentūras un Eiropas plašsaziņas līdzekļus, regulārāk atspoguļot Eiropas lietas, vienlaikus respektējot to brīvību un neatkarību, lai šāda atspoguļošana būtu regulāra un visaptveroša visās Savienības dalībvalstīs,</w:t>
      </w:r>
      <w:r>
        <w:rPr>
          <w:rStyle w:val="Ancredenotedefin"/>
          <w:rStyle w:val="Ancredenotedefin"/>
        </w:rPr>
        <w:endnoteReference w:id="119"/>
      </w:r>
      <w:r>
        <w:rPr/>
        <w:t>palielinot centienus apkarot dezinformāciju un ārvalstu iejaukšanos un aizsargājot žurnālistus</w:t>
      </w:r>
      <w:r>
        <w:rPr>
          <w:rStyle w:val="Ancredenotedefin"/>
          <w:rStyle w:val="Ancredenotedefin"/>
        </w:rPr>
        <w:endnoteReference w:id="120"/>
      </w:r>
      <w:r>
        <w:rPr/>
        <w:t>.</w:t>
      </w:r>
    </w:p>
    <w:p>
      <w:pPr>
        <w:pStyle w:val="Puce3"/>
        <w:tabs>
          <w:tab w:val="clear" w:pos="720"/>
        </w:tabs>
        <w:rPr/>
      </w:pPr>
      <w:r>
        <w:rPr/>
      </w:r>
    </w:p>
    <w:p>
      <w:pPr>
        <w:pStyle w:val="Puce3"/>
        <w:tabs>
          <w:tab w:val="clear" w:pos="720"/>
        </w:tabs>
        <w:rPr/>
      </w:pPr>
      <w:r>
        <w:rPr/>
        <w:t>5.</w:t>
        <w:tab/>
        <w:t>Tuvinot Eiropu iedzīvotājiem, vietējā līmenī stiprinot</w:t>
      </w:r>
      <w:r>
        <w:rPr>
          <w:rStyle w:val="Ancredenotedefin"/>
          <w:rStyle w:val="Ancredenotedefin"/>
        </w:rPr>
        <w:endnoteReference w:id="121"/>
      </w:r>
      <w:r>
        <w:rPr/>
        <w:t xml:space="preserve"> kontaktpunktus un specializētus centrus (“Eiropas mājas”), kas iedzīvotājiem piedāvātu resursus, informāciju un konsultācijas par Eiropas jautājumiem, uzklausītu viņu bažas un apspriestu tos ar apvienībām, lai palīdzētu iedzīvotājiem paust Eiropas līmeņa viedokli</w:t>
      </w:r>
      <w:r>
        <w:rPr>
          <w:rStyle w:val="Ancredenotedefin"/>
          <w:rStyle w:val="Ancredenotedefin"/>
        </w:rPr>
        <w:endnoteReference w:id="122"/>
      </w:r>
      <w:r>
        <w:rPr/>
        <w:t>.</w:t>
      </w:r>
    </w:p>
    <w:p>
      <w:pPr>
        <w:pStyle w:val="Puce3"/>
        <w:tabs>
          <w:tab w:val="clear" w:pos="720"/>
        </w:tabs>
        <w:rPr/>
      </w:pPr>
      <w:r>
        <w:rPr/>
        <w:t>6.</w:t>
        <w:tab/>
        <w:t>Veicot jaunus pasākumus, lai stiprinātu eiropiešu kopīgo identitāti, piemēram, izmantojot ES fondu, kas veicinātu dažāda ilguma tiešsaistes un bezsaistes mijiedarbību (piemēram, apmaiņas programmas, paneļdiskusijus vai sanāksmes) starp ES pilsoņiem, organizējot Eiropas sporta pasākumus, izveidojot kopīgas komandas vai padarot 9. maiju (Eiropas dienu)</w:t>
      </w:r>
      <w:r>
        <w:rPr>
          <w:rStyle w:val="Ancredenotedefin"/>
          <w:rStyle w:val="Ancredenotedefin"/>
        </w:rPr>
        <w:endnoteReference w:id="123"/>
      </w:r>
      <w:r>
        <w:rPr/>
        <w:t xml:space="preserve"> par papildu brīvdienu visiem Eiropas pilsoņiem</w:t>
      </w:r>
      <w:r>
        <w:rPr>
          <w:rStyle w:val="Ancredenotedefin"/>
          <w:rStyle w:val="Ancredenotedefin"/>
        </w:rPr>
        <w:endnoteReference w:id="124"/>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89" w:name="__RefHeading___Toc298352_1346298689"/>
      <w:bookmarkEnd w:id="89"/>
      <w:r>
        <w:rPr/>
        <w:t>38. Priekšlikums: Demokrātija un vēlēšanas</w:t>
      </w:r>
    </w:p>
    <w:p>
      <w:pPr>
        <w:pStyle w:val="Normal"/>
        <w:rPr/>
      </w:pPr>
      <w:r>
        <w:rPr/>
        <w:t>Mērķis: Stiprināt Eiropas demokrātiju, stiprinot tās pamatus, mudinot pilsoņus piedalīties Eiropas vēlēšanās, veicinot transnacionālas debates par Eiropas jautājumiem un nodrošinot ciešu saikni starp pilsoņiem un viņu ievēlētajiem pārstāvjiem,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Nodrošināt Līgumos nostiprināto Eiropas vērtību, tostarp tiesiskuma un stabila sociālā modeļa, aizsardzību</w:t>
      </w:r>
      <w:r>
        <w:rPr>
          <w:rStyle w:val="Ancredenotedefin"/>
          <w:rStyle w:val="Ancredenotedefin"/>
        </w:rPr>
        <w:endnoteReference w:id="125"/>
      </w:r>
      <w:r>
        <w:rPr/>
        <w:t>, kas ir Eiropas demokrātijas pamatā. Attiecībās ar pārējo pasauli Savienībai būtu jāpiešķir prioritāte kopīgām demokrātiskām vērtībām pierobežas valstīs. Tikai pēc šā mērķa sasniegšanas viņa var kļūt par mūsu demokrātiskā modeļa vēstnieci valstīs, kurām ir spējas un vēlme to darīt, izmantojot diplomātiju un dialogu</w:t>
      </w:r>
      <w:r>
        <w:rPr>
          <w:rStyle w:val="Ancredenotedefin"/>
          <w:rStyle w:val="Ancredenotedefin"/>
        </w:rPr>
        <w:endnoteReference w:id="126"/>
      </w:r>
      <w:r>
        <w:rPr/>
        <w:t>.</w:t>
      </w:r>
    </w:p>
    <w:p>
      <w:pPr>
        <w:pStyle w:val="Puce3"/>
        <w:tabs>
          <w:tab w:val="clear" w:pos="720"/>
        </w:tabs>
        <w:rPr/>
      </w:pPr>
      <w:r>
        <w:rPr/>
        <w:t>2.</w:t>
        <w:tab/>
        <w:t>Ieviešot iespēju izņēmuma kārtā rīkot referendumu visā Savienībā pēc Eiropas Parlamenta iniciatīvas, ja kāds temats izrādās īpaši svarīgs visiem Eiropas pilsoņiem</w:t>
      </w:r>
      <w:r>
        <w:rPr>
          <w:rStyle w:val="Ancredenotedefin"/>
          <w:rStyle w:val="Ancredenotedefin"/>
        </w:rPr>
        <w:endnoteReference w:id="127"/>
      </w:r>
      <w:r>
        <w:rPr/>
        <w:t>.</w:t>
      </w:r>
    </w:p>
    <w:p>
      <w:pPr>
        <w:pStyle w:val="Puce3"/>
        <w:tabs>
          <w:tab w:val="clear" w:pos="720"/>
        </w:tabs>
        <w:rPr/>
      </w:pPr>
      <w:r>
        <w:rPr/>
        <w:t>3.</w:t>
        <w:tab/>
        <w:t>Grozot Savienības vēlēšanu likumu, lai saskaņotu Eiropas Parlamenta vēlēšanu kārtību (piemēram, pilngadību, vēlēšanu datumu, prasības, kas piemērojamas vēlēšanu apgabaliem, kandidātiem, politiskajām partijām un to finansēšanu), kā arī virzoties uz Eiropas vai starptautiskiem sarakstiem, kuros iekļauti</w:t>
      </w:r>
      <w:r>
        <w:rPr>
          <w:rStyle w:val="Ancredenotedebasdepage"/>
          <w:rStyle w:val="Ancredenotedebasdepage"/>
        </w:rPr>
        <w:footnoteReference w:id="11"/>
      </w:r>
      <w:r>
        <w:rPr/>
        <w:t xml:space="preserve"> kandidāti no dažādām dalībvalstīm, pēc tam, kad ir ņemti vērā dalībvalstu pilsoņu paustie</w:t>
      </w:r>
      <w:r>
        <w:rPr>
          <w:rStyle w:val="Ancredenotedefin"/>
          <w:rStyle w:val="Ancredenotedefin"/>
        </w:rPr>
        <w:endnoteReference w:id="128"/>
      </w:r>
      <w:r>
        <w:rPr/>
        <w:t xml:space="preserve"> viedokļi šajā jautājumā</w:t>
      </w:r>
      <w:r>
        <w:rPr>
          <w:rStyle w:val="Ancredenotedefin"/>
          <w:rStyle w:val="Ancredenotedefin"/>
        </w:rPr>
        <w:endnoteReference w:id="129"/>
      </w:r>
      <w:r>
        <w:rPr/>
        <w:t>.</w:t>
      </w:r>
    </w:p>
    <w:p>
      <w:pPr>
        <w:pStyle w:val="Alineanegatifpuce"/>
        <w:numPr>
          <w:ilvl w:val="0"/>
          <w:numId w:val="3"/>
        </w:numPr>
        <w:rPr/>
      </w:pPr>
      <w:r>
        <w:rPr/>
        <w:t xml:space="preserve"> </w:t>
      </w:r>
      <w:r>
        <w:rPr/>
        <w:t>Daži Eiropas Parlamenta deputāti būtu jāievēl no Eiropas mēroga sarakstiem, bet pārējie būtu jāizraugās dalībvalstu līmenī</w:t>
      </w:r>
      <w:r>
        <w:rPr>
          <w:rStyle w:val="Ancredenotedefin"/>
          <w:rStyle w:val="Ancredenotedefin"/>
        </w:rPr>
        <w:endnoteReference w:id="130"/>
      </w:r>
      <w:r>
        <w:rPr/>
        <w:t>.</w:t>
      </w:r>
    </w:p>
    <w:p>
      <w:pPr>
        <w:pStyle w:val="Alineanegatifpuce"/>
        <w:numPr>
          <w:ilvl w:val="0"/>
          <w:numId w:val="3"/>
        </w:numPr>
        <w:rPr/>
      </w:pPr>
      <w:r>
        <w:rPr/>
        <w:t xml:space="preserve"> </w:t>
      </w:r>
      <w:r>
        <w:rPr/>
        <w:t>Reformas mērķim vajadzētu būt arī veicināt digitālo balsošanas kārtību</w:t>
      </w:r>
      <w:r>
        <w:rPr>
          <w:rStyle w:val="Ancredenotedefin"/>
          <w:rStyle w:val="Ancredenotedefin"/>
        </w:rPr>
        <w:endnoteReference w:id="131"/>
      </w:r>
      <w:r>
        <w:rPr/>
        <w:t xml:space="preserve"> un garantēt personu ar invaliditāti reālās tiesības balsot</w:t>
      </w:r>
      <w:r>
        <w:rPr>
          <w:rStyle w:val="Ancredenotedefin"/>
          <w:rStyle w:val="Ancredenotedefin"/>
        </w:rPr>
        <w:endnoteReference w:id="132"/>
      </w:r>
      <w:r>
        <w:rPr/>
        <w:t>.</w:t>
      </w:r>
    </w:p>
    <w:p>
      <w:pPr>
        <w:pStyle w:val="Puce3"/>
        <w:tabs>
          <w:tab w:val="clear" w:pos="720"/>
        </w:tabs>
        <w:rPr/>
      </w:pPr>
      <w:r>
        <w:rPr/>
        <w:t>4.</w:t>
        <w:tab/>
        <w:t>Stiprināt saiknes starp pilsoņiem un viņu ievēlētajiem pārstāvjiem, ņemot vērā valstu īpatnības: pilsoņi vēlas sajust, ka EP deputāti un valstu parlamentārieši ir viņiem tuvi, un ar konkrētiem pasākumiem reaģē uz viņu bažām</w:t>
      </w:r>
      <w:r>
        <w:rPr>
          <w:rStyle w:val="Ancredenotedefin"/>
          <w:rStyle w:val="Ancredenotedefin"/>
        </w:rPr>
        <w:endnoteReference w:id="133"/>
      </w:r>
      <w:r>
        <w:rPr/>
        <w:t>. Tā ir universāla problēma, un visu vecumu cilvēkiem ir jāiesaistās</w:t>
      </w:r>
      <w:r>
        <w:rPr>
          <w:rStyle w:val="Ancredenotedefin"/>
          <w:rStyle w:val="Ancredenotedefin"/>
        </w:rPr>
        <w:endnoteReference w:id="134"/>
      </w:r>
      <w:r>
        <w:rPr/>
        <w:t>.</w:t>
      </w:r>
    </w:p>
    <w:p>
      <w:pPr>
        <w:pStyle w:val="Alineanegatifpuce"/>
        <w:numPr>
          <w:ilvl w:val="0"/>
          <w:numId w:val="3"/>
        </w:numPr>
        <w:rPr/>
      </w:pPr>
      <w:r>
        <w:rPr/>
        <w:t xml:space="preserve"> </w:t>
      </w:r>
      <w:r>
        <w:rPr/>
        <w:t>Eiropas pilsoņiem vajadzētu būt lielākai ietekmei Komisijas priekšsēdētāja ievēlēšanā. Šo mērķi varētu sasniegt, tieši ievēlot Komisijas priekšsēdētāju</w:t>
      </w:r>
      <w:r>
        <w:rPr>
          <w:rStyle w:val="Ancredenotedefin"/>
          <w:rStyle w:val="Ancredenotedefin"/>
        </w:rPr>
        <w:endnoteReference w:id="135"/>
      </w:r>
      <w:r>
        <w:rPr/>
        <w:t xml:space="preserve"> vai kandidātu sarakstu sistēmu</w:t>
      </w:r>
      <w:r>
        <w:rPr>
          <w:rStyle w:val="Ancredenotedebasdepage"/>
          <w:rStyle w:val="Ancredenotedebasdepage"/>
        </w:rPr>
        <w:footnoteReference w:id="12"/>
      </w:r>
      <w:r>
        <w:rPr/>
        <w:t>.</w:t>
      </w:r>
    </w:p>
    <w:p>
      <w:pPr>
        <w:pStyle w:val="Alineanegatifpuce"/>
        <w:numPr>
          <w:ilvl w:val="0"/>
          <w:numId w:val="3"/>
        </w:numPr>
        <w:rPr/>
      </w:pPr>
      <w:r>
        <w:rPr/>
        <w:t xml:space="preserve"> </w:t>
      </w:r>
      <w:r>
        <w:rPr/>
        <w:t>Eiropas Parlamentam vajadzētu būt tiesībām ierosināt likumdošanas iniciatīvu, lai ierosinātu</w:t>
      </w:r>
      <w:r>
        <w:rPr>
          <w:rStyle w:val="Ancredenotedefin"/>
          <w:rStyle w:val="Ancredenotedefin"/>
        </w:rPr>
        <w:endnoteReference w:id="136"/>
      </w:r>
      <w:r>
        <w:rPr/>
        <w:t xml:space="preserve"> apspriežamos tematus un pēc tam pieņemtu tekstus, kas vajadzīgi, lai ņemtu vērā apspriedēs sniegtos ieteikumus</w:t>
      </w:r>
      <w:r>
        <w:rPr>
          <w:rStyle w:val="Ancredenotedefin"/>
          <w:rStyle w:val="Ancredenotedefin"/>
        </w:rPr>
        <w:endnoteReference w:id="137"/>
      </w:r>
      <w:r>
        <w:rPr/>
        <w:t>.</w:t>
      </w:r>
    </w:p>
    <w:p>
      <w:pPr>
        <w:pStyle w:val="Alineanegatifpuce"/>
        <w:numPr>
          <w:ilvl w:val="0"/>
          <w:numId w:val="3"/>
        </w:numPr>
        <w:rPr/>
      </w:pPr>
      <w:r>
        <w:rPr/>
        <w:t xml:space="preserve"> </w:t>
      </w:r>
      <w:r>
        <w:rPr/>
        <w:t>Eiropas Parlamentam būtu jālemj par ES budžetu, kā to dara parlamenti valstu līmenī</w:t>
      </w:r>
      <w:r>
        <w:rPr>
          <w:rStyle w:val="Ancredenotedebasdepage"/>
          <w:rStyle w:val="Ancredenotedebasdepage"/>
        </w:rPr>
        <w:footnoteReference w:id="13"/>
      </w:r>
      <w:r>
        <w:rPr/>
        <w:t>.</w:t>
      </w:r>
      <w:r>
        <w:rPr>
          <w:rStyle w:val="Ancredenotedefin"/>
          <w:rStyle w:val="Ancredenotedefin"/>
        </w:rPr>
        <w:endnoteReference w:id="138"/>
      </w:r>
      <w:r>
        <w:rPr/>
        <w:t xml:space="preserve"> </w:t>
      </w:r>
    </w:p>
    <w:p>
      <w:pPr>
        <w:pStyle w:val="Alineanegatifpuce"/>
        <w:numPr>
          <w:ilvl w:val="0"/>
          <w:numId w:val="3"/>
        </w:numPr>
        <w:rPr/>
      </w:pPr>
      <w:r>
        <w:rPr/>
        <w:t xml:space="preserve"> </w:t>
      </w:r>
      <w:r>
        <w:rPr/>
        <w:t>Politiskajām partijām, pilsoniskās sabiedrības organizācijām un arodbiedrībām vajadzētu būt dinamiskākām un pieejamākām, lai iedzīvotāji iesaistītos un vairāk ieguldītu Eiropas demokrātijā</w:t>
      </w:r>
      <w:r>
        <w:rPr>
          <w:rStyle w:val="Ancredenotedefin"/>
          <w:rStyle w:val="Ancredenotedefin"/>
        </w:rPr>
        <w:endnoteReference w:id="139"/>
      </w:r>
      <w:r>
        <w:rPr/>
        <w:t>. Tas veicinātu arī Eiropas jautājumu iekļaušanu publiskajās debatēs, ko organizē politiskās partijas, pilsoniskās sabiedrības organizācijas un sociālie partneri, gatavojoties Eiropas Parlamenta vēlēšanām vai gatavojoties valsts, reģionālajām vai vietējām vēlēšanām</w:t>
      </w:r>
      <w:r>
        <w:rPr>
          <w:rStyle w:val="Ancredenotedefin"/>
          <w:rStyle w:val="Ancredenotedefin"/>
        </w:rPr>
        <w:endnoteReference w:id="140"/>
      </w:r>
      <w:r>
        <w:rPr/>
        <w:t>.</w:t>
      </w:r>
    </w:p>
    <w:p>
      <w:pPr>
        <w:pStyle w:val="Puce3"/>
        <w:tabs>
          <w:tab w:val="clear" w:pos="720"/>
        </w:tabs>
        <w:rPr/>
      </w:pPr>
      <w:r>
        <w:rPr/>
        <w:t>5.</w:t>
        <w:tab/>
        <w:t>Demokrātija ir iekļauta iestādēs un sabiedrībā kopumā, tostarp darbavietā, pateicoties sociālajiem partneriem</w:t>
      </w:r>
      <w:r>
        <w:rPr>
          <w:rStyle w:val="Ancredenotedefin"/>
          <w:rStyle w:val="Ancredenotedefin"/>
        </w:rPr>
        <w:endnoteReference w:id="141"/>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90" w:name="__RefHeading___Toc298354_1346298689"/>
      <w:bookmarkEnd w:id="90"/>
      <w:r>
        <w:rPr/>
        <w:t>39. Priekšlikums: Savienības lēmumu pieņemšanas process</w:t>
      </w:r>
    </w:p>
    <w:p>
      <w:pPr>
        <w:pStyle w:val="P68B1DB1Normal15"/>
        <w:rPr>
          <w:b/>
          <w:b/>
        </w:rPr>
      </w:pPr>
      <w:r>
        <w:rPr/>
        <w:t>Mērķis: Uzlabot Savienības lēmumu pieņemšanas procesu, lai nodrošinātu tās spēju rīkoties, vienlaikus ņemot vērā katras dalībvalsts intereses un nodrošinot pilsoņiem pārredzamu un saprotamu procesu, jo īpaši: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Pārskatīt noteikumus par lēmumu pieņemšanu un balsošanu Eiropas iestādēs. Īpaša uzmanība jāpievērš jautājumam par vienprātīgu balsošanu, jo tas padara jebkuru vienošanos ļoti sarežģītu. Būtu jānodrošina taisnīgums balsu svēršanā, lai aizsargātu mazo valstu intereses</w:t>
      </w:r>
      <w:r>
        <w:rPr>
          <w:rStyle w:val="Ancredenotedefin"/>
          <w:rStyle w:val="Ancredenotedefin"/>
        </w:rPr>
        <w:endnoteReference w:id="142"/>
      </w:r>
      <w:r>
        <w:rPr/>
        <w:t>.</w:t>
      </w:r>
    </w:p>
    <w:p>
      <w:pPr>
        <w:pStyle w:val="Alineanegatifpuce"/>
        <w:numPr>
          <w:ilvl w:val="0"/>
          <w:numId w:val="3"/>
        </w:numPr>
        <w:rPr/>
      </w:pPr>
      <w:r>
        <w:rPr/>
        <w:t xml:space="preserve"> </w:t>
      </w:r>
      <w:r>
        <w:rPr/>
        <w:t>Visi lēmumi, kas pašlaik tiek pieņemti vienprātīgi, turpmāk būtu jāpieņem ar kvalificētu balsu vairākumu. Vienīgajiem izņēmumiem vajadzētu būt jaunu dalībvalstu uzņemšanai Eiropas Savienībā un Savienības pamatprincipu grozīšanai, kas noteikti Līguma par Eiropas Savienību 2. pantā un Eiropas Savienības Pamattiesību hartā</w:t>
      </w:r>
      <w:r>
        <w:rPr>
          <w:rStyle w:val="Ancredenotedefin"/>
          <w:rStyle w:val="Ancredenotedefin"/>
        </w:rPr>
        <w:endnoteReference w:id="143"/>
      </w:r>
      <w:r>
        <w:rPr/>
        <w:t>.</w:t>
      </w:r>
    </w:p>
    <w:p>
      <w:pPr>
        <w:pStyle w:val="Puce3"/>
        <w:tabs>
          <w:tab w:val="clear" w:pos="720"/>
        </w:tabs>
        <w:rPr/>
      </w:pPr>
      <w:r>
        <w:rPr/>
        <w:t>2.</w:t>
        <w:tab/>
        <w:t>Nodrošināt lēmumu pieņemšanas procesa pārredzamību, dodot iespēju neatkarīgiem iedzīvotājiem novērotājiem cieši uzraudzīt šo procesu, piemērojot plašākas tiesības piekļūt dokumentiem</w:t>
      </w:r>
      <w:r>
        <w:rPr>
          <w:rStyle w:val="Ancredenotedefin"/>
          <w:rStyle w:val="Ancredenotedefin"/>
        </w:rPr>
        <w:endnoteReference w:id="144"/>
      </w:r>
      <w:r>
        <w:rPr/>
        <w:t xml:space="preserve"> un uz šā pamata izveidojot ciešākas saiknes un pastiprinātu dialogu starp pilsoņiem un Eiropas iestādēm</w:t>
      </w:r>
      <w:r>
        <w:rPr>
          <w:rStyle w:val="Ancredenotedefin"/>
          <w:rStyle w:val="Ancredenotedefin"/>
        </w:rPr>
        <w:endnoteReference w:id="145"/>
      </w:r>
      <w:r>
        <w:rPr/>
        <w:t>.</w:t>
      </w:r>
    </w:p>
    <w:p>
      <w:pPr>
        <w:pStyle w:val="Alineanegatifpuce"/>
        <w:numPr>
          <w:ilvl w:val="0"/>
          <w:numId w:val="3"/>
        </w:numPr>
        <w:rPr/>
      </w:pPr>
      <w:r>
        <w:rPr/>
        <w:t xml:space="preserve"> </w:t>
      </w:r>
      <w:r>
        <w:rPr/>
        <w:t>Savienībai ir jāuzlabo lēmumu pieņemšanas procesa un iestāžu pārredzamība. Piemēram, Padomes un Eiropas Parlamenta sanāksmes, tostarp balsošanas sesijas, būtu jāizplata tiešsaistē tādā pašā veidā. Tas ļautu ieinteresētajiem iedzīvotājiem uzraudzīt ES politikas veidošanu un liktu politikas veidotājiem ziņot par savu rīcību</w:t>
      </w:r>
      <w:r>
        <w:rPr>
          <w:rStyle w:val="Ancredenotedefin"/>
          <w:rStyle w:val="Ancredenotedefin"/>
        </w:rPr>
        <w:endnoteReference w:id="146"/>
      </w:r>
      <w:r>
        <w:rPr/>
        <w:t>. Būtu jāstiprina arī Eiropas Parlamenta izmeklēšanas tiesības.</w:t>
      </w:r>
      <w:r>
        <w:rPr>
          <w:rStyle w:val="Ancredenotedefin"/>
          <w:rStyle w:val="Ancredenotedefin"/>
        </w:rPr>
        <w:endnoteReference w:id="147"/>
      </w:r>
      <w:r>
        <w:rPr/>
        <w:t xml:space="preserve"> Darba grupas grozījums Nr. 44A.</w:t>
      </w:r>
    </w:p>
    <w:p>
      <w:pPr>
        <w:pStyle w:val="Alineanegatifpuce"/>
        <w:numPr>
          <w:ilvl w:val="0"/>
          <w:numId w:val="3"/>
        </w:numPr>
        <w:rPr/>
      </w:pPr>
      <w:r>
        <w:rPr/>
        <w:t xml:space="preserve"> </w:t>
      </w:r>
      <w:r>
        <w:rPr/>
        <w:t>Būtu jāturpina attīstīt Savienības lēmumu pieņemšanas procesu, lai vairāk iesaistītu valstu, reģionālos un vietējos pārstāvjus, sociālos partnerus un pilsoniskās sabiedrības organizācijas</w:t>
      </w:r>
      <w:r>
        <w:rPr>
          <w:rStyle w:val="Ancredenotedefin"/>
          <w:rStyle w:val="Ancredenotedefin"/>
        </w:rPr>
        <w:endnoteReference w:id="148"/>
      </w:r>
      <w:r>
        <w:rPr/>
        <w:t>. Būtu jāstiprina parlamentu sadarbība un dialogs. Eiropas Parlamentam būtu arī ciešāk jāiesaista valstu parlamenti Eiropas likumdošanas procedūrā, piemēram, uzaicinot tos uz uzklausīšanu</w:t>
      </w:r>
      <w:r>
        <w:rPr>
          <w:rStyle w:val="Ancredenotedefin"/>
          <w:rStyle w:val="Ancredenotedefin"/>
        </w:rPr>
        <w:endnoteReference w:id="149"/>
      </w:r>
      <w:r>
        <w:rPr/>
        <w:t>. Turklāt būtu lietderīgi vairāk iesaistīt vietējās un reģionālās pašvaldības un RK, lai labāk ņemtu vērā to pieredzi Eiropas tiesību aktu īstenošanā</w:t>
      </w:r>
      <w:r>
        <w:rPr>
          <w:rStyle w:val="Ancredenotedefin"/>
          <w:rStyle w:val="Ancredenotedefin"/>
        </w:rPr>
        <w:endnoteReference w:id="150"/>
      </w:r>
      <w:r>
        <w:rPr/>
        <w:t>.</w:t>
      </w:r>
    </w:p>
    <w:p>
      <w:pPr>
        <w:pStyle w:val="Puce3"/>
        <w:tabs>
          <w:tab w:val="clear" w:pos="720"/>
        </w:tabs>
        <w:rPr/>
      </w:pPr>
      <w:r>
        <w:rPr/>
        <w:t>3.</w:t>
        <w:tab/>
        <w:t>Apsverot iespēju mainīt Eiropas iestāžu nosaukumus, lai precizētu katras iestādes lomu un lomu Savienības lēmumu pieņemšanas procesā pilsoņu skatījumā</w:t>
      </w:r>
      <w:r>
        <w:rPr>
          <w:rStyle w:val="Ancredenotedefin"/>
          <w:rStyle w:val="Ancredenotedefin"/>
        </w:rPr>
        <w:endnoteReference w:id="151"/>
      </w:r>
      <w:r>
        <w:rPr/>
        <w:t>.</w:t>
      </w:r>
    </w:p>
    <w:p>
      <w:pPr>
        <w:pStyle w:val="Alineanegatifpuce"/>
        <w:numPr>
          <w:ilvl w:val="0"/>
          <w:numId w:val="3"/>
        </w:numPr>
        <w:rPr/>
      </w:pPr>
      <w:r>
        <w:rPr/>
        <w:t xml:space="preserve"> </w:t>
      </w:r>
      <w:r>
        <w:rPr/>
        <w:t>ES lēmumu pieņemšanas procesam būtu jābalstās uz skaidrāku un saprotamāku struktūru, kas līdzinās valstu sistēmām</w:t>
      </w:r>
      <w:r>
        <w:rPr>
          <w:rStyle w:val="Ancredenotedefin"/>
          <w:rStyle w:val="Ancredenotedefin"/>
        </w:rPr>
        <w:endnoteReference w:id="152"/>
      </w:r>
      <w:r>
        <w:rPr/>
        <w:t xml:space="preserve"> un skaidri norāda kompetenču sadalījumu starp Eiropas iestādēm un dalībvalstīm</w:t>
      </w:r>
      <w:r>
        <w:rPr>
          <w:rStyle w:val="Ancredenotedefin"/>
          <w:rStyle w:val="Ancredenotedefin"/>
        </w:rPr>
        <w:endnoteReference w:id="153"/>
      </w:r>
      <w:r>
        <w:rPr/>
        <w:t>.</w:t>
      </w:r>
    </w:p>
    <w:p>
      <w:pPr>
        <w:pStyle w:val="Alineanegatifpuce"/>
        <w:numPr>
          <w:ilvl w:val="0"/>
          <w:numId w:val="3"/>
        </w:numPr>
        <w:rPr/>
      </w:pPr>
      <w:r>
        <w:rPr/>
        <w:t xml:space="preserve"> </w:t>
      </w:r>
      <w:r>
        <w:rPr/>
        <w:t>Piemēram, Eiropas Savienības Padomi varētu pārdēvēt par “Savienības novietni” un Eiropas Komisiju — “Savienības izpildkomiteja”</w:t>
      </w:r>
      <w:r>
        <w:rPr>
          <w:rStyle w:val="Ancredenotedefin"/>
          <w:rStyle w:val="Ancredenotedefin"/>
        </w:rPr>
        <w:endnoteReference w:id="154"/>
      </w:r>
      <w:r>
        <w:rPr/>
        <w:t>.</w:t>
      </w:r>
    </w:p>
    <w:p>
      <w:pPr>
        <w:pStyle w:val="Puce3"/>
        <w:tabs>
          <w:tab w:val="clear" w:pos="720"/>
        </w:tabs>
        <w:rPr/>
      </w:pPr>
      <w:r>
        <w:rPr/>
        <w:t>4.</w:t>
        <w:tab/>
        <w:t>Stiprināt Savienības spēju sasniegt rezultātus galvenajās jomās</w:t>
      </w:r>
      <w:r>
        <w:rPr>
          <w:rStyle w:val="Ancredenotedefin"/>
          <w:rStyle w:val="Ancredenotedefin"/>
        </w:rPr>
        <w:endnoteReference w:id="155"/>
      </w:r>
      <w:r>
        <w:rPr/>
        <w:t>.</w:t>
      </w:r>
    </w:p>
    <w:p>
      <w:pPr>
        <w:pStyle w:val="Puce3"/>
        <w:tabs>
          <w:tab w:val="clear" w:pos="720"/>
        </w:tabs>
        <w:rPr/>
      </w:pPr>
      <w:r>
        <w:rPr/>
        <w:t>5.</w:t>
        <w:tab/>
        <w:t>Nodrošināt mehānismus sociālajam dialogam un konsultācijām ar iedzīvotājiem visos Savienības lēmumu pieņemšanas procesa posmos, sākot no ietekmes novērtējuma līdz pasākumu izstrādei un īstenošanai</w:t>
      </w:r>
      <w:r>
        <w:rPr>
          <w:rStyle w:val="Ancredenotedefin"/>
          <w:rStyle w:val="Ancredenotedefin"/>
        </w:rPr>
        <w:endnoteReference w:id="156"/>
      </w:r>
      <w:r>
        <w:rPr/>
        <w:t>.</w:t>
      </w:r>
    </w:p>
    <w:p>
      <w:pPr>
        <w:pStyle w:val="Puce3"/>
        <w:tabs>
          <w:tab w:val="clear" w:pos="720"/>
        </w:tabs>
        <w:rPr/>
      </w:pPr>
      <w:r>
        <w:rPr/>
        <w:t>6.</w:t>
        <w:tab/>
        <w:t>Reformēt Eiropas Savienības darbību, tostarp ciešāk iesaistot sociālos partnerus un pilsoniskās sabiedrības organizācijas. Ir jāstiprina esošās struktūras, lai lēmumu pieņemšanas process labāk atspoguļotu Eiropas pilsoņu, kuriem ir būtiska nozīme Eiropas demokrātijā, vajadzības un vēlmes. Šajā sakarā EESK ir jāiegūst līdzekļi, kas ļautu uzņemties nozīmīgāku institucionālo lomu, proti, nodrošināt un veicināt līdzdalības demokrātijas pasākumus, piemēram, strukturētu dialogu ar pilsoniskās sabiedrības organizācijām un iedzīvotāju paneļdiskusijām. Dinamiska pilsoniskā sabiedrība ir būtiska Savienības demokrātiskajai dzīvei</w:t>
      </w:r>
      <w:r>
        <w:rPr>
          <w:rStyle w:val="Ancredenotedefin"/>
          <w:rStyle w:val="Ancredenotedefin"/>
        </w:rPr>
        <w:endnoteReference w:id="157"/>
      </w:r>
      <w:r>
        <w:rPr/>
        <w:t>.</w:t>
      </w:r>
    </w:p>
    <w:p>
      <w:pPr>
        <w:pStyle w:val="Puce3"/>
        <w:tabs>
          <w:tab w:val="clear" w:pos="720"/>
        </w:tabs>
        <w:rPr/>
      </w:pPr>
      <w:r>
        <w:rPr/>
        <w:t>7.</w:t>
        <w:tab/>
        <w:t>Vajadzības gadījumā atsākot debates par konstitūciju, lai skaidri definētu mūsu vērtības. Konstitūcija varētu nodrošināt lielāku precizitāti, mobilizēt pilsoņus un vienoties par lēmumu pieņemšanas procesa noteikumiem</w:t>
      </w:r>
      <w:r>
        <w:rPr>
          <w:rStyle w:val="Ancredenotedefin"/>
          <w:rStyle w:val="Ancredenotedefin"/>
        </w:rPr>
        <w:endnoteReference w:id="158"/>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1" w:name="__RefHeading___Toc298356_1346298689"/>
      <w:bookmarkEnd w:id="91"/>
      <w:r>
        <w:rPr/>
        <w:t>40. Priekšlikums: Subsidiaritāte</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Puce3"/>
        <w:tabs>
          <w:tab w:val="clear" w:pos="720"/>
        </w:tabs>
        <w:rPr/>
      </w:pPr>
      <w:r>
        <w:rPr/>
        <w:t>1.</w:t>
        <w:tab/>
        <w:t>Aktīva subsidiaritāte un daudzlīmeņu pārvaldība ir galvenie principi, lai Eiropas Savienība darbotos demokrātiskā un atbildīgā veidā</w:t>
      </w:r>
      <w:r>
        <w:rPr>
          <w:rStyle w:val="Ancredenotedefin"/>
          <w:rStyle w:val="Ancredenotedefin"/>
        </w:rPr>
        <w:endnoteReference w:id="159"/>
      </w:r>
      <w:r>
        <w:rPr/>
        <w:t>;</w:t>
      </w:r>
    </w:p>
    <w:p>
      <w:pPr>
        <w:pStyle w:val="Puce3"/>
        <w:tabs>
          <w:tab w:val="clear" w:pos="720"/>
        </w:tabs>
        <w:rPr/>
      </w:pPr>
      <w:r>
        <w:rPr/>
        <w:t>2.</w:t>
        <w:tab/>
        <w:t>ES ir jāpārskata mehānisms, ar kuru valstu parlamenti pārbauda, vai Eiropas tiesību aktu priekšlikumi skar valstu kompetenci; valstu parlamentiem vajadzētu būt iespējai ierosināt likumdošanas iniciatīvas Eiropas iestādēm. Šie mehānismi būtu jāattiecina arī uz visiem reģionālajiem parlamentiem, kuriem ir likumdošanas pilnvaras</w:t>
      </w:r>
      <w:r>
        <w:rPr>
          <w:rStyle w:val="Ancredenotedefin"/>
          <w:rStyle w:val="Ancredenotedefin"/>
        </w:rPr>
        <w:endnoteReference w:id="160"/>
      </w:r>
      <w:r>
        <w:rPr/>
        <w:t>.</w:t>
      </w:r>
    </w:p>
    <w:p>
      <w:pPr>
        <w:pStyle w:val="Puce3"/>
        <w:tabs>
          <w:tab w:val="clear" w:pos="720"/>
        </w:tabs>
        <w:rPr/>
      </w:pPr>
      <w:r>
        <w:rPr/>
        <w:t>3.</w:t>
        <w:tab/>
        <w:t>RK būtu jāreformē, lai atvērtu piemērotus kanālus dialogam ar reģioniem, pilsētām un pašvaldībām. Tai vajadzētu būt svarīgākai lomai iestāžu arhitektūrā</w:t>
      </w:r>
      <w:r>
        <w:rPr>
          <w:rStyle w:val="Ancredenotedefin"/>
          <w:rStyle w:val="Ancredenotedefin"/>
        </w:rPr>
        <w:endnoteReference w:id="161"/>
      </w:r>
      <w:r>
        <w:rPr/>
        <w:t>, risinot jautājumus ar teritoriālām sekām</w:t>
      </w:r>
      <w:r>
        <w:rPr>
          <w:rStyle w:val="Ancredenotedefin"/>
          <w:rStyle w:val="Ancredenotedefin"/>
        </w:rPr>
        <w:endnoteReference w:id="162"/>
      </w:r>
      <w:r>
        <w:rPr/>
        <w:t>.</w:t>
      </w:r>
    </w:p>
    <w:p>
      <w:pPr>
        <w:pStyle w:val="Normal"/>
        <w:rPr/>
      </w:pPr>
      <w:r>
        <w:rPr/>
      </w:r>
    </w:p>
    <w:p>
      <w:pPr>
        <w:pStyle w:val="Puce3"/>
        <w:tabs>
          <w:tab w:val="clear" w:pos="720"/>
        </w:tabs>
        <w:rPr/>
      </w:pPr>
      <w:r>
        <w:rPr/>
        <w:t>4.</w:t>
        <w:tab/>
        <w:t>Sistemātiskā subsidiaritātes definīcijas izmantošana, ko atbalsta visas Eiropas iestādes, varētu skaidrāk noteikt, kurā līmenī (Eiropas, valstu vai reģionu) lēmumi būtu jāpieņem</w:t>
      </w:r>
      <w:r>
        <w:rPr>
          <w:rStyle w:val="Ancredenotedefin"/>
          <w:rStyle w:val="Ancredenotedefin"/>
        </w:rPr>
        <w:endnoteReference w:id="163"/>
      </w:r>
      <w:r>
        <w:rPr/>
        <w:t>.</w:t>
      </w:r>
    </w:p>
    <w:p>
      <w:pPr>
        <w:pStyle w:val="Puce3"/>
        <w:tabs>
          <w:tab w:val="clear" w:pos="720"/>
        </w:tabs>
        <w:rPr/>
      </w:pPr>
      <w:r>
        <w:rPr/>
        <w:t>5.</w:t>
        <w:tab/>
        <w:t>Lēmumu pieņemšanas procesā labāk jāiesaista sociālie partneri un pilsoniskās sabiedrības organizācijas, kurām ir būtiska nozīme Eiropas demokrātijā. Dinamiska sabiedrība ir būtiska Savienības demokrātiskajai dzīvei.</w:t>
      </w:r>
      <w:r>
        <w:rPr>
          <w:rStyle w:val="Ancredenotedefin"/>
          <w:rStyle w:val="Ancredenotedefin"/>
        </w:rPr>
        <w:endnoteReference w:id="164"/>
      </w:r>
    </w:p>
    <w:p>
      <w:pPr>
        <w:pStyle w:val="Puce3"/>
        <w:tabs>
          <w:tab w:val="clear" w:pos="720"/>
        </w:tabs>
        <w:rPr/>
      </w:pPr>
      <w:r>
        <w:rPr/>
        <w:t>6.</w:t>
        <w:tab/>
        <w:t>Mēs mudinām ES iestādes īstenot šīs darba grupas secinājumus un padarīt tos efektīvus. To varētu panākt, izmantojot spēkā esošos Lisabonas līguma noteikumus un vajadzības gadījumā aicinot izveidot Eiropas Konventu</w:t>
      </w:r>
      <w:r>
        <w:rPr>
          <w:rStyle w:val="Ancredenotedefin"/>
          <w:rStyle w:val="Ancredenotedefin"/>
        </w:rPr>
        <w:endnoteReference w:id="165"/>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8">
            <wp:simplePos x="0" y="0"/>
            <wp:positionH relativeFrom="column">
              <wp:posOffset>19050</wp:posOffset>
            </wp:positionH>
            <wp:positionV relativeFrom="paragraph">
              <wp:posOffset>21590</wp:posOffset>
            </wp:positionV>
            <wp:extent cx="913765" cy="913765"/>
            <wp:effectExtent l="0" t="0" r="0" b="0"/>
            <wp:wrapSquare wrapText="largest"/>
            <wp:docPr id="68" name="Fotoattēls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otoattēls28" descr=""/>
                    <pic:cNvPicPr>
                      <a:picLocks noChangeAspect="1" noChangeArrowheads="1"/>
                    </pic:cNvPicPr>
                  </pic:nvPicPr>
                  <pic:blipFill>
                    <a:blip r:embed="rId80"/>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2" w:name="__RefHeading___Toc298358_1346298689"/>
      <w:bookmarkEnd w:id="92"/>
      <w:r>
        <w:rPr/>
        <w:t>“</w:t>
      </w:r>
      <w:r>
        <w:rPr/>
        <w:t>Migrācijas”</w:t>
      </w:r>
    </w:p>
    <w:p>
      <w:pPr>
        <w:pStyle w:val="Titre3"/>
        <w:numPr>
          <w:ilvl w:val="2"/>
          <w:numId w:val="2"/>
        </w:numPr>
        <w:rPr/>
      </w:pPr>
      <w:bookmarkStart w:id="93" w:name="__RefHeading___Toc298360_1346298689"/>
      <w:bookmarkEnd w:id="93"/>
      <w:r>
        <w:rPr/>
        <w:t>41. Priekšlikums: Legālā migrācija</w:t>
      </w:r>
    </w:p>
    <w:p>
      <w:pPr>
        <w:pStyle w:val="P68B1DB1Normal15"/>
        <w:rPr>
          <w:b/>
          <w:b/>
        </w:rPr>
      </w:pPr>
      <w:r>
        <w:rPr/>
        <w:t>Mērķis: ES lomas stiprināšana likumīgajā migrācijā</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66"/>
      </w:r>
      <w:r>
        <w:rPr/>
        <w:t>:</w:t>
      </w:r>
    </w:p>
    <w:p>
      <w:pPr>
        <w:pStyle w:val="Puce3"/>
        <w:tabs>
          <w:tab w:val="clear" w:pos="720"/>
        </w:tabs>
        <w:rPr/>
      </w:pPr>
      <w:r>
        <w:rPr/>
        <w:t>1.</w:t>
        <w:tab/>
        <w:t>Uzsākt komunikācijas kampaņu Eiropas līmenī, lai nodrošinātu, ka EURES (Eiropas Nodarbinātības dienestu tīkls), ES Imigrācijas portāls un Eiropas prasmju profilēšanas rīks trešo valstu valstspiederīgajiem ir labāk zināmi Eiropas iedzīvotājiem un ka ES uzņēmumi, pieņemot darbā, tos izmanto biežāk (6. ieteikums).</w:t>
      </w:r>
    </w:p>
    <w:p>
      <w:pPr>
        <w:pStyle w:val="Puce3"/>
        <w:tabs>
          <w:tab w:val="clear" w:pos="720"/>
        </w:tabs>
        <w:rPr/>
      </w:pPr>
      <w:r>
        <w:rPr/>
        <w:t>2.</w:t>
        <w:tab/>
        <w:t>Izveidot Eiropas struktūru migrantu piekļuvei ES darba tirgum vai, ja tas nav iespējams, paplašināt Eiropas Nodarbinātības dienestu tīkla (EURES) kompetences, piemēram, uzlabot talantu piesaistes partnerības projektus (ieteikums Nr. 7 un diskusijas darba grupā), ar iespēju tiešsaistē apmierināt prasmju piedāvājumu un pieprasījumu izbraukšanas valstī, pamatojoties uz vērtēšanas kritērijiem (ieteikums Nr. 9 un debates darba grupā). Savienībai būtu jāmudina dalībvalstis vienkāršot likumīgo migrantu uzņemšanas un integrācijas procesu un viņu piekļuvi Savienības darba tirgum, uzlabojot sadarbspēju starp dažādām attiecīgajām administrācijām (debates darba grupā).</w:t>
      </w:r>
    </w:p>
    <w:p>
      <w:pPr>
        <w:pStyle w:val="Puce3"/>
        <w:tabs>
          <w:tab w:val="clear" w:pos="720"/>
        </w:tabs>
        <w:rPr/>
      </w:pPr>
      <w:r>
        <w:rPr/>
        <w:t>3.</w:t>
        <w:tab/>
        <w:t>Uzlabot Zilās kartes direktīvas darbību un īstenošanu, lai piesaistītu prasmes, kas vajadzīgas ES ekonomikai (ieteikums Nr. 7 un debates darba grupā), pienācīgi ņemot vērā intelektuālā darbaspēka emigrācijas risku (saskaņā ar 42. priekšlikuma 1. pasākumu).</w:t>
      </w:r>
    </w:p>
    <w:p>
      <w:pPr>
        <w:pStyle w:val="Puce3"/>
        <w:tabs>
          <w:tab w:val="clear" w:pos="720"/>
        </w:tabs>
        <w:rPr/>
      </w:pPr>
      <w:r>
        <w:rPr/>
        <w:t>4.</w:t>
        <w:tab/>
        <w:t>Visā Savienībā saskaņoti veicināt darba apstākļu augšupēju konverģenci, lai novērstu nevienlīdzību darba apstākļos, nodrošinātu efektīvu ES darbaspēka migrācijas politiku un aizsargātu darba ņēmēju tiesības. Šajā sakarā stiprināt arodbiedrību lomu valsts un starptautiskā līmenī (ieteikums Nr. 28 un debates darba grupā) sadarbībā ar darba devēju organizācijām (debates plenārsēdē).</w:t>
      </w:r>
    </w:p>
    <w:p>
      <w:pPr>
        <w:pStyle w:val="Puce3"/>
        <w:tabs>
          <w:tab w:val="clear" w:pos="720"/>
        </w:tabs>
        <w:rPr/>
      </w:pPr>
      <w:r>
        <w:rPr/>
        <w:t>5.</w:t>
        <w:tab/>
        <w:t>Pastiprināt centienus informēt un izglītot dalībvalstu iedzīvotājus par migrācijas un integrācijas jautājumiem (30. ieteikums, LT ekspertu grupas 9. ieteikums un darba grupas debates).</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4" w:name="__RefHeading___Toc298362_1346298689"/>
      <w:bookmarkEnd w:id="94"/>
      <w:r>
        <w:rPr/>
        <w:t>42. Priekšlikums: Neatbilstīga migrācija</w:t>
      </w:r>
    </w:p>
    <w:p>
      <w:pPr>
        <w:pStyle w:val="P68B1DB1Normal15"/>
        <w:rPr>
          <w:b/>
          <w:b/>
        </w:rPr>
      </w:pPr>
      <w:r>
        <w:rPr/>
        <w:t>Mērķis: Savienības nozīmes stiprināšana visu veidu neatbilstīgas migrācijas apkarošanā un Eiropas Savienības ārējo robežu aizsardzības stiprināšanā, vienlaikus ievērojot cilvēktiesības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67"/>
      </w:r>
      <w:r>
        <w:rPr/>
        <w:t>:</w:t>
      </w:r>
    </w:p>
    <w:p>
      <w:pPr>
        <w:pStyle w:val="Puce3"/>
        <w:tabs>
          <w:tab w:val="clear" w:pos="720"/>
        </w:tabs>
        <w:rPr/>
      </w:pPr>
      <w:r>
        <w:rPr/>
        <w:t>1.</w:t>
        <w:tab/>
        <w:t>Aktīvi piedalīties, piemēram, ar partnerības nolīgumu starpniecību, to valstu ekonomiskajā un sociālajā attīstībā, kuras nav Eiropas Savienības dalībvalstis un no kurām ir liels migrantu pieplūdums, lai novērstu migrācijas pamatcēloņus, tostarp klimata pārmaiņas. Šīm darbībām jābūt pārredzamām un jārada taustāmi rezultāti ar izmērāmu ietekmi, kas būtu skaidri jāpaziņo ES pilsoņiem (27. ieteikums, NL 3. ieteikums un debates darba grupā).</w:t>
      </w:r>
    </w:p>
    <w:p>
      <w:pPr>
        <w:pStyle w:val="Puce3"/>
        <w:tabs>
          <w:tab w:val="clear" w:pos="720"/>
        </w:tabs>
        <w:rPr/>
      </w:pPr>
      <w:r>
        <w:rPr/>
        <w:t>2.</w:t>
        <w:tab/>
        <w:t>Nodrošināt visu ārējo robežu aizsardzību, uzlabojot Frontex pārredzamību un pārskatatbildību un stiprinot tās lomu (ieteikums Nr. 8 un debates darba grupā) un pielāgojot ES tiesību aktus, lai labāk risinātu pašreizējās problēmas, kas saistītas ar neatbilstīgu migrāciju, piemēram, cilvēku tirdzniecību, cilvēku tirdzniecību, seksuālu izmantošanu, hibrīduzbrukumus, ko veic valstis, kas izmanto migrantus, un cilvēktiesību pārkāpumiem (ieteikums LT 10 un debates darba grupā).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95" w:name="__RefHeading___Toc298364_1346298689"/>
      <w:bookmarkEnd w:id="95"/>
      <w:r>
        <w:rPr/>
        <w:t>43. Priekšlikums: Neatbilstīga migrācija (bis)</w:t>
      </w:r>
    </w:p>
    <w:p>
      <w:pPr>
        <w:pStyle w:val="P68B1DB1Normal15"/>
        <w:rPr>
          <w:b/>
          <w:b/>
        </w:rPr>
      </w:pPr>
      <w:r>
        <w:rPr/>
        <w:t>Mērķis: Visās dalībvalstīs vienādi piemērot kopīgus noteikumus attiecībā uz migrantu pirmo uzņemšanu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68"/>
      </w:r>
      <w:r>
        <w:rPr/>
        <w:t>:</w:t>
      </w:r>
    </w:p>
    <w:p>
      <w:pPr>
        <w:pStyle w:val="Puce3"/>
        <w:tabs>
          <w:tab w:val="clear" w:pos="720"/>
        </w:tabs>
        <w:rPr/>
      </w:pPr>
      <w:r>
        <w:rPr/>
        <w:t>1.</w:t>
        <w:tab/>
        <w:t>Izstrādāt ES mēroga pasākumus, lai nodrošinātu visu migrantu, jo īpaši grūtnieču, bērnu, nepavadītu nepilngadīgo un visu neaizsargāto personu, drošību un veselību (10. un 38. ieteikums un debates darba grupā).</w:t>
      </w:r>
    </w:p>
    <w:p>
      <w:pPr>
        <w:pStyle w:val="Normal"/>
        <w:rPr/>
      </w:pPr>
      <w:r>
        <w:rPr/>
      </w:r>
    </w:p>
    <w:p>
      <w:pPr>
        <w:pStyle w:val="Puce3"/>
        <w:tabs>
          <w:tab w:val="clear" w:pos="720"/>
        </w:tabs>
        <w:rPr/>
      </w:pPr>
      <w:r>
        <w:rPr/>
        <w:t>2.</w:t>
        <w:tab/>
        <w:t>Palielināt ES finansiālo, loģistikas un operatīvo atbalstu, tostarp vietējām iestādēm, reģionālajiem lēmumu pieņēmējiem un pilsoniskās sabiedrības organizācijām, lai pārvaldītu pirmo uzņemšanu, kas, iespējams, novedīs pie bēgļu vai regulāro migrantu integrācijas ES un neatbilstīgo migrantu repatriācijas (35. ieteikums un debates darba grupā).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r>
    </w:p>
    <w:p>
      <w:pPr>
        <w:pStyle w:val="Titre3"/>
        <w:numPr>
          <w:ilvl w:val="2"/>
          <w:numId w:val="2"/>
        </w:numPr>
        <w:rPr/>
      </w:pPr>
      <w:bookmarkStart w:id="96" w:name="__RefHeading___Toc298366_1346298689"/>
      <w:bookmarkEnd w:id="96"/>
      <w:r>
        <w:rPr/>
        <w:t>44. Priekšlikums: Patvērums, integrācija</w:t>
      </w:r>
    </w:p>
    <w:p>
      <w:pPr>
        <w:pStyle w:val="P68B1DB1Normal15"/>
        <w:rPr>
          <w:b/>
          <w:b/>
        </w:rPr>
      </w:pPr>
      <w:r>
        <w:rPr/>
        <w:t>Mērķis: Savienības nozīmes stiprināšana un Eiropas patvēruma sistēmas reforma, pamatojoties uz solidaritātes un taisnīga atbildības sadalījuma principiem</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69"/>
      </w:r>
      <w:r>
        <w:rPr/>
        <w:t>:</w:t>
      </w:r>
    </w:p>
    <w:p>
      <w:pPr>
        <w:pStyle w:val="Puce3"/>
        <w:tabs>
          <w:tab w:val="clear" w:pos="720"/>
        </w:tabs>
        <w:rPr/>
      </w:pPr>
      <w:r>
        <w:rPr/>
        <w:t>1.</w:t>
        <w:tab/>
        <w:t>Pieņemt kopīgus Savienības noteikumus par procedūrām starptautiskās aizsardzības pieteikumu izskatīšanai dalībvalstīs, ko vienādi piemēro visiem patvēruma meklētājiem. Šīm procedūrām ir jārespektē cilvēka cieņa un starptautiskās tiesības (29. ieteikums, IT ieteikums 3.8. un 4.4., 15. lpp. un debates darba grupā). Tā kā patvēruma meklētāju uzņemšanā ir iesaistīti dažādi dalībnieki valsts līmenī, Savienībai būtu jāmudina dalībvalstis vienkāršot un paātrināt šo procesu, uzlabojot sadarbspēju starp dažādām attiecīgajām administrācijām, un izveidot vienotu biroju (logu vai vienotu ieceļošanas vietu) patvēruma meklētājiem, lai racionalizētu valstu administratīvās procedūras (37. ieteikums un debates darba grupā).</w:t>
      </w:r>
    </w:p>
    <w:p>
      <w:pPr>
        <w:pStyle w:val="Puce3"/>
        <w:tabs>
          <w:tab w:val="clear" w:pos="720"/>
        </w:tabs>
        <w:rPr/>
      </w:pPr>
      <w:r>
        <w:rPr/>
        <w:t>2.</w:t>
        <w:tab/>
        <w:t>Pārskatīt Dublinas sistēmu, lai nodrošinātu solidaritāti un taisnīgu atbildības sadalījumu, tostarp migrantu sadalījumu starp dalībvalstīm; varētu paredzēt arī citus atbalsta veidus (33., 36., 37., 40. ieteikums; LT Ieteikums Nr. 2; ieteikumi IT 3.8 (15. lpp.) un NL 2, debates darba grupā un debates plenārsēdē).</w:t>
      </w:r>
    </w:p>
    <w:p>
      <w:pPr>
        <w:pStyle w:val="Puce3"/>
        <w:tabs>
          <w:tab w:val="clear" w:pos="720"/>
        </w:tabs>
        <w:rPr/>
      </w:pPr>
      <w:r>
        <w:rPr/>
        <w:t>3.</w:t>
        <w:tab/>
        <w:t>Stiprināt Direktīvā 2013/33/ES noteiktos minimālos uzņemšanas standartus patvēruma meklētājiem, izmantojot stingrākus likumdošanas pasākumus, lai uzlabotu uzņemšanas iespējas un izmitināšanu (CEP 31. ieteikums, IT ieteikums 5.6., 11. lpp., un debates darba grupā).</w:t>
      </w:r>
    </w:p>
    <w:p>
      <w:pPr>
        <w:pStyle w:val="Puce3"/>
        <w:tabs>
          <w:tab w:val="clear" w:pos="720"/>
        </w:tabs>
        <w:rPr/>
      </w:pPr>
      <w:r>
        <w:rPr/>
        <w:t>4.</w:t>
        <w:tab/>
        <w:t>Īpaša uzmanība būtu jāpievērš grūtniecēm, bērniem un jo īpaši nepavadītiem nepilngadīgajiem (ieteikums Nr. 38 un diskusija darba grupā).</w:t>
      </w:r>
    </w:p>
    <w:p>
      <w:pPr>
        <w:pStyle w:val="Puce3"/>
        <w:tabs>
          <w:tab w:val="clear" w:pos="720"/>
        </w:tabs>
        <w:rPr/>
      </w:pPr>
      <w:r>
        <w:rPr/>
        <w:t>5.</w:t>
        <w:tab/>
        <w:t>Stiprināt un palielināt Eiropas Savienības Patvēruma aģentūras finanšu resursus, cilvēkresursus un pārvaldības spējas, lai koordinētu un pārvaldītu patvēruma meklētāju pārvietošanu ES dalībvalstīs nolūkā panākt taisnīgu sadalījumu (36. un 37. ieteikums, LT 3. ieteikums un debates darba grupā).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3"/>
        <w:numPr>
          <w:ilvl w:val="2"/>
          <w:numId w:val="2"/>
        </w:numPr>
        <w:rPr/>
      </w:pPr>
      <w:bookmarkStart w:id="97" w:name="__RefHeading___Toc298368_1346298689"/>
      <w:bookmarkEnd w:id="97"/>
      <w:r>
        <w:rPr/>
        <w:t>45. Priekšlikums: Patvērums, integrācija(bis)</w:t>
      </w:r>
    </w:p>
    <w:p>
      <w:pPr>
        <w:pStyle w:val="P68B1DB1Normal15"/>
        <w:rPr>
          <w:b/>
          <w:b/>
        </w:rPr>
      </w:pPr>
      <w:r>
        <w:rPr/>
        <w:t>Mērķis: Integrācijas politikas uzlabošana visās dalībvalstīs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rPr>
        <w:endnoteReference w:id="170"/>
      </w:r>
      <w:r>
        <w:rPr/>
        <w:t>:</w:t>
      </w:r>
    </w:p>
    <w:p>
      <w:pPr>
        <w:pStyle w:val="Puce3"/>
        <w:tabs>
          <w:tab w:val="clear" w:pos="720"/>
        </w:tabs>
        <w:rPr/>
      </w:pPr>
      <w:r>
        <w:rPr/>
        <w:t>1.</w:t>
        <w:tab/>
        <w:t>Savienība, piedaloties vietējām un reģionālajām pašvaldībām un pilsoniskās sabiedrības organizāciju ieguldījumam, nodrošina, ka visi patvēruma meklētāji un bēgļi piedalās valodu un integrācijas kursos un pasākumos, kā arī arodmācībās, kamēr tiek izskatīts viņu uzturēšanās pieteikums (ieteikums Nr. 32, ieteikums FR Nr. 13, debates darba grupā un debates plenārsēdē).</w:t>
      </w:r>
    </w:p>
    <w:p>
      <w:pPr>
        <w:pStyle w:val="Puce3"/>
        <w:tabs>
          <w:tab w:val="clear" w:pos="720"/>
        </w:tabs>
        <w:rPr/>
      </w:pPr>
      <w:r>
        <w:rPr/>
        <w:t>2.</w:t>
        <w:tab/>
        <w:t>Patvēruma meklētājiem ar atbilstošu kvalifikāciju vajadzētu būt piekļuvei darba tirgum, ja iespējams, lai stiprinātu viņu autonomiju visā Savienībā (ieteikums Nr. 7 un debates darba grupā).</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Normal"/>
        <w:rPr/>
      </w:pPr>
      <w:r>
        <w:rPr/>
        <w:drawing>
          <wp:anchor behindDoc="0" distT="0" distB="0" distL="0" distR="0" simplePos="0" locked="0" layoutInCell="1" allowOverlap="1" relativeHeight="13">
            <wp:simplePos x="0" y="0"/>
            <wp:positionH relativeFrom="column">
              <wp:posOffset>10160</wp:posOffset>
            </wp:positionH>
            <wp:positionV relativeFrom="paragraph">
              <wp:posOffset>3810</wp:posOffset>
            </wp:positionV>
            <wp:extent cx="913765" cy="913765"/>
            <wp:effectExtent l="0" t="0" r="0" b="0"/>
            <wp:wrapSquare wrapText="largest"/>
            <wp:docPr id="69" name="Fotoattēls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otoattēls29" descr=""/>
                    <pic:cNvPicPr>
                      <a:picLocks noChangeAspect="1" noChangeArrowheads="1"/>
                    </pic:cNvPicPr>
                  </pic:nvPicPr>
                  <pic:blipFill>
                    <a:blip r:embed="rId81"/>
                    <a:stretch>
                      <a:fillRect/>
                    </a:stretch>
                  </pic:blipFill>
                  <pic:spPr bwMode="auto">
                    <a:xfrm>
                      <a:off x="0" y="0"/>
                      <a:ext cx="913765" cy="913765"/>
                    </a:xfrm>
                    <a:prstGeom prst="rect">
                      <a:avLst/>
                    </a:prstGeom>
                  </pic:spPr>
                </pic:pic>
              </a:graphicData>
            </a:graphic>
          </wp:anchor>
        </w:drawing>
      </w:r>
    </w:p>
    <w:p>
      <w:pPr>
        <w:pStyle w:val="Normal"/>
        <w:rPr/>
      </w:pPr>
      <w:r>
        <w:rPr/>
      </w:r>
    </w:p>
    <w:p>
      <w:pPr>
        <w:pStyle w:val="Normal"/>
        <w:rPr/>
      </w:pPr>
      <w:r>
        <w:rPr/>
      </w:r>
    </w:p>
    <w:p>
      <w:pPr>
        <w:pStyle w:val="Normal"/>
        <w:rPr/>
      </w:pPr>
      <w:r>
        <w:rPr/>
      </w:r>
    </w:p>
    <w:p>
      <w:pPr>
        <w:pStyle w:val="Titre2"/>
        <w:numPr>
          <w:ilvl w:val="1"/>
          <w:numId w:val="2"/>
        </w:numPr>
        <w:rPr/>
      </w:pPr>
      <w:bookmarkStart w:id="98" w:name="__RefHeading___Toc298370_1346298689"/>
      <w:bookmarkEnd w:id="98"/>
      <w:r>
        <w:rPr/>
        <w:t>Izglītība, kultūra, jaunatne un sports</w:t>
      </w:r>
    </w:p>
    <w:p>
      <w:pPr>
        <w:pStyle w:val="Titre3"/>
        <w:numPr>
          <w:ilvl w:val="2"/>
          <w:numId w:val="2"/>
        </w:numPr>
        <w:rPr/>
      </w:pPr>
      <w:bookmarkStart w:id="99" w:name="__RefHeading___Toc298372_1346298689"/>
      <w:bookmarkEnd w:id="99"/>
      <w:r>
        <w:rPr/>
        <w:t>46. Priekšlikums: Izglītības un zinātnes ministrija</w:t>
      </w:r>
    </w:p>
    <w:p>
      <w:pPr>
        <w:pStyle w:val="P68B1DB1Normal15"/>
        <w:rPr>
          <w:b/>
          <w:b/>
        </w:rPr>
      </w:pPr>
      <w:r>
        <w:rPr/>
        <w:t>Mērķis: ES un tās dalībvalstīm būtu jācenšas līdz 2025. gadam izveidot iekļaujošu Eiropas izglītības telpu, kurā visiem iedzīvotājiem, tostarp lauku un attālos apvidos dzīvojošiem, ir vienlīdzīga piekļuve kvalitatīvai mūžizglītībai un izglītībai. Šajā nolūkā Eiropas Savienībai un tās dalībvalstīm jo īpaši būtu: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Koordinēt visu dažādo izglītības programmu līmeni Eiropas Savienībā, pieņemot valsts, reģionālo un vietējo saturu, un izveidot ciešākas saiknes starp izglītības sistēmām, jo īpaši ar diplomu līdzvērtīguma palīdzību</w:t>
      </w:r>
      <w:r>
        <w:rPr>
          <w:rStyle w:val="Ancredenotedefin"/>
          <w:rStyle w:val="Ancredenotedefin"/>
        </w:rPr>
        <w:endnoteReference w:id="171"/>
      </w:r>
      <w:r>
        <w:rPr/>
        <w:t>. Jau pamatskolā</w:t>
      </w:r>
      <w:r>
        <w:rPr>
          <w:rStyle w:val="Ancredenotedefin"/>
          <w:rStyle w:val="Ancredenotedefin"/>
        </w:rPr>
        <w:endnoteReference w:id="172"/>
      </w:r>
      <w:r>
        <w:rPr/>
        <w:t>171 būtu jāpieņem sertificēts minimālais standarts pamatizglītības priekšmetu mācīšanai. Dalītā kompetence būtu jānosaka izglītības jomā, vismaz attiecībā uz pilsonisko izglītību, un tas, ka Savienība īsteno šo kompetenci, nevar kavēt dalībvalstis īstenot savas kompetences. Diplomi un arodmācības būtu jāapstiprina un savstarpēji jāatzīst visās Savienības dalībvalstīs</w:t>
      </w:r>
      <w:r>
        <w:rPr>
          <w:rStyle w:val="Ancredenotedefin"/>
          <w:rStyle w:val="Ancredenotedefin"/>
        </w:rPr>
        <w:endnoteReference w:id="173"/>
      </w:r>
      <w:r>
        <w:rPr/>
        <w:t>. Eiropas Savienībai būtu arī jāizmanto neformālās</w:t>
      </w:r>
      <w:r>
        <w:rPr>
          <w:rStyle w:val="Ancredenotedefin"/>
          <w:rStyle w:val="Ancredenotedefin"/>
        </w:rPr>
        <w:endnoteReference w:id="174"/>
      </w:r>
      <w:r>
        <w:rPr/>
        <w:t xml:space="preserve"> un ikdienējās mācīšanās un jaunatnes organizāciju, kas to piedāvā, atzīšana, kā arī mācību periodi ārvalstīs.</w:t>
      </w:r>
    </w:p>
    <w:p>
      <w:pPr>
        <w:pStyle w:val="Puce3"/>
        <w:tabs>
          <w:tab w:val="clear" w:pos="720"/>
        </w:tabs>
        <w:rPr/>
      </w:pPr>
      <w:r>
        <w:rPr/>
        <w:t>2.</w:t>
        <w:tab/>
        <w:t>Attīstīt nākotnes prasībām atbilstošu mūžizglītību un izglītību Eiropā saskaņā ar tiesībām uz apmācību darbavietā visiem, īpašu uzmanību pievēršot šādiem aspektiem:</w:t>
        <w:br/>
        <w:t>Pilsoniskā izglītošana par demokrātiskajiem procesiem un ES vērtībām un Eiropas vēsturi</w:t>
      </w:r>
      <w:r>
        <w:rPr>
          <w:rStyle w:val="Ancredenotedefin"/>
          <w:rStyle w:val="Ancredenotedefin"/>
        </w:rPr>
        <w:endnoteReference w:id="175"/>
      </w:r>
      <w:r>
        <w:rPr/>
        <w:t>. Tā būtu jāizveido par kopīgu moduli, kas jāmāca visās dalībvalstīs. Jāuzlabo arī zināšanas par ekonomiku, lai labāk izprastu Eiropas integrācijas procesu</w:t>
      </w:r>
      <w:r>
        <w:rPr>
          <w:rStyle w:val="Ancredenotedefin"/>
          <w:rStyle w:val="Ancredenotedefin"/>
        </w:rPr>
        <w:endnoteReference w:id="176"/>
      </w:r>
      <w:r>
        <w:rPr/>
        <w:t>.</w:t>
        <w:br/>
        <w:t>Digitālās prasmes</w:t>
      </w:r>
      <w:r>
        <w:rPr>
          <w:rStyle w:val="Ancredenotedefin"/>
          <w:rStyle w:val="Ancredenotedefin"/>
        </w:rPr>
        <w:endnoteReference w:id="177"/>
      </w:r>
      <w:r>
        <w:rPr/>
        <w:t>.</w:t>
        <w:br/>
        <w:t>ŠUJMAŠĪNA</w:t>
      </w:r>
      <w:r>
        <w:rPr>
          <w:rStyle w:val="Ancredenotedefin"/>
          <w:rStyle w:val="Ancredenotedefin"/>
        </w:rPr>
        <w:endnoteReference w:id="178"/>
      </w:r>
      <w:r>
        <w:rPr/>
        <w:br/>
        <w:t>Uzņēmējdarbība un pētniecība.</w:t>
        <w:br/>
        <w:t>Kritiskās domāšanas attīstība. Būtu jāuzlabo plašsaziņas līdzekļu lietotprasme, lai nodrošinātu drošību tiešsaistē un ļautu pilsoņiem visās dalībvalstīs neatkarīgi novērtēt, vai informācija ir ticama, un identificēt nepatiesu informāciju, vienlaikus izmantojot interneta piedāvātās iespējas. Šai izglītībai būtu jāietver īpašu kursu organizēšana pamatizglītības līmenī, un tā būtu jāpiedāvā visu vecumu iedzīvotājiem Savienības līmeņa specializētas struktūras aizgādībā, izmantojot visās dalībvalstīs pastāvošo labo praksi. ES būtu jānodrošina, ka šīm darbībām īpaši piešķirtie līdzekļi tiek izmantoti paredzētajam mērķim</w:t>
      </w:r>
      <w:r>
        <w:rPr>
          <w:rStyle w:val="Ancredenotedefin"/>
          <w:rStyle w:val="Ancredenotedefin"/>
        </w:rPr>
        <w:endnoteReference w:id="179"/>
      </w:r>
      <w:r>
        <w:rPr/>
        <w:t>.</w:t>
        <w:br/>
        <w:t>netehnisko prasmju integrēšana visos mācību kursos skolu mācību programmās. “Netehniskā kompetence” ir: savstarpēja klausīšanās, dialogs, noturība, izpratne, cieņa un citu personu novērtēšana, kritiskā domāšana, pašmācība un ziņkārīgs un uz rezultātiem orientēts uzturs</w:t>
      </w:r>
      <w:r>
        <w:rPr>
          <w:rStyle w:val="Ancredenotedefin"/>
          <w:rStyle w:val="Ancredenotedefin"/>
        </w:rPr>
        <w:endnoteReference w:id="180"/>
      </w:r>
      <w:r>
        <w:rPr/>
        <w:t>; — Dodot ikvienam iespēju uzzināt vairāk par vides ilgtspēju un tās saikni ar veselību. Bioloģiskajai daudzveidībai vajadzētu būt obligātam mācību priekšmetam skolā. Tam būtu jāsākas skolā ar konkrētiem tematiem, kas pievēršas visiem ekoloģiskajiem jautājumiem, un jāietver ekskursijas, lai iepazīstinātu ar attiecīgiem reāliem piemēriem, izmantojot finansēšanas programmu</w:t>
      </w:r>
      <w:r>
        <w:rPr>
          <w:rStyle w:val="Ancredenotedefin"/>
          <w:rStyle w:val="Ancredenotedefin"/>
        </w:rPr>
        <w:endnoteReference w:id="181"/>
      </w:r>
      <w:r>
        <w:rPr/>
        <w:t xml:space="preserve">. </w:t>
        <w:br/>
        <w:t>Cīņa pret iebiedēšanu skolās un rasismu.</w:t>
      </w:r>
    </w:p>
    <w:p>
      <w:pPr>
        <w:pStyle w:val="Puce3"/>
        <w:tabs>
          <w:tab w:val="clear" w:pos="720"/>
        </w:tabs>
        <w:rPr/>
      </w:pPr>
      <w:r>
        <w:rPr/>
        <w:t>3.</w:t>
        <w:tab/>
        <w:t>Atbalstīt skolotāju</w:t>
      </w:r>
      <w:r>
        <w:rPr>
          <w:rStyle w:val="Ancredenotedefin"/>
          <w:rStyle w:val="Ancredenotedefin"/>
        </w:rPr>
        <w:endnoteReference w:id="182"/>
      </w:r>
      <w:r>
        <w:rPr/>
        <w:t>apmācību, lai mācītos no paraugprakses un izmantotu mūsdienīgas inovatīvas un radošas mācīšanas metodes, kas atspoguļo pedagoģisko metožu attīstību, tostarp praktiskus pasākumus, pamatojoties arī uz pieredzi, kas gūta no Covid-19 pandēmijas un cita veida krīzēm, kā arī veicinot mobilitātes iespējas</w:t>
      </w:r>
      <w:r>
        <w:rPr>
          <w:rStyle w:val="Ancredenotedefin"/>
          <w:rStyle w:val="Ancredenotedefin"/>
        </w:rPr>
        <w:endnoteReference w:id="183"/>
      </w:r>
      <w:r>
        <w:rPr/>
        <w:t>.</w:t>
      </w:r>
    </w:p>
    <w:p>
      <w:pPr>
        <w:pStyle w:val="Puce3"/>
        <w:tabs>
          <w:tab w:val="clear" w:pos="720"/>
        </w:tabs>
        <w:rPr/>
      </w:pPr>
      <w:r>
        <w:rPr/>
        <w:t>4.</w:t>
        <w:tab/>
        <w:t>Lai apmierinātu visu bērnu un ģimeņu izglītības vajadzības, piešķirt prioritāti piekļuvei aprīkojumam un efektīvai platjoslas savienojamībai</w:t>
      </w:r>
      <w:r>
        <w:rPr>
          <w:rStyle w:val="Ancredenotedefin"/>
          <w:rStyle w:val="Ancredenotedefin"/>
        </w:rPr>
        <w:endnoteReference w:id="184"/>
      </w:r>
      <w:r>
        <w:rPr/>
        <w:t>.</w:t>
      </w:r>
    </w:p>
    <w:p>
      <w:pPr>
        <w:pStyle w:val="Puce3"/>
        <w:tabs>
          <w:tab w:val="clear" w:pos="720"/>
        </w:tabs>
        <w:rPr/>
      </w:pPr>
      <w:r>
        <w:rPr/>
        <w:t>5.</w:t>
        <w:tab/>
        <w:t>Izveidot informācijas platformu zināšanu un pieredzes apmaiņai Savienības līmenī, apmainoties ar informāciju par transnacionāliem izglītības un apmācības kursiem Savienībā, iepazīstinot ar paraugprakses piemēriem un sniedzot iedzīvotājiem iespēju iepazīstināt ar jaunām idejām pārrobežu apmaiņai. Tai būtu jānodrošina izglītojoši materiāli par klimata pārmaiņām, vides jautājumiem un digitalizāciju un jāsniedz informācija par esošajiem specializētajiem forumiem par galvenajām tēmām</w:t>
      </w:r>
      <w:r>
        <w:rPr>
          <w:rStyle w:val="Ancredenotedefin"/>
          <w:rStyle w:val="Ancredenotedefin"/>
        </w:rPr>
        <w:endnoteReference w:id="185"/>
      </w:r>
      <w:r>
        <w:rPr/>
        <w:t>. — To varētu papildināt ar finansēšanas programmu, lai atbalstītu platformas informācijas izmantošanu un izmantošanu.</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0" w:name="__RefHeading___Toc298374_1346298689"/>
      <w:bookmarkEnd w:id="100"/>
      <w:r>
        <w:rPr/>
        <w:t>47. Priekšlikums: Jautājumi par Eiropas jaunatni</w:t>
      </w:r>
    </w:p>
    <w:p>
      <w:pPr>
        <w:pStyle w:val="P68B1DB1Normal15"/>
        <w:rPr>
          <w:b/>
          <w:b/>
        </w:rPr>
      </w:pPr>
      <w:r>
        <w:rPr/>
        <w:t>Mērķis: ES un tās dalībvalstīm būtu jākoncentrējas uz jauniešu īpašajām vajadzībām visās attiecīgajās politikas jomās, tostarp ES reģionālajā politikā, lai nodrošinātu viņiem vislabākos iespējamos apstākļus studijām, darbam un neatkarīgas dzīves uzsākšanai, vienlaikus iesaistot viņus demokrātiskajā dzīvē un lēmumu pieņemšanas procesos, tostarp Eiropas līmenī. Jaunatnes organizācijām ir būtiska nozīme. Lai sasniegtu šo mērķi, mēs ierosinām šādus pasākumus: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Nodrošināt jauniešiem vairāk iespēju piedalīties un pārstāvēt demokrātiskos un lēmumu pieņemšanas procesus visos līmeņos un atbalstīt esošās programmas šajā jomā, tostarp organizējot pilsoņu paneļdiskusiju ar bērniem (piemēram, vecumā no 10 līdz 16 gadiem) skolās. Eiropas pārstāvji savās skolās varētu tikties ar skolēniem, lai jau no agrīna vecuma stiprinātu iedzīvotāju tuvumu un izpratni par Eiropu</w:t>
      </w:r>
      <w:r>
        <w:rPr>
          <w:rStyle w:val="Ancredenotedefin"/>
          <w:rStyle w:val="Ancredenotedefin"/>
        </w:rPr>
        <w:endnoteReference w:id="186"/>
      </w:r>
      <w:r>
        <w:rPr/>
        <w:t>. Attiecībā uz visiem ES politikas lēmumiem, kas jāanalizē jauniešiem, būtu jāizstrādā “jaunatnes pārbaude” Eiropas līmenī, lai nodrošinātu, ka ikvienam jaunam politikas un tiesību akta priekšlikumam tiek veikts uz jaunatni vērsts ietekmes novērtējums, tostarp apspriešanās ar jauniešiem.</w:t>
      </w:r>
    </w:p>
    <w:p>
      <w:pPr>
        <w:pStyle w:val="Puce3"/>
        <w:tabs>
          <w:tab w:val="clear" w:pos="720"/>
        </w:tabs>
        <w:rPr/>
      </w:pPr>
      <w:r>
        <w:rPr/>
        <w:t>2.</w:t>
        <w:tab/>
        <w:t>Būtu jāapspriež un jāapsver tiesību balsot no 16 gadu vecuma piešķiršana Eiropas Parlamenta vēlēšanās, kā arī pilsoniskās izglītības un ES stiprināšana. Valstu politiskajām partijām būtu arī jānodrošina, ka jaunākie kandidāti tiek iekļauti to sarakstos Eiropas Parlamenta vēlēšanām</w:t>
      </w:r>
      <w:r>
        <w:rPr>
          <w:rStyle w:val="Ancredenotedefin"/>
          <w:rStyle w:val="Ancredenotedefin"/>
        </w:rPr>
        <w:endnoteReference w:id="187"/>
      </w:r>
      <w:r>
        <w:rPr/>
        <w:t>.</w:t>
      </w:r>
    </w:p>
    <w:p>
      <w:pPr>
        <w:pStyle w:val="Puce3"/>
        <w:tabs>
          <w:tab w:val="clear" w:pos="720"/>
        </w:tabs>
        <w:rPr/>
      </w:pPr>
      <w:r>
        <w:rPr/>
        <w:t>3.</w:t>
        <w:tab/>
        <w:t>Labāk sagatavot jauniešus dalībai darba tirgū, dot vidusskolēniem (no 12 gadu vecuma) iespēju piedalīties kvalitatīvās novērošanas vizītēs uz peļņas un bezpeļņas organizācijām, cieši sadarbojoties skolām, vietējām iestādēm un attiecīgajām organizācijām un uzņēmumiem</w:t>
      </w:r>
      <w:r>
        <w:rPr>
          <w:rStyle w:val="Ancredenotedefin"/>
          <w:rStyle w:val="Ancredenotedefin"/>
        </w:rPr>
        <w:endnoteReference w:id="188"/>
      </w:r>
      <w:r>
        <w:rPr/>
        <w:t>. Šie apmeklējumi būtu jāuzskata par daļu no plašāka profesionālās orientācijas procesa formālās izglītības jomā, lai jaunieši varētu pirmo reizi sazināties ar darba pasauli, lai viņi varētu vadīt profesionālo izvēli un/vai apsvērt iespēju kļūt par uzņēmēju.</w:t>
      </w:r>
    </w:p>
    <w:p>
      <w:pPr>
        <w:pStyle w:val="Puce3"/>
        <w:tabs>
          <w:tab w:val="clear" w:pos="720"/>
        </w:tabs>
        <w:rPr/>
      </w:pPr>
      <w:r>
        <w:rPr/>
        <w:t>4.</w:t>
        <w:tab/>
        <w:t>Lielāks ES finansējums saskaņā ar NextGenerationEU būtu jāatvēl arī uzlabotās Eiropas garantijas jauniešiem īstenošanai, tostarp lielākai iesaistei, lielākai informētībai, labākai piedāvājuma kvalitātei, finansējumam un rīcībai visās dalībvalstīs un attiecīgajos iestāžu līmeņos. Tā kā jaunatnes organizācijas spēj labāk noteikt jauniešu vajadzības, valstu valdībām būtu jāsadarbojas ar jaunatnes organizācijām, izmantojot ciešu dialogu, lai nodrošinātu visefektīvāko garantijas jauniešiem īstenošanu.</w:t>
      </w:r>
    </w:p>
    <w:p>
      <w:pPr>
        <w:pStyle w:val="Puce3"/>
        <w:tabs>
          <w:tab w:val="clear" w:pos="720"/>
        </w:tabs>
        <w:rPr/>
      </w:pPr>
      <w:r>
        <w:rPr/>
        <w:t>5.</w:t>
        <w:tab/>
        <w:t>Nodrošināt, ka jauniešu stažēšanās un darbs atbilst kvalitātes standartiem, jo īpaši attiecībā uz atalgojumu, atceļot minimālo algu jauniešiem un citus diskriminējošus noteikumus jaunatnes darba tiesībās un ar juridisku instrumentu aizliedzot neapmaksātu stažēšanos darba tirgū un ārpus formālās izglītības</w:t>
      </w:r>
      <w:r>
        <w:rPr>
          <w:rStyle w:val="Ancredenotedefin"/>
          <w:rStyle w:val="Ancredenotedefin"/>
        </w:rPr>
        <w:endnoteReference w:id="189"/>
      </w:r>
      <w:r>
        <w:rPr/>
        <w:t>.</w:t>
      </w:r>
    </w:p>
    <w:p>
      <w:pPr>
        <w:pStyle w:val="Puce3"/>
        <w:tabs>
          <w:tab w:val="clear" w:pos="720"/>
        </w:tabs>
        <w:rPr/>
      </w:pPr>
      <w:r>
        <w:rPr/>
        <w:t>6.</w:t>
        <w:tab/>
        <w:t>Nodrošināt saprātīgu dzīves līmeni jauniešiem, tostarp piekļuvi sociālajai aizsardzībai un mājokļiem. Jauniešiem vajadzētu būt pieejamam tādam sociālās aizsardzības līmenim, kas līdzvērtīgs citu vecuma grupu sociālās aizsardzības līmenim. Būtu jāatvieglo arī jauniešu piekļuve mājokļiem par pieņemamu cenu, tostarp izmantojot ES finansējumu</w:t>
      </w:r>
      <w:r>
        <w:rPr>
          <w:rStyle w:val="Ancredenotedefin"/>
          <w:rStyle w:val="Ancredenotedefin"/>
        </w:rPr>
        <w:endnoteReference w:id="190"/>
      </w:r>
      <w:r>
        <w:rPr/>
        <w:t>.</w:t>
      </w:r>
    </w:p>
    <w:p>
      <w:pPr>
        <w:pStyle w:val="Puce3"/>
        <w:tabs>
          <w:tab w:val="clear" w:pos="720"/>
        </w:tabs>
        <w:rPr/>
      </w:pPr>
      <w:r>
        <w:rPr/>
        <w:t>7.</w:t>
        <w:tab/>
        <w:t>Ir vajadzīgi īpaši pasākumi, lai novērstu intelektuālā darbaspēka emigrāciju no konkrētiem Savienības reģioniem un valstīm, jo jauniešiem nav pietiekamu iespēju, vienlaikus padarot Eiropu pievilcīgāku, lai novērstu Eiropas talantu un darbaspēka aizplūšanu uz trešām valstīm, lai izvairītos no teritoriālās kohēzijas apdraudējuma, jo īpaši attiecībā uz reģioniem, kuros ir ievērojams jauno talantu zaudējums, tostarp izmantojot ES finansējumu</w:t>
      </w:r>
      <w:r>
        <w:rPr>
          <w:rStyle w:val="Ancredenotedefin"/>
          <w:rStyle w:val="Ancredenotedefin"/>
        </w:rPr>
        <w:endnoteReference w:id="191"/>
      </w:r>
      <w:r>
        <w:rPr/>
        <w:t>.</w:t>
      </w:r>
    </w:p>
    <w:p>
      <w:pPr>
        <w:pStyle w:val="Puce3"/>
        <w:tabs>
          <w:tab w:val="clear" w:pos="720"/>
        </w:tabs>
        <w:rPr/>
      </w:pPr>
      <w:r>
        <w:rPr/>
        <w:t>8.</w:t>
        <w:tab/>
        <w:t>Nopietnas krīzes gadījumā (piemēram, veselības krīze, karš) labi izstrādātiem plāniem ar sīki izstrādātiem scenārijiem vajadzētu būt gataviem elastīgai ieviešanai, lai mazinātu ietekmi uz izglītību, profesionālo apmācību, pāreju uz darba tirgu un jauniešu garīgo labklājību</w:t>
      </w:r>
      <w:r>
        <w:rPr>
          <w:rStyle w:val="Ancredenotedefin"/>
          <w:rStyle w:val="Ancredenotedefin"/>
        </w:rPr>
        <w:endnoteReference w:id="192"/>
      </w:r>
      <w:r>
        <w:rPr/>
        <w:t>.</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p>
    <w:p>
      <w:pPr>
        <w:pStyle w:val="Titre3"/>
        <w:numPr>
          <w:ilvl w:val="2"/>
          <w:numId w:val="2"/>
        </w:numPr>
        <w:rPr/>
      </w:pPr>
      <w:bookmarkStart w:id="101" w:name="__RefHeading___Toc298376_1346298689"/>
      <w:bookmarkEnd w:id="101"/>
      <w:r>
        <w:rPr/>
        <w:t>48. Priekšlikums: Kultūra un apmaiņa</w:t>
      </w:r>
    </w:p>
    <w:p>
      <w:pPr>
        <w:pStyle w:val="P68B1DB1Normal15"/>
        <w:rPr>
          <w:b/>
          <w:b/>
        </w:rPr>
      </w:pPr>
      <w:r>
        <w:rPr/>
        <w:t>Mērķis: Lai veicinātu apmaiņas kultūru un veicinātu Eiropas identitāti un daudzveidību dažādās jomās, dalībvalstīm ar Eiropas Savienības palīdzību būtu:</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r>
        <w:rPr>
          <w:rStyle w:val="Ancredenotedefin"/>
          <w:rStyle w:val="Ancredenotedefin"/>
          <w:b/>
        </w:rPr>
        <w:endnoteReference w:id="193"/>
      </w:r>
      <w:r>
        <w:rPr/>
        <w:t>:</w:t>
      </w:r>
    </w:p>
    <w:p>
      <w:pPr>
        <w:pStyle w:val="Puce3"/>
        <w:tabs>
          <w:tab w:val="clear" w:pos="720"/>
        </w:tabs>
        <w:rPr/>
      </w:pPr>
      <w:r>
        <w:rPr/>
        <w:t>1.</w:t>
        <w:tab/>
        <w:t>Veicināt Eiropas apmaiņu dažādās jomās gan fiziski, gan digitāli, tostarp izglītības apmaiņu, mērķsadarbību, ceļošanu un profesionālo mobilitāti (jo īpaši skolotājiem un vietējām vēlētām amatpersonām). Šāda apmaiņa būtu jādara pieejama visiem visās dalībvalstīs neatkarīgi no vecuma, izglītības līmeņa, izcelsmes un finanšu līdzekļiem</w:t>
      </w:r>
      <w:r>
        <w:rPr>
          <w:rStyle w:val="Ancredenotedefin"/>
          <w:rStyle w:val="Ancredenotedefin"/>
        </w:rPr>
        <w:endnoteReference w:id="194"/>
      </w:r>
      <w:r>
        <w:rPr/>
        <w:t>. Šajā nolūkā Savienībai jo īpaši būtu jāstiprina esošās apmaiņas un mobilitātes programmas Savienības līmenī, piemēram, Eiropas Solidaritātes korpuss, Erasmus+ un DiscoverEU, jānodrošina plašāka un daudzveidīga dalība minētajās programmās un jāapsver iespēja pievienot jaunus elementus, piemēram, papildu mērķi pilsoniskajam dienestam, ko veicina brīvprātīgais darbs (Eiropas Solidaritātes korpusam) un “kultūras piekļuves titulus” (DiscoverEU). Vietējām un reģionālajām pašvaldībām Reģionu komitejas aizgādībā ir jāuzņemas vadošā loma šajā jomā.</w:t>
      </w:r>
    </w:p>
    <w:p>
      <w:pPr>
        <w:pStyle w:val="Puce3"/>
        <w:tabs>
          <w:tab w:val="clear" w:pos="720"/>
        </w:tabs>
        <w:rPr/>
      </w:pPr>
      <w:r>
        <w:rPr/>
        <w:t>2.</w:t>
        <w:tab/>
        <w:t>Veicināt daudzvalodību kā ceļu uz citām kultūrām jau no agras bērnības. Reģionālajām un minoritāšu valodām ir vajadzīga papildu aizsardzība, ņemot vērā Eiropas Padomes Konvenciju par mazākumtautību valodām un Vispārējo konvenciju par nacionālo minoritāšu aizsardzību. ES būtu jāapsver iespēja izveidot iestādi, lai veicinātu valodu daudzveidību Eiropas līmenī. Būtu jāpieprasa, lai bērni no sākumskolas apgūtu prasmes kādā citā ES valodā, kas nav viņu dzimtā valoda, visaugstākajā iespējamajā līmenī. Lai veicinātu Eiropas pilsoņu spēju sazināties ar plašākām citu eiropiešu grupām un kā Eiropas kohēzijas faktoru, dalībvalstīm būtu jāmudina apgūt to ES dalībvalstu valodu, kas tieši robežojas ar pierobežas reģioniem, un iegūt sertificētu angļu valodas līmeni</w:t>
      </w:r>
      <w:r>
        <w:rPr>
          <w:rStyle w:val="Ancredenotedefin"/>
          <w:rStyle w:val="Ancredenotedefin"/>
        </w:rPr>
        <w:endnoteReference w:id="195"/>
      </w:r>
      <w:r>
        <w:rPr/>
        <w:t>.</w:t>
      </w:r>
    </w:p>
    <w:p>
      <w:pPr>
        <w:pStyle w:val="Puce3"/>
        <w:tabs>
          <w:tab w:val="clear" w:pos="720"/>
        </w:tabs>
        <w:rPr/>
      </w:pPr>
      <w:r>
        <w:rPr/>
        <w:t>3.</w:t>
        <w:tab/>
        <w:t>Radīt iespējas dalīties ar Eiropas kultūrām, tuvināt cilvēkus un veicināt kopīgu Eiropas identitāti, piemēram, rīkojot pasākumus un pulcēšanās, iesaistot visas mērķgrupas un rīkojot dažādas vietas. Kā piemēru var minēt Pasaules mākslas dienu</w:t>
      </w:r>
      <w:r>
        <w:rPr>
          <w:rStyle w:val="Ancredenotedefin"/>
          <w:rStyle w:val="Ancredenotedefin"/>
        </w:rPr>
        <w:endnoteReference w:id="196"/>
      </w:r>
      <w:r>
        <w:rPr/>
        <w:t>rīkošanu, Eiropas izstādi ar pedagoģiskiem pasākumiem vai Eiropas dienas (9. maijs) pārveidošanu par oficiālu Eiropas svētku dienu visiem ES pilsoņiem</w:t>
      </w:r>
      <w:r>
        <w:rPr>
          <w:rStyle w:val="Ancredenotedefin"/>
          <w:rStyle w:val="Ancredenotedefin"/>
        </w:rPr>
        <w:endnoteReference w:id="197"/>
      </w:r>
      <w:r>
        <w:rPr/>
        <w:t>.</w:t>
      </w:r>
    </w:p>
    <w:p>
      <w:pPr>
        <w:pStyle w:val="Puce3"/>
        <w:tabs>
          <w:tab w:val="clear" w:pos="720"/>
        </w:tabs>
        <w:rPr/>
      </w:pPr>
      <w:r>
        <w:rPr/>
      </w:r>
    </w:p>
    <w:p>
      <w:pPr>
        <w:pStyle w:val="Puce3"/>
        <w:tabs>
          <w:tab w:val="clear" w:pos="720"/>
        </w:tabs>
        <w:rPr/>
      </w:pPr>
      <w:r>
        <w:rPr/>
        <w:t>4.</w:t>
        <w:tab/>
        <w:t>Aizsargāt Eiropas kultūras mantojumu un Eiropas kultūru,</w:t>
      </w:r>
      <w:r>
        <w:rPr>
          <w:rStyle w:val="Ancredenotedefin"/>
          <w:rStyle w:val="Ancredenotedefin"/>
        </w:rPr>
        <w:endnoteReference w:id="198"/>
      </w:r>
      <w:r>
        <w:rPr/>
        <w:t>jo īpaši atzīstot vietējās un reģionālās īpatnības kultūras un ražošanas jautājumos,</w:t>
      </w:r>
      <w:r>
        <w:rPr>
          <w:rStyle w:val="Ancredenotedefin"/>
          <w:rStyle w:val="Ancredenotedefin"/>
        </w:rPr>
        <w:endnoteReference w:id="199"/>
      </w:r>
      <w:r>
        <w:rPr/>
        <w:t>ar jaunām iniciatīvām tā saglabāšanai un svinēšanai, izmantojot mobilitāti, lai veicinātu kultūras mantojuma apmaiņu, un veicinot tādus esošos pasākumus kā “Radošā Eiropa”, Jaunais Eiropas “Bauhaus”, pilsētu mērķsadarbības programmas un Eiropas kultūras galvaspilsētas saskaņā ar ilgtspējīgas attīstības mērķiem.</w:t>
      </w:r>
    </w:p>
    <w:p>
      <w:pPr>
        <w:pStyle w:val="Puce3"/>
        <w:tabs>
          <w:tab w:val="clear" w:pos="720"/>
        </w:tabs>
        <w:rPr/>
      </w:pPr>
      <w:r>
        <w:rPr/>
        <w:t>5.</w:t>
        <w:tab/>
        <w:t>Veikt pasākumus, lai nodrošinātu, ka kultūras jomas profesionāļi ir pietiekami aizsargāti ES līmenī, jo īpaši turpmākajās krīzēs, pieņemot juridiskus statūtus Eiropas līmenī.</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Titre3"/>
        <w:numPr>
          <w:ilvl w:val="2"/>
          <w:numId w:val="2"/>
        </w:numPr>
        <w:rPr/>
      </w:pPr>
      <w:bookmarkStart w:id="102" w:name="__RefHeading___Toc298378_1346298689"/>
      <w:bookmarkEnd w:id="102"/>
      <w:r>
        <w:rPr/>
        <w:t>49. Priekšlikums: Sporta veidi</w:t>
      </w:r>
    </w:p>
    <w:p>
      <w:pPr>
        <w:pStyle w:val="P68B1DB1Normal15"/>
        <w:rPr>
          <w:b/>
          <w:b/>
        </w:rPr>
      </w:pPr>
      <w:r>
        <w:rPr/>
        <w:t>Mērķis: Sportam ir būtiska nozīme mūsu sabiedrībā — lai aizsargātu mūsu vērtības, vadītu veselīgu dzīvesveidu un vecumu labā veselībā, veicinātu apmaiņas kultūru un atzīmētu Eiropas mantojuma daudzveidību. Šā iemesla dēļ dalībvalstīm ar Eiropas Savienības palīdzību būtu jācenšas:</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t>Pasākumi:</w:t>
      </w:r>
    </w:p>
    <w:p>
      <w:pPr>
        <w:pStyle w:val="Puce3"/>
        <w:tabs>
          <w:tab w:val="clear" w:pos="720"/>
        </w:tabs>
        <w:rPr/>
      </w:pPr>
      <w:r>
        <w:rPr/>
        <w:t>1.</w:t>
        <w:tab/>
        <w:t>Uzsvērt vērtības, jo īpaši dzimumu līdztiesību, vienlīdzību un iekļaušanu, ko var konkrēti atspoguļot sporta praksē visā izglītības braucienā.</w:t>
      </w:r>
    </w:p>
    <w:p>
      <w:pPr>
        <w:pStyle w:val="Puce3"/>
        <w:tabs>
          <w:tab w:val="clear" w:pos="720"/>
        </w:tabs>
        <w:rPr/>
      </w:pPr>
      <w:r>
        <w:rPr/>
        <w:t>2.</w:t>
        <w:tab/>
        <w:t>Palielināt informētību par sporta un fizisko aktivitāšu radītajiem ieguvumiem veselībai</w:t>
      </w:r>
      <w:r>
        <w:rPr>
          <w:rStyle w:val="Ancredenotedefin"/>
          <w:rStyle w:val="Ancredenotedefin"/>
        </w:rPr>
        <w:endnoteReference w:id="200"/>
      </w:r>
      <w:r>
        <w:rPr/>
        <w:t>.</w:t>
      </w:r>
    </w:p>
    <w:p>
      <w:pPr>
        <w:pStyle w:val="Puce3"/>
        <w:tabs>
          <w:tab w:val="clear" w:pos="720"/>
        </w:tabs>
        <w:rPr/>
      </w:pPr>
      <w:r>
        <w:rPr/>
        <w:t>3.</w:t>
        <w:tab/>
        <w:t>Integrēt sporta pasākumus apmaiņas un mobilitātes programmās ES līmenī</w:t>
      </w:r>
      <w:r>
        <w:rPr>
          <w:rStyle w:val="Ancredenotedefin"/>
          <w:rStyle w:val="Ancredenotedefin"/>
        </w:rPr>
        <w:endnoteReference w:id="201"/>
      </w:r>
      <w:r>
        <w:rPr/>
        <w:t>200.</w:t>
      </w:r>
    </w:p>
    <w:p>
      <w:pPr>
        <w:pStyle w:val="Puce3"/>
        <w:tabs>
          <w:tab w:val="clear" w:pos="720"/>
        </w:tabs>
        <w:rPr/>
      </w:pPr>
      <w:r>
        <w:rPr/>
        <w:t>4.</w:t>
        <w:tab/>
        <w:t>Pievērst uzmanību ne tikai profesionālajam un komerciālajam sportam, bet arī vietējam un tradicionālajam sportam, kas ir Eiropas kultūras daudzveidības liecinieks, lai popularizētu kultūras mantojumu un atbalstītu sporta čempionus neprofesionālā vidē.</w:t>
      </w:r>
    </w:p>
    <w:p>
      <w:pPr>
        <w:pStyle w:val="Normal"/>
        <w:rPr/>
      </w:pPr>
      <w:r>
        <w:rPr/>
      </w:r>
    </w:p>
    <w:p>
      <w:pPr>
        <w:pStyle w:val="Puce3"/>
        <w:tabs>
          <w:tab w:val="clear" w:pos="720"/>
        </w:tabs>
        <w:rPr/>
      </w:pPr>
      <w:r>
        <w:rPr/>
        <w:t>5.</w:t>
        <w:tab/>
        <w:t>Vienlaikus veicināt Eiropas identitātes popularizēšanu, organizējot vairāk Eiropas mēroga sporta pasākumu, izveidojot ES</w:t>
      </w:r>
      <w:r>
        <w:rPr/>
        <w:commentReference w:id="0"/>
      </w:r>
      <w:r>
        <w:rPr/>
        <w:t>sporta komandas vai izvietojot Eiropas Savienības karogus vai simbolus Eiropas sporta pasākumos.</w:t>
      </w:r>
    </w:p>
    <w:p>
      <w:pPr>
        <w:pStyle w:val="Puce3"/>
        <w:tabs>
          <w:tab w:val="clear" w:pos="720"/>
        </w:tabs>
        <w:rPr/>
      </w:pPr>
      <w:r>
        <w:rPr/>
        <w:t>6.</w:t>
        <w:tab/>
        <w:t>Vairāk ieguldīt komunikācijā, piemēram, Eiropas Sporta nedēļā, lai iedzīvotāji visā ES varētu kopīgi gūt labumu no augstākā līmeņa iespējām.</w:t>
      </w:r>
    </w:p>
    <w:p>
      <w:pPr>
        <w:sectPr>
          <w:footnotePr>
            <w:numFmt w:val="upperRoman"/>
          </w:footnotePr>
          <w:endnotePr>
            <w:numFmt w:val="decimal"/>
          </w:endnotePr>
          <w:type w:val="continuous"/>
          <w:pgSz w:w="11906" w:h="16838"/>
          <w:pgMar w:left="1134" w:right="1134" w:header="1134" w:top="1700" w:footer="1134" w:bottom="1727" w:gutter="0"/>
          <w:cols w:num="2" w:space="282" w:equalWidth="true" w:sep="false"/>
          <w:formProt w:val="false"/>
          <w:textDirection w:val="lrTb"/>
          <w:docGrid w:type="default" w:linePitch="312" w:charSpace="0"/>
        </w:sectPr>
      </w:pPr>
    </w:p>
    <w:p>
      <w:pPr>
        <w:pStyle w:val="Normal"/>
        <w:rPr/>
      </w:pPr>
      <w:r>
        <w:rPr/>
      </w:r>
      <w:r>
        <w:br w:type="page"/>
      </w:r>
    </w:p>
    <w:p>
      <w:pPr>
        <w:pStyle w:val="Titre1"/>
        <w:numPr>
          <w:ilvl w:val="0"/>
          <w:numId w:val="2"/>
        </w:numPr>
        <w:rPr/>
      </w:pPr>
      <w:bookmarkStart w:id="103" w:name="__RefHeading___Toc298380_1346298689"/>
      <w:bookmarkEnd w:id="103"/>
      <w:r>
        <w:rPr/>
        <w:t>Valdes galīgie apsvērumi</w:t>
      </w:r>
    </w:p>
    <w:p>
      <w:pPr>
        <w:pStyle w:val="Normal"/>
        <w:rPr/>
      </w:pPr>
      <w:r>
        <w:rPr/>
      </w:r>
    </w:p>
    <w:p>
      <w:pPr>
        <w:pStyle w:val="Corpsdetexte"/>
        <w:rPr/>
      </w:pPr>
      <w:r>
        <w:rPr/>
        <w:t>Konferences par Eiropas nākotni</w:t>
      </w:r>
      <w:r>
        <w:br w:type="page"/>
      </w:r>
    </w:p>
    <w:p>
      <w:pPr>
        <w:pStyle w:val="Normal"/>
        <w:rPr/>
      </w:pPr>
      <w:r>
        <w:rPr/>
        <w:t>galvenais mērķis bija nodrošināt, lai Eiropas Savienība būtu gatava risināt pašreizējās un turpmākās problēmas, dodot pilsoņiem iespēju paust savas bažas un vēlmes un sadarbībā ar triju iestāžu, valstu parlamentu un citu ieinteresēto personu pārstāvjiem sniegt norādes nākotnei. Lai sasniegtu šo mērķi, konferencei bija jābūt uz iedzīvotājiem vērstam pasākumam, kura pamatā ir augšupēja pieeja, kas spēj radīt jaunu telpu, lai apspriestu Eiropas prioritātes un sagatavotu pārskatu par to, ko pilsoņi sagaida no Eiropas Savienības.</w:t>
      </w:r>
    </w:p>
    <w:p>
      <w:pPr>
        <w:pStyle w:val="Corpsdetexte"/>
        <w:rPr/>
      </w:pPr>
      <w:r>
        <w:rPr/>
        <w:t>Konference patiešām spēja uzņemties šo lomu. Konferencē piedalījās Eiropas pilsoņi no visām dzīves jomām un no visām Savienības malām, sadarbībā ar nākamajām plenārsēdēm, kurās piedalījās Eiropas Parlamenta, Padomes un Eiropas Komisijas locekļi, kā arī visu valstu parlamentu, Reģionu komitejas, reģionālo un vietējo vēlēto pārstāvju, Eiropas Ekonomikas un sociālo lietu komitejas, sociālo partneru un pilsoniskās sabiedrības pārstāvji, kā arī visu valstu parlamentu, Reģionu komitejas, reģionālo un vietējo vēlēto pārstāvju, Eiropas Ekonomikas un sociālo lietu komitejas, sociālo partneru un pilsoniskās sabiedrības pārstāvji. Šim procesam izstrādātie instrumenti un metodika ir unikāls resursu kopums, kas varētu kalpot par pamatu turpmākiem pasākumiem attiecībā uz iedzīvotāju līdzdalību un apspriežu demokrātiju ES līmenī.</w:t>
      </w:r>
    </w:p>
    <w:p>
      <w:pPr>
        <w:pStyle w:val="Corpsdetexte"/>
        <w:rPr/>
      </w:pPr>
      <w:r>
        <w:rPr/>
        <w:t>Pateicoties daudziem pasākumiem un debatēm visā ES, interaktīvajai daudzvalodu digitālajai platformai, Eiropas un valstu pilsoņu paneļdiskusijām un konferences plenārsēdei, konference tagad ir nākusi klajā ar nobeiguma ziņojumu, kurā ietverts pārskats par šajā gadā paveikto darbu, kā arī par pilnsapulces priekšlikumiem par Eiropas nākotni. No šiem priekšlikumiem ir ļoti skaidrs, ka ES ir jārīkojas, lai sekmīgi īstenotu zaļo un digitālo pārkārtošanos, stiprinātu Eiropas noturību un sociālo līgumu, vienlaikus novēršot nevienlīdzību un nodrošinot, ka Eiropas Savienība ir taisnīga, ilgtspējīga, inovatīva un konkurētspējīga ekonomika, kas nevienu neatstāj novārtā.</w:t>
      </w:r>
    </w:p>
    <w:p>
      <w:pPr>
        <w:pStyle w:val="Corpsdetexte"/>
        <w:rPr/>
      </w:pPr>
      <w:r>
        <w:rPr/>
        <w:t>Ģeopolitiskās situācijas attīstība konferences laikā, jo īpaši Krievijas agresijas karš pret Ukrainu, arī parādīja, ka ES ir jākļūst pārliecinošākai, ieņemot vadošo lomu pasaules mērogā, popularizējot savas vērtības un normas arvien vairāk satricinātā pasaulē.</w:t>
      </w:r>
    </w:p>
    <w:p>
      <w:pPr>
        <w:pStyle w:val="Corpsdetexte"/>
        <w:rPr/>
      </w:pPr>
      <w:r>
        <w:rPr/>
        <w:t>Konferencē tika sniegti skaidri norādījumi šajās jomās, un visām trim ES iestādēm tagad ir jāapsver, kā risināt paustās bažas, vēlmes un idejas. Nākamais solis šajā procesā ir izstrādāt konkrētas ES darbības, pamatojoties uz konferences rezultātiem, kā izklāstīts šajā galīgajā ziņojumā. Tāpēc ES iestādes tagad izskatīs šo ziņojumu un tā turpmākos pasākumus, katra savas kompetences ietvaros un saskaņā ar Līgumiem. 2022. gada rudenī notiks papildu pasākums, lai informētu iedzīvotājus par to, kā iestādes pildīs savu apņemšanos nodrošināt, ka viņi tiek uzklausīti un turēti rokās Eiropas nākotni.</w:t>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p>
    <w:p>
      <w:pPr>
        <w:pStyle w:val="Normal"/>
        <w:rPr/>
      </w:pPr>
      <w:r>
        <w:rPr/>
      </w:r>
    </w:p>
    <w:p>
      <w:pPr>
        <w:pStyle w:val="Normal"/>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rPr/>
      </w:pPr>
      <w:r>
        <w:rPr/>
      </w:r>
      <w:r>
        <w:br w:type="page"/>
      </w:r>
    </w:p>
    <w:p>
      <w:pPr>
        <w:pStyle w:val="Normal"/>
        <w:spacing w:before="13610" w:after="57"/>
        <w:rPr/>
      </w:pPr>
      <w:r>
        <w:rPr/>
        <w:drawing>
          <wp:anchor behindDoc="0" distT="0" distB="0" distL="0" distR="0" simplePos="0" locked="0" layoutInCell="1" allowOverlap="1" relativeHeight="29">
            <wp:simplePos x="0" y="0"/>
            <wp:positionH relativeFrom="column">
              <wp:align>center</wp:align>
            </wp:positionH>
            <wp:positionV relativeFrom="paragraph">
              <wp:posOffset>635</wp:posOffset>
            </wp:positionV>
            <wp:extent cx="6120130" cy="8642350"/>
            <wp:effectExtent l="0" t="0" r="0" b="0"/>
            <wp:wrapSquare wrapText="largest"/>
            <wp:docPr id="70" name="Attēls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ttēls30" descr=""/>
                    <pic:cNvPicPr>
                      <a:picLocks noChangeAspect="1" noChangeArrowheads="1"/>
                    </pic:cNvPicPr>
                  </pic:nvPicPr>
                  <pic:blipFill>
                    <a:blip r:embed="rId82"/>
                    <a:stretch>
                      <a:fillRect/>
                    </a:stretch>
                  </pic:blipFill>
                  <pic:spPr bwMode="auto">
                    <a:xfrm>
                      <a:off x="0" y="0"/>
                      <a:ext cx="6120130" cy="8642350"/>
                    </a:xfrm>
                    <a:prstGeom prst="rect">
                      <a:avLst/>
                    </a:prstGeom>
                  </pic:spPr>
                </pic:pic>
              </a:graphicData>
            </a:graphic>
          </wp:anchor>
        </w:drawing>
      </w:r>
      <w:r>
        <w:br w:type="page"/>
      </w:r>
    </w:p>
    <w:p>
      <w:pPr>
        <w:pStyle w:val="Titre1"/>
        <w:numPr>
          <w:ilvl w:val="0"/>
          <w:numId w:val="2"/>
        </w:numPr>
        <w:rPr/>
      </w:pPr>
      <w:bookmarkStart w:id="104" w:name="__RefHeading___Toc297141_1346298689"/>
      <w:bookmarkEnd w:id="104"/>
      <w:r>
        <w:rPr/>
        <w:t>I pielikums — četru Eiropas pilsoņu paneļdiskusiju ieteikumi</w:t>
      </w:r>
    </w:p>
    <w:p>
      <w:pPr>
        <w:pStyle w:val="Normal"/>
        <w:widowControl w:val="false"/>
        <w:spacing w:lineRule="exact" w:line="412"/>
        <w:ind w:left="0" w:right="0" w:hanging="0"/>
        <w:jc w:val="left"/>
        <w:rPr>
          <w:rFonts w:ascii="Arial" w:hAnsi="Arial"/>
          <w:b/>
          <w:b/>
          <w:color w:val="000000"/>
          <w:sz w:val="24"/>
        </w:rPr>
      </w:pPr>
      <w:r>
        <w:rPr>
          <w:b/>
          <w:color w:val="000000"/>
          <w:sz w:val="24"/>
        </w:rPr>
        <w:drawing>
          <wp:anchor behindDoc="0" distT="0" distB="0" distL="0" distR="0" simplePos="0" locked="0" layoutInCell="1" allowOverlap="1" relativeHeight="31">
            <wp:simplePos x="0" y="0"/>
            <wp:positionH relativeFrom="column">
              <wp:posOffset>0</wp:posOffset>
            </wp:positionH>
            <wp:positionV relativeFrom="paragraph">
              <wp:posOffset>126365</wp:posOffset>
            </wp:positionV>
            <wp:extent cx="4378325" cy="5307330"/>
            <wp:effectExtent l="0" t="0" r="0" b="0"/>
            <wp:wrapTopAndBottom/>
            <wp:docPr id="71" name="Fotoattēls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otoattēls31" descr=""/>
                    <pic:cNvPicPr>
                      <a:picLocks noChangeAspect="1" noChangeArrowheads="1"/>
                    </pic:cNvPicPr>
                  </pic:nvPicPr>
                  <pic:blipFill>
                    <a:blip r:embed="rId83"/>
                    <a:stretch>
                      <a:fillRect/>
                    </a:stretch>
                  </pic:blipFill>
                  <pic:spPr bwMode="auto">
                    <a:xfrm>
                      <a:off x="0" y="0"/>
                      <a:ext cx="4378325" cy="5307330"/>
                    </a:xfrm>
                    <a:prstGeom prst="rect">
                      <a:avLst/>
                    </a:prstGeom>
                  </pic:spPr>
                </pic:pic>
              </a:graphicData>
            </a:graphic>
          </wp:anchor>
        </w:drawing>
      </w:r>
      <w:r>
        <w:br w:type="page"/>
      </w:r>
    </w:p>
    <w:p>
      <w:pPr>
        <w:pStyle w:val="Normal"/>
        <w:rPr/>
      </w:pPr>
      <w:r>
        <w:rPr/>
        <mc:AlternateContent>
          <mc:Choice Requires="wps">
            <w:drawing>
              <wp:anchor behindDoc="0" distT="72390" distB="72390" distL="72390" distR="72390" simplePos="0" locked="0" layoutInCell="1" allowOverlap="1" relativeHeight="32">
                <wp:simplePos x="0" y="0"/>
                <wp:positionH relativeFrom="column">
                  <wp:posOffset>128270</wp:posOffset>
                </wp:positionH>
                <wp:positionV relativeFrom="paragraph">
                  <wp:posOffset>2223770</wp:posOffset>
                </wp:positionV>
                <wp:extent cx="4250690" cy="3210560"/>
                <wp:effectExtent l="0" t="0" r="0" b="0"/>
                <wp:wrapTopAndBottom/>
                <wp:docPr id="72" name="Ietvarstruktūra13"/>
                <a:graphic xmlns:a="http://schemas.openxmlformats.org/drawingml/2006/main">
                  <a:graphicData uri="http://schemas.microsoft.com/office/word/2010/wordprocessingShape">
                    <wps:wsp>
                      <wps:cNvSpPr/>
                      <wps:spPr>
                        <a:xfrm>
                          <a:off x="0" y="0"/>
                          <a:ext cx="4250160" cy="3209760"/>
                        </a:xfrm>
                        <a:prstGeom prst="rect">
                          <a:avLst/>
                        </a:prstGeom>
                        <a:noFill/>
                        <a:ln>
                          <a:noFill/>
                        </a:ln>
                      </wps:spPr>
                      <wps:style>
                        <a:lnRef idx="0"/>
                        <a:fillRef idx="0"/>
                        <a:effectRef idx="0"/>
                        <a:fontRef idx="minor"/>
                      </wps:style>
                      <wps:txbx>
                        <w:txbxContent>
                          <w:p>
                            <w:pPr>
                              <w:pStyle w:val="P68B1DB1Normal16"/>
                              <w:spacing w:before="57" w:after="57"/>
                              <w:rPr>
                                <w:color w:val="FFFFFF"/>
                                <w:sz w:val="72"/>
                              </w:rPr>
                            </w:pPr>
                            <w:r>
                              <w:rPr/>
                              <w:t xml:space="preserve">Konference par tematu </w:t>
                            </w:r>
                          </w:p>
                          <w:p>
                            <w:pPr>
                              <w:pStyle w:val="P68B1DB1Normal16"/>
                              <w:rPr>
                                <w:color w:val="FFFFFF"/>
                                <w:sz w:val="72"/>
                              </w:rPr>
                            </w:pPr>
                            <w:r>
                              <w:rPr/>
                              <w:t xml:space="preserve">Eiropas nākotne </w:t>
                            </w:r>
                          </w:p>
                          <w:p>
                            <w:pPr>
                              <w:pStyle w:val="P68B1DB1Normal17"/>
                              <w:rPr>
                                <w:color w:val="FFFFFF"/>
                              </w:rPr>
                            </w:pPr>
                            <w:r>
                              <w:rPr/>
                              <w:t xml:space="preserve"> </w:t>
                            </w:r>
                            <w:r>
                              <w:rPr/>
                              <w:t>Eiropas pilsoņu</w:t>
                            </w:r>
                            <w:r>
                              <w:rPr>
                                <w:sz w:val="32"/>
                              </w:rPr>
                              <w:t xml:space="preserve">paneļdiskusija Nr. 1: Spēcīgāka ekonomika, sociālais taisnīgums un nodarbinātība/Izglītība, kultūra, jaunatne un sports/Digitālā pārveide </w:t>
                            </w:r>
                          </w:p>
                          <w:p>
                            <w:pPr>
                              <w:pStyle w:val="P68B1DB1Normal17"/>
                              <w:rPr>
                                <w:color w:val="FFFFFF"/>
                              </w:rPr>
                            </w:pPr>
                            <w:r>
                              <w:rPr/>
                              <w:t xml:space="preserve"> </w:t>
                            </w:r>
                          </w:p>
                          <w:p>
                            <w:pPr>
                              <w:pStyle w:val="P68B1DB1Normal17"/>
                              <w:rPr>
                                <w:color w:val="FFFFFF"/>
                              </w:rPr>
                            </w:pPr>
                            <w:r>
                              <w:rPr/>
                              <w:t>Rekomendācijas</w:t>
                            </w:r>
                          </w:p>
                          <w:p>
                            <w:pPr>
                              <w:pStyle w:val="P68B1DB1Normal17"/>
                              <w:rPr>
                                <w:color w:val="FFFFFF"/>
                              </w:rPr>
                            </w:pPr>
                            <w:r>
                              <w:rPr/>
                              <w:t xml:space="preserve"> </w:t>
                            </w:r>
                            <w:r>
                              <w:rPr/>
                              <w:t>Fotogrāfijas © Eiropas Savienība, 2021 — EP/Kenton Thatcher</w:t>
                            </w:r>
                          </w:p>
                          <w:p>
                            <w:pPr>
                              <w:pStyle w:val="Normal"/>
                              <w:spacing w:before="57" w:after="57"/>
                              <w:rPr/>
                            </w:pPr>
                            <w:r>
                              <w:rPr/>
                            </w:r>
                          </w:p>
                        </w:txbxContent>
                      </wps:txbx>
                      <wps:bodyPr lIns="54000" rIns="54000" tIns="54000" bIns="54000">
                        <a:noAutofit/>
                      </wps:bodyPr>
                    </wps:wsp>
                  </a:graphicData>
                </a:graphic>
              </wp:anchor>
            </w:drawing>
          </mc:Choice>
          <mc:Fallback>
            <w:pict>
              <v:rect id="shape_0" ID="Ietvarstruktūra13" fillcolor="white" stroked="f" style="position:absolute;margin-left:10.1pt;margin-top:175.1pt;width:334.6pt;height:252.7pt">
                <w10:wrap type="square"/>
                <v:fill o:detectmouseclick="t" type="solid" color2="black" opacity="0"/>
                <v:stroke color="#3465a4" joinstyle="round" endcap="flat"/>
                <v:textbox>
                  <w:txbxContent>
                    <w:p>
                      <w:pPr>
                        <w:pStyle w:val="P68B1DB1Normal16"/>
                        <w:spacing w:before="57" w:after="57"/>
                        <w:rPr>
                          <w:color w:val="FFFFFF"/>
                          <w:sz w:val="72"/>
                        </w:rPr>
                      </w:pPr>
                      <w:r>
                        <w:rPr/>
                        <w:t xml:space="preserve">Konference par tematu </w:t>
                      </w:r>
                    </w:p>
                    <w:p>
                      <w:pPr>
                        <w:pStyle w:val="P68B1DB1Normal16"/>
                        <w:rPr>
                          <w:color w:val="FFFFFF"/>
                          <w:sz w:val="72"/>
                        </w:rPr>
                      </w:pPr>
                      <w:r>
                        <w:rPr/>
                        <w:t xml:space="preserve">Eiropas nākotne </w:t>
                      </w:r>
                    </w:p>
                    <w:p>
                      <w:pPr>
                        <w:pStyle w:val="P68B1DB1Normal17"/>
                        <w:rPr>
                          <w:color w:val="FFFFFF"/>
                        </w:rPr>
                      </w:pPr>
                      <w:r>
                        <w:rPr/>
                        <w:t xml:space="preserve"> </w:t>
                      </w:r>
                      <w:r>
                        <w:rPr/>
                        <w:t>Eiropas pilsoņu</w:t>
                      </w:r>
                      <w:r>
                        <w:rPr>
                          <w:sz w:val="32"/>
                        </w:rPr>
                        <w:t xml:space="preserve">paneļdiskusija Nr. 1: Spēcīgāka ekonomika, sociālais taisnīgums un nodarbinātība/Izglītība, kultūra, jaunatne un sports/Digitālā pārveide </w:t>
                      </w:r>
                    </w:p>
                    <w:p>
                      <w:pPr>
                        <w:pStyle w:val="P68B1DB1Normal17"/>
                        <w:rPr>
                          <w:color w:val="FFFFFF"/>
                        </w:rPr>
                      </w:pPr>
                      <w:r>
                        <w:rPr/>
                        <w:t xml:space="preserve"> </w:t>
                      </w:r>
                    </w:p>
                    <w:p>
                      <w:pPr>
                        <w:pStyle w:val="P68B1DB1Normal17"/>
                        <w:rPr>
                          <w:color w:val="FFFFFF"/>
                        </w:rPr>
                      </w:pPr>
                      <w:r>
                        <w:rPr/>
                        <w:t>Rekomendācijas</w:t>
                      </w:r>
                    </w:p>
                    <w:p>
                      <w:pPr>
                        <w:pStyle w:val="P68B1DB1Normal17"/>
                        <w:rPr>
                          <w:color w:val="FFFFFF"/>
                        </w:rPr>
                      </w:pPr>
                      <w:r>
                        <w:rPr/>
                        <w:t xml:space="preserve"> </w:t>
                      </w:r>
                      <w:r>
                        <w:rPr/>
                        <w:t>Fotogrāfijas © Eiropas Savienība, 2021 — EP/Kenton Thatcher</w:t>
                      </w:r>
                    </w:p>
                    <w:p>
                      <w:pPr>
                        <w:pStyle w:val="Normal"/>
                        <w:spacing w:before="57" w:after="57"/>
                        <w:rPr/>
                      </w:pPr>
                      <w:r>
                        <w:rPr/>
                      </w:r>
                    </w:p>
                  </w:txbxContent>
                </v:textbox>
              </v:rect>
            </w:pict>
          </mc:Fallback>
        </mc:AlternateContent>
      </w:r>
    </w:p>
    <w:p>
      <w:pPr>
        <w:pStyle w:val="Titre2"/>
        <w:numPr>
          <w:ilvl w:val="1"/>
          <w:numId w:val="2"/>
        </w:numPr>
        <w:rPr/>
      </w:pPr>
      <w:bookmarkStart w:id="105" w:name="__RefHeading___Toc297143_1346298689"/>
      <w:bookmarkEnd w:id="105"/>
      <w:r>
        <w:rPr/>
        <w:t xml:space="preserve">Eiropas pilsoņu paneļdiskusija Nr. 1: Spēcīgāka ekonomika, sociālais taisnīgums un nodarbinātība/Izglītība, kultūra, jaunatne un sports/Digitālā pārveide </w:t>
      </w:r>
    </w:p>
    <w:p>
      <w:pPr>
        <w:pStyle w:val="P68B1DB1Normal18"/>
        <w:widowControl w:val="false"/>
        <w:spacing w:lineRule="exact" w:line="468"/>
        <w:ind w:left="425" w:right="0" w:hanging="0"/>
        <w:jc w:val="left"/>
        <w:rPr/>
      </w:pPr>
      <w:r>
        <w:rPr>
          <w:b/>
          <w:color w:val="1C4587"/>
        </w:rPr>
        <w:t>PANEĻDISKUSIJĀ PIEŅEMTIE IETEIKUMI (JĀIESNIEGS PLENĀRSESIJĀ)</w:t>
      </w:r>
      <w:r>
        <w:rPr>
          <w:color w:val="000000"/>
        </w:rPr>
        <w:t xml:space="preserve"> </w:t>
      </w:r>
    </w:p>
    <w:p>
      <w:pPr>
        <w:pStyle w:val="Titre3"/>
        <w:numPr>
          <w:ilvl w:val="2"/>
          <w:numId w:val="2"/>
        </w:numPr>
        <w:rPr/>
      </w:pPr>
      <w:bookmarkStart w:id="106" w:name="__RefHeading___Toc297145_1346298689"/>
      <w:bookmarkEnd w:id="106"/>
      <w:r>
        <w:rPr/>
        <w:t xml:space="preserve">1. ass: Darbs Eiropā </w:t>
      </w:r>
    </w:p>
    <w:p>
      <w:pPr>
        <w:pStyle w:val="Titre4"/>
        <w:numPr>
          <w:ilvl w:val="3"/>
          <w:numId w:val="2"/>
        </w:numPr>
        <w:rPr/>
      </w:pPr>
      <w:bookmarkStart w:id="107" w:name="__RefHeading___Toc297147_1346298689"/>
      <w:bookmarkEnd w:id="107"/>
      <w:r>
        <w:rPr/>
        <w:t xml:space="preserve">Apakšass 1.1. Darba tirgus </w:t>
      </w:r>
    </w:p>
    <w:p>
      <w:pPr>
        <w:pStyle w:val="P68B1DB1Normal15"/>
        <w:rPr>
          <w:b/>
          <w:b/>
        </w:rPr>
      </w:pPr>
      <w:r>
        <w:rPr/>
        <w:t xml:space="preserve">1. Mēs iesakām ieviest minimālo algu, lai nodrošinātu vienādu dzīves kvalitāti visās dalībvalstīs. Mēs apzināmies pašreizējos centienus saskaņā ar ES direktīvu COM(2020) 682, lai saskaņotu dzīvesveidu. Minimālajai algai ir jāgarantē minimālie neto ienākumi, lai sasniegtu būtisku mērķi: visiem, kam nepieciešama palīdzība, vajadzētu būt lielākiem ienākumiem. Nosakot minimālo algu, būtu jāņem vērā šādi aspekti: </w:t>
      </w:r>
    </w:p>
    <w:p>
      <w:pPr>
        <w:pStyle w:val="P68B1DB1Normal15"/>
        <w:rPr>
          <w:b/>
          <w:b/>
        </w:rPr>
      </w:pPr>
      <w:r>
        <w:rPr/>
        <w:t xml:space="preserve">● </w:t>
      </w:r>
      <w:r>
        <w:rPr/>
        <w:t xml:space="preserve">ES būtu jānodrošina tās efektīva īstenošana, jo pašlaik ne visas dalībvalstis pareizi piemēro darba ņēmēju aizsardzību; </w:t>
      </w:r>
    </w:p>
    <w:p>
      <w:pPr>
        <w:pStyle w:val="P68B1DB1Normal15"/>
        <w:rPr>
          <w:b/>
          <w:b/>
        </w:rPr>
      </w:pPr>
      <w:r>
        <w:rPr/>
        <w:t xml:space="preserve">● </w:t>
      </w:r>
      <w:r>
        <w:rPr/>
        <w:t xml:space="preserve">īpaša uzmanība būtu jāpievērš dzīves līmeņa uzlabošanas uzraudzībai; </w:t>
      </w:r>
    </w:p>
    <w:p>
      <w:pPr>
        <w:pStyle w:val="Normal"/>
        <w:rPr/>
      </w:pPr>
      <w:r>
        <w:rPr>
          <w:b/>
        </w:rPr>
        <w:t xml:space="preserve">● </w:t>
      </w:r>
      <w:r>
        <w:rPr>
          <w:b/>
        </w:rPr>
        <w:t>nosakot minimālo algu, jāņem vērā pirktspēja dažādās valstīs. Ir nepieciešama periodiskas pārskatīšanas procedūra, lai to pielāgotu dzīves dārdzības izmaiņām (piemēram, lai ņemtu vērā inflāciju).</w:t>
      </w:r>
      <w:r>
        <w:rPr/>
        <w:t xml:space="preserve"> </w:t>
      </w:r>
    </w:p>
    <w:p>
      <w:pPr>
        <w:pStyle w:val="Normal"/>
        <w:rPr/>
      </w:pPr>
      <w:r>
        <w:rPr/>
        <w:t xml:space="preserve"> </w:t>
      </w:r>
    </w:p>
    <w:p>
      <w:pPr>
        <w:pStyle w:val="Normal"/>
        <w:rPr/>
      </w:pPr>
      <w:r>
        <w:rPr/>
        <w:t xml:space="preserve">Mēs sniedzam šo ieteikumu, jo minimālā alga stiprina sociālo taisnīgumu darba tirgū un uzlabo konkrētus darba ņēmēju dzīves apstākļus visās dalībvalstīs, kas ir īpaši svarīgi strauji mainīgās darba vides kontekstā, piemēram, digitalizācijas dēļ. </w:t>
      </w:r>
    </w:p>
    <w:p>
      <w:pPr>
        <w:pStyle w:val="Normal"/>
        <w:rPr/>
      </w:pPr>
      <w:r>
        <w:rPr/>
        <w:t xml:space="preserve"> </w:t>
      </w:r>
    </w:p>
    <w:p>
      <w:pPr>
        <w:pStyle w:val="P68B1DB1Normal15"/>
        <w:rPr>
          <w:b/>
          <w:b/>
        </w:rPr>
      </w:pPr>
      <w:r>
        <w:rPr/>
        <w:t xml:space="preserve">2. Jau ir pieņemts ES tiesību akts (ES Direktīva 2003/88/EK par darba laiku), taču ar to nepietiek, lai nodrošinātu veselīgu darba un privātās dzīves līdzsvaru. Vispirms mēs iesakām pārskatīt spēkā esošo regulējumu, lai nodrošinātu, ka tas ir pielāgots pašreizējiem apstākļiem. Otrkārt, ES būtu jāievieš stingrāks uzraudzības mehānisms, lai nodrošinātu tā īstenošanu visās dalībvalstīs. Īpaša uzmanība būtu jāpievērš dažādām nozarēm ar atšķirīgu stresa un sloga līmeni gan psiholoģiski, gan fiziski. Tomēr tajā pašā laikā citas nozares ir atkarīgas no darbinieku lielākas elastības, lai pielāgotos uzņēmumu īpašajām vajadzībām. </w:t>
      </w:r>
    </w:p>
    <w:p>
      <w:pPr>
        <w:pStyle w:val="Normal"/>
        <w:rPr/>
      </w:pPr>
      <w:r>
        <w:rPr/>
        <w:t xml:space="preserve">Mēs sniedzam šo ieteikumu, jo ir svarīgi panākt labāku darba un privātās dzīves līdzsvaru. Labāks darba un privātās dzīves līdzsvars stiprina sociālo kohēziju un palīdz radīt vienlīdzīgus konkurences apstākļus darba ņēmējiem. Turklāt tam ir pozitīva ietekme uz darba ņēmēju individuālo labklājību. </w:t>
      </w:r>
    </w:p>
    <w:p>
      <w:pPr>
        <w:pStyle w:val="Normal"/>
        <w:rPr/>
      </w:pPr>
      <w:r>
        <w:rPr/>
        <w:t xml:space="preserve"> </w:t>
      </w:r>
    </w:p>
    <w:p>
      <w:pPr>
        <w:pStyle w:val="Titre4"/>
        <w:numPr>
          <w:ilvl w:val="3"/>
          <w:numId w:val="2"/>
        </w:numPr>
        <w:rPr/>
      </w:pPr>
      <w:bookmarkStart w:id="108" w:name="__RefHeading___Toc297151_1346298689"/>
      <w:bookmarkEnd w:id="108"/>
      <w:r>
        <w:rPr/>
        <w:t xml:space="preserve">Apakšass Jaunatne un nodarbinātība </w:t>
      </w:r>
    </w:p>
    <w:p>
      <w:pPr>
        <w:pStyle w:val="Normal"/>
        <w:rPr/>
      </w:pPr>
      <w:r>
        <w:rPr/>
        <w:t xml:space="preserve"> </w:t>
      </w:r>
    </w:p>
    <w:p>
      <w:pPr>
        <w:pStyle w:val="P68B1DB1Normal15"/>
        <w:rPr>
          <w:b/>
          <w:b/>
        </w:rPr>
      </w:pPr>
      <w:r>
        <w:rPr/>
        <w:t xml:space="preserve">3. Mēs iesakām saskaņot visu dažādo izglītības programmu līmeni ES, pieņemot valstu saturu. Tāpēc mēs iesakām visus profesionālos diplomus validēt un savstarpēji atzīt visās ES dalībvalstīs. </w:t>
      </w:r>
    </w:p>
    <w:p>
      <w:pPr>
        <w:pStyle w:val="Normal"/>
        <w:rPr/>
      </w:pPr>
      <w:r>
        <w:rPr/>
        <w:t xml:space="preserve"> </w:t>
      </w:r>
    </w:p>
    <w:p>
      <w:pPr>
        <w:pStyle w:val="Normal"/>
        <w:rPr/>
      </w:pPr>
      <w:r>
        <w:rPr/>
        <w:t xml:space="preserve">Mēs sniedzam šo ieteikumu, jo vēlamies veicināt Eiropas darbaspēka mobilitāti un samazināt administratīvo slogu. </w:t>
      </w:r>
    </w:p>
    <w:p>
      <w:pPr>
        <w:pStyle w:val="Normal"/>
        <w:rPr/>
      </w:pPr>
      <w:r>
        <w:rPr/>
      </w:r>
    </w:p>
    <w:p>
      <w:pPr>
        <w:pStyle w:val="P68B1DB1Normal15"/>
        <w:rPr>
          <w:b/>
          <w:b/>
        </w:rPr>
      </w:pPr>
      <w:r>
        <w:rPr/>
        <w:t xml:space="preserve">4. Iesakām vidusskolēniem (no 12 gadu vecuma) sniegt pārskatu par savu turpmāko darba tirgu, dodot viņiem iespēju piedalīties dažādos kvalitātes novērošanas apmeklējumos uz peļņas un bezpeļņas organizācijām. Mēs ierosinām mudināt uzņēmumus uzņemt studentus novērošanas praksē, piešķirot viņiem stipendijas. Attālos apgabalos, kuros ir mazāk iespēju, vietējām skolām, valsts iestādēm, organizācijām un uzņēmumiem ir cieši jāsadarbojas, lai nodrošinātu, ka arī šie novērošanas apmeklējumi ir pieejami. </w:t>
      </w:r>
    </w:p>
    <w:p>
      <w:pPr>
        <w:pStyle w:val="Normal"/>
        <w:rPr/>
      </w:pPr>
      <w:r>
        <w:rPr/>
        <w:t xml:space="preserve"> </w:t>
      </w:r>
    </w:p>
    <w:p>
      <w:pPr>
        <w:pStyle w:val="Normal"/>
        <w:rPr/>
      </w:pPr>
      <w:r>
        <w:rPr/>
        <w:t xml:space="preserve">Mēs sniedzam šo ieteikumu, jo vēlamies, lai jaunieši gūtu priekšstatu par dažādajām iespējām, ko piedāvā darba tirgus, lai viņi varētu labāk izvēlēties studijas un savu turpmāko darbu un saprast, cik svarīgi ir izvēlēties pareizo izglītību. Tas arī iemācītu viņiem atbildības sajūtu un cieņu pret darba tirgu un palīdzētu viņiem integrēties darba tirgū, sniedzot labumu visiem. </w:t>
      </w:r>
    </w:p>
    <w:p>
      <w:pPr>
        <w:pStyle w:val="Normal"/>
        <w:rPr/>
      </w:pPr>
      <w:r>
        <w:rPr/>
        <w:t xml:space="preserve"> </w:t>
      </w:r>
    </w:p>
    <w:p>
      <w:pPr>
        <w:pStyle w:val="P68B1DB1Normal15"/>
        <w:rPr>
          <w:b/>
          <w:b/>
        </w:rPr>
      </w:pPr>
      <w:r>
        <w:rPr/>
        <w:t xml:space="preserve">5. Mēs iesakām integrēt netehnisko prasmju praksi visos skolu mācību kursos. Ar netehniskajām prasmēm mēs domājam: savstarpēja klausīšanās, dialogs, noturība, izpratne, cieņa un citu cilvēku novērtēšana, kritiskā domāšana, pašmācība un paliek ziņkārīgs un uz rezultātiem orientēts. Skolotāji būtu jāapmāca par šo prasmju nodošanu, cieši sadarbojoties ar sociālajiem darbiniekiem un/vai psihologiem. Citi īstenošanas ieteikumi: skolēnu apmaiņas programmu organizēšana starp skolām, dalība starpskolu sporta un kultūras pasākumos u. c. </w:t>
      </w:r>
    </w:p>
    <w:p>
      <w:pPr>
        <w:pStyle w:val="Normal"/>
        <w:rPr/>
      </w:pPr>
      <w:r>
        <w:rPr/>
        <w:t xml:space="preserve"> </w:t>
      </w:r>
    </w:p>
    <w:p>
      <w:pPr>
        <w:pStyle w:val="Normal"/>
        <w:rPr/>
      </w:pPr>
      <w:r>
        <w:rPr/>
        <w:t xml:space="preserve">Mēs sniedzam šo ieteikumu, jo netehniskās prasmes ir nepieciešamās pamatprasmes, kas tiek zaudētas digitālajā laikmetā un kas mūsu jauniešiem būs absolūti nepieciešamas viņu turpmākajā dzīvē. Tāpēc mēs uzstājam, ka šīs prasmes ir jāintegrē skolu mācību programmās, lai palīdzētu jauniešiem būt elastīgiem un izvairītos no garīgām problēmām, ar kurām viņi varētu saskarties turpmākajā dzīvē, vai pārvarētu tās. Sociālās prasmes stiprina cilvēku savstarpējās attiecības un tādējādi palīdz cilvēkiem atrast savu vietu sabiedrībā. </w:t>
      </w:r>
    </w:p>
    <w:p>
      <w:pPr>
        <w:pStyle w:val="Normal"/>
        <w:rPr/>
      </w:pPr>
      <w:r>
        <w:rPr/>
        <w:t xml:space="preserve"> </w:t>
      </w:r>
    </w:p>
    <w:p>
      <w:pPr>
        <w:pStyle w:val="P68B1DB1Normal15"/>
        <w:rPr>
          <w:b/>
          <w:b/>
        </w:rPr>
      </w:pPr>
      <w:r>
        <w:rPr/>
        <w:t xml:space="preserve">6. Mēs iesakām, lai nopietnas krīzes gadījumā (veselības krīze, karš u. c.) labi izstrādāti plāni ar sīki izstrādātiem scenārijiem būtu gatavi elastīgai ieviešanai, lai mazinātu ietekmi uz mūsu jauniešu izglītību, profesionālo apmācību un garīgo labklājību utt. izglītības vai apmācības izmaksu pieaugums, obligāta studiju paplašināšana, neiespējamība pabeigt stažēšanos, garīgās veselības problēmu palielināšanās. Šie plāni jāīsteno tā, lai līdz minimumam samazinātu ietekmi uz jauniešiem un viņu pāreju uz darba tirgu. </w:t>
      </w:r>
    </w:p>
    <w:p>
      <w:pPr>
        <w:pStyle w:val="Normal"/>
        <w:rPr/>
      </w:pPr>
      <w:r>
        <w:rPr/>
        <w:t xml:space="preserve"> </w:t>
      </w:r>
    </w:p>
    <w:p>
      <w:pPr>
        <w:pStyle w:val="Normal"/>
        <w:rPr/>
      </w:pPr>
      <w:r>
        <w:rPr/>
        <w:t xml:space="preserve">Mēs sniedzam šo ieteikumu, jo krīzes laikā jaunieši ir ļoti neaizsargāti. </w:t>
      </w:r>
    </w:p>
    <w:p>
      <w:pPr>
        <w:pStyle w:val="Normal"/>
        <w:rPr/>
      </w:pPr>
      <w:r>
        <w:rPr/>
        <w:t xml:space="preserve"> </w:t>
      </w:r>
    </w:p>
    <w:p>
      <w:pPr>
        <w:pStyle w:val="Titre4"/>
        <w:numPr>
          <w:ilvl w:val="3"/>
          <w:numId w:val="2"/>
        </w:numPr>
        <w:rPr/>
      </w:pPr>
      <w:bookmarkStart w:id="109" w:name="__RefHeading___Toc297153_1346298689"/>
      <w:bookmarkEnd w:id="109"/>
      <w:r>
        <w:rPr/>
        <w:t xml:space="preserve">Apakšass 1.3. Digitālā pārveide darbā </w:t>
      </w:r>
    </w:p>
    <w:p>
      <w:pPr>
        <w:pStyle w:val="Normal"/>
        <w:rPr/>
      </w:pPr>
      <w:r>
        <w:rPr/>
        <w:t xml:space="preserve"> </w:t>
      </w:r>
    </w:p>
    <w:p>
      <w:pPr>
        <w:pStyle w:val="P68B1DB1Normal15"/>
        <w:rPr>
          <w:b/>
          <w:b/>
        </w:rPr>
      </w:pPr>
      <w:r>
        <w:rPr/>
        <w:t xml:space="preserve">7. Mēs iesakām ES ieviest vai stiprināt spēkā esošos tiesību aktus par viedu darbu, t. i., tiešsaistes un attālinātu darbu, piemēram, mājās vai citā savienotā tiešsaistes vietā. Mēs arī iesakām ES pieņemt tiesību aktus, lai mudinātu uzņēmumus būt sociāli atbildīgiem un saglabāt kvalitatīvas mobilās darbvietas ES. Stimuli var būt finansiāli un/vai ietekmēt korporatīvo tēlu, un tajos būtu jāņem vērā starptautiski atzīti vides, sociālie un pārvaldības (VSP) kritēriji. Šajā nolūkā ES būtu jāizveido darba grupa, kurā būtu eksperti no visām ieinteresētajām personām, lai pārskatītu un stiprinātu šos tiesību aktus. </w:t>
      </w:r>
    </w:p>
    <w:p>
      <w:pPr>
        <w:pStyle w:val="Normal"/>
        <w:rPr/>
      </w:pPr>
      <w:r>
        <w:rPr/>
        <w:t xml:space="preserve"> </w:t>
      </w:r>
    </w:p>
    <w:p>
      <w:pPr>
        <w:pStyle w:val="Normal"/>
        <w:rPr/>
      </w:pPr>
      <w:r>
        <w:rPr/>
        <w:t xml:space="preserve">Mēs sniedzam šo ieteikumu, jo mums ir jāveicina kvalitatīvas mobilās darbvietas un jāizvairās no to pārvietošanas uz trešām valstīm ar zemākām izmaksām. Covid-19 pandēmija un globālās ekonomikas tendences uzsver, ka steidzami ir jāaizsargā darbvietas ES un jāregulē mobilais darbs. </w:t>
      </w:r>
    </w:p>
    <w:p>
      <w:pPr>
        <w:pStyle w:val="Normal"/>
        <w:rPr/>
      </w:pPr>
      <w:r>
        <w:rPr/>
        <w:t xml:space="preserve"> </w:t>
      </w:r>
    </w:p>
    <w:p>
      <w:pPr>
        <w:pStyle w:val="P68B1DB1Normal15"/>
        <w:rPr>
          <w:b/>
          <w:b/>
        </w:rPr>
      </w:pPr>
      <w:r>
        <w:rPr/>
        <w:t xml:space="preserve">8. Mēs iesakām ES garantēt visiem ES iedzīvotājiem tiesības uz digitālo apmācību. Jo īpaši jauniešu digitālās prasmes varētu uzlabot, ieviešot ES sertifikātu skolās, kas sagatavotu viņus turpmākajam darba tirgum. Mēs arī iesakām ES līmenī īpašu apmācību darba ņēmēju pārkvalificēšanai un kvalifikācijas celšanai, lai viņi saglabātu konkurētspēju darba tirgū. Visbeidzot, mēs iesakām ES palielināt informētību par esošajām digitālajām platformām, kas savieno iedzīvotājus ar darba devējiem un palīdz viņiem atrast darbu ES, piemēram, EURES. </w:t>
      </w:r>
    </w:p>
    <w:p>
      <w:pPr>
        <w:pStyle w:val="Normal"/>
        <w:rPr/>
      </w:pPr>
      <w:r>
        <w:rPr/>
        <w:t xml:space="preserve"> </w:t>
      </w:r>
    </w:p>
    <w:p>
      <w:pPr>
        <w:pStyle w:val="Normal"/>
        <w:rPr/>
      </w:pPr>
      <w:r>
        <w:rPr/>
        <w:t xml:space="preserve">Mēs sniedzam šo ieteikumu, jo sertificētas digitālās prasmes ir būtiskas, lai piekļūtu darba tirgum un lai darba ņēmēji varētu pārkvalificēties un saglabāt konkurētspēju. </w:t>
      </w:r>
    </w:p>
    <w:p>
      <w:pPr>
        <w:pStyle w:val="Normal"/>
        <w:rPr/>
      </w:pPr>
      <w:r>
        <w:rPr/>
        <w:t xml:space="preserve"> </w:t>
      </w:r>
    </w:p>
    <w:p>
      <w:pPr>
        <w:pStyle w:val="Titre3"/>
        <w:numPr>
          <w:ilvl w:val="2"/>
          <w:numId w:val="2"/>
        </w:numPr>
        <w:rPr/>
      </w:pPr>
      <w:bookmarkStart w:id="110" w:name="__RefHeading___Toc297155_1346298689"/>
      <w:bookmarkEnd w:id="110"/>
      <w:r>
        <w:rPr/>
        <w:t xml:space="preserve">Ass — uz nākotni orientēta ekonomika </w:t>
      </w:r>
    </w:p>
    <w:p>
      <w:pPr>
        <w:pStyle w:val="Normal"/>
        <w:rPr/>
      </w:pPr>
      <w:r>
        <w:rPr/>
        <w:t xml:space="preserve"> </w:t>
      </w:r>
    </w:p>
    <w:p>
      <w:pPr>
        <w:pStyle w:val="Titre4"/>
        <w:numPr>
          <w:ilvl w:val="3"/>
          <w:numId w:val="2"/>
        </w:numPr>
        <w:rPr/>
      </w:pPr>
      <w:bookmarkStart w:id="111" w:name="__RefHeading___Toc297157_1346298689"/>
      <w:bookmarkEnd w:id="111"/>
      <w:r>
        <w:rPr/>
        <w:t xml:space="preserve">2.1. apakšass “Inovācija un Eiropas konkurētspēja” </w:t>
      </w:r>
    </w:p>
    <w:p>
      <w:pPr>
        <w:pStyle w:val="Normal"/>
        <w:rPr/>
      </w:pPr>
      <w:r>
        <w:rPr/>
        <w:t xml:space="preserve"> </w:t>
      </w:r>
    </w:p>
    <w:p>
      <w:pPr>
        <w:pStyle w:val="P68B1DB1Normal15"/>
        <w:rPr>
          <w:b/>
          <w:b/>
        </w:rPr>
      </w:pPr>
      <w:r>
        <w:rPr/>
        <w:t xml:space="preserve">9. Mēs iesakām ES radīt iespējas ieguldījumiem pētniecībā un inovācijā dažādām struktūrām (universitātēm, uzņēmumiem, pētniecības institūtiem u. c.), lai attīstītu: </w:t>
      </w:r>
    </w:p>
    <w:p>
      <w:pPr>
        <w:pStyle w:val="P68B1DB1Normal15"/>
        <w:rPr>
          <w:b/>
          <w:b/>
        </w:rPr>
      </w:pPr>
      <w:r>
        <w:rPr/>
        <w:t xml:space="preserve">● </w:t>
      </w:r>
      <w:r>
        <w:rPr/>
        <w:t xml:space="preserve">jauni, ilgtspējīgāki un bioloģiski diversificēti materiāli, lai aizstātu pašlaik izmantotos materiālus, </w:t>
      </w:r>
    </w:p>
    <w:p>
      <w:pPr>
        <w:pStyle w:val="P68B1DB1Normal15"/>
        <w:rPr>
          <w:b/>
          <w:b/>
        </w:rPr>
      </w:pPr>
      <w:r>
        <w:rPr/>
        <w:t xml:space="preserve">● </w:t>
      </w:r>
      <w:r>
        <w:rPr/>
        <w:t xml:space="preserve">esošo materiālu inovatīviem lietojumiem (kas cita starpā balstās uz pārstrādi un progresīvām metodēm ar viszemāko vides pēdas nospiedumu). </w:t>
      </w:r>
    </w:p>
    <w:p>
      <w:pPr>
        <w:pStyle w:val="Normal"/>
        <w:rPr/>
      </w:pPr>
      <w:r>
        <w:rPr>
          <w:b/>
        </w:rPr>
        <w:t>Mēs iesakām, lai tā būtu pastāvīga un ilgtermiņa ES apņemšanās (vismaz līdz 2050. gadam).</w:t>
      </w:r>
      <w:r>
        <w:rPr/>
        <w:t xml:space="preserve"> </w:t>
      </w:r>
    </w:p>
    <w:p>
      <w:pPr>
        <w:pStyle w:val="Normal"/>
        <w:rPr/>
      </w:pPr>
      <w:r>
        <w:rPr/>
        <w:t xml:space="preserve"> </w:t>
      </w:r>
    </w:p>
    <w:p>
      <w:pPr>
        <w:pStyle w:val="Normal"/>
        <w:rPr/>
      </w:pPr>
      <w:r>
        <w:rPr/>
        <w:t xml:space="preserve">Mēs sniedzam šo ieteikumu, jo mēs dzīvojam uz planētas ar ierobežotiem resursiem. Lai mums būtu nākotne, mums ir jāaizsargā klimats un jāmeklē alternatīvas, kas respektē planētu. Mēs arī vēlamies, lai ES kļūtu par vadošo dalībnieci šajā jomā ar spēcīgām konkurences priekšrocībām starptautiskajā arēnā. Ieteikuma mērķis ir radīt inovatīvus rezultātus, kurus var piemērot plašā mērogā un kurus var īstenot dažādās jomās un valstīs. Tam būtu arī pozitīva ietekme uz ekonomiku un darba tirgu, radot jaunas nodarbinātības iespējas ilgtspējīgu inovāciju jomā. Tas varētu veicināt cīņu pret sociālo netaisnību tādā mērā, ka pašreizējos ražošanas līdzekļus, kas balstīti uz ekspluatāciju, aizstātu ar citiem, ētiskākiem. </w:t>
      </w:r>
    </w:p>
    <w:p>
      <w:pPr>
        <w:pStyle w:val="Normal"/>
        <w:rPr/>
      </w:pPr>
      <w:r>
        <w:rPr/>
        <w:t xml:space="preserve"> </w:t>
      </w:r>
    </w:p>
    <w:p>
      <w:pPr>
        <w:pStyle w:val="P68B1DB1Normal15"/>
        <w:rPr>
          <w:b/>
          <w:b/>
        </w:rPr>
      </w:pPr>
      <w:r>
        <w:rPr/>
        <w:t xml:space="preserve">10. Mēs iesakām ES ilgtermiņā pastāvīgi apņemties ievērojami palielināt savu ilgtspējīgi saražotās enerģijas daļu, izmantojot plašu atjaunojamo energoresursu klāstu ar viszemāko vides pēdas nospiedumu (pamatojoties uz visaptverošu aprites cikla analīzi). Turklāt ES būtu jāiegulda elektroenerģijas infrastruktūras un tīkla kvalitātes uzlabošanā un uzturēšanā. Mēs arī iesakām par iedzīvotāju pamattiesībām atzīt piekļuvi enerģijai un pieejamību par pieņemamu cenu. </w:t>
      </w:r>
    </w:p>
    <w:p>
      <w:pPr>
        <w:pStyle w:val="P68B1DB1Normal15"/>
        <w:rPr>
          <w:b/>
          <w:b/>
        </w:rPr>
      </w:pPr>
      <w:r>
        <w:rPr/>
        <w:t xml:space="preserve"> </w:t>
      </w:r>
    </w:p>
    <w:p>
      <w:pPr>
        <w:pStyle w:val="Normal"/>
        <w:rPr/>
      </w:pPr>
      <w:r>
        <w:rPr/>
        <w:t xml:space="preserve">Mēs sniedzam šo ieteikumu šādu iemeslu dēļ: </w:t>
      </w:r>
    </w:p>
    <w:p>
      <w:pPr>
        <w:pStyle w:val="Normal"/>
        <w:rPr/>
      </w:pPr>
      <w:r>
        <w:rPr/>
        <w:t xml:space="preserve">● </w:t>
      </w:r>
      <w:r>
        <w:rPr/>
        <w:t xml:space="preserve">enerģijas avotu (tostarp saules, vēja, ūdeņraža, jūras ūdens vai jebkuras citas ilgtspējīgas metodes) dažādošana padarītu ES energoatkarīgāku; </w:t>
      </w:r>
    </w:p>
    <w:p>
      <w:pPr>
        <w:pStyle w:val="Normal"/>
        <w:rPr/>
      </w:pPr>
      <w:r>
        <w:rPr/>
        <w:t xml:space="preserve">● </w:t>
      </w:r>
      <w:r>
        <w:rPr/>
        <w:t xml:space="preserve">tas samazinātu elektroenerģijas izmaksas ES iedzīvotājiem; </w:t>
      </w:r>
    </w:p>
    <w:p>
      <w:pPr>
        <w:pStyle w:val="Normal"/>
        <w:rPr/>
      </w:pPr>
      <w:r>
        <w:rPr/>
        <w:t xml:space="preserve">● </w:t>
      </w:r>
      <w:r>
        <w:rPr/>
        <w:t xml:space="preserve">tas radītu darbvietas un pārstrukturētu enerģijas tirgu (jo īpaši reģionos, kuros līdz šim ir izmantots fosilais kurināmais); </w:t>
      </w:r>
    </w:p>
    <w:p>
      <w:pPr>
        <w:pStyle w:val="Normal"/>
        <w:rPr/>
      </w:pPr>
      <w:r>
        <w:rPr/>
        <w:t xml:space="preserve">● </w:t>
      </w:r>
      <w:r>
        <w:rPr/>
        <w:t xml:space="preserve">tas varētu veicināt inovatīvu energoapgādes metožu zinātnisko attīstību; </w:t>
      </w:r>
    </w:p>
    <w:p>
      <w:pPr>
        <w:pStyle w:val="Normal"/>
        <w:rPr/>
      </w:pPr>
      <w:r>
        <w:rPr/>
        <w:t xml:space="preserve">● </w:t>
      </w:r>
      <w:r>
        <w:rPr/>
        <w:t xml:space="preserve">elektroinfrastruktūras un tīkla kvalitāte ir tikpat svarīga kā enerģijas avoti, jo tā nodrošina vienmērīgu, efektīvu un cenas ziņā pieejamu enerģijas sadali un pārvadi. </w:t>
      </w:r>
    </w:p>
    <w:p>
      <w:pPr>
        <w:pStyle w:val="Normal"/>
        <w:rPr/>
      </w:pPr>
      <w:r>
        <w:rPr/>
        <w:t xml:space="preserve"> </w:t>
      </w:r>
    </w:p>
    <w:p>
      <w:pPr>
        <w:pStyle w:val="P68B1DB1Normal15"/>
        <w:rPr>
          <w:b/>
          <w:b/>
        </w:rPr>
      </w:pPr>
      <w:r>
        <w:rPr/>
        <w:t xml:space="preserve">11. Mēs iesakām ES aktīvi veicināt videi draudzīgākus ražošanas procesus, subsidējot vai citādi atalgojot uzņēmumus, kas iegulda savas ražošanas vides izmaksu samazināšanā. Mēs arī aicinām pielikt pūles, lai augtu postindustriālās teritorijas un izveidotu aizsargājamas zaļās zonas ap esošajām teritorijām. Uzņēmumiem vismaz daļēji būtu jāfinansē šie centieni ar saviem līdzekļiem. </w:t>
      </w:r>
    </w:p>
    <w:p>
      <w:pPr>
        <w:pStyle w:val="Normal"/>
        <w:rPr/>
      </w:pPr>
      <w:r>
        <w:rPr/>
        <w:t xml:space="preserve"> </w:t>
      </w:r>
    </w:p>
    <w:p>
      <w:pPr>
        <w:pStyle w:val="Normal"/>
        <w:rPr/>
      </w:pPr>
      <w:r>
        <w:rPr/>
        <w:t xml:space="preserve">Mēs sniedzam šo ieteikumu, jo ražošanas procesi ir svarīga piegādes ķēdes daļa. Padarot tos videi draudzīgākus, varētu ievērojami samazināt mūsu ietekmi uz klimatu. Mēs uzskatām, ka uzņēmumi un nozares ir jāsauc pie atbildības par veidu, kādā tie ražo savus produktus (tostarp pasākumi vides rekultivācijai un aizsardzībai). Ražošanas procesu zaļināšana arī sagatavo uzņēmumus nākotnei un stiprina to noturību (kas aizsargā darbvietas). </w:t>
      </w:r>
    </w:p>
    <w:p>
      <w:pPr>
        <w:pStyle w:val="Normal"/>
        <w:rPr/>
      </w:pPr>
      <w:r>
        <w:rPr/>
      </w:r>
    </w:p>
    <w:p>
      <w:pPr>
        <w:pStyle w:val="Titre4"/>
        <w:numPr>
          <w:ilvl w:val="3"/>
          <w:numId w:val="2"/>
        </w:numPr>
        <w:rPr/>
      </w:pPr>
      <w:bookmarkStart w:id="112" w:name="__RefHeading___Toc297159_1346298689"/>
      <w:bookmarkEnd w:id="112"/>
      <w:r>
        <w:rPr/>
        <w:t xml:space="preserve">Apakšass 2.2. Ilgtspējīga ekonomika/apakšass 2.3. Nodokļi </w:t>
      </w:r>
    </w:p>
    <w:p>
      <w:pPr>
        <w:pStyle w:val="Normal"/>
        <w:rPr/>
      </w:pPr>
      <w:r>
        <w:rPr/>
        <w:t xml:space="preserve"> </w:t>
      </w:r>
    </w:p>
    <w:p>
      <w:pPr>
        <w:pStyle w:val="P68B1DB1Normal15"/>
        <w:rPr>
          <w:b/>
          <w:b/>
        </w:rPr>
      </w:pPr>
      <w:r>
        <w:rPr/>
        <w:t xml:space="preserve">12. Mēs iesakām atteikties no plastmasas iepakojuma un vispārināt atkārtoti lietojamu iepakojumu. Būtu jāstimulē patērētāji un uzņēmumi, lai patērētājam nebūtu dārgāk pirkt nefasētus produktus (“bez taras” angļu valodā vai “sfuso” itāļu valodā) nekā iepakotus produktus. Uzņēmumiem, kas piedalās šajā pārejā, būtu jāgūst labums no nodokļu atvieglojumiem, un citiem būtu jāmaksā vairāk nodokļu. Produktiem, kurus nevar atkārtoti izmantot, vajadzētu būt pārstrādājamiem un/vai bioloģiski noārdāmiem. Ir jāizveido publiska vai uzraudzības iestāde, kas būtu atbildīga par uzraudzību, noteikumu izstrādi un to izplatīšanu ikvienam. Par šīm darbībām ieteicams izglītot un informēt — tostarp ar sociālo plašsaziņas līdzekļu starpniecību —, vēršoties pie uzņēmumiem un patērētājiem, lai mainītu savu ilgtermiņa uzvedību. Uzņēmumi (piemēram, būvniecības uzņēmumi) būtu jāmudina un jāpalīdz rast labākos risinājumus to atkritumiem. </w:t>
      </w:r>
    </w:p>
    <w:p>
      <w:pPr>
        <w:pStyle w:val="Normal"/>
        <w:rPr/>
      </w:pPr>
      <w:r>
        <w:rPr/>
        <w:t xml:space="preserve"> </w:t>
      </w:r>
    </w:p>
    <w:p>
      <w:pPr>
        <w:pStyle w:val="Normal"/>
        <w:rPr/>
      </w:pPr>
      <w:r>
        <w:rPr/>
        <w:t xml:space="preserve">Mēs sniedzam šo ieteikumu, jo mums visiem ir jābūt atbildīgiem par savu rīcību. Tāpēc mums ir jāpārdomā visi ražošanas procesi. Otrreizējai pārstrādei ir nepieciešami daudz resursu (ūdens, enerģija), tāpēc tā nevar būt vienīgais risinājums, tāpēc mēs piedāvājam pārdot produktus vairumā. Otrreizējā pārstrāde būtu jāizmanto tikai viegli pārstrādājamiem materiāliem, un no Somijas piemēra mēs esam iemācījušies, ka ir iespējams pārstrādāt plašā mērogā. </w:t>
      </w:r>
    </w:p>
    <w:p>
      <w:pPr>
        <w:pStyle w:val="Normal"/>
        <w:rPr/>
      </w:pPr>
      <w:r>
        <w:rPr/>
      </w:r>
    </w:p>
    <w:p>
      <w:pPr>
        <w:pStyle w:val="P68B1DB1Normal15"/>
        <w:rPr>
          <w:b/>
          <w:b/>
        </w:rPr>
      </w:pPr>
      <w:r>
        <w:rPr/>
        <w:t xml:space="preserve">13. Mēs iesakām ieviest vienādus nodokļu noteikumus visā Eiropā un saskaņot nodokļu politiku visā ES. Saskaņošanai šajā jomā būtu jādod iespēja atsevišķām dalībvalstīm izstrādāt savus noteikumus, vienlaikus izvairoties no nodokļu nemaksāšanas. Tas izbeigs kaitējošu nodokļu praksi un nodokļu konkurenci. Nodokļi būtu jāuzliek komercdarījumiem, ja tie notiek: ja uzņēmums pārdod valstī, tam būtu jāmaksā nodokļi šajā valstī. Šo jauno noteikumu mērķis būtu novērst pārvietošanu un nodrošināt, ka ražošana un darījumi notiek starp Eiropas valstīm. </w:t>
      </w:r>
    </w:p>
    <w:p>
      <w:pPr>
        <w:pStyle w:val="Normal"/>
        <w:rPr/>
      </w:pPr>
      <w:r>
        <w:rPr/>
        <w:t xml:space="preserve"> </w:t>
      </w:r>
    </w:p>
    <w:p>
      <w:pPr>
        <w:pStyle w:val="Normal"/>
        <w:rPr/>
      </w:pPr>
      <w:r>
        <w:rPr/>
        <w:t xml:space="preserve">Mēs sniedzam šo ieteikumu aizsargāt un attīstīt nodarbinātību un saimniecisko darbību Eiropā tādā veidā, kas ir taisnīgs pret visām dalībvalstīm. Tādējādi Eiropai būs vienota izpratne par nodokļu sistēmu un tiks izbeigta absurdā monopolstāvokļa situācija ļoti lielos uzņēmumos, kuri nemaksā pietiekami daudz nodokļu salīdzinājumā ar mazākiem uzņēmumiem. Turklāt finanšu resursi tiks novirzīti uz vietu, kur notiek komercdarbība. </w:t>
      </w:r>
    </w:p>
    <w:p>
      <w:pPr>
        <w:pStyle w:val="Normal"/>
        <w:rPr/>
      </w:pPr>
      <w:r>
        <w:rPr/>
        <w:t xml:space="preserve"> </w:t>
      </w:r>
    </w:p>
    <w:p>
      <w:pPr>
        <w:pStyle w:val="P68B1DB1Normal15"/>
        <w:rPr>
          <w:b/>
          <w:b/>
        </w:rPr>
      </w:pPr>
      <w:r>
        <w:rPr/>
        <w:t xml:space="preserve">14. Mēs iesakām noņemt ieprogrammēto novecošanās sistēmu no visām elektroniskajām ierīcēm. Izmaiņām būtu jānotiek gan individuāli, gan komerciāli, lai nodrošinātu, ka ierīces var remontēt un modernizēt ilgtermiņā un ka tās var saglabāt ilgu laiku. Mēs iesakām veicināt atjaunotas ierīces. Noteikumos būtu jāparedz prasība uzņēmumiem garantēt tiesības uz remontu, tostarp programmatūras jaunināšanu un atjaunināšanu, kā arī ilgtermiņā pārstrādāt visas ierīces. Ir arī ieteicams, lai katrs uzņēmums izmantotu standarta savienotājus. </w:t>
      </w:r>
    </w:p>
    <w:p>
      <w:pPr>
        <w:pStyle w:val="P68B1DB1Normal15"/>
        <w:rPr>
          <w:b/>
          <w:b/>
        </w:rPr>
      </w:pPr>
      <w:r>
        <w:rPr/>
        <w:t xml:space="preserve"> </w:t>
      </w:r>
    </w:p>
    <w:p>
      <w:pPr>
        <w:pStyle w:val="Normal"/>
        <w:rPr/>
      </w:pPr>
      <w:r>
        <w:rPr/>
        <w:t xml:space="preserve">Mēs sniedzam šo ieteikumu, jo mūsdienu pasaulē produkti parasti ilgst divus gadus, un mēs vēlamies, lai tiem būtu daudz ilgāks kalpošanas laiks, apmēram 10 gadi. Šim priekšlikumam būs pozitīva ietekme uz klimata pārmaiņām un ekoloģiju. Tas arī samazinās izmaksas patērētājiem, kā arī patērētājus. </w:t>
      </w:r>
    </w:p>
    <w:p>
      <w:pPr>
        <w:pStyle w:val="Normal"/>
        <w:rPr/>
      </w:pPr>
      <w:r>
        <w:rPr/>
      </w:r>
    </w:p>
    <w:p>
      <w:pPr>
        <w:pStyle w:val="P68B1DB1Normal15"/>
        <w:rPr>
          <w:b/>
          <w:b/>
        </w:rPr>
      </w:pPr>
      <w:r>
        <w:rPr/>
        <w:t xml:space="preserve">15. Mēs iesakām palīdzēt ikvienam uzzināt vairāk par mūsu vidi un tās saikni ar individuālo veselību, izmantojot izglītību. Izglītības ceļi palīdzēs ikvienam noteikt savas personīgās stratēģijas, lai šīs tēmas integrētu savā ikdienas dzīvē. Šai izglītībai būtu jāsākas skolā ar konkrētiem priekšmetiem, kas pievēršas visiem ekoloģiskajiem jautājumiem, un mums jāturpina izglītot sevi visu mūžu (piemēram, darbā). Tas palīdzēs samazināt atkritumu daudzumu un aizsargāt vidi un cilvēku veselību, kā arī veicinās vietējo ražotāju veselīgu un nepārstrādātu produktu patēriņu vietējā tirgū. Tiem, kas neko nedara, lai samazinātu savus atkritumus, būs jāsaņem bezmaksas apmācība šajā jomā. Lai pielāgotu dzīvesveidu, cenām jābūt taisnīgām gan pret ražotāju, gan patērētāju. Tāpēc mēs ierosinām, ka mazie, videi draudzīgi vietējie ražotāji gūst labumu no nodokļu atbrīvojumiem. </w:t>
      </w:r>
    </w:p>
    <w:p>
      <w:pPr>
        <w:pStyle w:val="Normal"/>
        <w:rPr/>
      </w:pPr>
      <w:r>
        <w:rPr/>
        <w:t xml:space="preserve"> </w:t>
      </w:r>
    </w:p>
    <w:p>
      <w:pPr>
        <w:pStyle w:val="Normal"/>
        <w:rPr/>
      </w:pPr>
      <w:r>
        <w:rPr/>
        <w:t xml:space="preserve">Mēs sniedzam šo ieteikumu, jo uzskatām, ka daudzi cilvēki vēl nejūtas nobažījušies par šiem jautājumiem. Tas ir iemesls, kāpēc ir jāievieš izglītība visiem. Turklāt vietējiem un veselīgiem produktiem daudziem cilvēkiem parasti nav pieejamas cenas. Mums jānodrošina, lai vietējie produkti būtu pieejamāki visiem. </w:t>
      </w:r>
    </w:p>
    <w:p>
      <w:pPr>
        <w:pStyle w:val="Normal"/>
        <w:rPr/>
      </w:pPr>
      <w:r>
        <w:rPr/>
      </w:r>
    </w:p>
    <w:p>
      <w:pPr>
        <w:pStyle w:val="Titre4"/>
        <w:numPr>
          <w:ilvl w:val="3"/>
          <w:numId w:val="2"/>
        </w:numPr>
        <w:rPr/>
      </w:pPr>
      <w:bookmarkStart w:id="113" w:name="__RefHeading___Toc297161_1346298689"/>
      <w:bookmarkEnd w:id="113"/>
      <w:r>
        <w:rPr/>
        <w:t xml:space="preserve">Apakšass 2.4 Lauksaimniecība/apakšass 2.5 Digitālā infrastruktūra </w:t>
      </w:r>
    </w:p>
    <w:p>
      <w:pPr>
        <w:pStyle w:val="Normal"/>
        <w:rPr/>
      </w:pPr>
      <w:r>
        <w:rPr/>
        <w:t xml:space="preserve"> </w:t>
      </w:r>
    </w:p>
    <w:p>
      <w:pPr>
        <w:pStyle w:val="P68B1DB1Normal15"/>
        <w:rPr>
          <w:b/>
          <w:b/>
        </w:rPr>
      </w:pPr>
      <w:r>
        <w:rPr/>
        <w:t xml:space="preserve">16. Mēs iesakām ieviest vienotu Eiropas patērētāju un uzturvērtības marķēšanas sistēmu, kas ir viegli saprotama (piemēram, alergēni, izcelsmes valsts u. c.); mēs iesakām pārredzamību attiecībā uz notiekošajiem atļauju piešķiršanas procesiem un produkta informācijas digitalizāciju, izmantojot standartizētu Eiropas lietojumprogrammu, kas nodrošinātu lietotājam draudzīgāku piekļuvi informācijai un sniegtu papildu informāciju par produktu un ražošanas ķēdi. Mēs arī redzam, ka ir vajadzīga patiesi neatkarīga struktūra, kas reglamentē pārtikas standartus visā ES un kurai ir likumdošanas pilnvaras, lai piemērotu sankcijas. </w:t>
      </w:r>
    </w:p>
    <w:p>
      <w:pPr>
        <w:pStyle w:val="Normal"/>
        <w:rPr/>
      </w:pPr>
      <w:r>
        <w:rPr/>
        <w:t xml:space="preserve"> </w:t>
      </w:r>
    </w:p>
    <w:p>
      <w:pPr>
        <w:pStyle w:val="Normal"/>
        <w:rPr/>
      </w:pPr>
      <w:r>
        <w:rPr/>
        <w:t xml:space="preserve">Mēs sniedzam šos ieteikumus, jo visiem ES iedzīvotājiem vajadzētu būt iespējai paļauties uz vienādu pārtikas kvalitāti. Pārtikas produktu viengabalainība ir nepieciešama, lai nodrošinātu iedzīvotāju drošību. Šie ieteikumi tika formulēti, lai saskaņoti uzlabotu atļauju izsniegšanas procesu uzraudzību un pārtikas ražošanas pārredzamību. </w:t>
      </w:r>
    </w:p>
    <w:p>
      <w:pPr>
        <w:pStyle w:val="Normal"/>
        <w:rPr/>
      </w:pPr>
      <w:r>
        <w:rPr/>
      </w:r>
    </w:p>
    <w:p>
      <w:pPr>
        <w:pStyle w:val="P68B1DB1Normal15"/>
        <w:rPr>
          <w:b/>
          <w:b/>
        </w:rPr>
      </w:pPr>
      <w:r>
        <w:rPr/>
        <w:t xml:space="preserve">17. Mēs iesakām, lai infrastruktūra piederētu valstij, lai novērstu monopolu rašanos telekomunikāciju un interneta pakalpojumu nozarē. Piekļuvei internetam vajadzētu būt tiesībām; prioritātei vajadzētu būt interneta pieslēguma integrēšanai “baltajās zonās/mirušās zonās” (apgabalos bez interneta piekļuves). Attiecībā uz piekļuvi internetam un datoriekārtām bērni un ģimenes ir prioritāte, jo īpaši attiecībā uz izglītību un jo īpaši pandēmijas laikā. Ir vajadzīga iniciatīva, lai palīdzētu atbalstīt attālinātu darbu, piemēram, izveidojot biroja telpas ar piekļuvi ātram un uzticamam interneta pieslēgumam vai organizējot digitālo apmācību. </w:t>
      </w:r>
    </w:p>
    <w:p>
      <w:pPr>
        <w:pStyle w:val="Normal"/>
        <w:rPr/>
      </w:pPr>
      <w:r>
        <w:rPr/>
        <w:t xml:space="preserve"> </w:t>
      </w:r>
    </w:p>
    <w:p>
      <w:pPr>
        <w:pStyle w:val="Normal"/>
        <w:rPr/>
      </w:pPr>
      <w:r>
        <w:rPr/>
        <w:t xml:space="preserve">Mēs sniedzam šo ieteikumu, jo mums ir jānodrošina, ka digitālā pārveide tiek veikta taisnīgi. Piekļuve internetam ir demokrātijas pamatā un ir visu Eiropas pilsoņu tiesības. </w:t>
      </w:r>
    </w:p>
    <w:p>
      <w:pPr>
        <w:pStyle w:val="Normal"/>
        <w:rPr/>
      </w:pPr>
      <w:r>
        <w:rPr/>
      </w:r>
    </w:p>
    <w:p>
      <w:pPr>
        <w:pStyle w:val="Normal"/>
        <w:rPr/>
      </w:pPr>
      <w:r>
        <w:rPr>
          <w:b/>
        </w:rPr>
        <w:t>18. Mēs iesakām respektēt vietējos kukaiņus un aizsargāt tos no invazīvām sugām. Mēs arī ierosinām veicināt un aizstāvēt pienākumu nodrošināt zaļās zonas jaunos urbanizācijas projektos. Mēs aicinām, lai bioloģiskā daudzveidība kļūtu par obligātu priekšmetu skolās un kļūtu par mācību priekšmetu, piemēram, praktiskām darbībām. Ir svarīgi palielināt sabiedrības informētību par bioloģisko daudzveidību, izmantojot plašsaziņas līdzekļu kampaņas un “konkursus” visā ES (konkursi vietējās kopienas līmenī). Mēs iesakām noteikt saistošus valsts mērķus visās ES dalībvalstīs attiecībā uz vietējo koku mežu atjaunošanu un vietējās floras atjaunošanu</w:t>
      </w:r>
      <w:r>
        <w:rPr/>
        <w:t xml:space="preserve">. </w:t>
      </w:r>
    </w:p>
    <w:p>
      <w:pPr>
        <w:pStyle w:val="Normal"/>
        <w:rPr/>
      </w:pPr>
      <w:r>
        <w:rPr/>
        <w:t xml:space="preserve"> </w:t>
      </w:r>
    </w:p>
    <w:p>
      <w:pPr>
        <w:pStyle w:val="Normal"/>
        <w:rPr/>
      </w:pPr>
      <w:r>
        <w:rPr/>
        <w:t xml:space="preserve">Mēs sniedzam šo ieteikumu, jo bioloģiskā daudzveidība ir būtiska videi, dzīves kvalitātei un cīņai pret klimata pārmaiņām. </w:t>
      </w:r>
    </w:p>
    <w:p>
      <w:pPr>
        <w:pStyle w:val="Titre3"/>
        <w:numPr>
          <w:ilvl w:val="2"/>
          <w:numId w:val="2"/>
        </w:numPr>
        <w:rPr/>
      </w:pPr>
      <w:r>
        <w:rPr/>
      </w:r>
    </w:p>
    <w:p>
      <w:pPr>
        <w:pStyle w:val="Titre3"/>
        <w:numPr>
          <w:ilvl w:val="2"/>
          <w:numId w:val="2"/>
        </w:numPr>
        <w:rPr/>
      </w:pPr>
      <w:bookmarkStart w:id="114" w:name="__RefHeading___Toc297163_1346298689"/>
      <w:bookmarkEnd w:id="114"/>
      <w:r>
        <w:rPr/>
        <w:t xml:space="preserve">Ass 3 Taisnīga sabiedrība </w:t>
      </w:r>
    </w:p>
    <w:p>
      <w:pPr>
        <w:pStyle w:val="Normal"/>
        <w:rPr/>
      </w:pPr>
      <w:bookmarkStart w:id="115" w:name="__RefHeading___Toc297165_1346298689"/>
      <w:bookmarkEnd w:id="115"/>
      <w:r>
        <w:rPr/>
        <w:t xml:space="preserve"> </w:t>
      </w:r>
    </w:p>
    <w:p>
      <w:pPr>
        <w:pStyle w:val="Titre4"/>
        <w:numPr>
          <w:ilvl w:val="3"/>
          <w:numId w:val="2"/>
        </w:numPr>
        <w:rPr/>
      </w:pPr>
      <w:bookmarkStart w:id="116" w:name="__RefHeading___Toc297167_1346298689"/>
      <w:bookmarkEnd w:id="116"/>
      <w:r>
        <w:rPr/>
        <w:t xml:space="preserve">Apakšass 3.1. Sociālais nodrošinājums </w:t>
      </w:r>
    </w:p>
    <w:p>
      <w:pPr>
        <w:pStyle w:val="Normal"/>
        <w:rPr/>
      </w:pPr>
      <w:r>
        <w:rPr/>
        <w:t xml:space="preserve"> </w:t>
      </w:r>
    </w:p>
    <w:p>
      <w:pPr>
        <w:pStyle w:val="P68B1DB1Normal15"/>
        <w:rPr>
          <w:b/>
          <w:b/>
        </w:rPr>
      </w:pPr>
      <w:r>
        <w:rPr/>
        <w:t xml:space="preserve">19. Mēs iesakām veicināt vienlīdzīgas tiesības un sociālo politiku, tostarp veselības politiku, kas saskaņota visā ES, ņemot vērā pieņemtos noteikumus un minimālās prasības visā valstī. </w:t>
      </w:r>
    </w:p>
    <w:p>
      <w:pPr>
        <w:pStyle w:val="Normal"/>
        <w:rPr/>
      </w:pPr>
      <w:r>
        <w:rPr/>
        <w:t xml:space="preserve"> </w:t>
      </w:r>
    </w:p>
    <w:p>
      <w:pPr>
        <w:pStyle w:val="Normal"/>
        <w:rPr/>
      </w:pPr>
      <w:r>
        <w:rPr/>
        <w:t xml:space="preserve">Mēs sniedzam šo ieteikumu, jo starp dalībvalstīm pastāv lielas atšķirības sociālās politikas jomā, kas ir jāsamazina, lai nodrošinātu cilvēka cienīgu dzīvi visiem iedzīvotājiem un sniegtu nepieciešamo aprūpi un atbalstu neaizsargātām personām dažādu iemeslu dēļ (veselība, vecums, seksuālā orientācija utt.). </w:t>
      </w:r>
    </w:p>
    <w:p>
      <w:pPr>
        <w:pStyle w:val="Normal"/>
        <w:rPr/>
      </w:pPr>
      <w:r>
        <w:rPr/>
      </w:r>
    </w:p>
    <w:p>
      <w:pPr>
        <w:pStyle w:val="P68B1DB1Normal15"/>
        <w:rPr>
          <w:b/>
          <w:b/>
        </w:rPr>
      </w:pPr>
      <w:r>
        <w:rPr/>
        <w:t xml:space="preserve">20. Mēs iesakām veicināt sociālo un veselības pētniecību ES, ievērojot prioritātes, kas uzskatāmas par sabiedrības interesēm un ko apstiprinājušas dalībvalstis, un paredzot atbilstošu finansējumu. Mums jāstiprina sadarbība starp zinātības jomām, valstīm, studiju centriem (universitātēm u. c.). </w:t>
      </w:r>
    </w:p>
    <w:p>
      <w:pPr>
        <w:pStyle w:val="Normal"/>
        <w:rPr/>
      </w:pPr>
      <w:r>
        <w:rPr/>
        <w:t xml:space="preserve"> </w:t>
      </w:r>
    </w:p>
    <w:p>
      <w:pPr>
        <w:pStyle w:val="Normal"/>
        <w:rPr/>
      </w:pPr>
      <w:r>
        <w:rPr/>
        <w:t xml:space="preserve">Mēs sniedzam šo ieteikumu, jo ir daudzas jomas, kurās mums ir jāpilnveido un jāpadziļina mūsu zināšanas. Pandēmijas laikā gūtā pieredze ir piemērs tam, kā pētniecība ir būtiska dzīves uzlabošanai, ka būtiska ir sadarbība starp sabiedrību un privāto sektoru, kā arī starp valdībām un ka ir vajadzīgs finansiāls atbalsts. </w:t>
      </w:r>
    </w:p>
    <w:p>
      <w:pPr>
        <w:pStyle w:val="Normal"/>
        <w:rPr/>
      </w:pPr>
      <w:r>
        <w:rPr/>
      </w:r>
    </w:p>
    <w:p>
      <w:pPr>
        <w:pStyle w:val="P68B1DB1Normal15"/>
        <w:rPr>
          <w:b/>
          <w:b/>
        </w:rPr>
      </w:pPr>
      <w:r>
        <w:rPr/>
        <w:t xml:space="preserve">21. Mēs iesakām ES palielināt kompetenci sociālās politikas jomā, lai visā ES saskaņotu minimālos noteikumus un pensiju pabalstus un izveidotu jaunus, pamatojoties uz rūpīgu diagnozi. Minimālajai pensijai jābūt virs valsts nabadzības sliekšņa. Pensionēšanās vecumam vajadzētu būt atšķirīgam atkarībā no profesiju kategorijām, un tam vajadzētu būt mazākam garīgi un fiziski prasīgām profesijām. Tajā pašā laikā vecāka gadagājuma cilvēkiem, kuri vēlas turpināt strādāt brīvprātīgi, būtu jāgarantē tiesības strādāt. </w:t>
      </w:r>
    </w:p>
    <w:p>
      <w:pPr>
        <w:pStyle w:val="Normal"/>
        <w:rPr/>
      </w:pPr>
      <w:r>
        <w:rPr/>
        <w:t xml:space="preserve"> </w:t>
      </w:r>
    </w:p>
    <w:p>
      <w:pPr>
        <w:pStyle w:val="Normal"/>
        <w:rPr/>
      </w:pPr>
      <w:r>
        <w:rPr/>
        <w:t xml:space="preserve">Mēs sniedzam šo ieteikumu, jo dzīves ilgums palielinās un dzimstības līmenis samazinās. Eiropas iedzīvotāji noveco, tāpēc mums ir jāveic turpmāki pasākumi, lai novērstu vecāka gadagājuma cilvēku marginalizācijas risku un garantētu viņiem pienācīgu dzīvi. </w:t>
      </w:r>
    </w:p>
    <w:p>
      <w:pPr>
        <w:pStyle w:val="Normal"/>
        <w:rPr/>
      </w:pPr>
      <w:r>
        <w:rPr/>
        <w:t xml:space="preserve"> </w:t>
      </w:r>
    </w:p>
    <w:p>
      <w:pPr>
        <w:pStyle w:val="Normal"/>
        <w:rPr/>
      </w:pPr>
      <w:r>
        <w:rPr>
          <w:b/>
        </w:rPr>
        <w:t>22. Mēs iesakām pieņemt pasākumu kopumu, lai veicinātu dzimstības līmeņa paaugstināšanos un nodrošinātu atbilstošus bērnu aprūpes risinājumus. Šiem pasākumiem cita starpā būtu jāaptver izmaksu ziņā pieejami un pieejami bērnu aprūpes pakalpojumi (darbā, nakts laikā, samazināts PVN par bērnu aprūpes pakalpojumiem), mājoklis, darba stabilitāte, maternitātes atbalsts, īpašs atbalsts un darba aizsardzība jauniešiem un vecākiem, kā arī atbalsts mātēm un tēviem, nodrošinot piekļuvi zināšanām pēc atgriešanās darbā.</w:t>
      </w:r>
      <w:r>
        <w:rPr/>
        <w:t xml:space="preserve"> </w:t>
      </w:r>
    </w:p>
    <w:p>
      <w:pPr>
        <w:pStyle w:val="Normal"/>
        <w:rPr/>
      </w:pPr>
      <w:r>
        <w:rPr/>
        <w:t xml:space="preserve"> </w:t>
      </w:r>
    </w:p>
    <w:p>
      <w:pPr>
        <w:pStyle w:val="Normal"/>
        <w:rPr/>
      </w:pPr>
      <w:r>
        <w:rPr/>
        <w:t xml:space="preserve">Mēs sniedzam šo ieteikumu, jo ES atšķiras ar zemu dzimstības līmeni, kas arī veicina Eiropas iedzīvotāju novecošanu un kas prasa tūlītēju rīcību. Ierosinātās paketes mērķis ir nodrošināt, ka jaunajām ģimenēm ir nepieciešamā stabilitāte, lai rūpētos par bērniem. </w:t>
      </w:r>
    </w:p>
    <w:p>
      <w:pPr>
        <w:pStyle w:val="Normal"/>
        <w:rPr/>
      </w:pPr>
      <w:r>
        <w:rPr/>
      </w:r>
    </w:p>
    <w:p>
      <w:pPr>
        <w:pStyle w:val="P68B1DB1Normal15"/>
        <w:rPr>
          <w:b/>
          <w:b/>
        </w:rPr>
      </w:pPr>
      <w:r>
        <w:rPr/>
        <w:t xml:space="preserve">23. Mēs iesakām nodrošināt sociālo palīdzību un veselības aprūpi vecāka gadagājuma cilvēkiem mājās un aprūpes iestādēs. Ir arī jāuzlabo atbalsts tiem, kas rūpējas par vecāka gadagājuma cilvēkiem (gandrīz). </w:t>
      </w:r>
    </w:p>
    <w:p>
      <w:pPr>
        <w:pStyle w:val="Normal"/>
        <w:rPr/>
      </w:pPr>
      <w:r>
        <w:rPr/>
        <w:t xml:space="preserve"> </w:t>
      </w:r>
    </w:p>
    <w:p>
      <w:pPr>
        <w:pStyle w:val="Normal"/>
        <w:rPr/>
      </w:pPr>
      <w:r>
        <w:rPr/>
        <w:t xml:space="preserve">Mēs sniedzam šo ieteikumu, jo paredzamais mūža ilgums palielinās un dzimstības līmenis samazinās; Eiropas iedzīvotāji noveco, tāpēc mums ir jāveic turpmāki pasākumi, lai novērstu vecāka gadagājuma cilvēku marginalizācijas risku un garantētu viņiem pienācīgu dzīvi. </w:t>
      </w:r>
    </w:p>
    <w:p>
      <w:pPr>
        <w:pStyle w:val="Normal"/>
        <w:rPr/>
      </w:pPr>
      <w:r>
        <w:rPr/>
        <w:t xml:space="preserve"> </w:t>
      </w:r>
    </w:p>
    <w:p>
      <w:pPr>
        <w:pStyle w:val="P68B1DB1Normal15"/>
        <w:rPr>
          <w:b/>
          <w:b/>
        </w:rPr>
      </w:pPr>
      <w:r>
        <w:rPr/>
        <w:t xml:space="preserve">24. Mēs iesakām ES atbalstīt paliatīvo aprūpi un palīdzību nāves gadījumā [eutanāziju] saskaņā ar konkrētu noteikumu un noteikumu kopumu. </w:t>
      </w:r>
    </w:p>
    <w:p>
      <w:pPr>
        <w:pStyle w:val="Normal"/>
        <w:rPr/>
      </w:pPr>
      <w:r>
        <w:rPr/>
        <w:t xml:space="preserve"> </w:t>
      </w:r>
    </w:p>
    <w:p>
      <w:pPr>
        <w:pStyle w:val="Normal"/>
        <w:rPr/>
      </w:pPr>
      <w:r>
        <w:rPr/>
        <w:t xml:space="preserve">Mēs sniedzam šo ieteikumu, jo tas samazinātu pacientu un ģimeņu sāpes un nodrošinātu pienācīgu dzīves beigas. </w:t>
      </w:r>
    </w:p>
    <w:p>
      <w:pPr>
        <w:pStyle w:val="Normal"/>
        <w:rPr/>
      </w:pPr>
      <w:r>
        <w:rPr/>
        <w:t xml:space="preserve"> </w:t>
      </w:r>
    </w:p>
    <w:p>
      <w:pPr>
        <w:pStyle w:val="Titre4"/>
        <w:numPr>
          <w:ilvl w:val="3"/>
          <w:numId w:val="2"/>
        </w:numPr>
        <w:rPr/>
      </w:pPr>
      <w:bookmarkStart w:id="117" w:name="__RefHeading___Toc297169_1346298689"/>
      <w:bookmarkEnd w:id="117"/>
      <w:r>
        <w:rPr/>
        <w:t xml:space="preserve">Apakšass 3.2. Tiesību vienlīdzība </w:t>
      </w:r>
    </w:p>
    <w:p>
      <w:pPr>
        <w:pStyle w:val="Normal"/>
        <w:rPr/>
      </w:pPr>
      <w:r>
        <w:rPr/>
        <w:t xml:space="preserve"> </w:t>
      </w:r>
    </w:p>
    <w:p>
      <w:pPr>
        <w:pStyle w:val="P68B1DB1Normal15"/>
        <w:rPr>
          <w:b/>
          <w:b/>
        </w:rPr>
      </w:pPr>
      <w:r>
        <w:rPr/>
        <w:t xml:space="preserve">25. Mēs iesakām ES atbalstīt mērķtiecīgu iedzīvotāju piekļuvi pienācīgiem sociālajiem mājokļiem atbilstoši viņu īpašajām vajadzībām. Finansiālais ieguldījums būtu jāsadala starp privātiem līdzekļu devējiem, mājokļu īpašniekiem, mājokļu saņēmējiem, dalībvalstu valdībām centrālā un vietējā līmenī un Eiropas Savienību. Mērķim vajadzētu būt veicināt esošā sociālo mājokļu fonda būvniecību/remontu, tostarp izmantojot kooperatīvu apvienības, nomu un iegādi. Atbalsts jāpiešķir, pamatojoties uz skaidriem kritērijiem (piemēram, maksimālā platība/subsīdija, saņēmēju ienākumi utt.). </w:t>
      </w:r>
    </w:p>
    <w:p>
      <w:pPr>
        <w:pStyle w:val="Normal"/>
        <w:rPr/>
      </w:pPr>
      <w:r>
        <w:rPr/>
        <w:t xml:space="preserve"> </w:t>
      </w:r>
    </w:p>
    <w:p>
      <w:pPr>
        <w:pStyle w:val="Normal"/>
        <w:rPr/>
      </w:pPr>
      <w:r>
        <w:rPr/>
        <w:t xml:space="preserve">Mēs sniedzam šo ieteikumu, jo, uzlabojot piekļuvi mājokļiem, ES pilsoņiem tiktu nodrošinātas reālas vienlīdzīgas tiesības un palīdzētu mazināt sociālo spriedzi. ES galvenokārt tiek aicināta pārraudzīt atbalsta mehānismu; valstu un vietējām iestādēm būtu jāpieliek lielākas pūles, lai risinātu mājokļu problēmas. </w:t>
      </w:r>
    </w:p>
    <w:p>
      <w:pPr>
        <w:pStyle w:val="Normal"/>
        <w:rPr/>
      </w:pPr>
      <w:r>
        <w:rPr/>
      </w:r>
    </w:p>
    <w:p>
      <w:pPr>
        <w:pStyle w:val="P68B1DB1Normal15"/>
        <w:rPr>
          <w:b/>
          <w:b/>
        </w:rPr>
      </w:pPr>
      <w:r>
        <w:rPr/>
        <w:t xml:space="preserve">26. Mēs iesakām ES uzlabot regulējumu un vienotu atbalsta pasākumu īstenošanu ģimenēm ar bērniem visās dalībvalstīs. Šie pasākumi jo īpaši ietver: bērna kopšanas atvaļinājuma ilguma, bērna piedzimšanas pabalsta un bērna kopšanas pabalsta palielināšana. </w:t>
      </w:r>
    </w:p>
    <w:p>
      <w:pPr>
        <w:pStyle w:val="Normal"/>
        <w:rPr/>
      </w:pPr>
      <w:r>
        <w:rPr/>
        <w:t xml:space="preserve"> </w:t>
      </w:r>
    </w:p>
    <w:p>
      <w:pPr>
        <w:pStyle w:val="Normal"/>
        <w:rPr/>
      </w:pPr>
      <w:r>
        <w:rPr/>
        <w:t xml:space="preserve">Mēs sniedzam šo ieteikumu, jo uzskatām, ka šie pasākumi mazinātu demogrāfisko problēmu, ar ko saskaras ES. Tie arī uzlabotu dzimumu līdztiesību starp vecākiem. </w:t>
      </w:r>
    </w:p>
    <w:p>
      <w:pPr>
        <w:pStyle w:val="Normal"/>
        <w:rPr/>
      </w:pPr>
      <w:r>
        <w:rPr/>
      </w:r>
    </w:p>
    <w:p>
      <w:pPr>
        <w:pStyle w:val="P68B1DB1Normal15"/>
        <w:rPr>
          <w:b/>
          <w:b/>
        </w:rPr>
      </w:pPr>
      <w:r>
        <w:rPr/>
        <w:t xml:space="preserve">27. Mēs iesakām ES veikt pasākumus, lai nodrošinātu, ka visām ģimenēm visās dalībvalstīs ir vienādas ģimenes tiesības. Šīs tiesības ietver tiesības uz laulību un adopciju. </w:t>
      </w:r>
    </w:p>
    <w:p>
      <w:pPr>
        <w:pStyle w:val="Normal"/>
        <w:rPr/>
      </w:pPr>
      <w:r>
        <w:rPr/>
        <w:t xml:space="preserve"> </w:t>
      </w:r>
    </w:p>
    <w:p>
      <w:pPr>
        <w:pStyle w:val="Normal"/>
        <w:rPr/>
      </w:pPr>
      <w:r>
        <w:rPr/>
        <w:t xml:space="preserve">Mēs sniedzam šo ieteikumu, jo uzskatām, ka visiem ES pilsoņiem vajadzētu būt vienlīdzīgām tiesībām, tostarp ģimenes tiesībām. Ģimene ir sociālās organizācijas pamatforma. Laimīga ģimene veicina veselīgu sabiedrību. Ieteikuma mērķis ir nodrošināt, ka visiem pilsoņiem ir ģimenes tiesības neatkarīgi no dzimuma, pieaugušo vecuma, etniskās izcelsmes vai fiziskās veselības. </w:t>
      </w:r>
    </w:p>
    <w:p>
      <w:pPr>
        <w:pStyle w:val="Normal"/>
        <w:rPr/>
      </w:pPr>
      <w:r>
        <w:rPr/>
        <w:t xml:space="preserve"> </w:t>
      </w:r>
    </w:p>
    <w:p>
      <w:pPr>
        <w:pStyle w:val="Titre4"/>
        <w:numPr>
          <w:ilvl w:val="3"/>
          <w:numId w:val="2"/>
        </w:numPr>
        <w:rPr/>
      </w:pPr>
      <w:bookmarkStart w:id="118" w:name="__RefHeading___Toc297171_1346298689"/>
      <w:bookmarkEnd w:id="118"/>
      <w:commentRangeStart w:id="1"/>
      <w:r>
        <w:rPr/>
        <w:t xml:space="preserve">Apakšass 3.3 Pašu kapitāls/apakšass 3.4 Piekļuve sportam </w:t>
      </w:r>
      <w:commentRangeEnd w:id="1"/>
      <w:r>
        <w:commentReference w:id="1"/>
      </w:r>
      <w:r>
        <w:rPr/>
      </w:r>
    </w:p>
    <w:p>
      <w:pPr>
        <w:pStyle w:val="Normal"/>
        <w:rPr/>
      </w:pPr>
      <w:r>
        <w:rPr/>
        <w:t xml:space="preserve"> </w:t>
      </w:r>
    </w:p>
    <w:p>
      <w:pPr>
        <w:pStyle w:val="P68B1DB1Normal15"/>
        <w:rPr>
          <w:b/>
          <w:b/>
        </w:rPr>
      </w:pPr>
      <w:r>
        <w:rPr/>
        <w:t xml:space="preserve">28. Mēs iesakām stingri veicināt ES Dzimumu līdztiesības stratēģiju 2020.–2025. gadam un piešķirt augstu prioritāti kā steidzamu jautājumu, ko efektīvi risina dalībvalstis. ES būtu a) jānosaka rādītāji (attieksme, atalgojuma atšķirības, nodarbinātība, vadība u. c.), katru gadu jāuzrauga stratēģija un jābūt pārredzamai attiecībā uz sasniegtajiem rezultātiem; un b) izveidot ombudu, lai saņemtu tiešu atgriezenisko saiti no iedzīvotājiem. </w:t>
      </w:r>
    </w:p>
    <w:p>
      <w:pPr>
        <w:pStyle w:val="Normal"/>
        <w:rPr/>
      </w:pPr>
      <w:r>
        <w:rPr/>
        <w:t xml:space="preserve"> </w:t>
      </w:r>
    </w:p>
    <w:p>
      <w:pPr>
        <w:pStyle w:val="Normal"/>
        <w:rPr/>
      </w:pPr>
      <w:r>
        <w:rPr/>
        <w:t xml:space="preserve">Mēs sniedzam šo ieteikumu, jo uzskatām, ka dzimumu situācija ES nebūt nav apmierinoša. Lai sasniegtu dzimumu līdztiesības un pilsonisko tiesību mērķus visās valstīs, ne tikai tajās, kurās kompromiss ir spēcīgāks, dzimumu līdztiesības un pilsonisko tiesību mērķus Eiropas līmenī vajadzētu saskaņot ar dzimumu līdztiesību un pilsoniskajām tiesībām. Mēs esam apņēmušies nodrošināt sieviešu klātbūtni un ieguldījumu varas amatos un visu veidu profesijās, lai izveidotu daudzveidīgu un piepildītu Eiropas Savienību. Daudzās situācijās sievietes ir nelabvēlīgākā situācijā (pat tad, ja viņām ir labs izglītības līmenis/sertificēta augstākā izglītība vai citas privilēģijas), tāpēc šāda stratēģija ir absolūti nepieciešama. </w:t>
      </w:r>
    </w:p>
    <w:p>
      <w:pPr>
        <w:pStyle w:val="Normal"/>
        <w:rPr/>
      </w:pPr>
      <w:r>
        <w:rPr/>
      </w:r>
    </w:p>
    <w:p>
      <w:pPr>
        <w:pStyle w:val="P68B1DB1Normal15"/>
        <w:rPr>
          <w:b/>
          <w:b/>
        </w:rPr>
      </w:pPr>
      <w:r>
        <w:rPr/>
        <w:t xml:space="preserve">29. Mēs iesakām ES veicināt un palielināt sabiedrības informētību par sportu un fiziskām aktivitātēm visās dalībvalstīs, ņemot vērā to labvēlīgo ietekmi uz veselību. Sports un fiziskās aktivitātes būtu jāiekļauj sociālajā politikā, garīgās un fiziskās veselības politikā, izglītības un nodarbinātības politikā (t. i., veicinot to, ka ārsti izraksta sportu un/vai fiziskās aktivitātes, un, ja tas tiek darīts, nodrošinot piekļuvi sporta telpām; 1 darba stunda nedēļā fiziskām aktivitātēm u. c.). </w:t>
      </w:r>
    </w:p>
    <w:p>
      <w:pPr>
        <w:pStyle w:val="Normal"/>
        <w:rPr/>
      </w:pPr>
      <w:r>
        <w:rPr/>
        <w:t xml:space="preserve"> </w:t>
      </w:r>
    </w:p>
    <w:p>
      <w:pPr>
        <w:pStyle w:val="Normal"/>
        <w:rPr/>
      </w:pPr>
      <w:r>
        <w:rPr/>
        <w:t xml:space="preserve">Mēs sniedzam šo ieteikumu, jo tas ir ilgtermiņa ieguldījums. Ieguldījumi sportā un fiziskajās aktivitātēs samazina veselības aprūpes pakalpojumu izmaksas un slogu. Piemēram, sports un fiziskās aktivitātes kā veselības iejaukšanās samazinātu ārstēšanas ilgumu un padarītu to efektīvāku. Dažās valstīs, piemēram, Vācijā, šī stratēģija jau tiek veiksmīgi īstenota. Sports ir veids, kā veidot tādas vērtības kā apņemšanās, pūles, pašcieņu, cieņu vai kamaraderie. Mazkustīgs dzīvesveids ir izplatītāks nekā iepriekšējās paaudzēs, jo, cita starpā, ir vairāk biroja darba vietu un/vai izmaiņas atpūtas paradumos. </w:t>
      </w:r>
    </w:p>
    <w:p>
      <w:pPr>
        <w:pStyle w:val="Normal"/>
        <w:rPr/>
      </w:pPr>
      <w:r>
        <w:rPr/>
      </w:r>
    </w:p>
    <w:p>
      <w:pPr>
        <w:pStyle w:val="P68B1DB1Normal15"/>
        <w:rPr>
          <w:b/>
          <w:b/>
        </w:rPr>
      </w:pPr>
      <w:r>
        <w:rPr/>
        <w:t xml:space="preserve">30. Mēs iesakām ES noteikt, ka katrai dalībvalstij ir jābūt minimālajai algai, kas noteikta atkarībā no dzīves dārdzības tās teritorijā un tiek uzskatīta par taisnīgu algu, kas ļauj nodrošināt minimālos dzīves apstākļus virs nabadzības sliekšņa. Katrai dalībvalstij tas ir jāuzrauga. </w:t>
      </w:r>
    </w:p>
    <w:p>
      <w:pPr>
        <w:pStyle w:val="Normal"/>
        <w:rPr/>
      </w:pPr>
      <w:r>
        <w:rPr/>
        <w:t xml:space="preserve"> </w:t>
      </w:r>
    </w:p>
    <w:p>
      <w:pPr>
        <w:pStyle w:val="Normal"/>
        <w:rPr/>
      </w:pPr>
      <w:r>
        <w:rPr/>
        <w:t xml:space="preserve">Mēs sniedzam šo ieteikumu, jo ir netaisnīgi nespēt sasniegt tā mēneša beigas, kad mēs strādājam. Taisnīgām algām būtu jāveicina dzīves kvalitāte sociālajā līmenī. Netaisnīgas algas valstīm ir augstas izmaksas (drošība, izvairīšanās no nodokļu maksāšanas, augstākas sociālās izmaksas utt.). </w:t>
      </w:r>
    </w:p>
    <w:p>
      <w:pPr>
        <w:pStyle w:val="Normal"/>
        <w:rPr/>
      </w:pPr>
      <w:r>
        <w:rPr/>
      </w:r>
    </w:p>
    <w:p>
      <w:pPr>
        <w:pStyle w:val="P68B1DB1Normal15"/>
        <w:rPr>
          <w:b/>
          <w:b/>
        </w:rPr>
      </w:pPr>
      <w:r>
        <w:rPr/>
        <w:t xml:space="preserve">31. Mēs iesakām saskaņot nodokļus dalībvalstīs ES līmenī (lai izvairītos no nodokļu oāzēm ES un cīnītos pret pārvietošanu Eiropā), kā arī nodokļu atvieglojumus, lai atturētu no darba vietu pārvietošanas ārpus Eiropas. </w:t>
      </w:r>
    </w:p>
    <w:p>
      <w:pPr>
        <w:pStyle w:val="Normal"/>
        <w:rPr/>
      </w:pPr>
      <w:r>
        <w:rPr/>
        <w:t xml:space="preserve"> </w:t>
      </w:r>
    </w:p>
    <w:p>
      <w:pPr>
        <w:pStyle w:val="Normal"/>
        <w:rPr/>
      </w:pPr>
      <w:r>
        <w:rPr/>
        <w:t xml:space="preserve">Mēs sniedzam šo ieteikumu, jo esam nobažījušies par ietekmi, ko rada darbavietu pārvietošana ārpus Eiropas, un uzskatām, ka tas novērstu nodokļu konkurenci starp ES dalībvalstīm. </w:t>
      </w:r>
    </w:p>
    <w:p>
      <w:pPr>
        <w:pStyle w:val="Normal"/>
        <w:rPr/>
      </w:pPr>
      <w:r>
        <w:rPr/>
      </w:r>
    </w:p>
    <w:p>
      <w:pPr>
        <w:pStyle w:val="Titre3"/>
        <w:numPr>
          <w:ilvl w:val="2"/>
          <w:numId w:val="2"/>
        </w:numPr>
        <w:rPr/>
      </w:pPr>
      <w:bookmarkStart w:id="119" w:name="__RefHeading___Toc297173_1346298689"/>
      <w:bookmarkEnd w:id="119"/>
      <w:r>
        <w:rPr/>
        <w:t xml:space="preserve">Ass Nr. 4 Mācīšanās Eiropā </w:t>
      </w:r>
    </w:p>
    <w:p>
      <w:pPr>
        <w:pStyle w:val="Normal"/>
        <w:rPr/>
      </w:pPr>
      <w:r>
        <w:rPr/>
        <w:t xml:space="preserve"> </w:t>
      </w:r>
    </w:p>
    <w:p>
      <w:pPr>
        <w:pStyle w:val="Titre4"/>
        <w:numPr>
          <w:ilvl w:val="3"/>
          <w:numId w:val="2"/>
        </w:numPr>
        <w:rPr/>
      </w:pPr>
      <w:bookmarkStart w:id="120" w:name="__RefHeading___Toc297175_1346298689"/>
      <w:bookmarkEnd w:id="120"/>
      <w:commentRangeStart w:id="2"/>
      <w:r>
        <w:rPr/>
        <w:t xml:space="preserve">Apakšass 4.1. Eiropas identitāte/apakšass 4.2 Digitālā izglītība </w:t>
      </w:r>
      <w:commentRangeEnd w:id="2"/>
      <w:r>
        <w:commentReference w:id="2"/>
      </w:r>
      <w:r>
        <w:rPr/>
      </w:r>
    </w:p>
    <w:p>
      <w:pPr>
        <w:pStyle w:val="Normal"/>
        <w:rPr/>
      </w:pPr>
      <w:r>
        <w:rPr/>
        <w:t xml:space="preserve"> </w:t>
      </w:r>
    </w:p>
    <w:p>
      <w:pPr>
        <w:pStyle w:val="P68B1DB1Normal15"/>
        <w:rPr>
          <w:b/>
          <w:b/>
        </w:rPr>
      </w:pPr>
      <w:r>
        <w:rPr/>
        <w:t xml:space="preserve">32. Mēs iesakām veicināt daudzvalodību jau agrīnā vecumā, piemēram, no bērnudārza. Sākot ar pamatskolu, bērniem būtu obligāti jāsasniedz C1 līmenis aktīvā ES valodā, kas nav viņu dzimtā valoda. </w:t>
      </w:r>
    </w:p>
    <w:p>
      <w:pPr>
        <w:pStyle w:val="Normal"/>
        <w:rPr/>
      </w:pPr>
      <w:r>
        <w:rPr/>
        <w:t xml:space="preserve"> </w:t>
      </w:r>
    </w:p>
    <w:p>
      <w:pPr>
        <w:pStyle w:val="Normal"/>
        <w:rPr/>
      </w:pPr>
      <w:r>
        <w:rPr/>
        <w:t xml:space="preserve">Mēs sniedzam šo ieteikumu, jo daudzvalodība ir instruments, kas savieno iedzīvotājus un tiltu ar citām kultūrām, padarot citas valstis un to kultūras pieejamākas. Tā stiprina Eiropas identitāti un starpkultūru apmaiņu. Eiropas Savienības kontekstā ir svarīgi iepazīt citas kultūras. Tāpēc spēja sarunāties labā līmenī divās valodās veicinātu kopējas Eiropas identitātes izveidi un izpratni par citām Eiropas kultūrām. ES ir cieši jāsadarbojas ar izglītības iestādēm, lai sasniegtu labus rezultātus izglītības jomā. Jāizveido arī īpaša programma (piemēram, digitālās platformas, paplašinātās Erasmus+ programmas u. c.), lai veicinātu tikai daudzvalodību. Pašreizējās Eiropas skolas šajā ziņā var kalpot par paraugu. ES būtu jāizveido un aktīvi jāveicina šādu skolu skaits. </w:t>
      </w:r>
    </w:p>
    <w:p>
      <w:pPr>
        <w:pStyle w:val="Normal"/>
        <w:rPr/>
      </w:pPr>
      <w:r>
        <w:rPr/>
      </w:r>
    </w:p>
    <w:p>
      <w:pPr>
        <w:pStyle w:val="P68B1DB1Normal15"/>
        <w:rPr>
          <w:b/>
          <w:b/>
        </w:rPr>
      </w:pPr>
      <w:r>
        <w:rPr/>
        <w:t xml:space="preserve">33. Mēs iesakām ES palielināt jauniešu informētību par interneta un digitalizācijas radītajām briesmām, izveidojot obligātu priekšmetu pamatizglītībā. ES būtu jāizstrādā instrumenti un jārada kopīgas mācību telpas jauniešiem, lai viņi varētu mācīties kopā. </w:t>
      </w:r>
    </w:p>
    <w:p>
      <w:pPr>
        <w:pStyle w:val="Normal"/>
        <w:rPr/>
      </w:pPr>
      <w:r>
        <w:rPr/>
        <w:t xml:space="preserve"> </w:t>
      </w:r>
    </w:p>
    <w:p>
      <w:pPr>
        <w:pStyle w:val="Normal"/>
        <w:rPr/>
      </w:pPr>
      <w:r>
        <w:rPr/>
        <w:t xml:space="preserve">Mēs sniedzam šo ieteikumu, jo pašreizējās iniciatīvas vai programmas šajā jomā nav pietiekamas. Turklāt daudzi ES pilsoņi nav informēti par pašreizējām ES iniciatīvām šajās jomās. Bērni nav pietiekami informēti par interneta radītajām briesmām, tāpēc mums būtu jādara daudz vairāk, lai palielinātu informētību jaunākās paaudzes vidū. </w:t>
      </w:r>
    </w:p>
    <w:p>
      <w:pPr>
        <w:pStyle w:val="Normal"/>
        <w:rPr/>
      </w:pPr>
      <w:r>
        <w:rPr/>
        <w:t xml:space="preserve"> </w:t>
      </w:r>
    </w:p>
    <w:p>
      <w:pPr>
        <w:pStyle w:val="P68B1DB1Normal15"/>
        <w:rPr>
          <w:b/>
          <w:b/>
        </w:rPr>
      </w:pPr>
      <w:r>
        <w:rPr/>
        <w:t xml:space="preserve">34. Mēs iesakām ES strādāt, lai padarītu tehnoloģijas pieejamākas vecāka gadagājuma cilvēkiem, veicinot programmas un iniciatīvas, piemēram, kursu veidā, kas pielāgoti viņu vajadzībām. ES būtu jāgarantē tiesības izmantot digitālās tehnoloģijas tiem, kas to vēlas, un jāierosina alternatīvas tiem, kuri to nevēlas. </w:t>
      </w:r>
    </w:p>
    <w:p>
      <w:pPr>
        <w:pStyle w:val="Normal"/>
        <w:rPr/>
      </w:pPr>
      <w:r>
        <w:rPr/>
        <w:t xml:space="preserve"> </w:t>
      </w:r>
    </w:p>
    <w:p>
      <w:pPr>
        <w:pStyle w:val="Normal"/>
        <w:rPr/>
      </w:pPr>
      <w:r>
        <w:rPr/>
        <w:t xml:space="preserve">Mēs sniedzam šo ieteikumu, jo ES būtu jānodrošina, ka vecāka gadagājuma cilvēki var piedalīties digitālajā pasaulē un ka neviens netiek diskriminēts. Būtu jāievieš vienkāršoti instrumenti paaudzēm, kas ir mazāk pieredzējušas konkrētu tehnoloģiju izmantošanā, lai tās integrētu mūsdienu pasaulē. Mēs iesakām labāk popularizēt esošās iniciatīvas, lai iedzīvotāji par tām būtu informēti. ES nevajadzētu diskriminēt vecāka gadagājuma cilvēkus attiecībā uz IT rīku izmantošanu. (Kā starpgadījumu tas nozīmē, ka iedzīvotājiem vajadzētu būt iespējai dzīvot bez interneta tīkla izmantošanas). ES būtu jāorganizē un jādara pieejama vecāka gadagājuma cilvēkiem pastāvīga bezmaksas palīdzība, lai atvieglotu piekļuvi digitālajiem rīkiem. </w:t>
      </w:r>
    </w:p>
    <w:p>
      <w:pPr>
        <w:pStyle w:val="Normal"/>
        <w:rPr/>
      </w:pPr>
      <w:r>
        <w:rPr/>
      </w:r>
    </w:p>
    <w:p>
      <w:pPr>
        <w:pStyle w:val="Titre4"/>
        <w:numPr>
          <w:ilvl w:val="3"/>
          <w:numId w:val="2"/>
        </w:numPr>
        <w:rPr/>
      </w:pPr>
      <w:bookmarkStart w:id="121" w:name="__RefHeading___Toc297177_1346298689"/>
      <w:bookmarkEnd w:id="121"/>
      <w:r>
        <w:rPr/>
        <w:t xml:space="preserve">Apakšass 4.3 Kultūras apmaiņa/apakšass 4.4 Vides izglītība </w:t>
      </w:r>
    </w:p>
    <w:p>
      <w:pPr>
        <w:pStyle w:val="Normal"/>
        <w:rPr/>
      </w:pPr>
      <w:r>
        <w:rPr/>
        <w:t xml:space="preserve"> </w:t>
      </w:r>
    </w:p>
    <w:p>
      <w:pPr>
        <w:pStyle w:val="P68B1DB1Normal15"/>
        <w:rPr>
          <w:b/>
          <w:b/>
        </w:rPr>
      </w:pPr>
      <w:r>
        <w:rPr/>
        <w:t xml:space="preserve">35. Mēs iesakām ES izveidot platformu, kurā izglītības vajadzībām būtu pieejami izglītojoši materiāli par klimata pārmaiņām, ilgtspēju un vides jautājumiem. Šāda informācija būtu jābalsta uz faktiem, ko pārbauda eksperti un pielāgo katrai dalībvalstij. Platforma: </w:t>
      </w:r>
    </w:p>
    <w:p>
      <w:pPr>
        <w:pStyle w:val="P68B1DB1Normal15"/>
        <w:rPr>
          <w:b/>
          <w:b/>
        </w:rPr>
      </w:pPr>
      <w:r>
        <w:rPr/>
        <w:t xml:space="preserve">● </w:t>
      </w:r>
      <w:r>
        <w:rPr/>
        <w:t xml:space="preserve">būtu jāiekļauj mācības dažādām mērķgrupām, piemēram, cilvēkiem, kas dzīvo pilsētās vai lauku apvidos, visām vecuma grupām un iepriekšējo zināšanu līmeņiem; </w:t>
      </w:r>
    </w:p>
    <w:p>
      <w:pPr>
        <w:pStyle w:val="P68B1DB1Normal15"/>
        <w:rPr>
          <w:b/>
          <w:b/>
        </w:rPr>
      </w:pPr>
      <w:r>
        <w:rPr/>
        <w:t xml:space="preserve">● </w:t>
      </w:r>
      <w:r>
        <w:rPr/>
        <w:t xml:space="preserve">jābūt pieejamai visām dalībvalstīm un viegli pieejamai; </w:t>
      </w:r>
    </w:p>
    <w:p>
      <w:pPr>
        <w:pStyle w:val="P68B1DB1Normal15"/>
        <w:rPr>
          <w:b/>
          <w:b/>
        </w:rPr>
      </w:pPr>
      <w:r>
        <w:rPr/>
        <w:t xml:space="preserve">● </w:t>
      </w:r>
      <w:r>
        <w:rPr/>
        <w:t xml:space="preserve">tā īstenošanā būtu jāiekļauj veicināšanas plāns, kurā būtu jāiesaista attiecīgie uzņēmumi; </w:t>
      </w:r>
    </w:p>
    <w:p>
      <w:pPr>
        <w:pStyle w:val="P68B1DB1Normal15"/>
        <w:rPr>
          <w:b/>
          <w:b/>
        </w:rPr>
      </w:pPr>
      <w:r>
        <w:rPr/>
        <w:t xml:space="preserve">● </w:t>
      </w:r>
      <w:r>
        <w:rPr/>
        <w:t xml:space="preserve">varētu būt pieejama vienlaikus ar finansēšanas programmu, lai atbalstītu platformā pieejamās informācijas izmantošanu un īstenošanu. Ar šo finansējumu būtu jāatbalsta arī apmeklējumi uz vietas, lai sniegtu konkrētus piemērus. </w:t>
      </w:r>
    </w:p>
    <w:p>
      <w:pPr>
        <w:pStyle w:val="Normal"/>
        <w:rPr/>
      </w:pPr>
      <w:r>
        <w:rPr/>
        <w:t xml:space="preserve"> </w:t>
      </w:r>
    </w:p>
    <w:p>
      <w:pPr>
        <w:pStyle w:val="Normal"/>
        <w:rPr/>
      </w:pPr>
      <w:r>
        <w:rPr/>
        <w:t xml:space="preserve">Mēs sniedzam šo ieteikumu, jo visu vecumu cilvēkiem ir nepieciešama piekļuve faktiskai informācijai par to, kā risināt klimata pārmaiņu, ilgtspējas un vides jautājumus. Svarīgi jēdzieni, piemēram, ekoloģiskās pēdas nospiedums, ir jāsaprot visiem, jo īpaši jauniešiem, jo tas, ko mēs mācāmies bērnus, pavada mūs visu mūžu. Šīs tēmas ir sarežģītas, un dezinformācija ir plaši izplatīta. Mums ir vajadzīgs uzticams avots, un ES ir uzticamība un resursi, lai uzņemtos šo lomu. Tas ir svarīgi arī tāpēc, ka zināšanu līmenis un piekļuve ticamai informācijai dažādās dalībvalstīs ir atšķirīga. </w:t>
      </w:r>
    </w:p>
    <w:p>
      <w:pPr>
        <w:pStyle w:val="Normal"/>
        <w:rPr/>
      </w:pPr>
      <w:r>
        <w:rPr/>
      </w:r>
    </w:p>
    <w:p>
      <w:pPr>
        <w:pStyle w:val="P68B1DB1Normal15"/>
        <w:rPr>
          <w:b/>
          <w:b/>
        </w:rPr>
      </w:pPr>
      <w:r>
        <w:rPr/>
        <w:t xml:space="preserve">36. Mēs iesakām ES piešķirt prioritāti tam, lai nodrošinātu, ka apmaiņas programmas ir pieejamas visiem (vecuma grupām, dalībvalstīm, izglītības līmeņiem un finansiālajām spējām), un lai nodrošinātu stažēšanos vai apmaiņu starp nozarēm, valstīm, izglītības iestādēm, pilsētām un uzņēmumiem. ES vajadzētu būt atbildīgai par kultūras un sociālās apmaiņas — gan fiziskas, gan digitālas — uzsākšanu, starpniecību un finansēšanu visā ES. ES ir aktīvi jāveicina šīs iniciatīvas un jāpievēršas cilvēkiem, kuri vēl nav informēti par kultūras un sociālās apmaiņas programmām. Konference par Eiropas nākotni, kurai pilsoņi tika izvēlēti pēc nejaušības principa, ir lielisks Eiropas apmaiņas piemērs. Mēs vēlamies vairāk šāda veida iniciatīvu, bet mēs vēlamies arī mazāka mēroga iniciatīvas, kā arī apmaiņu sporta, mūzikas, (sociālās) prakses u. c. jomās. </w:t>
      </w:r>
    </w:p>
    <w:p>
      <w:pPr>
        <w:pStyle w:val="P68B1DB1Normal15"/>
        <w:rPr>
          <w:b/>
          <w:b/>
        </w:rPr>
      </w:pPr>
      <w:r>
        <w:rPr/>
        <w:t xml:space="preserve"> </w:t>
      </w:r>
    </w:p>
    <w:p>
      <w:pPr>
        <w:pStyle w:val="Normal"/>
        <w:rPr/>
      </w:pPr>
      <w:r>
        <w:rPr/>
        <w:t xml:space="preserve">Mēs sniedzam šo ieteikumu, jo ir svarīgi radīt piederības sajūtu un kohēziju un veicināt iecietību pret mūsu lielisko daudzveidību un perspektīvām, kā arī individuālo prasmju attīstību. Šis process attīstīs draudzību, savstarpēju sapratni un kritisku domāšanu. Mēs vēlamies veicināt visu mūsu kopienu locekļu iesaistīšanos, pat tos, kuri līdz šim nav piedalījušies šādās iniciatīvās. </w:t>
      </w:r>
    </w:p>
    <w:p>
      <w:pPr>
        <w:pStyle w:val="Normal"/>
        <w:rPr/>
      </w:pPr>
      <w:r>
        <w:rPr/>
      </w:r>
    </w:p>
    <w:p>
      <w:pPr>
        <w:pStyle w:val="Titre4"/>
        <w:numPr>
          <w:ilvl w:val="3"/>
          <w:numId w:val="2"/>
        </w:numPr>
        <w:rPr/>
      </w:pPr>
      <w:bookmarkStart w:id="122" w:name="__RefHeading___Toc297179_1346298689"/>
      <w:bookmarkEnd w:id="122"/>
      <w:r>
        <w:rPr/>
        <w:t xml:space="preserve">Apakšass 4.5. izglītības kvalitāte, finansēšana un pieejamība/Apakšasis 4.6 Izglītības saskaņošana </w:t>
      </w:r>
    </w:p>
    <w:p>
      <w:pPr>
        <w:pStyle w:val="Normal"/>
        <w:rPr/>
      </w:pPr>
      <w:r>
        <w:rPr/>
        <w:t xml:space="preserve"> </w:t>
      </w:r>
    </w:p>
    <w:p>
      <w:pPr>
        <w:pStyle w:val="P68B1DB1Normal15"/>
        <w:rPr>
          <w:b/>
          <w:b/>
        </w:rPr>
      </w:pPr>
      <w:r>
        <w:rPr/>
        <w:t xml:space="preserve">37. Mēs iesakām visām dalībvalstīm noteikt un pieņemt minimālos standartus attiecībā uz sertificētu izglītību pamatizglītības priekšmetos, sākot ar pamatskolu. Mērķis ir nodrošināt, lai visiem iedzīvotājiem būtu vienlīdzīga piekļuve kvalitatīvai izglītībai, kas garantē vienlīdzību un vienlīdzību. </w:t>
      </w:r>
    </w:p>
    <w:p>
      <w:pPr>
        <w:pStyle w:val="Normal"/>
        <w:rPr/>
      </w:pPr>
      <w:r>
        <w:rPr/>
      </w:r>
    </w:p>
    <w:p>
      <w:pPr>
        <w:pStyle w:val="Normal"/>
        <w:rPr/>
      </w:pPr>
      <w:r>
        <w:rPr/>
        <w:t xml:space="preserve">Mēs sniedzam šo ieteikumu šādu iemeslu dēļ: </w:t>
      </w:r>
    </w:p>
    <w:p>
      <w:pPr>
        <w:pStyle w:val="Normal"/>
        <w:rPr/>
      </w:pPr>
      <w:r>
        <w:rPr/>
        <w:t xml:space="preserve">● </w:t>
      </w:r>
      <w:r>
        <w:rPr/>
        <w:t xml:space="preserve">minimālā standarta esamība palielinātu vecāku, skolotāju un studentu uzticēšanos viņu izglītības sistēmām, vienlaikus atstājot vietu iniciatīvai un daudzveidībai. </w:t>
      </w:r>
    </w:p>
    <w:p>
      <w:pPr>
        <w:pStyle w:val="Normal"/>
        <w:rPr/>
      </w:pPr>
      <w:r>
        <w:rPr/>
        <w:t xml:space="preserve">Ja mūsu ieteikums tiks īstenots, tas stiprinās un stiprinās kopējo Eiropas identitāti, veicinot kohēziju, vienotību un piederības sajūtu. </w:t>
      </w:r>
    </w:p>
    <w:p>
      <w:pPr>
        <w:pStyle w:val="Normal"/>
        <w:rPr/>
      </w:pPr>
      <w:r>
        <w:rPr/>
        <w:t xml:space="preserve">● </w:t>
      </w:r>
      <w:r>
        <w:rPr/>
        <w:t xml:space="preserve">Šā ieteikuma īstenošana stiprinātu sadarbību un apmaiņu starp skolām visā ES, kas uzlabotu attiecības starp mācībspēkiem un skolēniem un ievērojami atvieglotu apmaiņas programmas. </w:t>
      </w:r>
    </w:p>
    <w:p>
      <w:pPr>
        <w:pStyle w:val="Normal"/>
        <w:rPr/>
      </w:pPr>
      <w:r>
        <w:rPr/>
      </w:r>
    </w:p>
    <w:p>
      <w:pPr>
        <w:pStyle w:val="P68B1DB1Normal15"/>
        <w:rPr>
          <w:b/>
          <w:b/>
        </w:rPr>
      </w:pPr>
      <w:r>
        <w:rPr/>
        <w:t xml:space="preserve">38. Lai atvieglotu un stiprinātu Eiropas pilsoņu spēju efektīvi sazināties, mēs iesakām visās ES dalībvalstīs mācīt angļu valodu saskaņā ar sertificējamu standartu kā galveno mācību priekšmetu pamatskolās visās ES dalībvalstīs. </w:t>
      </w:r>
    </w:p>
    <w:p>
      <w:pPr>
        <w:pStyle w:val="Normal"/>
        <w:rPr/>
      </w:pPr>
      <w:r>
        <w:rPr/>
        <w:t xml:space="preserve"> </w:t>
      </w:r>
    </w:p>
    <w:p>
      <w:pPr>
        <w:pStyle w:val="Normal"/>
        <w:rPr/>
      </w:pPr>
      <w:r>
        <w:rPr/>
        <w:t xml:space="preserve">Mēs sniedzam šo ieteikumu šādu iemeslu dēļ: </w:t>
      </w:r>
    </w:p>
    <w:p>
      <w:pPr>
        <w:pStyle w:val="Normal"/>
        <w:rPr/>
      </w:pPr>
      <w:r>
        <w:rPr/>
        <w:t xml:space="preserve">● </w:t>
      </w:r>
      <w:r>
        <w:rPr/>
        <w:t xml:space="preserve">tas ļautu panākt lielāku vienotību un vienlīdzību, stiprinot pilsoņu spēju savstarpēji sazināties un atbalstīt spēcīgāku kopējo Eiropas identitāti; </w:t>
      </w:r>
    </w:p>
    <w:p>
      <w:pPr>
        <w:pStyle w:val="Normal"/>
        <w:rPr/>
      </w:pPr>
      <w:r>
        <w:rPr/>
        <w:t xml:space="preserve">● </w:t>
      </w:r>
      <w:r>
        <w:rPr/>
        <w:t xml:space="preserve">tas paplašinātu darba tirgu un padarītu to elastīgāku un pieejamāku, dodot iedzīvotājiem pārliecību strādāt un sazināties visās citās dalībvalstīs, kas piedāvā vairāk personisku un profesionālu perspektīvu. </w:t>
      </w:r>
    </w:p>
    <w:p>
      <w:pPr>
        <w:pStyle w:val="Normal"/>
        <w:rPr/>
      </w:pPr>
      <w:r>
        <w:rPr/>
        <w:t xml:space="preserve">● </w:t>
      </w:r>
      <w:r>
        <w:rPr/>
        <w:t xml:space="preserve">šāda pieeja ļautu izplatīt kopīgu Eiropas valodu ļoti īsā laikā; </w:t>
      </w:r>
    </w:p>
    <w:p>
      <w:pPr>
        <w:pStyle w:val="Normal"/>
        <w:rPr/>
      </w:pPr>
      <w:r>
        <w:rPr/>
        <w:t xml:space="preserve">● </w:t>
      </w:r>
      <w:r>
        <w:rPr/>
        <w:t xml:space="preserve">kopīgas valodas izmantošana paātrina informācijas apmaiņu, kas veicinātu sadarbību, kopīgu reaģēšanu krīzes situācijās, humāno palīdzību un tuvināšanos starp Eiropu un eiropiešiem. </w:t>
      </w:r>
    </w:p>
    <w:p>
      <w:pPr>
        <w:pStyle w:val="Normal"/>
        <w:rPr/>
      </w:pPr>
      <w:r>
        <w:rPr/>
      </w:r>
    </w:p>
    <w:p>
      <w:pPr>
        <w:pStyle w:val="Titre3"/>
        <w:numPr>
          <w:ilvl w:val="2"/>
          <w:numId w:val="2"/>
        </w:numPr>
        <w:rPr/>
      </w:pPr>
      <w:bookmarkStart w:id="123" w:name="__RefHeading___Toc297181_1346298689"/>
      <w:bookmarkEnd w:id="123"/>
      <w:r>
        <w:rPr/>
        <w:t xml:space="preserve">Ass ētiska un droša digitālā pārveide </w:t>
      </w:r>
    </w:p>
    <w:p>
      <w:pPr>
        <w:pStyle w:val="Normal"/>
        <w:rPr/>
      </w:pPr>
      <w:r>
        <w:rPr/>
        <w:t xml:space="preserve"> </w:t>
      </w:r>
    </w:p>
    <w:p>
      <w:pPr>
        <w:pStyle w:val="Titre4"/>
        <w:numPr>
          <w:ilvl w:val="3"/>
          <w:numId w:val="2"/>
        </w:numPr>
        <w:rPr/>
      </w:pPr>
      <w:bookmarkStart w:id="124" w:name="__RefHeading___Toc297183_1346298689"/>
      <w:bookmarkEnd w:id="124"/>
      <w:commentRangeStart w:id="3"/>
      <w:r>
        <w:rPr/>
        <w:t xml:space="preserve">Apakšass 5.1. digitālās pārveides demokratizācija/apakšass 5.2. Kiberdrošība </w:t>
      </w:r>
      <w:commentRangeEnd w:id="3"/>
      <w:r>
        <w:commentReference w:id="3"/>
      </w:r>
      <w:r>
        <w:rPr/>
      </w:r>
    </w:p>
    <w:p>
      <w:pPr>
        <w:pStyle w:val="Normal"/>
        <w:rPr/>
      </w:pPr>
      <w:r>
        <w:rPr/>
        <w:t xml:space="preserve"> </w:t>
      </w:r>
    </w:p>
    <w:p>
      <w:pPr>
        <w:pStyle w:val="P68B1DB1Normal15"/>
        <w:rPr>
          <w:b/>
          <w:b/>
        </w:rPr>
      </w:pPr>
      <w:r>
        <w:rPr/>
        <w:t xml:space="preserve">39. Mēs iesakām ES piešķirt lielākas pilnvaras apkarot nelikumīgu saturu un kibernoziedzību. Mēs iesakām stiprināt Eiropola/Eiropas Kibernoziedzības centra spējas, tostarp: </w:t>
      </w:r>
    </w:p>
    <w:p>
      <w:pPr>
        <w:pStyle w:val="P68B1DB1Normal15"/>
        <w:rPr>
          <w:b/>
          <w:b/>
        </w:rPr>
      </w:pPr>
      <w:r>
        <w:rPr/>
        <w:t xml:space="preserve">● </w:t>
      </w:r>
      <w:r>
        <w:rPr/>
        <w:t xml:space="preserve">finanšu resursu un personāla palielināšana </w:t>
      </w:r>
    </w:p>
    <w:p>
      <w:pPr>
        <w:pStyle w:val="P68B1DB1Normal15"/>
        <w:rPr>
          <w:b/>
          <w:b/>
        </w:rPr>
      </w:pPr>
      <w:r>
        <w:rPr/>
        <w:t xml:space="preserve">● </w:t>
      </w:r>
      <w:r>
        <w:rPr/>
        <w:t xml:space="preserve">garantējot līdzīgas sankcijas katrā valstī ● nodrošinot ātru un efektīvu likumības kontroli </w:t>
      </w:r>
    </w:p>
    <w:p>
      <w:pPr>
        <w:pStyle w:val="Normal"/>
        <w:rPr/>
      </w:pPr>
      <w:r>
        <w:rPr/>
        <w:t xml:space="preserve"> </w:t>
      </w:r>
    </w:p>
    <w:p>
      <w:pPr>
        <w:pStyle w:val="Normal"/>
        <w:rPr/>
      </w:pPr>
      <w:r>
        <w:rPr/>
        <w:t xml:space="preserve">Mēs sniedzam šo ieteikumu, lai nodrošinātu brīvību internetā, vienlaikus nodrošinot, ka tiek sodīta diskriminācija, ļaunprātīga izmantošana un uzmākšanās. Mēs atbalstām ideju par Eiropas publisko struktūru, jo mēs nevēlamies tiešsaistes platformu regulējumu atstāt tikai privātiem uzņēmumiem. Tiešsaistes platformām ir jāuzņemas atbildība par izplatīto saturu, bet mēs vēlamies pārliecināties, ka dominē to intereses. Satura regulēšanai un vainīgo saukšanai pie atbildības ir jābūt savlaicīgai un efektīvai, lai tiem būtu arī atturoša ietekme uz ļaunprātīgām personām. </w:t>
      </w:r>
    </w:p>
    <w:p>
      <w:pPr>
        <w:pStyle w:val="Normal"/>
        <w:rPr/>
      </w:pPr>
      <w:r>
        <w:rPr/>
      </w:r>
    </w:p>
    <w:p>
      <w:pPr>
        <w:pStyle w:val="P68B1DB1Normal15"/>
        <w:rPr>
          <w:b/>
          <w:b/>
        </w:rPr>
      </w:pPr>
      <w:r>
        <w:rPr/>
        <w:t xml:space="preserve">40. Mēs iesakām ES ieguldīt inovatīvā un kvalitatīvā digitālajā infrastruktūrā (piemēram, 5G izstrāde Eiropā), lai nodrošinātu Eiropas autonomiju un novērstu atkarību no trešām valstīm vai privātiem uzņēmumiem. ES īpaša uzmanība būtu jāpievērš arī ieguldījumiem atpalikušajos reģionos. </w:t>
      </w:r>
    </w:p>
    <w:p>
      <w:pPr>
        <w:pStyle w:val="Normal"/>
        <w:rPr/>
      </w:pPr>
      <w:r>
        <w:rPr/>
        <w:t xml:space="preserve"> </w:t>
      </w:r>
    </w:p>
    <w:p>
      <w:pPr>
        <w:pStyle w:val="Normal"/>
        <w:rPr/>
      </w:pPr>
      <w:r>
        <w:rPr/>
        <w:t xml:space="preserve">Mēs sniedzam šo ieteikumu, jo digitālajai infrastruktūrai ir būtiska nozīme Eiropas ekonomikā, kā arī eiropiešu ikdienas dzīvē, ko tā veicina. Tāpēc Eiropai ir vajadzīga augstas kvalitātes digitālā infrastruktūra. Ja tas ir atkarīgs no trešām personām, Eiropa var būt neaizsargāta pret negatīvu ietekmi no privātiem uzņēmumiem vai ārvalstīm. Tāpēc Eiropai būtu jāiegulda digitālajā infrastruktūrā, lai uzlabotu savu autonomiju. Ir svarīgi arī nodrošināt digitālo iekļaušanu, nodrošinot, ka mazāk digitāli attīstīti reģioni gūst labumu no ieguldījumiem. </w:t>
      </w:r>
    </w:p>
    <w:p>
      <w:pPr>
        <w:pStyle w:val="Normal"/>
        <w:rPr/>
      </w:pPr>
      <w:r>
        <w:rPr/>
      </w:r>
    </w:p>
    <w:p>
      <w:pPr>
        <w:pStyle w:val="P68B1DB1Normal15"/>
        <w:rPr>
          <w:b/>
          <w:b/>
        </w:rPr>
      </w:pPr>
      <w:r>
        <w:rPr/>
        <w:t xml:space="preserve">41. Mēs iesakām ES veicināt izglītību par viltus ziņām, dezinformāciju un drošību tiešsaistē Eiropas skolās. Tajā būtu jāizmanto labas prakses piemēri no visas ES. ES būtu jāizveido organizācija, kas būtu īpaši atbildīga par šā darba veicināšanu un ieteikumu sniegšanu izglītības sistēmām. Tai būtu arī jāveicina neformālā izglītība, kā arī novatoriskas un radošas mācīšanas metodes (piemēram, līdzdalības spēles). </w:t>
      </w:r>
    </w:p>
    <w:p>
      <w:pPr>
        <w:pStyle w:val="Normal"/>
        <w:rPr/>
      </w:pPr>
      <w:r>
        <w:rPr/>
      </w:r>
    </w:p>
    <w:p>
      <w:pPr>
        <w:pStyle w:val="Normal"/>
        <w:rPr/>
      </w:pPr>
      <w:r>
        <w:rPr/>
        <w:t xml:space="preserve">Mēs sniedzam šo ieteikumu, jo skolā ir svarīgi ieviest kursus par drošību tiešsaistē un digitālās drošības kultūru (cīņa pret krāpniecību tiešsaistē, viltus ziņām utt.), lai ikvienam nodrošinātu rīkus, lai pasargātu sevi no draudiem tiešsaistē. Ir svarīgi vērsties pret jauniešiem, kuri ir ļoti pakļauti šādiem draudiem. Skolas var arī sazināties ar vecākiem, lai popularizētu labu praksi. Šie kursi var balstīties uz labas prakses piemēriem Eiropā (piemēram, Somijā), vienlaikus pielāgojoties katras valsts vajadzībām. </w:t>
      </w:r>
    </w:p>
    <w:p>
      <w:pPr>
        <w:pStyle w:val="Normal"/>
        <w:rPr/>
      </w:pPr>
      <w:r>
        <w:rPr/>
        <w:t xml:space="preserve"> </w:t>
      </w:r>
    </w:p>
    <w:p>
      <w:pPr>
        <w:pStyle w:val="Titre4"/>
        <w:numPr>
          <w:ilvl w:val="3"/>
          <w:numId w:val="2"/>
        </w:numPr>
        <w:rPr/>
      </w:pPr>
      <w:bookmarkStart w:id="125" w:name="__RefHeading___Toc297185_1346298689"/>
      <w:bookmarkEnd w:id="125"/>
      <w:r>
        <w:rPr/>
        <w:t xml:space="preserve">Apakšass 5.3 Datu aizsardzība </w:t>
      </w:r>
    </w:p>
    <w:p>
      <w:pPr>
        <w:pStyle w:val="Normal"/>
        <w:rPr/>
      </w:pPr>
      <w:r>
        <w:rPr/>
        <w:t xml:space="preserve"> </w:t>
      </w:r>
    </w:p>
    <w:p>
      <w:pPr>
        <w:pStyle w:val="P68B1DB1Normal15"/>
        <w:rPr>
          <w:b/>
          <w:b/>
        </w:rPr>
      </w:pPr>
      <w:r>
        <w:rPr/>
        <w:t xml:space="preserve">42. Mēs iesakām vēl vairāk ierobežot datu ļaunprātīgu izmantošanu, ko veic “datu giganti”, palielinot atbilstību VDAR (Vispārīgajai datu aizsardzības regulai), izveidojot standartizētākus mehānismus visā ES un nodrošinot, ka pat trešo valstu uzņēmumi, kas darbojas ES, ievēro šo regulu. Šim uzlabojumam būtu jāsniedz skaidrs un kodolīgs skaidrojums par datu izmantošanas nosacījumiem, lai izvairītos no neskaidrībām un papildu informācijas sniegšanas par to, kā dati tiks izmantoti un kas tos izmantos, un lai izvairītos no piekrišanas datu atkalizmantošanai un tālākpārdošanai, kas ir noklusējuma iespēja. Tai būtu jānodrošina, ka dati tiek pastāvīgi dzēsti pēc pilsoņa pieprasījuma. Tai būtu arī jāuzlabo atbilstības noteikumu ievērošanas uzraudzības konsekvence attiecībā uz personu profilēšanu, pamatojoties uz viņu tiešsaistes darbībām. Mēs ierosinām divu veidu sankcijas: naudas sods, kas ir proporcionāls uzņēmuma apgrozījumam un uzņēmuma darbības ierobežojumiem. </w:t>
      </w:r>
    </w:p>
    <w:p>
      <w:pPr>
        <w:pStyle w:val="Normal"/>
        <w:rPr/>
      </w:pPr>
      <w:r>
        <w:rPr/>
        <w:t xml:space="preserve"> </w:t>
      </w:r>
    </w:p>
    <w:p>
      <w:pPr>
        <w:pStyle w:val="Normal"/>
        <w:rPr/>
      </w:pPr>
      <w:r>
        <w:rPr/>
        <w:t xml:space="preserve">Mēs sniedzam šo ieteikumu, jo pašlaik pārredzamība ir ļoti ierobežota attiecībā uz savākto datu veidu, to apstrādi un to personu identitāti, kurām tie tiek pārdoti. Mums vēl vairāk jāierobežo datu gigantu varas ļaunprātīga izmantošana un jānodrošina, ka iedzīvotāji apzināti piekrīt savu datu apstrādei. </w:t>
      </w:r>
    </w:p>
    <w:p>
      <w:pPr>
        <w:pStyle w:val="Normal"/>
        <w:rPr/>
      </w:pPr>
      <w:r>
        <w:rPr/>
        <w:t xml:space="preserve"> </w:t>
      </w:r>
    </w:p>
    <w:p>
      <w:pPr>
        <w:pStyle w:val="P68B1DB1Normal15"/>
        <w:rPr>
          <w:b/>
          <w:b/>
        </w:rPr>
      </w:pPr>
      <w:r>
        <w:rPr/>
        <w:t xml:space="preserve">43. Mēs iesakām izveidot neatkarīgu Eiropas mēroga aģentūru, kurai būtu skaidri jādefinē uzmācīga rīcība (piemēram, surogātpasts) un jāizstrādā pamatnostādnes par to, kā pilsoņi var iebilst pret savu datu apstrādi un panākt to dzēšanu, jo īpaši no trešām personām. Šai aģentūrai ir jābūt pilnvarām identificēt un sodīt krāpniekus un organizācijas, kas neievēro noteikumus. Tai būtu jākoncentrējas uz to, lai nodrošinātu, ka vienības, kas veic uzņēmējdarbību ārpus ES, bet darbojas tur, ievēro ES noteikumus. To finansētu ES iestādes, un to veidotu neatkarīgu struktūru kopīga padome (t. i., eksperti no akadēmiskajām aprindām un profesionāļiem pārstāvošas struktūras). Tam vajadzētu būt rotējošs praesidium. Mēs ierosinām divu veidu sankcijas: naudas sodu, kas ir proporcionāls uzņēmumu apgrozījumam un uzņēmumu darbības ierobežojumiem. </w:t>
      </w:r>
    </w:p>
    <w:p>
      <w:pPr>
        <w:pStyle w:val="Normal"/>
        <w:rPr/>
      </w:pPr>
      <w:r>
        <w:rPr/>
      </w:r>
    </w:p>
    <w:p>
      <w:pPr>
        <w:pStyle w:val="Normal"/>
        <w:rPr/>
      </w:pPr>
      <w:r>
        <w:rPr/>
        <w:t xml:space="preserve">Mēs sniedzam šo ieteikumu, jo nav centrālas aģentūras ar stingrām pilnvarām, kas var palīdzēt iedzīvotājiem, jo īpaši, ja viņiem ir problēmas un viņiem ir vajadzīga palīdzība, padomi vai atbalsts. Nav skaidru un saistošu noteikumu, kas uzņēmumiem būtu jāievēro. Attiecībā uz sankcijām — tās netiek piemērotas vai tām ir nenozīmīga ietekme uz uzņēmumiem. </w:t>
      </w:r>
    </w:p>
    <w:p>
      <w:pPr>
        <w:pStyle w:val="Normal"/>
        <w:rPr/>
      </w:pPr>
      <w:r>
        <w:rPr/>
        <w:t xml:space="preserve"> </w:t>
      </w:r>
    </w:p>
    <w:p>
      <w:pPr>
        <w:pStyle w:val="P68B1DB1Normal15"/>
        <w:rPr>
          <w:b/>
          <w:b/>
        </w:rPr>
      </w:pPr>
      <w:r>
        <w:rPr/>
        <w:t xml:space="preserve">44. Mēs iesakām izveidot ES sertifikācijas sistēmu, kas pārredzamā veidā apliecinātu atbilstību VDAR (Vispārīgajai datu aizsardzības regulai) un kas nodrošinātu, ka datu aizsardzības informācija tiek sniegta pieejamā, skaidrā un vienkāršā veidā. Šis sertifikāts būtu obligāts un redzams tīmekļa vietnēs un platformās. Tas būtu jāizdod neatkarīgam sertificētājam Eiropas līmenī, kas pastāv vai izveidots šim nolūkam un kas nebūtu saistīts ar valstu valdībām vai privāto sektoru. </w:t>
      </w:r>
    </w:p>
    <w:p>
      <w:pPr>
        <w:pStyle w:val="Normal"/>
        <w:rPr/>
      </w:pPr>
      <w:r>
        <w:rPr/>
        <w:t xml:space="preserve"> </w:t>
      </w:r>
    </w:p>
    <w:p>
      <w:pPr>
        <w:pStyle w:val="Normal"/>
        <w:rPr/>
      </w:pPr>
      <w:r>
        <w:rPr/>
        <w:t xml:space="preserve">Mēs sniedzam šo ieteikumu, jo pašlaik nav pārredzamības par to, kā katrs uzņēmums aizsargā datus, un lietotāji/klienti nevar izdarīt apzinātu izvēli. </w:t>
      </w:r>
    </w:p>
    <w:p>
      <w:pPr>
        <w:pStyle w:val="Normal"/>
        <w:rPr/>
      </w:pPr>
      <w:r>
        <w:rPr/>
      </w:r>
    </w:p>
    <w:p>
      <w:pPr>
        <w:pStyle w:val="P68B1DB1Normal15"/>
        <w:rPr>
          <w:b/>
          <w:b/>
        </w:rPr>
      </w:pPr>
      <w:r>
        <w:rPr/>
        <w:t xml:space="preserve">45. Mēs iesakām labāk izskaidrot VDAR (Vispārīgā datu aizsardzības regula) un uzlabot saziņu par to, izveidojot standarta tekstu par atbilstību, kas izmanto vienkāršu un skaidru, visiem saprotamu valodu. Šim tekstam vajadzētu būt galvenajam vēstījumam un/vai pamatprincipiem. Piekrišanas procedūrai vajadzētu būt vizuālākai (piemēram, pieprasījumam nepārprotami atļaut piekļuvi tālrunim, izmantojot pieteikumu). Tā būtu jāpapildina ar informācijas kampaņu (tostarp televīziju) un sistemātiski obligātiem kursiem (vismaz tiem, kas strādā ar datiem) un konsultācijām par to personu nodomu, kurām vajadzīga palīdzība. </w:t>
      </w:r>
    </w:p>
    <w:p>
      <w:pPr>
        <w:pStyle w:val="Normal"/>
        <w:rPr/>
      </w:pPr>
      <w:r>
        <w:rPr/>
        <w:t xml:space="preserve"> </w:t>
      </w:r>
    </w:p>
    <w:p>
      <w:pPr>
        <w:pStyle w:val="Normal"/>
        <w:rPr/>
      </w:pPr>
      <w:r>
        <w:rPr/>
        <w:t xml:space="preserve">Mēs sniedzam šo ieteikumu, jo pašlaik VDAR formulējums ir pārāk neskaidrs un pārāk tehnisks un informācijas apjoms ir milzīgs un nav pieejams visiem. Komunikācija dažādās valstīs nav līdzīga, un bieži vien tā izslēdz dažādas grupas, galvenokārt vecāka gadagājuma cilvēkus un cilvēkus, kas dzimuši pirms digitālā laikmeta. </w:t>
      </w:r>
    </w:p>
    <w:p>
      <w:pPr>
        <w:pStyle w:val="Normal"/>
        <w:rPr/>
      </w:pPr>
      <w:r>
        <w:rPr/>
      </w:r>
    </w:p>
    <w:p>
      <w:pPr>
        <w:pStyle w:val="Titre4"/>
        <w:numPr>
          <w:ilvl w:val="3"/>
          <w:numId w:val="2"/>
        </w:numPr>
        <w:rPr/>
      </w:pPr>
      <w:bookmarkStart w:id="126" w:name="__RefHeading___Toc297187_1346298689"/>
      <w:bookmarkEnd w:id="126"/>
      <w:r>
        <w:rPr/>
        <w:t xml:space="preserve">Apakšass 5.4 Digitālā transformācija un veselība </w:t>
      </w:r>
    </w:p>
    <w:p>
      <w:pPr>
        <w:pStyle w:val="Normal"/>
        <w:rPr/>
      </w:pPr>
      <w:r>
        <w:rPr/>
        <w:t xml:space="preserve"> </w:t>
      </w:r>
    </w:p>
    <w:p>
      <w:pPr>
        <w:pStyle w:val="P68B1DB1Normal15"/>
        <w:rPr>
          <w:b/>
          <w:b/>
        </w:rPr>
      </w:pPr>
      <w:r>
        <w:rPr/>
        <w:t xml:space="preserve">46. Mēs iesakām ES risināt “viltotas informācijas” problēmu, izmantojot divus līdzekļus: </w:t>
      </w:r>
    </w:p>
    <w:p>
      <w:pPr>
        <w:pStyle w:val="P68B1DB1Normal15"/>
        <w:rPr>
          <w:b/>
          <w:b/>
        </w:rPr>
      </w:pPr>
      <w:r>
        <w:rPr/>
        <w:t xml:space="preserve">● </w:t>
      </w:r>
      <w:r>
        <w:rPr/>
        <w:t xml:space="preserve">tiesību akti, kas ļauj sociālo plašsaziņas līdzekļu uzņēmumiem ieviest mašīnmācīšanās algoritmus, kas var izcelt informācijas ticamību sociālajos plašsaziņas līdzekļos un jaunajos plašsaziņas līdzekļos, nodrošinot lietotājus ar pārbaudītiem informācijas avotiem. Mēs iesakām algoritmus kontrolēt eksperti, lai nodrošinātu to pareizu darbību; </w:t>
      </w:r>
    </w:p>
    <w:p>
      <w:pPr>
        <w:pStyle w:val="P68B1DB1Normal15"/>
        <w:rPr>
          <w:b/>
          <w:b/>
        </w:rPr>
      </w:pPr>
      <w:r>
        <w:rPr/>
        <w:t xml:space="preserve">● </w:t>
      </w:r>
      <w:r>
        <w:rPr/>
        <w:t xml:space="preserve">izveidot digitālu platformu, lai piešķirtu punktu skaitu informācijai no tradicionālajiem plašsaziņas līdzekļiem (piemēram, televīzijas, drukas, radio), neatkarīgi no politiskajām un ekonomiskajām interesēm, un kas informē iedzīvotājus par informācijas kvalitāti, nepiemērojot nekāda veida cenzūru. Šī platforma būtu jāpakļauj publiskai kontrolei un jāievēro visaugstākie pārredzamības standarti, un ES būtu jānodrošina, ka tai piešķirtie līdzekļi tiek izmantoti paredzētajam mērķim. </w:t>
      </w:r>
    </w:p>
    <w:p>
      <w:pPr>
        <w:pStyle w:val="Normal"/>
        <w:rPr/>
      </w:pPr>
      <w:r>
        <w:rPr/>
        <w:t xml:space="preserve"> </w:t>
      </w:r>
    </w:p>
    <w:p>
      <w:pPr>
        <w:pStyle w:val="Normal"/>
        <w:rPr/>
      </w:pPr>
      <w:r>
        <w:rPr/>
        <w:t xml:space="preserve">Mēs sniedzam šo ieteikumu, jo runa ir par dažādiem plašsaziņas līdzekļu veidiem, un mēs uzskatām, ka sankcijas vai satura izņemšana varētu novest pie cenzūras un apdraudēt vārda brīvību un preses brīvību. Mēs iesakām ekspertiem pārbaudīt un kontrolēt algoritma pareizu darbību, lai pārliecinātos, ka tas darbojas pareizi. Visbeidzot, mēs iesakām platformai būt politiskai un neatkarīgai, lai nodrošinātu pārredzamību un vārda brīvību. Turklāt, tā kā nav iespējams pilnībā atbrīvoties no nepatiesas informācijas, šo rīku pieejamība iedzīvotājiem palīdzēs mazināt to ietekmi Eiropā. </w:t>
      </w:r>
    </w:p>
    <w:p>
      <w:pPr>
        <w:pStyle w:val="Normal"/>
        <w:rPr/>
      </w:pPr>
      <w:r>
        <w:rPr/>
        <w:t xml:space="preserve"> </w:t>
      </w:r>
    </w:p>
    <w:p>
      <w:pPr>
        <w:pStyle w:val="P68B1DB1Normal15"/>
        <w:rPr>
          <w:b/>
          <w:b/>
        </w:rPr>
      </w:pPr>
      <w:r>
        <w:rPr/>
        <w:t xml:space="preserve">47. Mēs iesakām ES īstenot dažādas darbības, lai nodrošinātu interneta veselīgu izmantošanu: </w:t>
      </w:r>
    </w:p>
    <w:p>
      <w:pPr>
        <w:pStyle w:val="P68B1DB1Normal15"/>
        <w:rPr>
          <w:b/>
          <w:b/>
        </w:rPr>
      </w:pPr>
      <w:r>
        <w:rPr/>
        <w:t xml:space="preserve">● </w:t>
      </w:r>
      <w:r>
        <w:rPr/>
        <w:t xml:space="preserve">Pirmkārt, ES ir jānovērš infrastruktūras un aprīkojuma trūkums, kas neļauj iedzīvotājiem piekļūt internetam; </w:t>
      </w:r>
    </w:p>
    <w:p>
      <w:pPr>
        <w:pStyle w:val="P68B1DB1Normal15"/>
        <w:rPr>
          <w:b/>
          <w:b/>
        </w:rPr>
      </w:pPr>
      <w:r>
        <w:rPr/>
        <w:t xml:space="preserve">● </w:t>
      </w:r>
      <w:r>
        <w:rPr/>
        <w:t xml:space="preserve">Tālāk mēs iesakām ES mudināt dalībvalstis izvērst apmācību internetā un tās radītos riskus visām vecuma grupām. To varētu panākt, ieviešot kursus skolās bērniem un jauniešiem un izveidojot dažādas mācību programmas un mācību programmas, lai uzrunātu pieaugušos un vecāka gadagājuma iedzīvotājus. Šo kursu saturs Eiropas līmenī būtu jānosaka neatkarīgu ekspertu grupai. </w:t>
      </w:r>
    </w:p>
    <w:p>
      <w:pPr>
        <w:pStyle w:val="P68B1DB1Normal15"/>
        <w:rPr>
          <w:b/>
          <w:b/>
        </w:rPr>
      </w:pPr>
      <w:r>
        <w:rPr/>
        <w:t xml:space="preserve">● </w:t>
      </w:r>
      <w:r>
        <w:rPr/>
        <w:t xml:space="preserve">Visbeidzot, mēs aicinām ES veikt visus nepieciešamos pasākumus, lai nodrošinātu, ka sabiedrības digitalizācija neizslēdz vecāka gadagājuma cilvēkus, un nodrošināt, ka pamatpakalpojumi ir pieejami arī personiski. </w:t>
      </w:r>
    </w:p>
    <w:p>
      <w:pPr>
        <w:pStyle w:val="Normal"/>
        <w:rPr/>
      </w:pPr>
      <w:r>
        <w:rPr/>
      </w:r>
    </w:p>
    <w:p>
      <w:pPr>
        <w:pStyle w:val="P68B1DB1Normal15"/>
        <w:rPr>
          <w:b/>
          <w:b/>
        </w:rPr>
      </w:pPr>
      <w:r>
        <w:rPr/>
        <w:t xml:space="preserve">● </w:t>
      </w:r>
      <w:r>
        <w:rPr/>
        <w:t xml:space="preserve">ES būtu jānodrošina, ka šīm darbībām īpaši piešķirtie līdzekļi tiek izmantoti paredzētajam mērķim. </w:t>
      </w:r>
    </w:p>
    <w:p>
      <w:pPr>
        <w:pStyle w:val="Normal"/>
        <w:rPr/>
      </w:pPr>
      <w:r>
        <w:rPr/>
        <w:t xml:space="preserve"> </w:t>
      </w:r>
    </w:p>
    <w:p>
      <w:pPr>
        <w:pStyle w:val="Normal"/>
        <w:rPr/>
      </w:pPr>
      <w:r>
        <w:rPr/>
        <w:t xml:space="preserve">Mēs sniedzam šo ieteikumu, ņemot vērā infrastruktūras un aprīkojuma (piemēram, ierīču) trūkumu dažās Eiropas vietās un nepieciešamību nodrošināt savienojumu pirms iedzīvotāju izglītošanas, jo mēs zinām, ka dažos reģionos un konkrētiem profiliem piekļuve internetam ir ierobežota. Mēs iesakām organizēt kursus, lai palīdzētu bērniem apgūt digitālās prasmes, nodrošinātu papildu programmas vecāka gadagājuma cilvēku digitalizācijai un veiktu nepieciešamos pasākumus, lai pārliecinātu, ka digitālā pārveide neapdraud vecāka gadagājuma cilvēku tiesības. </w:t>
      </w:r>
    </w:p>
    <w:p>
      <w:pPr>
        <w:pStyle w:val="Normal"/>
        <w:rPr/>
      </w:pPr>
      <w:r>
        <w:rPr/>
      </w:r>
    </w:p>
    <w:p>
      <w:pPr>
        <w:pStyle w:val="P68B1DB1Normal15"/>
        <w:rPr>
          <w:b/>
          <w:b/>
        </w:rPr>
      </w:pPr>
      <w:r>
        <w:rPr/>
        <w:t xml:space="preserve">48. Mēs iesakām ES veicināt pilsoņu izglītošanu katrā dalībvalstī, lai stiprinātu kritisko domāšanu, skepticismu un faktu pārbaudi un mācītu viņiem neatkarīgi novērtēt, vai informācija ir ticama. Šai izglītībai būtu jāietver īpašu kursu organizēšana pamatizglītības līmenī, un tā būtu jāpiedāvā citās sabiedriskās vietās visu vecumu pilsoņiem, kuri vēlas no tās gūt labumu. ES būtu jānodrošina, ka šīm darbībām īpaši piešķirtie līdzekļi tiek izmantoti paredzētajam mērķim. </w:t>
      </w:r>
    </w:p>
    <w:p>
      <w:pPr>
        <w:pStyle w:val="Normal"/>
        <w:rPr/>
      </w:pPr>
      <w:r>
        <w:rPr/>
        <w:t xml:space="preserve"> </w:t>
      </w:r>
    </w:p>
    <w:p>
      <w:pPr>
        <w:pStyle w:val="Normal"/>
        <w:rPr/>
      </w:pPr>
      <w:r>
        <w:rPr/>
        <w:t xml:space="preserve">Mēs sniedzam šo ieteikumu, jo mēs domājam, ka nav iespējams pilnībā atbrīvoties no nepatiesas informācijas. Šī apmācība palīdzēs pilsoņiem tos atpazīt paši. Tā rezultātā tiks samazināta nepatiesas informācijas ietekme uz sabiedrību un pašiem pilsoņiem. Tas arī sniegtu iedzīvotājiem lielākas rīcības iespējas, nevis paļauties uz iestādēm, lai iegūtu ticamu informāciju. </w:t>
      </w:r>
    </w:p>
    <w:p>
      <w:pPr>
        <w:pStyle w:val="Normal"/>
        <w:rPr/>
      </w:pPr>
      <w:r>
        <w:rPr/>
        <w:t xml:space="preserve"> </w:t>
      </w:r>
    </w:p>
    <w:p>
      <w:pPr>
        <w:pStyle w:val="Titre3"/>
        <w:numPr>
          <w:ilvl w:val="2"/>
          <w:numId w:val="2"/>
        </w:numPr>
        <w:rPr/>
      </w:pPr>
      <w:bookmarkStart w:id="127" w:name="__RefHeading___Toc297189_1346298689"/>
      <w:bookmarkEnd w:id="127"/>
      <w:r>
        <w:rPr/>
        <w:t xml:space="preserve">Pielikums: CITI PANEĻDISKUSIJĀ IZSKATĪTIE IETEIKUMI, KAS NETIKA PIEŅEMTI </w:t>
      </w:r>
    </w:p>
    <w:p>
      <w:pPr>
        <w:pStyle w:val="Normal"/>
        <w:rPr/>
      </w:pPr>
      <w:r>
        <w:rPr/>
        <w:t xml:space="preserve"> </w:t>
      </w:r>
    </w:p>
    <w:p>
      <w:pPr>
        <w:pStyle w:val="Titre4"/>
        <w:numPr>
          <w:ilvl w:val="3"/>
          <w:numId w:val="2"/>
        </w:numPr>
        <w:rPr/>
      </w:pPr>
      <w:bookmarkStart w:id="128" w:name="__RefHeading___Toc297191_1346298689"/>
      <w:bookmarkEnd w:id="128"/>
      <w:r>
        <w:rPr/>
        <w:t xml:space="preserve">Ass 3 Taisnīga sabiedrība </w:t>
      </w:r>
    </w:p>
    <w:p>
      <w:pPr>
        <w:pStyle w:val="Normal"/>
        <w:rPr/>
      </w:pPr>
      <w:r>
        <w:rPr/>
        <w:t xml:space="preserve"> </w:t>
      </w:r>
    </w:p>
    <w:p>
      <w:pPr>
        <w:pStyle w:val="Normal"/>
        <w:rPr/>
      </w:pPr>
      <w:r>
        <w:rPr/>
        <w:t xml:space="preserve">Apakšass 3.2. Tiesību vienlīdzība </w:t>
      </w:r>
    </w:p>
    <w:p>
      <w:pPr>
        <w:pStyle w:val="Normal"/>
        <w:rPr/>
      </w:pPr>
      <w:r>
        <w:rPr/>
        <w:t xml:space="preserve"> </w:t>
      </w:r>
    </w:p>
    <w:p>
      <w:pPr>
        <w:pStyle w:val="P68B1DB1Normal15"/>
        <w:rPr>
          <w:b/>
          <w:b/>
        </w:rPr>
      </w:pPr>
      <w:r>
        <w:rPr/>
        <w:t xml:space="preserve">Mēs iesakām ES izveidot mehānismu mazākumtautību tiesību uzraudzībai un ievērošanai (piemēram, portālu vai biroju, kurā cilvēki varētu iesniegt sūdzības). </w:t>
      </w:r>
    </w:p>
    <w:p>
      <w:pPr>
        <w:pStyle w:val="Normal"/>
        <w:rPr/>
      </w:pPr>
      <w:r>
        <w:rPr/>
        <w:t xml:space="preserve"> </w:t>
      </w:r>
    </w:p>
    <w:p>
      <w:pPr>
        <w:pStyle w:val="Normal"/>
        <w:rPr/>
      </w:pPr>
      <w:r>
        <w:rPr/>
        <w:t xml:space="preserve">Mēs sniedzam šo ieteikumu, jo uzskatām, ka katrs indivīds var izteikt savu viedokli un ir tiesīgs meklēt un saņemt palīdzību. Šāds birojs ir nepieciešams, lai mazinātu spriedzi starp minoritātēm un vairākumu. </w:t>
      </w:r>
    </w:p>
    <w:p>
      <w:pPr>
        <w:pStyle w:val="Normal"/>
        <w:rPr/>
      </w:pPr>
      <w:r>
        <w:rPr/>
      </w:r>
    </w:p>
    <w:p>
      <w:pPr>
        <w:pStyle w:val="Normal"/>
        <w:rPr/>
      </w:pPr>
      <w:r>
        <w:rPr/>
        <w:t xml:space="preserve">Apakšass 3.3 Pašu kapitāls/apakšass 3.4 Piekļuve sportam </w:t>
      </w:r>
    </w:p>
    <w:p>
      <w:pPr>
        <w:pStyle w:val="Normal"/>
        <w:rPr/>
      </w:pPr>
      <w:r>
        <w:rPr/>
        <w:t xml:space="preserve"> </w:t>
      </w:r>
    </w:p>
    <w:p>
      <w:pPr>
        <w:pStyle w:val="P68B1DB1Normal15"/>
        <w:rPr>
          <w:b/>
          <w:b/>
        </w:rPr>
      </w:pPr>
      <w:r>
        <w:rPr/>
        <w:t xml:space="preserve">Mēs iesakām ES palielināt informētību par fiziskajām aktivitātēm, izmantojot “lomu modelēšanu”, kurā iesaistītas publiskas personas (tādējādi Parlamenta rīkotajos pasākumos uz dažām sekundēm būtu jāiekļauj kāda veida fiziskās aktivitātes vai pārvietošanās, piemēram, stiepšanās, staigāšana vai lēkšana). </w:t>
      </w:r>
    </w:p>
    <w:p>
      <w:pPr>
        <w:pStyle w:val="Normal"/>
        <w:rPr/>
      </w:pPr>
      <w:r>
        <w:rPr/>
        <w:t xml:space="preserve"> </w:t>
      </w:r>
    </w:p>
    <w:p>
      <w:pPr>
        <w:pStyle w:val="Normal"/>
        <w:rPr/>
      </w:pPr>
      <w:r>
        <w:rPr/>
        <w:t xml:space="preserve">Mēs sniedzam šo ieteikumu, jo publisku personu mobilizēšana fiziskajām aktivitātēm palielinās sabiedrības informētību. </w:t>
      </w:r>
    </w:p>
    <w:p>
      <w:pPr>
        <w:pStyle w:val="Normal"/>
        <w:rPr/>
      </w:pPr>
      <w:r>
        <w:rPr/>
      </w:r>
    </w:p>
    <w:p>
      <w:pPr>
        <w:pStyle w:val="Titre4"/>
        <w:numPr>
          <w:ilvl w:val="3"/>
          <w:numId w:val="2"/>
        </w:numPr>
        <w:rPr/>
      </w:pPr>
      <w:bookmarkStart w:id="129" w:name="__RefHeading___Toc297193_1346298689"/>
      <w:bookmarkEnd w:id="129"/>
      <w:r>
        <w:rPr/>
        <w:t xml:space="preserve">Ass ētiska un droša digitālā pārveide </w:t>
      </w:r>
    </w:p>
    <w:p>
      <w:pPr>
        <w:pStyle w:val="Normal"/>
        <w:rPr/>
      </w:pPr>
      <w:r>
        <w:rPr/>
        <w:t xml:space="preserve"> </w:t>
      </w:r>
    </w:p>
    <w:p>
      <w:pPr>
        <w:pStyle w:val="Normal"/>
        <w:rPr/>
      </w:pPr>
      <w:r>
        <w:rPr/>
        <w:t xml:space="preserve">Apakšass 5.3 Datu aizsardzība </w:t>
      </w:r>
    </w:p>
    <w:p>
      <w:pPr>
        <w:pStyle w:val="Normal"/>
        <w:rPr/>
      </w:pPr>
      <w:r>
        <w:rPr/>
        <w:t xml:space="preserve"> </w:t>
      </w:r>
    </w:p>
    <w:p>
      <w:pPr>
        <w:pStyle w:val="P68B1DB1Normal15"/>
        <w:rPr>
          <w:b/>
          <w:b/>
        </w:rPr>
      </w:pPr>
      <w:r>
        <w:rPr/>
        <w:t xml:space="preserve">Mēs iesakām izveidot tīmekļa ID, kas saglabās personas un sensitīvus datus, bet darīs to pieejamu tikai iestādēm un policijai. Tiešsaistes platformas un pārdevēji izmantos tiešsaistes kodu, kas saistīts ar šo tīmekļa identifikatoru, un datus, kas nepieciešami konkrētai darbībai. Noklusējuma iestatījumam datu kopīgošanai, izmantojot šo identifikatoru, nevajadzētu būt piekrišanai. Dati būtu jāpaziņo tikai tieši iesaistītajām personām, nevis trešai personai. Ja dati tiek paziņoti trešai personai, pilsonim vajadzētu būt iespējai viegli iebilst pret tiem. Datiem vajadzētu būt pieejamiem tikai uz ierobežotu laiku vai par konkrētu darījumu. Atļaujai izmantot datus būtu jābūt ierobežotai laikā vai skaidri jādefinē, ko uzņēmumi var darīt ar šiem datiem. </w:t>
      </w:r>
    </w:p>
    <w:p>
      <w:pPr>
        <w:pStyle w:val="Normal"/>
        <w:rPr/>
      </w:pPr>
      <w:r>
        <w:rPr/>
        <w:t xml:space="preserve"> </w:t>
      </w:r>
    </w:p>
    <w:p>
      <w:pPr>
        <w:pStyle w:val="Normal"/>
        <w:rPr/>
      </w:pPr>
      <w:r>
        <w:rPr/>
        <w:t xml:space="preserve">Mēs sniedzam šo ieteikumu, jo pašlaik uzņēmumi var vākt visus datus, tostarp personas datus un sensitīvus datus, un izmantot tos daudziem mērķiem, neatklājot tieši to, kā un kāpēc. Tātad operatori saņem vairāk informācijas, nekā viņiem faktiski ir nepieciešams, lai sniegtu mums pakalpojumus, un pēc tam var tālākpārdot vai atkārtoti izmantot citus datus bez mūsu piekrišanas. Tajā pašā laikā tas nodrošinās interneta lietotāju pārskatatbildību, vienlaikus saglabājot viņu relatīvo anonimitāti. </w:t>
      </w:r>
      <w:r>
        <w:br w:type="page"/>
      </w:r>
    </w:p>
    <w:p>
      <w:pPr>
        <w:pStyle w:val="Titre2"/>
        <w:numPr>
          <w:ilvl w:val="1"/>
          <w:numId w:val="2"/>
        </w:numPr>
        <w:rPr/>
      </w:pPr>
      <w:bookmarkStart w:id="130" w:name="__RefHeading___Toc297195_1346298689"/>
      <w:bookmarkEnd w:id="130"/>
      <w:r>
        <w:rPr/>
        <w:t xml:space="preserve">Eiropas pilsoņu paneļdiskusija Nr. 2 “Eiropas demokrātija; vērtības un tiesības, tiesiskums, drošība </w:t>
      </w:r>
    </w:p>
    <w:p>
      <w:pPr>
        <w:pStyle w:val="Normal"/>
        <w:rPr/>
      </w:pPr>
      <w:r>
        <w:rPr/>
      </w:r>
    </w:p>
    <w:p>
      <w:pPr>
        <w:pStyle w:val="Normal"/>
        <w:rPr/>
      </w:pPr>
      <w:r>
        <w:rPr/>
        <w:t xml:space="preserve">PANEĻDISKUSIJĀ PIEŅEMTIE IETEIKUMI (JĀIESNIEDZ PLENĀRSĒDEI) </w:t>
      </w:r>
    </w:p>
    <w:p>
      <w:pPr>
        <w:pStyle w:val="Normal"/>
        <w:rPr/>
      </w:pPr>
      <w:r>
        <w:rPr/>
        <w:t xml:space="preserve"> </w:t>
      </w:r>
    </w:p>
    <w:p>
      <w:pPr>
        <w:pStyle w:val="Titre3"/>
        <w:numPr>
          <w:ilvl w:val="2"/>
          <w:numId w:val="2"/>
        </w:numPr>
        <w:rPr/>
      </w:pPr>
      <w:bookmarkStart w:id="131" w:name="__RefHeading___Toc297197_1346298689"/>
      <w:bookmarkEnd w:id="131"/>
      <w:r>
        <w:rPr/>
        <w:t xml:space="preserve">1. ass: Tiesību un nediskriminācijas garantēšana </w:t>
      </w:r>
    </w:p>
    <w:p>
      <w:pPr>
        <w:pStyle w:val="Normal"/>
        <w:rPr/>
      </w:pPr>
      <w:r>
        <w:rPr/>
        <w:t xml:space="preserve"> </w:t>
      </w:r>
    </w:p>
    <w:p>
      <w:pPr>
        <w:pStyle w:val="Titre4"/>
        <w:numPr>
          <w:ilvl w:val="3"/>
          <w:numId w:val="2"/>
        </w:numPr>
        <w:rPr/>
      </w:pPr>
      <w:bookmarkStart w:id="132" w:name="__RefHeading___Toc297199_1346298689"/>
      <w:bookmarkEnd w:id="132"/>
      <w:r>
        <w:rPr/>
        <w:t xml:space="preserve">Apakšass 1.1. Nediskriminācija/apakšass 1.2 Dzimumu līdztiesība </w:t>
      </w:r>
    </w:p>
    <w:p>
      <w:pPr>
        <w:pStyle w:val="Normal"/>
        <w:rPr/>
      </w:pPr>
      <w:r>
        <w:rPr/>
        <w:t xml:space="preserve"> </w:t>
      </w:r>
    </w:p>
    <w:p>
      <w:pPr>
        <w:pStyle w:val="P68B1DB1Normal15"/>
        <w:rPr>
          <w:b/>
          <w:b/>
        </w:rPr>
      </w:pPr>
      <w:r>
        <w:rPr/>
        <w:t xml:space="preserve">1. “Mēs iesakām ES iekļaut kritērijus diskriminācijas apkarošanai darba tirgū (kvotas jauniešiem, vecāka gadagājuma cilvēkiem, sievietēm, minoritātēm). Ja uzņēmumi atbilst šiem kritērijiem, tie saņems subsīdijas vai nodokļu atvieglojumus.” </w:t>
      </w:r>
    </w:p>
    <w:p>
      <w:pPr>
        <w:pStyle w:val="P68B1DB1Normal15"/>
        <w:rPr>
          <w:b/>
          <w:b/>
        </w:rPr>
      </w:pPr>
      <w:r>
        <w:rPr/>
        <w:t xml:space="preserve">Mēs iesakām palielināt darbinieku informētību par šādiem jautājumiem: </w:t>
      </w:r>
    </w:p>
    <w:p>
      <w:pPr>
        <w:pStyle w:val="P68B1DB1Normal15"/>
        <w:rPr>
          <w:b/>
          <w:b/>
        </w:rPr>
      </w:pPr>
      <w:r>
        <w:rPr/>
        <w:t xml:space="preserve">● </w:t>
      </w:r>
      <w:r>
        <w:rPr/>
        <w:t xml:space="preserve">pārvalstiskas un valsts iestādes (piemēram, arodbiedrības); </w:t>
      </w:r>
    </w:p>
    <w:p>
      <w:pPr>
        <w:pStyle w:val="P68B1DB1Normal15"/>
        <w:rPr>
          <w:b/>
          <w:b/>
        </w:rPr>
      </w:pPr>
      <w:r>
        <w:rPr/>
        <w:t xml:space="preserve">● </w:t>
      </w:r>
      <w:r>
        <w:rPr/>
        <w:t xml:space="preserve">mehānismi, lai nodrošinātu, ka uzņēmumi ievēro spēkā esošos noteikumus par nediskrimināciju darbavietā; </w:t>
      </w:r>
    </w:p>
    <w:p>
      <w:pPr>
        <w:pStyle w:val="P68B1DB1Normal15"/>
        <w:rPr>
          <w:b/>
          <w:b/>
        </w:rPr>
      </w:pPr>
      <w:r>
        <w:rPr/>
        <w:t xml:space="preserve">● </w:t>
      </w:r>
      <w:r>
        <w:rPr/>
        <w:t xml:space="preserve">kvalifikācijas programmas sociālajām grupām, kas saskaras ar diskrimināciju darba tirgū (jaunieši, vecāka gadagājuma cilvēki, sievietes, minoritātes). </w:t>
      </w:r>
    </w:p>
    <w:p>
      <w:pPr>
        <w:pStyle w:val="Normal"/>
        <w:rPr/>
      </w:pPr>
      <w:r>
        <w:rPr/>
        <w:t xml:space="preserve"> </w:t>
      </w:r>
    </w:p>
    <w:p>
      <w:pPr>
        <w:pStyle w:val="P68B1DB1Normal15"/>
        <w:rPr>
          <w:b/>
          <w:b/>
        </w:rPr>
      </w:pPr>
      <w:r>
        <w:rPr/>
        <w:t xml:space="preserve">Mēs iesakām ES tiesību aktus pieņemt divos posmos. Pirmkārt, būtu jāparedz subsīdijas, lai pieņemtu darbā noteiktu kategoriju darbiniekus, kas varētu tikt diskriminēti. Otrkārt, tiesību aktā būtu jānosaka, ka darba devējiem šīs grupas ir jānodarbina uz minimālu laikposmu. </w:t>
      </w:r>
    </w:p>
    <w:p>
      <w:pPr>
        <w:pStyle w:val="Normal"/>
        <w:rPr/>
      </w:pPr>
      <w:r>
        <w:rPr/>
        <w:t xml:space="preserve"> </w:t>
      </w:r>
    </w:p>
    <w:p>
      <w:pPr>
        <w:pStyle w:val="Normal"/>
        <w:rPr/>
      </w:pPr>
      <w:r>
        <w:rPr/>
        <w:t xml:space="preserve">ES ir atbildīga par to, lai tiktu saglabāts līdzsvars starp brīvā tirgus interesēm un to neaizsargāto grupu aizsardzību, kuras ir juridiski jāaizsargā. Neviendabīgas grupas ir vēlamas uzņēmumiem, jo tās piedāvā dažādas kvalifikācijas. Subsīdijas ir papildu stimuls, kas jāsniedz uzņēmumiem. </w:t>
      </w:r>
    </w:p>
    <w:p>
      <w:pPr>
        <w:pStyle w:val="Normal"/>
        <w:rPr/>
      </w:pPr>
      <w:r>
        <w:rPr/>
        <w:t xml:space="preserve"> </w:t>
      </w:r>
    </w:p>
    <w:p>
      <w:pPr>
        <w:pStyle w:val="P68B1DB1Normal15"/>
        <w:rPr>
          <w:b/>
          <w:b/>
        </w:rPr>
      </w:pPr>
      <w:r>
        <w:rPr/>
        <w:t xml:space="preserve">2. “Mēs iesakām ES izveidot stimulējošu programmu, kas atvieglotu pieejamu bērnudārzu un rotaļu laukumu izveidi lielos un mazos uzņēmumos. Kopīgi mehānismi ir arī dzīvotspējīgs risinājums, lai mazie uzņēmumi varētu gūt labumu no subsīdijas. </w:t>
      </w:r>
    </w:p>
    <w:p>
      <w:pPr>
        <w:pStyle w:val="P68B1DB1Normal15"/>
        <w:rPr>
          <w:b/>
          <w:b/>
        </w:rPr>
      </w:pPr>
      <w:r>
        <w:rPr/>
        <w:t xml:space="preserve">Mēs iesakām ES noteikt uzņēmumiem pienākumu izveidot bērnudārzus proporcionāli darbinieku skaitam. </w:t>
      </w:r>
    </w:p>
    <w:p>
      <w:pPr>
        <w:pStyle w:val="Normal"/>
        <w:rPr/>
      </w:pPr>
      <w:r>
        <w:rPr/>
        <w:t xml:space="preserve"> </w:t>
      </w:r>
    </w:p>
    <w:p>
      <w:pPr>
        <w:pStyle w:val="Normal"/>
        <w:rPr/>
      </w:pPr>
      <w:r>
        <w:rPr/>
        <w:t xml:space="preserve">Mēs to iesakām, jo ģimenes un darba dzīves saskaņošana uzlabo darba rezultātus, samazina bezdarbu un nostāda vecākus, jo īpaši sievietes, tādā stāvoklī, kas ļauj viņiem turpināt karjeru. Koncentrējoties uz sociālo dimensiju, ierosinātais risinājums nodrošina bērnu drošību un mazina vecāku bažas. </w:t>
      </w:r>
    </w:p>
    <w:p>
      <w:pPr>
        <w:pStyle w:val="Normal"/>
        <w:rPr/>
      </w:pPr>
      <w:r>
        <w:rPr/>
      </w:r>
    </w:p>
    <w:p>
      <w:pPr>
        <w:pStyle w:val="Titre4"/>
        <w:numPr>
          <w:ilvl w:val="3"/>
          <w:numId w:val="2"/>
        </w:numPr>
        <w:rPr/>
      </w:pPr>
      <w:bookmarkStart w:id="133" w:name="__RefHeading___Toc297201_1346298689"/>
      <w:bookmarkEnd w:id="133"/>
      <w:r>
        <w:rPr/>
        <w:t xml:space="preserve">Apakšass 1.3.: Cilvēktiesību, dabas un dzīvnieku tiesību aizsardzība </w:t>
      </w:r>
    </w:p>
    <w:p>
      <w:pPr>
        <w:pStyle w:val="Normal"/>
        <w:rPr/>
      </w:pPr>
      <w:r>
        <w:rPr/>
        <w:t xml:space="preserve"> </w:t>
      </w:r>
    </w:p>
    <w:p>
      <w:pPr>
        <w:pStyle w:val="P68B1DB1Normal15"/>
        <w:rPr>
          <w:b/>
          <w:b/>
        </w:rPr>
      </w:pPr>
      <w:r>
        <w:rPr/>
        <w:t xml:space="preserve">3. “Mēs iesakām saglabāt dzīvnieku labturību un ilgtspēju, grozot Direktīvu 98/58/EK par dzīvnieku aizsardzību saimniecībās. Ir jānosaka sīkāki obligātie kritēriji. Tiem jābūt precīziem, izmērāmiem un ierobežotiem laikā. Obligātie kritēriji jānosaka tā, lai panāktu augstākus dzīvnieku labturības standartus un vienlaikus nodrošinātu pāreju uz ilgtspējīgu klimata, vides un ekoloģisko lauksaimniecību. </w:t>
      </w:r>
    </w:p>
    <w:p>
      <w:pPr>
        <w:pStyle w:val="Normal"/>
        <w:rPr/>
      </w:pPr>
      <w:r>
        <w:rPr/>
        <w:t xml:space="preserve"> </w:t>
      </w:r>
    </w:p>
    <w:p>
      <w:pPr>
        <w:pStyle w:val="Normal"/>
        <w:rPr/>
      </w:pPr>
      <w:r>
        <w:rPr/>
        <w:t xml:space="preserve">Kā pilsoņi mēs uzskatām, ka ir svarīgi, lai ES būtu stingrāki minimālie standarti, kas jāsaskaņo attiecībā uz lopkopību. Mēs apzināmies, ka pāreja varētu radīt problēmas dažās lauksaimniecības nozarēs, kas saņem subsīdijas, un tajās, kurās notiek pāreja uz ekoloģisku un ilgtspējīgu lauksaimniecību. Tomēr mēs uzskatām, ka ir ļoti svarīgi nodrošināt, lai šī pāreja notiktu. </w:t>
      </w:r>
    </w:p>
    <w:p>
      <w:pPr>
        <w:pStyle w:val="Normal"/>
        <w:rPr/>
      </w:pPr>
      <w:r>
        <w:rPr/>
        <w:t xml:space="preserve"> </w:t>
      </w:r>
    </w:p>
    <w:p>
      <w:pPr>
        <w:pStyle w:val="P68B1DB1Normal15"/>
        <w:rPr>
          <w:b/>
          <w:b/>
        </w:rPr>
      </w:pPr>
      <w:r>
        <w:rPr/>
        <w:t xml:space="preserve">4. Mēs iesakām veicināt videi un klimatam draudzīgāku lauksaimniecību Eiropā un visā pasaulē, piemēram, uzliekot nodokļus visām negatīvajām emisijām, pesticīdiem un pārmērīgai ūdens izmantošanai atkarībā no to ietekmes uz vidi. Muitas nodokļiem visiem lauksaimniecības produktiem, ko importē Savienībā, ir jālikvidē konkurences priekšrocības trešām valstīm, kuras neatbilst tiem pašiem standartiem kā Savienība. Lai veicinātu dzīvniekiem draudzīgu lauksaimniecību, iesakām aplikt ar nodokli emisijas, ko rada dzīvnieku pārvadāšana lielos attālumos. </w:t>
      </w:r>
    </w:p>
    <w:p>
      <w:pPr>
        <w:pStyle w:val="Normal"/>
        <w:rPr/>
      </w:pPr>
      <w:r>
        <w:rPr/>
        <w:t xml:space="preserve"> </w:t>
      </w:r>
    </w:p>
    <w:p>
      <w:pPr>
        <w:pStyle w:val="Normal"/>
        <w:rPr/>
      </w:pPr>
      <w:r>
        <w:rPr/>
        <w:t xml:space="preserve">Izveidojot šādu sistēmu, mēs uzskatām, ka ir iespējams atbalstīt pāreju uz klimatam draudzīgu un videi draudzīgu lauksaimniecību. </w:t>
      </w:r>
    </w:p>
    <w:p>
      <w:pPr>
        <w:pStyle w:val="Normal"/>
        <w:rPr/>
      </w:pPr>
      <w:r>
        <w:rPr/>
        <w:t xml:space="preserve"> </w:t>
      </w:r>
    </w:p>
    <w:p>
      <w:pPr>
        <w:pStyle w:val="P68B1DB1Normal15"/>
        <w:rPr>
          <w:b/>
          <w:b/>
        </w:rPr>
      </w:pPr>
      <w:r>
        <w:rPr/>
        <w:t xml:space="preserve">5. Lai gan pēdējā laikā ir izplatījušās daudzas viltus ziņas, mēs iesakām veicināt neatkarīgāku, objektīvāku un līdzsvarotāku atspoguļojumu plašsaziņas līdzekļos, veicot šādus pasākumus: 1. izstrādāt ES direktīvu, ar ko nosaka minimālos standartus plašsaziņas līdzekļu neatkarībai; 2. Savienības līmenī veicināt plašsaziņas līdzekļu prasmju pilnveidi katram pilsonim.” </w:t>
      </w:r>
    </w:p>
    <w:p>
      <w:pPr>
        <w:pStyle w:val="Normal"/>
        <w:rPr/>
      </w:pPr>
      <w:r>
        <w:rPr/>
        <w:t xml:space="preserve"> </w:t>
      </w:r>
    </w:p>
    <w:p>
      <w:pPr>
        <w:pStyle w:val="Normal"/>
        <w:rPr/>
      </w:pPr>
      <w:r>
        <w:rPr/>
        <w:t xml:space="preserve">ES ir jāizstrādā direktīva, lai garantētu plašsaziņas līdzekļu neatkarību un vārda brīvību. </w:t>
      </w:r>
    </w:p>
    <w:p>
      <w:pPr>
        <w:pStyle w:val="Normal"/>
        <w:rPr/>
      </w:pPr>
      <w:r>
        <w:rPr/>
        <w:t xml:space="preserve"> </w:t>
      </w:r>
    </w:p>
    <w:p>
      <w:pPr>
        <w:pStyle w:val="Normal"/>
        <w:rPr/>
      </w:pPr>
      <w:r>
        <w:rPr>
          <w:b/>
        </w:rPr>
        <w:t>6. Mēs iesakām pārtraukt masveida lauksaimnieciskās ražošanas subsidēšanu, ja tā nenovedīs pie pārejas uz klimata, ekoloģisko un ilgtspējīgu lauksaimniecību. Tā vietā mēs iesakām pārvirzīt dotācijas, lai atbalstītu ilgtspējīgu pārkārtošanos.</w:t>
      </w:r>
      <w:r>
        <w:rPr/>
        <w:t xml:space="preserve"> </w:t>
      </w:r>
    </w:p>
    <w:p>
      <w:pPr>
        <w:pStyle w:val="Normal"/>
        <w:rPr/>
      </w:pPr>
      <w:r>
        <w:rPr/>
        <w:t xml:space="preserve"> </w:t>
      </w:r>
    </w:p>
    <w:p>
      <w:pPr>
        <w:pStyle w:val="Normal"/>
        <w:rPr/>
      </w:pPr>
      <w:r>
        <w:rPr/>
        <w:t xml:space="preserve">Tā vietā, lai subsidētu lauksaimniecības nozari masveida lopkopībā, subsīdijas būtu jānovirza saimniecībām, kas ir pārejas posmā, lai izpildītu jaunos minimālos dzīvnieku labturības standartus. </w:t>
      </w:r>
    </w:p>
    <w:p>
      <w:pPr>
        <w:pStyle w:val="Normal"/>
        <w:rPr/>
      </w:pPr>
      <w:r>
        <w:rPr/>
        <w:t xml:space="preserve"> </w:t>
      </w:r>
    </w:p>
    <w:p>
      <w:pPr>
        <w:pStyle w:val="Titre4"/>
        <w:numPr>
          <w:ilvl w:val="3"/>
          <w:numId w:val="2"/>
        </w:numPr>
        <w:rPr/>
      </w:pPr>
      <w:bookmarkStart w:id="134" w:name="__RefHeading___Toc297203_1346298689"/>
      <w:bookmarkEnd w:id="134"/>
      <w:r>
        <w:rPr/>
        <w:t xml:space="preserve">Apakšass 1.4 Tiesības uz privātumu </w:t>
      </w:r>
    </w:p>
    <w:p>
      <w:pPr>
        <w:pStyle w:val="Normal"/>
        <w:rPr/>
      </w:pPr>
      <w:r>
        <w:rPr/>
        <w:t xml:space="preserve"> </w:t>
      </w:r>
    </w:p>
    <w:p>
      <w:pPr>
        <w:pStyle w:val="P68B1DB1Normal15"/>
        <w:rPr>
          <w:b/>
          <w:b/>
        </w:rPr>
      </w:pPr>
      <w:r>
        <w:rPr/>
        <w:t xml:space="preserve">7. “Mēs iesakām struktūrām, kas apstrādā personas datus, piešķirt atļauju ES līmenī. Šīm struktūrām būs jāveic arī neatkarīga, ārēja ikgadēja revīzija par datu aizsardzību. Šīs struktūras tiks sodītas par datu aizsardzības pārkāpumiem proporcionāli to gada apgrozījumam stingrāk nekā saskaņā ar pašreizējo regulu. Apstiprinājums jāatsauc pēc diviem secīgiem pārkāpumiem un tūlīt pēc nopietna pārkāpuma. </w:t>
      </w:r>
    </w:p>
    <w:p>
      <w:pPr>
        <w:pStyle w:val="Normal"/>
        <w:rPr/>
      </w:pPr>
      <w:r>
        <w:rPr/>
        <w:t xml:space="preserve"> </w:t>
      </w:r>
    </w:p>
    <w:p>
      <w:pPr>
        <w:pStyle w:val="Normal"/>
        <w:rPr/>
      </w:pPr>
      <w:r>
        <w:rPr/>
        <w:t xml:space="preserve">Mēs iesakām šādus pasākumus, jo pašreizējais regulējums (VDAR) nav pietiekams un vienības ir labāk jākontrolē un jāsoda, lai nodrošinātu, ka tās nepārkāpj datu aizsardzību un tiesības uz privātumu. </w:t>
      </w:r>
    </w:p>
    <w:p>
      <w:pPr>
        <w:pStyle w:val="Normal"/>
        <w:rPr/>
      </w:pPr>
      <w:r>
        <w:rPr/>
        <w:t xml:space="preserve"> </w:t>
      </w:r>
    </w:p>
    <w:p>
      <w:pPr>
        <w:pStyle w:val="P68B1DB1Normal15"/>
        <w:rPr>
          <w:b/>
          <w:b/>
        </w:rPr>
      </w:pPr>
      <w:r>
        <w:rPr/>
        <w:t xml:space="preserve">8. “Mēs iesakām stiprināt Savienības kompetenci šādās jomās: 1) izglītošana par datu aizsardzību, 2) izpratne par datu aizsardzību un 3) nepilngadīgo personas datu aizsardzība. Mēs iesakām precizēt un stiprināt noteikumus par nepilngadīgo datu apstrādi VDAR, tostarp noteikumus par piekrišanu, vecuma pārbaudi un kontroli, ko veic likumīgie aizbildņi. Mēs arī iesakām VDAR ieviest īpašu kategoriju sensitīviem nepilngadīgo datiem (piemēram, sodāmības reģistrs, informācija par veselību, kailums), lai nepilngadīgie tiktu aizsargāti pret jebkāda veida ļaunprātīgu izmantošanu un diskrimināciju. </w:t>
      </w:r>
    </w:p>
    <w:p>
      <w:pPr>
        <w:pStyle w:val="Normal"/>
        <w:rPr/>
      </w:pPr>
      <w:r>
        <w:rPr/>
        <w:t xml:space="preserve"> </w:t>
      </w:r>
    </w:p>
    <w:p>
      <w:pPr>
        <w:pStyle w:val="Normal"/>
        <w:rPr/>
      </w:pPr>
      <w:r>
        <w:rPr/>
        <w:t xml:space="preserve">Šis ieteikums ir nepieciešams, jo nepilngadīgie ir īpaši neaizsargāti pret datu aizsardzības un privātuma pārkāpumiem un ka pašlaik iedzīvotāji (jo īpaši nepilngadīgie, skolotāji un likumīgie aizbildņi) nav pietiekami informēti par datu aizsardzību. Viņiem visiem ir jāiemācās izmantot tiešsaistes un bezsaistes datu pakalpojumus un aizsargāt bērnu tiesības uz privātumu. Turklāt likumīgie aizbildņi bieži vien var piekrist bērnu datu apstrādei, pilnībā nezinot vai neinformējot, un bērni var viltot vecāku piekrišanu. Visbeidzot, šis ieteikums ir nepieciešams, jo nav reālas ES mēroga izpratnes veicināšanas kampaņas par datu aizsardzību, jo īpaši attiecībā uz nepilngadīgajiem, likumīgajiem aizbildņiem un skolotājiem, lai gan šāda kampaņa ir neaizstājama. </w:t>
      </w:r>
    </w:p>
    <w:p>
      <w:pPr>
        <w:pStyle w:val="Normal"/>
        <w:rPr/>
      </w:pPr>
      <w:r>
        <w:rPr/>
      </w:r>
    </w:p>
    <w:p>
      <w:pPr>
        <w:pStyle w:val="P68B1DB1Normal15"/>
        <w:rPr>
          <w:b/>
          <w:b/>
        </w:rPr>
      </w:pPr>
      <w:r>
        <w:rPr/>
        <w:t xml:space="preserve">9. Mēs iesakām ieviest standartizētas privātuma politikas un viegli saprotamas, kodolīgas un intuitīvas piekrišanas veidlapas, kas skaidri norāda, kāda datu apstrāde ir absolūti nepieciešama un kas ir fakultatīvs. Mēs iesakām piekrišanas atsaukšanai būt vienkāršai, ātrai un pastāvīgai. Mēs iesakām aizliegt uzņēmumiem ierobežot savus pakalpojumus vairāk nekā nepieciešams, ja nav dota piekrišana fakultatīvai datu apstrādei. </w:t>
      </w:r>
    </w:p>
    <w:p>
      <w:pPr>
        <w:pStyle w:val="Normal"/>
        <w:rPr/>
      </w:pPr>
      <w:r>
        <w:rPr/>
        <w:t xml:space="preserve"> </w:t>
      </w:r>
    </w:p>
    <w:p>
      <w:pPr>
        <w:pStyle w:val="Normal"/>
        <w:rPr/>
      </w:pPr>
      <w:r>
        <w:rPr/>
        <w:t xml:space="preserve">Mēs to iesakām, jo pašreizējie ES noteikumi nav pietiekami precīzi, piekrišanas atsaukšana ir ilga, īslaicīga un sarežģīta, un struktūras nav ieinteresētas piedāvāt savus pakalpojumus iedzīvotājiem, kuri izmanto savas tiesības uz datu aizsardzību. </w:t>
      </w:r>
    </w:p>
    <w:p>
      <w:pPr>
        <w:pStyle w:val="Normal"/>
        <w:rPr/>
      </w:pPr>
      <w:r>
        <w:rPr/>
        <w:t xml:space="preserve"> </w:t>
      </w:r>
    </w:p>
    <w:p>
      <w:pPr>
        <w:pStyle w:val="Titre3"/>
        <w:numPr>
          <w:ilvl w:val="2"/>
          <w:numId w:val="2"/>
        </w:numPr>
        <w:rPr/>
      </w:pPr>
      <w:bookmarkStart w:id="135" w:name="__RefHeading___Toc297205_1346298689"/>
      <w:bookmarkEnd w:id="135"/>
      <w:r>
        <w:rPr/>
        <w:t xml:space="preserve">Ass Nr. 2: Demokrātijas un tiesiskuma aizsardzība </w:t>
      </w:r>
    </w:p>
    <w:p>
      <w:pPr>
        <w:pStyle w:val="Normal"/>
        <w:rPr/>
      </w:pPr>
      <w:r>
        <w:rPr/>
        <w:t xml:space="preserve"> </w:t>
      </w:r>
    </w:p>
    <w:p>
      <w:pPr>
        <w:pStyle w:val="Titre4"/>
        <w:numPr>
          <w:ilvl w:val="3"/>
          <w:numId w:val="2"/>
        </w:numPr>
        <w:rPr/>
      </w:pPr>
      <w:bookmarkStart w:id="136" w:name="__RefHeading___Toc297207_1346298689"/>
      <w:bookmarkEnd w:id="136"/>
      <w:r>
        <w:rPr/>
        <w:t xml:space="preserve">Apakšasis 2.1. Tiesiskuma aizsardzība </w:t>
      </w:r>
    </w:p>
    <w:p>
      <w:pPr>
        <w:pStyle w:val="Normal"/>
        <w:rPr/>
      </w:pPr>
      <w:r>
        <w:rPr/>
        <w:t xml:space="preserve"> </w:t>
      </w:r>
    </w:p>
    <w:p>
      <w:pPr>
        <w:pStyle w:val="P68B1DB1Normal15"/>
        <w:rPr>
          <w:b/>
          <w:b/>
        </w:rPr>
      </w:pPr>
      <w:r>
        <w:rPr/>
        <w:t xml:space="preserve">10. “Mēs iesakām grozīt Savstarpējās atbilstības regulu (2020/2092, kas pieņemta 2020. gada 16. decembrī), lai to piemērotu visiem tiesiskuma pārkāpumiem, nevis pārkāpumiem, kas ietekmē ES budžetu.” </w:t>
      </w:r>
    </w:p>
    <w:p>
      <w:pPr>
        <w:pStyle w:val="Normal"/>
        <w:rPr/>
      </w:pPr>
      <w:r>
        <w:rPr/>
        <w:t xml:space="preserve"> </w:t>
      </w:r>
    </w:p>
    <w:p>
      <w:pPr>
        <w:pStyle w:val="Normal"/>
        <w:rPr/>
      </w:pPr>
      <w:r>
        <w:rPr/>
        <w:t xml:space="preserve">Savstarpējās atbilstības regula ļauj apturēt ES līdzekļu izmaksu dalībvalstīm, kuras pārkāpj tiesiskumu. Tomēr pašreizējā redakcijā tā attiecas tikai uz pārkāpumiem, kas ietekmē vai varētu ietekmēt ES budžetu. Turklāt pašreizējais savstarpējās atbilstības regulas formulējums aizsargā ES budžetu un ES iestādes, nevis attiecīgo dalībvalstu pilsoņus. Tāpēc mēs iesakām grozīt pašreizējo regulas tekstu, lai aptvertu visus tiesiskuma pārkāpumus. </w:t>
      </w:r>
    </w:p>
    <w:p>
      <w:pPr>
        <w:pStyle w:val="Normal"/>
        <w:rPr/>
      </w:pPr>
      <w:r>
        <w:rPr/>
        <w:t xml:space="preserve"> </w:t>
      </w:r>
    </w:p>
    <w:p>
      <w:pPr>
        <w:pStyle w:val="P68B1DB1Normal15"/>
        <w:rPr>
          <w:b/>
          <w:b/>
        </w:rPr>
      </w:pPr>
      <w:r>
        <w:rPr/>
        <w:t xml:space="preserve">11. “Mēs iesakām ES organizēt ikgadējas konferences par tiesiskumu pēc ikgadējā ziņojuma par tiesiskumu publicēšanas (Komisijas mehānisms tiesiskuma ievērošanas uzraudzībai dalībvalstīs). Dalībvalstīm vajadzētu būt pienākumam uz konferenci nosūtīt dažādas valsts sociālās jomas delegācijas, tostarp gan pilsoņus, gan ierēdņus.” </w:t>
      </w:r>
    </w:p>
    <w:p>
      <w:pPr>
        <w:pStyle w:val="Normal"/>
        <w:rPr/>
      </w:pPr>
      <w:r>
        <w:rPr/>
        <w:t xml:space="preserve"> </w:t>
      </w:r>
    </w:p>
    <w:p>
      <w:pPr>
        <w:pStyle w:val="Normal"/>
        <w:rPr/>
      </w:pPr>
      <w:r>
        <w:rPr/>
        <w:t xml:space="preserve">Šī konference veicinātu dialogu starp ES pilsoņiem par tiesiskuma jautājumiem, kā arī dialogu starp pilsoņiem un ekspertiem, kas sagatavo ikgadējos ziņojumus par tiesiskumu. Mēs uzskatām, ka savstarpējas atzīšanas un apmaiņas gaisotnē dalībnieki varēs atgriezties savās izcelsmes valstīs ar paraugpraksi un idejām. Turklāt konference palielinātu informētību un izpratni par tiesiskuma principu un secinājumiem un procesu, kas ir ikgadējā ziņojuma par tiesiskumu pamatā. Tas arī piesaistītu plašsaziņas līdzekļu uzmanību un ļautu iedzīvotājiem dalīties pieredzē un salīdzināt to ar ziņojuma konstatējumiem. </w:t>
      </w:r>
    </w:p>
    <w:p>
      <w:pPr>
        <w:pStyle w:val="Normal"/>
        <w:rPr/>
      </w:pPr>
      <w:r>
        <w:rPr/>
      </w:r>
    </w:p>
    <w:p>
      <w:pPr>
        <w:pStyle w:val="Titre4"/>
        <w:numPr>
          <w:ilvl w:val="3"/>
          <w:numId w:val="2"/>
        </w:numPr>
        <w:rPr/>
      </w:pPr>
      <w:bookmarkStart w:id="137" w:name="__RefHeading___Toc297209_1346298689"/>
      <w:bookmarkEnd w:id="137"/>
      <w:r>
        <w:rPr/>
        <w:t xml:space="preserve">Apakšass 2.2. Demokrātijas aizsardzība un stiprināšana/apakšass 2.4. Plašsaziņas līdzekļi un dezinformācija </w:t>
      </w:r>
    </w:p>
    <w:p>
      <w:pPr>
        <w:pStyle w:val="Normal"/>
        <w:rPr/>
      </w:pPr>
      <w:r>
        <w:rPr/>
        <w:t xml:space="preserve"> </w:t>
      </w:r>
    </w:p>
    <w:p>
      <w:pPr>
        <w:pStyle w:val="P68B1DB1Normal15"/>
        <w:rPr>
          <w:b/>
          <w:b/>
        </w:rPr>
      </w:pPr>
      <w:r>
        <w:rPr/>
        <w:t xml:space="preserve">12. “Mēs iesakām ES stingrāk piemērot savus konkurences noteikumus plašsaziņas līdzekļu nozarē, lai nodrošinātu plašsaziņas līdzekļu plurālisma aizsardzību visās dalībvalstīs. ES būtu jānovērš lieli plašsaziņas līdzekļu monopoli un politiska iecelšana plašsaziņas līdzekļu padomēs. Mēs arī iesakām turpmākajos ES tiesību aktos par plašsaziņas līdzekļu brīvību iekļaut noteikumus, lai nepieļautu, ka politiķiem pieder viņu saturs vai viņiem ir spēcīga ietekme uz to. </w:t>
      </w:r>
    </w:p>
    <w:p>
      <w:pPr>
        <w:pStyle w:val="Normal"/>
        <w:rPr/>
      </w:pPr>
      <w:r>
        <w:rPr/>
        <w:t xml:space="preserve"> </w:t>
      </w:r>
    </w:p>
    <w:p>
      <w:pPr>
        <w:pStyle w:val="Normal"/>
        <w:rPr/>
      </w:pPr>
      <w:r>
        <w:rPr/>
        <w:t xml:space="preserve">Mēs to iesakām, jo ES konkurences noteikumu piemērošana veicina plurālistisku plašsaziņas līdzekļu vidi, kurā pilsoņiem ir izvēle. Tā kā Komisija pašlaik gatavo tiesību aktu (par plašsaziņas līdzekļu brīvību) par ES plašsaziņas līdzekļu tirgus integritāti, būtu arī jāparedz, ka politiķi nedrīkst turēt plašsaziņas līdzekļus vai tos ietekmēt. </w:t>
      </w:r>
    </w:p>
    <w:p>
      <w:pPr>
        <w:pStyle w:val="Normal"/>
        <w:rPr/>
      </w:pPr>
      <w:r>
        <w:rPr/>
        <w:t xml:space="preserve"> </w:t>
      </w:r>
    </w:p>
    <w:p>
      <w:pPr>
        <w:pStyle w:val="Titre4"/>
        <w:numPr>
          <w:ilvl w:val="3"/>
          <w:numId w:val="2"/>
        </w:numPr>
        <w:rPr/>
      </w:pPr>
      <w:bookmarkStart w:id="138" w:name="__RefHeading___Toc297211_1346298689"/>
      <w:bookmarkEnd w:id="138"/>
      <w:r>
        <w:rPr/>
        <w:t xml:space="preserve">Apakšass 2.3 Drošība </w:t>
      </w:r>
    </w:p>
    <w:p>
      <w:pPr>
        <w:pStyle w:val="Normal"/>
        <w:rPr/>
      </w:pPr>
      <w:r>
        <w:rPr/>
        <w:t xml:space="preserve"> </w:t>
      </w:r>
    </w:p>
    <w:p>
      <w:pPr>
        <w:pStyle w:val="P68B1DB1Normal15"/>
        <w:rPr>
          <w:b/>
          <w:b/>
        </w:rPr>
      </w:pPr>
      <w:r>
        <w:rPr/>
        <w:t xml:space="preserve">13. “Mēs iesakām ES iestādēm, tostarp nacionālajiem kiberdrošības centriem un Eiropas Savienības Kiberdrošības aģentūrai (ENISA), uzņemties lielāku lomu ar visiem to rīcībā esošajiem instrumentiem, lai aizsargātu iedzīvotājus, organizācijas un iestādes no jauniem draudiem, ko rada kiberdrošības pārkāpumi un mākslīgā intelekta izmantošana noziedzīgiem mērķiem. Mēs arī iesakām visās dalībvalstīs pienācīgi īstenot un izplatīt Eiropas un tās aģentūru direktīvas.” </w:t>
      </w:r>
    </w:p>
    <w:p>
      <w:pPr>
        <w:pStyle w:val="Normal"/>
        <w:rPr/>
      </w:pPr>
      <w:r>
        <w:rPr/>
        <w:t xml:space="preserve"> </w:t>
      </w:r>
    </w:p>
    <w:p>
      <w:pPr>
        <w:pStyle w:val="Normal"/>
        <w:rPr/>
      </w:pPr>
      <w:r>
        <w:rPr/>
        <w:t xml:space="preserve">Mēs to iesakām, jo pilsoņi jūtas bezspēcīgi un nezina, ko Eiropas Savienība dara, lai cīnītos pret šiem draudiem. Mēs to iesakām, jo šie draudi ir nopietna valsts un Eiropas drošības problēma. Mēs to iesakām, jo Eiropai vajadzētu būt patiesam inovācijas virzītājspēkam šajā jomā. </w:t>
      </w:r>
    </w:p>
    <w:p>
      <w:pPr>
        <w:pStyle w:val="Normal"/>
        <w:rPr/>
      </w:pPr>
      <w:r>
        <w:rPr/>
        <w:t xml:space="preserve"> </w:t>
      </w:r>
    </w:p>
    <w:p>
      <w:pPr>
        <w:pStyle w:val="P68B1DB1Normal15"/>
        <w:rPr>
          <w:b/>
          <w:b/>
        </w:rPr>
      </w:pPr>
      <w:r>
        <w:rPr/>
        <w:t xml:space="preserve">14. “Mēs iesakām Savienībai attiecībās ar ārējām valstīm vispirms stiprināt kopīgās demokrātiskās vērtības pie savām robežām. Tikai pēc šā mērķa sasniegšanas mēs iesakām Savienībai kļūt par mūsu demokrātiskā modeļa vēstnieci valstīs, kuras vēlas piemērot šo modeli un ir gatavas to darīt ar diplomātijas un dialoga palīdzību. </w:t>
      </w:r>
    </w:p>
    <w:p>
      <w:pPr>
        <w:pStyle w:val="Normal"/>
        <w:rPr/>
      </w:pPr>
      <w:r>
        <w:rPr/>
        <w:t xml:space="preserve"> </w:t>
      </w:r>
    </w:p>
    <w:p>
      <w:pPr>
        <w:pStyle w:val="Normal"/>
        <w:rPr/>
      </w:pPr>
      <w:r>
        <w:rPr/>
        <w:t xml:space="preserve">Mēs iesakām šo pasākumu, jo mums ir jāskatās uz iekšu, pirms skatāmies uz āru. Jo Eiropa var un tai jāpalīdz dalībvalstīm stiprināt demokrātiju. Tāpēc, ka mēs sevi aizsargājam arī, rādot piemēru un atbalstot ārējo valstu centienus demokrātijas jomā. </w:t>
      </w:r>
    </w:p>
    <w:p>
      <w:pPr>
        <w:pStyle w:val="Normal"/>
        <w:rPr/>
      </w:pPr>
      <w:r>
        <w:rPr/>
        <w:t xml:space="preserve"> </w:t>
      </w:r>
    </w:p>
    <w:p>
      <w:pPr>
        <w:pStyle w:val="Titre3"/>
        <w:numPr>
          <w:ilvl w:val="2"/>
          <w:numId w:val="2"/>
        </w:numPr>
        <w:rPr/>
      </w:pPr>
      <w:bookmarkStart w:id="139" w:name="__RefHeading___Toc297213_1346298689"/>
      <w:bookmarkEnd w:id="139"/>
      <w:r>
        <w:rPr/>
        <w:t xml:space="preserve">Ass Nr. 3: Eiropas Savienības reforma </w:t>
      </w:r>
    </w:p>
    <w:p>
      <w:pPr>
        <w:pStyle w:val="Normal"/>
        <w:rPr/>
      </w:pPr>
      <w:r>
        <w:rPr/>
        <w:t xml:space="preserve"> </w:t>
      </w:r>
    </w:p>
    <w:p>
      <w:pPr>
        <w:pStyle w:val="Titre4"/>
        <w:numPr>
          <w:ilvl w:val="3"/>
          <w:numId w:val="2"/>
        </w:numPr>
        <w:rPr/>
      </w:pPr>
      <w:bookmarkStart w:id="140" w:name="__RefHeading___Toc297215_1346298689"/>
      <w:bookmarkEnd w:id="140"/>
      <w:r>
        <w:rPr/>
        <w:t>Apakšass institucionālā reforma</w:t>
      </w:r>
    </w:p>
    <w:p>
      <w:pPr>
        <w:pStyle w:val="Normal"/>
        <w:rPr/>
      </w:pPr>
      <w:r>
        <w:rPr/>
        <w:t xml:space="preserve"> </w:t>
      </w:r>
    </w:p>
    <w:p>
      <w:pPr>
        <w:pStyle w:val="Normal"/>
        <w:rPr/>
      </w:pPr>
      <w:r>
        <w:rPr>
          <w:b/>
        </w:rPr>
        <w:t>15. “Mēs iesakām mainīt ES iestāžu nosaukumus, lai precizētu to funkcijas. Piemēram, Eiropas Savienības Padomi varētu saukt par Eiropas Savienības Senātu. Eiropas Komisiju varētu saukt par Eiropas Savienības izpildkomiteju</w:t>
      </w:r>
      <w:r>
        <w:rPr/>
        <w:t xml:space="preserve">. </w:t>
      </w:r>
    </w:p>
    <w:p>
      <w:pPr>
        <w:pStyle w:val="Normal"/>
        <w:rPr/>
      </w:pPr>
      <w:r>
        <w:rPr/>
        <w:t xml:space="preserve"> </w:t>
      </w:r>
    </w:p>
    <w:p>
      <w:pPr>
        <w:pStyle w:val="Normal"/>
        <w:rPr/>
      </w:pPr>
      <w:r>
        <w:rPr/>
        <w:t xml:space="preserve">Mēs to iesakām, jo pašlaik iedzīvotājiem ir grūti saprast katras ES iestādes lomu un funkcijas. Viņu vārdi neatspoguļo viņu funkcijas. Nevar gaidīt, ka pilsoņi nošķirs Eiropas Savienības Padomi, Eiropadomi un Eiropas Padomi. Ir svarīgi izvairīties no pārklāšanās. </w:t>
      </w:r>
    </w:p>
    <w:p>
      <w:pPr>
        <w:pStyle w:val="Normal"/>
        <w:rPr/>
      </w:pPr>
      <w:r>
        <w:rPr/>
        <w:t xml:space="preserve"> </w:t>
      </w:r>
    </w:p>
    <w:p>
      <w:pPr>
        <w:pStyle w:val="P68B1DB1Normal15"/>
        <w:rPr>
          <w:b/>
          <w:b/>
        </w:rPr>
      </w:pPr>
      <w:r>
        <w:rPr/>
        <w:t xml:space="preserve">16. Mēs iesakām pieņemt Eiropas Parlamenta vēlēšanu likumu, kas saskaņo vēlēšanu nosacījumus (vēlēšanas vecums, vēlēšanu datums, prasības attiecībā uz vēlēšanu apgabaliem, kandidātiem, politiskajām partijām un to finansēšanu). Eiropas pilsoņiem vajadzētu būt tiesībām balsot par dažādām partijām ES līmenī, no kurām katrā ir kandidāti no vairākām dalībvalstīm. Pietiekami ilgā pārejas periodā pilsoņi joprojām varēja balsot par valsts un starptautiskām partijām. </w:t>
      </w:r>
    </w:p>
    <w:p>
      <w:pPr>
        <w:pStyle w:val="Normal"/>
        <w:rPr/>
      </w:pPr>
      <w:r>
        <w:rPr/>
        <w:t xml:space="preserve"> </w:t>
      </w:r>
    </w:p>
    <w:p>
      <w:pPr>
        <w:pStyle w:val="Normal"/>
        <w:rPr/>
      </w:pPr>
      <w:r>
        <w:rPr/>
        <w:t xml:space="preserve">Mēs to iesakām, jo Eiropas Savienībai ir jāattīsta vienotība, kas varētu rasties patiesi vienotās Eiropas Parlamenta vēlēšanās. Šīs kopīgās vēlēšanas ļaus stiprināt Eiropas Parlamenta deputātus un koncentrēt vēlēšanu kampaņu uz kopīgām Eiropas tēmām. </w:t>
      </w:r>
    </w:p>
    <w:p>
      <w:pPr>
        <w:pStyle w:val="Normal"/>
        <w:rPr/>
      </w:pPr>
      <w:r>
        <w:rPr/>
        <w:t xml:space="preserve"> </w:t>
      </w:r>
    </w:p>
    <w:p>
      <w:pPr>
        <w:pStyle w:val="Titre4"/>
        <w:numPr>
          <w:ilvl w:val="3"/>
          <w:numId w:val="2"/>
        </w:numPr>
        <w:rPr/>
      </w:pPr>
      <w:bookmarkStart w:id="141" w:name="__RefHeading___Toc297217_1346298689"/>
      <w:bookmarkEnd w:id="141"/>
      <w:r>
        <w:rPr/>
        <w:t xml:space="preserve">Apakšass lēmumpieņemšana </w:t>
      </w:r>
    </w:p>
    <w:p>
      <w:pPr>
        <w:pStyle w:val="Normal"/>
        <w:rPr/>
      </w:pPr>
      <w:r>
        <w:rPr/>
        <w:t xml:space="preserve"> </w:t>
      </w:r>
    </w:p>
    <w:p>
      <w:pPr>
        <w:pStyle w:val="P68B1DB1Normal15"/>
        <w:rPr>
          <w:b/>
          <w:b/>
        </w:rPr>
      </w:pPr>
      <w:r>
        <w:rPr/>
        <w:t xml:space="preserve">17. Mēs iesakām izveidot tiešsaistes platformu, kurā iedzīvotāji var atrast un pieprasīt faktiski pārbaudītu informāciju. Platformai jābūt skaidri saistītai ar ES iestādēm, tai jābūt tematiski strukturētai un viegli pieejamai (piemēram, nodrošinot uzticības tālruni). Iedzīvotājiem vajadzētu būt iespējai uzdot kritiskus jautājumus ekspertiem (piemēram, akadēmiķiem, žurnālistiem) un saņemt faktiskas atbildes no avotiem. </w:t>
      </w:r>
    </w:p>
    <w:p>
      <w:pPr>
        <w:pStyle w:val="Normal"/>
        <w:rPr/>
      </w:pPr>
      <w:r>
        <w:rPr/>
        <w:t xml:space="preserve"> </w:t>
      </w:r>
    </w:p>
    <w:p>
      <w:pPr>
        <w:pStyle w:val="Normal"/>
        <w:rPr/>
      </w:pPr>
      <w:r>
        <w:rPr/>
        <w:t xml:space="preserve">Brīva piekļuve faktu informācijai ir ārkārtīgi svarīga mūsu sabiedrībai, lai iedzīvotāji būtu labi informēti un aizsargāti pret viltus ziņām un dezinformāciju. Mums ir vajadzīgs uzticams un neatkarīgs informācijas avots, ko neietekmē politiskās, ekonomiskās un nacionālās intereses. Turklāt platforma var izveidot tiltu (t. i., tiešas attiecības) starp pilsoņiem un ES. </w:t>
      </w:r>
    </w:p>
    <w:p>
      <w:pPr>
        <w:pStyle w:val="Normal"/>
        <w:rPr/>
      </w:pPr>
      <w:r>
        <w:rPr/>
      </w:r>
    </w:p>
    <w:p>
      <w:pPr>
        <w:pStyle w:val="P68B1DB1Normal15"/>
        <w:rPr>
          <w:b/>
          <w:b/>
        </w:rPr>
      </w:pPr>
      <w:r>
        <w:rPr/>
        <w:t xml:space="preserve">18. Mēs iesakām izņēmuma gadījumos rīkot ES mēroga referendumu par jautājumiem, kas ir ļoti svarīgi visiem Eiropas pilsoņiem. Referendums būtu jāuzsāk Eiropas Parlamentam, un tam vajadzētu būt juridiski saistošam. </w:t>
      </w:r>
    </w:p>
    <w:p>
      <w:pPr>
        <w:pStyle w:val="Normal"/>
        <w:rPr/>
      </w:pPr>
      <w:r>
        <w:rPr/>
        <w:t xml:space="preserve"> </w:t>
      </w:r>
    </w:p>
    <w:p>
      <w:pPr>
        <w:pStyle w:val="Normal"/>
        <w:rPr/>
      </w:pPr>
      <w:r>
        <w:rPr/>
        <w:t xml:space="preserve">ES pilsoņiem vajadzētu būt tiešākai ietekmei uz svarīgiem lēmumiem par Eiropas jautājumiem. Tomēr referendumi būtu jārīko tikai ārkārtas apstākļos, jo, ņemot vērā to augstās izmaksas, nebūtu iespējams tos regulāri rīkot. Mēs apzināmies, ka šim ieteikumam var būt nepieciešams grozīt Līgumu un pielāgot valstu konstitūcijas. </w:t>
      </w:r>
    </w:p>
    <w:p>
      <w:pPr>
        <w:pStyle w:val="Normal"/>
        <w:rPr/>
      </w:pPr>
      <w:r>
        <w:rPr/>
        <w:t xml:space="preserve"> </w:t>
      </w:r>
    </w:p>
    <w:p>
      <w:pPr>
        <w:pStyle w:val="P68B1DB1Normal15"/>
        <w:rPr>
          <w:b/>
          <w:b/>
        </w:rPr>
      </w:pPr>
      <w:r>
        <w:rPr/>
        <w:t xml:space="preserve">19. Mēs iesakām izveidot daudzfunkcionālu digitālu platformu, ar kuras palīdzību iedzīvotāji var balsot tiešsaistes vēlēšanās un vēlēšanās. Iedzīvotājiem būtu jādod iespēja motivēt savu balsojumu par svarīgiem jautājumiem un Eiropas iestāžu tiesību aktu priekšlikumiem. Šai platformai vajadzētu būt drošai, plaši pieejamai un labi redzamai ikvienam iedzīvotājam. </w:t>
      </w:r>
    </w:p>
    <w:p>
      <w:pPr>
        <w:pStyle w:val="Normal"/>
        <w:rPr/>
      </w:pPr>
      <w:r>
        <w:rPr/>
        <w:t xml:space="preserve"> </w:t>
      </w:r>
    </w:p>
    <w:p>
      <w:pPr>
        <w:pStyle w:val="Normal"/>
        <w:rPr/>
      </w:pPr>
      <w:r>
        <w:rPr/>
        <w:t xml:space="preserve">Šīs platformas mērķis ir palielināt līdzdalību Eiropas politikā un atvieglot iedzīvotāju piekļuvi konsultācijām un balsošanai. Esošie rīki un procesi nav pietiekami pamanāmi, tāpēc mums ir nepieciešams jauns integrēts rīks šīm dažādajām funkcijām. Plašāka līdzdalība nodrošina labākus lēmumus, lielāku uzticēšanos Eiropas iedzīvotāju vidū un labāku Savienības darbību kopumā. </w:t>
      </w:r>
    </w:p>
    <w:p>
      <w:pPr>
        <w:pStyle w:val="Normal"/>
        <w:rPr/>
      </w:pPr>
      <w:r>
        <w:rPr/>
        <w:t xml:space="preserve"> </w:t>
      </w:r>
    </w:p>
    <w:p>
      <w:pPr>
        <w:pStyle w:val="P68B1DB1Normal15"/>
        <w:rPr>
          <w:b/>
          <w:b/>
        </w:rPr>
      </w:pPr>
      <w:r>
        <w:rPr/>
        <w:t xml:space="preserve">20. “Mēs iesakām atkārtoti izvērtēt balsošanas sistēmas ES iestādēs, koncentrējoties uz vienprātības jautājumu. Balsu “svērums” būtu jāaprēķina taisnīgi, lai aizsargātu mazo valstu intereses. </w:t>
      </w:r>
    </w:p>
    <w:p>
      <w:pPr>
        <w:pStyle w:val="Normal"/>
        <w:rPr/>
      </w:pPr>
      <w:r>
        <w:rPr/>
        <w:t xml:space="preserve"> </w:t>
      </w:r>
    </w:p>
    <w:p>
      <w:pPr>
        <w:pStyle w:val="Normal"/>
        <w:rPr/>
      </w:pPr>
      <w:r>
        <w:rPr/>
        <w:t xml:space="preserve">Vienprātība ir svarīgs izaicinājums lēmumu pieņemšanā ES. Ņemot vērā dalībvalstu lielo skaitu, ir ļoti grūti panākt vienošanos. Vajadzības gadījumā Eiropas līgumi būtu jāgroza, lai atrisinātu vienprātības jautājumu. </w:t>
      </w:r>
    </w:p>
    <w:p>
      <w:pPr>
        <w:pStyle w:val="Normal"/>
        <w:rPr/>
      </w:pPr>
      <w:r>
        <w:rPr/>
        <w:t xml:space="preserve"> </w:t>
      </w:r>
    </w:p>
    <w:p>
      <w:pPr>
        <w:pStyle w:val="Titre4"/>
        <w:numPr>
          <w:ilvl w:val="3"/>
          <w:numId w:val="2"/>
        </w:numPr>
        <w:rPr/>
      </w:pPr>
      <w:bookmarkStart w:id="142" w:name="__RefHeading___Toc297219_1346298689"/>
      <w:bookmarkEnd w:id="142"/>
      <w:r>
        <w:rPr/>
        <w:t xml:space="preserve">Apakšass 3.3 Ciešāka integrācija </w:t>
      </w:r>
    </w:p>
    <w:p>
      <w:pPr>
        <w:pStyle w:val="Normal"/>
        <w:rPr/>
      </w:pPr>
      <w:r>
        <w:rPr/>
        <w:t xml:space="preserve"> </w:t>
      </w:r>
    </w:p>
    <w:p>
      <w:pPr>
        <w:pStyle w:val="P68B1DB1Normal15"/>
        <w:rPr>
          <w:b/>
          <w:b/>
        </w:rPr>
      </w:pPr>
      <w:r>
        <w:rPr/>
        <w:t xml:space="preserve">21. “Mēs iesakām Savienībai veikt publiskas investīcijas, lai radītu piemērotas darbvietas un uzlabotu un saskaņotu dzīves kvalitāti visā Savienībā, starp dalībvalstīm un dalībvalstīs (t. i., reģionālā līmenī). Ir jānodrošina efektīva uzraudzība, pārredzamība un saziņa ar iedzīvotājiem publisko investīciju īstenošanā un jāļauj iedzīvotājiem uzraudzīt visu ieguldījumu procesu. Lai uzlabotu dzīves kvalitāti, būtu jāveic ieguldījumi tādās jomās kā izglītība, veselība, mājokļi, fiziskā infrastruktūra, vecāka gadagājuma cilvēku un personu ar invaliditāti aprūpe, ņemot vērā katras dalībvalsts vajadzības. Papildu ieguldījumiem vajadzētu būt vērstiem uz to, lai izveidotu labu līdzsvaru starp atbilstošu darba un personīgo dzīvi, lai nodrošinātu veselīgu dzīvesveidu. </w:t>
      </w:r>
    </w:p>
    <w:p>
      <w:pPr>
        <w:pStyle w:val="Normal"/>
        <w:rPr/>
      </w:pPr>
      <w:r>
        <w:rPr/>
        <w:t xml:space="preserve"> </w:t>
      </w:r>
    </w:p>
    <w:p>
      <w:pPr>
        <w:pStyle w:val="Normal"/>
        <w:rPr/>
      </w:pPr>
      <w:r>
        <w:rPr/>
        <w:t xml:space="preserve">Mēs iesakām šo pasākumu, jo dzīves līmeņa saskaņošana Savienībā uzlabos ekonomisko progresu visā Savienībā, radot vienotu Eiropas Savienību. Tas ir galvenais rādītājs turpmākai Savienības integrācijai. Lai gan daži no šiem mehānismiem jau ir ieviesti, mēs uzskatām, ka tos joprojām var uzlabot. </w:t>
      </w:r>
    </w:p>
    <w:p>
      <w:pPr>
        <w:pStyle w:val="Normal"/>
        <w:rPr/>
      </w:pPr>
      <w:r>
        <w:rPr/>
        <w:t xml:space="preserve"> </w:t>
      </w:r>
    </w:p>
    <w:p>
      <w:pPr>
        <w:pStyle w:val="P68B1DB1Normal15"/>
        <w:rPr>
          <w:b/>
          <w:b/>
        </w:rPr>
      </w:pPr>
      <w:r>
        <w:rPr/>
        <w:t xml:space="preserve">22. “Mēs iesakām visām dalībvalstīm izveidot kopēju pamatu, pamatojoties uz ekonomikas un dzīves kvalitātes rādītāju kopumu, lai piedāvātu vienlīdzīgas iespējas un nodrošinātu visiem vienādus apstākļus, lai izveidotu kopēju ekonomikas struktūru. Ir svarīgi, lai šo kopējo pamatu izveidotu saskaņā ar skaidru un reālistisku grafiku, ko iestādes nosaka pēc ekspertu ieteikuma. Par šādas kopējas ekonomikas struktūras formu būtu jāapspriežas arī ar ekspertiem. Ir arī svarīgi, lai rādītāji, uz kuriem balstās šis kopīgais pamats, tiktu precīzāk definēti ar ekspertu palīdzību. </w:t>
      </w:r>
    </w:p>
    <w:p>
      <w:pPr>
        <w:pStyle w:val="Normal"/>
        <w:rPr/>
      </w:pPr>
      <w:r>
        <w:rPr/>
        <w:t xml:space="preserve"> </w:t>
      </w:r>
    </w:p>
    <w:p>
      <w:pPr>
        <w:pStyle w:val="Normal"/>
        <w:rPr/>
      </w:pPr>
      <w:r>
        <w:rPr/>
        <w:t xml:space="preserve">Mēs to iesakām, jo, ja mums būs taisnīga Savienība, mums būs vienotāka Eiropa. Lai būtu godīgi, mums ir jāpiedāvā vienlīdzīgas iespējas un kopējs pamats visai Savienībai. Kopīgu ekonomikas struktūru būs iespējams izveidot tikai tad, kad būs izveidota kopīga bāze. </w:t>
      </w:r>
    </w:p>
    <w:p>
      <w:pPr>
        <w:pStyle w:val="Normal"/>
        <w:rPr/>
      </w:pPr>
      <w:r>
        <w:rPr/>
        <w:t xml:space="preserve"> </w:t>
      </w:r>
    </w:p>
    <w:p>
      <w:pPr>
        <w:pStyle w:val="P68B1DB1Normal15"/>
        <w:rPr>
          <w:b/>
          <w:b/>
        </w:rPr>
      </w:pPr>
      <w:r>
        <w:rPr/>
        <w:t xml:space="preserve">23. Mēs iesakām uzlikt nodokļus lieliem uzņēmumiem un uzņēmumu ienākumiem, lai veicinātu publiskos ieguldījumus, un izmantot nodokļus, lai ieguldītu izglītībā un attīstībā katrā valstī (pētniecība un attīstība, stipendijas — Erasmus u. c.). Ir svarīgi arī nodrošināt, ka ES tiek likvidētas nodokļu oāzes.” </w:t>
      </w:r>
    </w:p>
    <w:p>
      <w:pPr>
        <w:pStyle w:val="Normal"/>
        <w:rPr/>
      </w:pPr>
      <w:r>
        <w:rPr/>
        <w:t xml:space="preserve"> </w:t>
      </w:r>
    </w:p>
    <w:p>
      <w:pPr>
        <w:pStyle w:val="Normal"/>
        <w:rPr/>
      </w:pPr>
      <w:r>
        <w:rPr/>
        <w:t xml:space="preserve">Mēs iesakām šo pasākumu, jo tas palīdzēs novērst izvairīšanos no nodokļu maksāšanas un izveidot nodokļu oāzes un veicināt saistību izpildi. </w:t>
      </w:r>
    </w:p>
    <w:p>
      <w:pPr>
        <w:pStyle w:val="Normal"/>
        <w:rPr/>
      </w:pPr>
      <w:r>
        <w:rPr/>
      </w:r>
    </w:p>
    <w:p>
      <w:pPr>
        <w:pStyle w:val="Titre3"/>
        <w:numPr>
          <w:ilvl w:val="2"/>
          <w:numId w:val="2"/>
        </w:numPr>
        <w:rPr/>
      </w:pPr>
      <w:bookmarkStart w:id="143" w:name="__RefHeading___Toc297221_1346298689"/>
      <w:bookmarkEnd w:id="143"/>
      <w:r>
        <w:rPr/>
        <w:t xml:space="preserve">Ass Nr. 4: Eiropas identitātes veidošana </w:t>
      </w:r>
    </w:p>
    <w:p>
      <w:pPr>
        <w:pStyle w:val="Normal"/>
        <w:rPr/>
      </w:pPr>
      <w:r>
        <w:rPr/>
        <w:t xml:space="preserve"> </w:t>
      </w:r>
    </w:p>
    <w:p>
      <w:pPr>
        <w:pStyle w:val="Titre4"/>
        <w:numPr>
          <w:ilvl w:val="3"/>
          <w:numId w:val="2"/>
        </w:numPr>
        <w:rPr/>
      </w:pPr>
      <w:bookmarkStart w:id="144" w:name="__RefHeading___Toc297223_1346298689"/>
      <w:bookmarkEnd w:id="144"/>
      <w:r>
        <w:rPr/>
        <w:t xml:space="preserve">Apakšass 4.1. Izglītība demokrātijai </w:t>
      </w:r>
    </w:p>
    <w:p>
      <w:pPr>
        <w:pStyle w:val="Normal"/>
        <w:rPr/>
      </w:pPr>
      <w:r>
        <w:rPr/>
        <w:t xml:space="preserve"> </w:t>
      </w:r>
    </w:p>
    <w:p>
      <w:pPr>
        <w:pStyle w:val="P68B1DB1Normal15"/>
        <w:rPr>
          <w:b/>
          <w:b/>
        </w:rPr>
      </w:pPr>
      <w:r>
        <w:rPr/>
        <w:t xml:space="preserve">24. Mēs iesakām, lai demokrātijas izglītība ES uzlabotu un sasniegtu minimālo zināšanu līmeni visās dalībvalstīs. Šai izglītībai būtu jāaptver, bet ne tikai, demokrātiskie procesi un vispārēja informācija par Savienību, kas būtu jāmāca visās ES dalībvalstīs. Tā būtu jāpapildina ar dažādām koncepcijām, kuru mērķis ir mācīt demokrātisko procesu, kam vajadzētu būt pievilcīgam un vecumam atbilstošam. </w:t>
      </w:r>
    </w:p>
    <w:p>
      <w:pPr>
        <w:pStyle w:val="Normal"/>
        <w:rPr/>
      </w:pPr>
      <w:r>
        <w:rPr/>
        <w:t xml:space="preserve"> </w:t>
      </w:r>
    </w:p>
    <w:p>
      <w:pPr>
        <w:pStyle w:val="Normal"/>
        <w:rPr/>
      </w:pPr>
      <w:r>
        <w:rPr/>
        <w:t xml:space="preserve">Šis ieteikums un tā iemesli ir svarīgi, jo, ja to īstenos, tas radīs saskaņotāku un demokrātiskāku dzīvi Savienībā. Pamatojums ir šāds: jaunieši būtu izglītoti demokrātiskajos procesos; šī izglītība varētu ierobežot populismu un dezinformāciju publiskās debatēs; tas varētu mazināt diskrimināciju; un, visbeidzot, tas ļautu izglītot un mobilizēt pilsoņus demokrātijai, pārsniedzot viņu vienkāršo pienākumu balsot. </w:t>
      </w:r>
    </w:p>
    <w:p>
      <w:pPr>
        <w:pStyle w:val="Normal"/>
        <w:rPr/>
      </w:pPr>
      <w:r>
        <w:rPr/>
        <w:t xml:space="preserve"> </w:t>
      </w:r>
    </w:p>
    <w:p>
      <w:pPr>
        <w:pStyle w:val="P68B1DB1Normal15"/>
        <w:rPr>
          <w:b/>
          <w:b/>
        </w:rPr>
      </w:pPr>
      <w:r>
        <w:rPr/>
        <w:t xml:space="preserve">25. “Mēs iesakām turpināt attīstīt, uzlabot un padarīt pieejamākas esošās un jaunās tulkošanas tehnoloģijas, piemēram, mākslīgo intelektu, lai mazinātu valodas barjeras un stiprinātu kopīgu identitāti un demokrātiju ES.” </w:t>
      </w:r>
    </w:p>
    <w:p>
      <w:pPr>
        <w:pStyle w:val="Normal"/>
        <w:rPr/>
      </w:pPr>
      <w:r>
        <w:rPr/>
        <w:t xml:space="preserve"> </w:t>
      </w:r>
    </w:p>
    <w:p>
      <w:pPr>
        <w:pStyle w:val="Normal"/>
        <w:rPr/>
      </w:pPr>
      <w:r>
        <w:rPr/>
        <w:t xml:space="preserve">Šis ieteikums un tā iemesli ir svarīgi, jo, ja tos īstenos, tas palīdzēs veidot vienotu Eiropas identitāti, uzlabojot saziņu starp visu dalībvalstu pilsoņiem. </w:t>
      </w:r>
    </w:p>
    <w:p>
      <w:pPr>
        <w:pStyle w:val="Normal"/>
        <w:rPr/>
      </w:pPr>
      <w:r>
        <w:rPr/>
        <w:t xml:space="preserve"> </w:t>
      </w:r>
    </w:p>
    <w:p>
      <w:pPr>
        <w:pStyle w:val="P68B1DB1Normal15"/>
        <w:rPr>
          <w:b/>
          <w:b/>
        </w:rPr>
      </w:pPr>
      <w:r>
        <w:rPr/>
        <w:t xml:space="preserve">26. Lai uzlabotu pārredzamību, publiskas debates un demokrātiju, iesakām iedzīvotājiem viegli un saprotamā veidā darīt pieejamu pārbaudāmu informāciju, izmantojot mobilo lietotni. Šo lietojumprogrammu varētu izmantot, lai izplatītu informāciju, piemēram, par tiesību aktiem, diskusijām ES, Līgumu grozījumiem utt. </w:t>
      </w:r>
    </w:p>
    <w:p>
      <w:pPr>
        <w:pStyle w:val="Normal"/>
        <w:rPr/>
      </w:pPr>
      <w:r>
        <w:rPr/>
        <w:t xml:space="preserve"> </w:t>
      </w:r>
    </w:p>
    <w:p>
      <w:pPr>
        <w:pStyle w:val="Normal"/>
        <w:rPr/>
      </w:pPr>
      <w:r>
        <w:rPr/>
        <w:t xml:space="preserve">Šis ieteikums un tā iemesli ir svarīgi, jo, ja tos īstenos, tas atvieglos saziņu tādā mērā, ka tas ļaus dažādo dalībvalstu pilsoņiem rīkot informētākas debates, izmantojot lietojumprogrammu, kurai varētu būt daudz dažādu funkciju. Šis pieteikums būtu jāizstrādā tā, lai tas varētu interesēt ikvienu un spētu vēl vairāk piesaistīt zinātkāri un padarīt tehnisko informāciju pieejamāku un pievilcīgāku. Pieteikums būtu jāuzskata par papildu avotu, kas izplata informāciju, kuru oficiāli pārbauda Savienība, lai uzlabotu uzticēšanos un pārredzamību publiskajās debatēs un veicinātu vienotas Eiropas identitātes veidošanu. </w:t>
      </w:r>
    </w:p>
    <w:p>
      <w:pPr>
        <w:pStyle w:val="Normal"/>
        <w:rPr/>
      </w:pPr>
      <w:r>
        <w:rPr/>
      </w:r>
    </w:p>
    <w:p>
      <w:pPr>
        <w:pStyle w:val="Titre4"/>
        <w:numPr>
          <w:ilvl w:val="3"/>
          <w:numId w:val="2"/>
        </w:numPr>
        <w:rPr/>
      </w:pPr>
      <w:bookmarkStart w:id="145" w:name="__RefHeading___Toc297225_1346298689"/>
      <w:bookmarkEnd w:id="145"/>
      <w:r>
        <w:rPr/>
        <w:t xml:space="preserve">Apakšass 4.2. Eiropas vērtības un identitāte </w:t>
      </w:r>
    </w:p>
    <w:p>
      <w:pPr>
        <w:pStyle w:val="Normal"/>
        <w:rPr/>
      </w:pPr>
      <w:r>
        <w:rPr/>
        <w:t xml:space="preserve"> </w:t>
      </w:r>
    </w:p>
    <w:p>
      <w:pPr>
        <w:pStyle w:val="P68B1DB1Normal15"/>
        <w:rPr>
          <w:b/>
          <w:b/>
        </w:rPr>
      </w:pPr>
      <w:r>
        <w:rPr/>
        <w:t xml:space="preserve">27. “Mēs iesakām ES izveidot īpašu fondu īstermiņa un ilgtermiņa tiešsaistes un bezsaistes mijiedarbībai (t. i., apmaiņas programmām, paneļdiskusijām, sanāksmēm) starp ES pilsoņiem, lai stiprinātu Eiropas identitāti. Dalībniekiem vajadzētu būt Savienības sabiedrības pārstāvjiem, tostarp grupām, kas atlasītas mērķtiecīgi, pamatojoties uz dažādiem kritērijiem, t. i., demogrāfiskajiem, sociālekonomiskajiem un profesionālajiem kritērijiem. Šā fonda mērķi ir skaidri jānorāda, lai veicinātu Eiropas identitāti, un šis fonds ir regulāri jāizvērtē. </w:t>
      </w:r>
    </w:p>
    <w:p>
      <w:pPr>
        <w:pStyle w:val="Normal"/>
        <w:rPr/>
      </w:pPr>
      <w:r>
        <w:rPr/>
        <w:t xml:space="preserve"> </w:t>
      </w:r>
    </w:p>
    <w:p>
      <w:pPr>
        <w:pStyle w:val="Normal"/>
        <w:rPr/>
      </w:pPr>
      <w:r>
        <w:rPr/>
        <w:t xml:space="preserve">Mēs to iesakām, jo šāda veida mijiedarbība ļauj iedzīvotājiem dalīties idejās un ilgāka apmaiņa ļauj viņiem izprast dažādas kultūras un dalīties pieredzē, tostarp profesionālajā praksē. Ir vajadzīgs ES fonds, jo ir svarīgi, lai tajā varētu piedalīties visi, tostarp tie, kas parasti nepiedalās. </w:t>
      </w:r>
    </w:p>
    <w:p>
      <w:pPr>
        <w:pStyle w:val="Normal"/>
        <w:rPr/>
      </w:pPr>
      <w:r>
        <w:rPr/>
        <w:t xml:space="preserve"> </w:t>
      </w:r>
    </w:p>
    <w:p>
      <w:pPr>
        <w:pStyle w:val="P68B1DB1Normal15"/>
        <w:rPr>
          <w:b/>
          <w:b/>
        </w:rPr>
      </w:pPr>
      <w:r>
        <w:rPr/>
        <w:t xml:space="preserve">28. “Mēs iesakām ES ātri ieguldīt cīņā pret dezinformāciju, atbalstot esošās organizācijas un iniciatīvas, piemēram, prakses kodeksu dezinformācijas jomā un Eiropas Digitālo plašsaziņas līdzekļu novērošanas centru, kā arī līdzīgas iniciatīvas dalībvalstīs. Varētu ieviest dažādus pretpasākumus: faktu pārbaudi, informētību par dezinformāciju, viegli pieejamu statistikas datu sagatavošanu, atbilstīgu sankciju noteikšanu saskaņā ar tiesisko regulējumu tiem, kas izplata dezinformāciju, un cīņu pret dezinformācijas avotiem. </w:t>
      </w:r>
    </w:p>
    <w:p>
      <w:pPr>
        <w:pStyle w:val="Normal"/>
        <w:rPr/>
      </w:pPr>
      <w:r>
        <w:rPr/>
        <w:t xml:space="preserve"> </w:t>
      </w:r>
    </w:p>
    <w:p>
      <w:pPr>
        <w:pStyle w:val="Normal"/>
        <w:rPr/>
      </w:pPr>
      <w:r>
        <w:rPr/>
        <w:t xml:space="preserve">Šis ieteikums ir svarīgs, jo maldinoša informācija un dezinformācija no ES un ārpus tās rada konfliktus starp ES iedzīvotājiem, polarizē sabiedrību, apdraud demokrātiju un kaitē ekonomikai. Ņemot vērā jautājuma sarežģītību, ir vajadzīgi ievērojami cilvēkresursi un finanšu resursi. </w:t>
      </w:r>
    </w:p>
    <w:p>
      <w:pPr>
        <w:pStyle w:val="Normal"/>
        <w:rPr/>
      </w:pPr>
      <w:r>
        <w:rPr/>
        <w:t xml:space="preserve"> </w:t>
      </w:r>
    </w:p>
    <w:p>
      <w:pPr>
        <w:pStyle w:val="P68B1DB1Normal15"/>
        <w:rPr>
          <w:b/>
          <w:b/>
        </w:rPr>
      </w:pPr>
      <w:r>
        <w:rPr/>
        <w:t xml:space="preserve">29. “Mēs iesakām 1) palielināt tiešsaistes un bezsaistes mijiedarbību starp Savienību un tās iedzīvotājiem (t. i., tieši intervējot pilsoņus par Eiropas jautājumiem un izveidojot viegli lietojamu platformu, lai nodrošinātu, ka ikviens pilsonis var mijiedarboties ar ES iestādēm un ierēdņiem) un 2) nodrošināt, ka pilsoņi var piedalīties ES politikas veidošanas procesā, paust savu viedokli un saņemt atsauksmes, un mēs iesakām izveidot hartu vai rīcības kodeksu vai pamatnostādnes ES ierēdņiem. Lai ikviens iedzīvotājs varētu piedalīties, būtu jāpastāv dažādiem mijiedarbības līdzekļiem. </w:t>
      </w:r>
    </w:p>
    <w:p>
      <w:pPr>
        <w:pStyle w:val="Normal"/>
        <w:rPr/>
      </w:pPr>
      <w:r>
        <w:rPr/>
        <w:t xml:space="preserve"> </w:t>
      </w:r>
    </w:p>
    <w:p>
      <w:pPr>
        <w:pStyle w:val="Normal"/>
        <w:rPr/>
      </w:pPr>
      <w:r>
        <w:rPr/>
        <w:t xml:space="preserve">Mēs iesakām šo pasākumu, jo ir vairāki veidi, kā sazināties ar Eiropas iestādēm (tiešsaistes platformām, pārstāvības struktūrām), bet tie nav zināmi, nav efektīvi un nav pārredzami. Pieejamība dažādās valstīs ievērojami atšķiras. Biežāka un labāka mijiedarbība radīs piederības sajūtu par Eiropas pilsonību. </w:t>
      </w:r>
    </w:p>
    <w:p>
      <w:pPr>
        <w:pStyle w:val="Normal"/>
        <w:rPr/>
      </w:pPr>
      <w:r>
        <w:rPr/>
        <w:t xml:space="preserve"> </w:t>
      </w:r>
    </w:p>
    <w:p>
      <w:pPr>
        <w:pStyle w:val="P68B1DB1Normal15"/>
        <w:rPr>
          <w:b/>
          <w:b/>
        </w:rPr>
      </w:pPr>
      <w:r>
        <w:rPr/>
        <w:t xml:space="preserve">30. Mēs iesakām, lai Eiropas identitātei un vērtībām (t. i., tiesiskumam, demokrātijai un solidaritātei) būtu īpaša loma migrantu integrācijas procesā. Var paredzēt dažādus pasākumus, piemēram, programmu izveidi vai atbalstu jau esošām (vietējām) programmām, lai veicinātu sociālo mijiedarbību starp migrantiem un ES pilsoņiem vai uzņēmumu dalību migrantu integrācijas atbalsta programmās. Tajā pašā laikā būtu jāuzsāk līdzīgas programmas, lai palielinātu ES pilsoņu informētību par jautājumiem, kas saistīti ar migrāciju. </w:t>
      </w:r>
    </w:p>
    <w:p>
      <w:pPr>
        <w:pStyle w:val="Normal"/>
        <w:rPr/>
      </w:pPr>
      <w:r>
        <w:rPr/>
        <w:t xml:space="preserve"> </w:t>
      </w:r>
    </w:p>
    <w:p>
      <w:pPr>
        <w:pStyle w:val="Normal"/>
        <w:rPr/>
      </w:pPr>
      <w:r>
        <w:rPr/>
        <w:t xml:space="preserve">Šis ieteikums ir svarīgs, jo sociālās mijiedarbības programmas var palīdzēt migrantiem viņu jaunajā dzīvē un dot iespēju nemigrantiem labāk izprast migrantu ikdienas dzīvi. Ja migranti dzīvo geto, nav iespējams viņus integrēt sabiedrībā valsts vai ES līmenī. Kopēja politika ir nepieciešama, jo, migrantiem iebraucot Savienības teritorijā, viņi var doties uz visām ES valstīm. Jāatbalsta vietējās iniciatīvas, jo vietējās pašvaldības līdzekļus izmantos efektīvāk nekā valsts līmenī. </w:t>
      </w:r>
    </w:p>
    <w:p>
      <w:pPr>
        <w:pStyle w:val="Normal"/>
        <w:rPr/>
      </w:pPr>
      <w:r>
        <w:rPr/>
        <w:t xml:space="preserve"> </w:t>
      </w:r>
    </w:p>
    <w:p>
      <w:pPr>
        <w:pStyle w:val="Titre4"/>
        <w:numPr>
          <w:ilvl w:val="3"/>
          <w:numId w:val="2"/>
        </w:numPr>
        <w:rPr/>
      </w:pPr>
      <w:bookmarkStart w:id="146" w:name="__RefHeading___Toc297227_1346298689"/>
      <w:bookmarkEnd w:id="146"/>
      <w:r>
        <w:rPr/>
        <w:t xml:space="preserve">Apakšass 4.3. ES informācija </w:t>
      </w:r>
    </w:p>
    <w:p>
      <w:pPr>
        <w:pStyle w:val="Normal"/>
        <w:rPr/>
      </w:pPr>
      <w:r>
        <w:rPr/>
        <w:t xml:space="preserve"> </w:t>
      </w:r>
    </w:p>
    <w:p>
      <w:pPr>
        <w:pStyle w:val="P68B1DB1Normal15"/>
        <w:rPr>
          <w:b/>
          <w:b/>
        </w:rPr>
      </w:pPr>
      <w:r>
        <w:rPr/>
        <w:t xml:space="preserve">31. “Mēs iesakām ES labāk informēt Eiropas iedzīvotājus. Lai to izdarītu, Savienībai būtu jāizmanto visi nepieciešamie līdzekļi, vienlaikus ievērojot plašsaziņas līdzekļu brīvību un neatkarību. Tai būtu jānodrošina plašsaziņas līdzekļiem vispārīgi un uzticami resursi un informācija par Savienības darbībām un politiku. Savienībai būtu jānodrošina, ka informācija tiek vienlīdzīgi izplatīta visās dalībvalstīs, izmantojot valsts un Eiropas plašsaziņas līdzekļus, un jānodrošina, ka dalībvalstis mudina sabiedriskās raidorganizācijas un sabiedriskās ziņu aģentūras risināt Eiropas jautājumus.” </w:t>
      </w:r>
    </w:p>
    <w:p>
      <w:pPr>
        <w:pStyle w:val="Normal"/>
        <w:rPr/>
      </w:pPr>
      <w:r>
        <w:rPr/>
      </w:r>
    </w:p>
    <w:p>
      <w:pPr>
        <w:pStyle w:val="Normal"/>
        <w:rPr/>
      </w:pPr>
      <w:r>
        <w:rPr/>
        <w:t xml:space="preserve">Mēs to iesakām, jo, ņemot vērā mūsu personīgo pieredzi un saskaņā ar Eirobarometra datiem, lielāko daļu Eiropas iedzīvotāju informē galvenie plašsaziņas līdzekļi (prese, radio un televīzija), un šie kanāli pašlaik sniedz ļoti maz informācijas par ES. Plašsaziņas līdzekļiem, tostarp sabiedriskajiem plašsaziņas līdzekļiem, ir sabiedrisko pakalpojumu funkcija. Tādēļ, lai pildītu šo funkciju, ir svarīgi risināt Eiropas problēmas, kas skar Eiropas iedzīvotājus. Mēs iesakām, lai dažādās dalībvalstīs izplatītā ES informācija būtu vienāda, lai veicinātu integrāciju, un mēs iesakām izvairīties no atšķirīgas informācijas par dažādiem jautājumiem katrā valstī. Tas ir ērtāk un lētāk izmantot esošos mediju kanālus nekā izveidot jaunu kanālu, lai to pašu rezultātu. Pastāvošajiem kanāliem ir arī priekšrocība, ka tie jau ir zināmi pilsoņiem. Nevienam pilsonim nevajadzētu izvēlēties starp dažādiem kanāliem, lai piekļūtu atšķirīgam saturam (valsts vai Eiropas). </w:t>
      </w:r>
    </w:p>
    <w:p>
      <w:pPr>
        <w:pStyle w:val="Normal"/>
        <w:rPr/>
      </w:pPr>
      <w:r>
        <w:rPr/>
        <w:t xml:space="preserve"> </w:t>
      </w:r>
    </w:p>
    <w:p>
      <w:pPr>
        <w:pStyle w:val="P68B1DB1Normal15"/>
        <w:rPr>
          <w:b/>
          <w:b/>
        </w:rPr>
      </w:pPr>
      <w:r>
        <w:rPr/>
        <w:t xml:space="preserve">32. “Mēs iesakām ES izveidot un veicināt daudzvalodu tiešsaistes forumus un bezsaistes sanāksmes, kas ļauj iedzīvotājiem iesaistīties debatēs ar ES pārstāvjiem neatkarīgi no izvirzītā jautājuma tēmas un ģeogrāfiskā tvēruma. Atbildes uz šajos tiešsaistes forumos un bezsaistes sanāksmēs uzdotajiem jautājumiem būtu jāsniedz skaidri noteiktā īsā termiņā. Visa informācija, kas attiecas uz šīm telpām, būtu jācentralizē integrētā oficiālā tīmekļa vietnē ar dažādām iezīmēm, piemēram, telpa bieži uzdotajiem jautājumiem, iespēja dalīties ar idejām, priekšlikumiem vai bažām ar citiem iedzīvotājiem un mehānisms, lai norādītu, kuri no tiem gūst vislielāko atbalstu. Jebkurā gadījumā piekļuvei šai vietnei jābūt vienkāršai un jāizmanto nebirokrātiska valoda. </w:t>
      </w:r>
    </w:p>
    <w:p>
      <w:pPr>
        <w:pStyle w:val="Normal"/>
        <w:rPr/>
      </w:pPr>
      <w:r>
        <w:rPr/>
        <w:t xml:space="preserve"> </w:t>
      </w:r>
    </w:p>
    <w:p>
      <w:pPr>
        <w:pStyle w:val="Normal"/>
        <w:rPr/>
      </w:pPr>
      <w:r>
        <w:rPr/>
        <w:t xml:space="preserve">Mēs to iesakām, jo tas ir veids, kā izveidot tiešu saikni starp Eiropas pilsoņiem un Eiropas pārstāvjiem, lai runātu un iesaistītos, lai iedzīvotājiem nodrošinātu vieglu piekļuvi informācijai par Savienību un labāk informētu viņus par jau pieejamo informāciju. Tas radīs pārredzamāku un atvērtāku Savienību un palīdzēs iedzīvotājiem dalīties savās problēmās un pārdomās un saņemt politiskus risinājumus un risinājumus, kā arī ļaus iedzīvotājiem iesaistīties un dalīties ar perspektīvām un pieredzi ar citiem iedzīvotājiem. </w:t>
      </w:r>
    </w:p>
    <w:p>
      <w:pPr>
        <w:pStyle w:val="Normal"/>
        <w:rPr/>
      </w:pPr>
      <w:r>
        <w:rPr/>
        <w:t xml:space="preserve"> </w:t>
      </w:r>
    </w:p>
    <w:p>
      <w:pPr>
        <w:pStyle w:val="Normal"/>
        <w:rPr>
          <w:b/>
          <w:b/>
        </w:rPr>
      </w:pPr>
      <w:r>
        <w:rPr>
          <w:b/>
        </w:rPr>
        <w:t xml:space="preserve">33. </w:t>
      </w:r>
      <w:commentRangeStart w:id="4"/>
      <w:r>
        <w:rPr>
          <w:b/>
        </w:rPr>
        <w:t>“</w:t>
      </w:r>
      <w:r>
        <w:rPr>
          <w:b/>
          <w:i/>
        </w:rPr>
        <w:t>Mēs iesakām ES iestādēm un pārstāvjiem izmantot pieejamāku valodu un izvairīties no birokrātisku terminu izmantošanas savā saziņā, vienlaikus saglabājot sniegtās informācijas kvalitāti un tehnisko līmeni.</w:t>
      </w:r>
      <w:r>
        <w:rPr>
          <w:b/>
        </w:rPr>
        <w:t xml:space="preserve"> Savienībai būtu arī jāpielāgo iedzīvotājiem</w:t>
      </w:r>
      <w:r>
        <w:rPr>
          <w:b/>
        </w:rPr>
      </w:r>
      <w:commentRangeEnd w:id="4"/>
      <w:r>
        <w:commentReference w:id="4"/>
      </w:r>
      <w:r>
        <w:rPr>
          <w:b/>
        </w:rPr>
        <w:t xml:space="preserve">sniegtā informācija, izmantojot dažādus saziņas kanālus un dažādas auditorijas (piemēram, laikrakstus, televīziju, sociālos plašsaziņas līdzekļus). ES būtu jāpieliek īpašas pūles, lai pielāgotu saziņu digitālajiem plašsaziņas līdzekļiem, lai palielinātu tās spēju uzrunāt jauniešus.” </w:t>
      </w:r>
    </w:p>
    <w:p>
      <w:pPr>
        <w:pStyle w:val="Normal"/>
        <w:rPr/>
      </w:pPr>
      <w:r>
        <w:rPr/>
        <w:t xml:space="preserve"> </w:t>
      </w:r>
    </w:p>
    <w:p>
      <w:pPr>
        <w:pStyle w:val="Normal"/>
        <w:rPr/>
      </w:pPr>
      <w:r>
        <w:rPr/>
        <w:t xml:space="preserve">Mēs iesakām šo pasākumu, jo saprotama informācija ļaus Savienībai sasniegt vairāk Eiropas iedzīvotāju, nevis tikai tos, kas ir iesaistīti. Ar jauniem mūsdienīgiem rīkiem, kas paredzēti konkrētām mērķauditorijām, iedzīvotāji iegūs labāku izpratni par ES darbībām un politiku, jo īpaši jauniešiem, kuri nejūtas tuvu ES vai nav saistīti ar to. </w:t>
      </w:r>
    </w:p>
    <w:p>
      <w:pPr>
        <w:pStyle w:val="Normal"/>
        <w:rPr/>
      </w:pPr>
      <w:r>
        <w:rPr/>
      </w:r>
    </w:p>
    <w:p>
      <w:pPr>
        <w:pStyle w:val="Titre3"/>
        <w:numPr>
          <w:ilvl w:val="2"/>
          <w:numId w:val="2"/>
        </w:numPr>
        <w:rPr/>
      </w:pPr>
      <w:bookmarkStart w:id="147" w:name="__RefHeading___Toc297229_1346298689"/>
      <w:bookmarkEnd w:id="147"/>
      <w:r>
        <w:rPr/>
        <w:t xml:space="preserve">Ass Nr. 5: Pilsoņu līdzdalības stiprināšana </w:t>
      </w:r>
    </w:p>
    <w:p>
      <w:pPr>
        <w:pStyle w:val="Normal"/>
        <w:rPr/>
      </w:pPr>
      <w:r>
        <w:rPr/>
        <w:t xml:space="preserve"> </w:t>
      </w:r>
    </w:p>
    <w:p>
      <w:pPr>
        <w:pStyle w:val="Titre4"/>
        <w:numPr>
          <w:ilvl w:val="3"/>
          <w:numId w:val="2"/>
        </w:numPr>
        <w:rPr/>
      </w:pPr>
      <w:bookmarkStart w:id="148" w:name="__RefHeading___Toc297231_1346298689"/>
      <w:bookmarkEnd w:id="148"/>
      <w:r>
        <w:rPr/>
        <w:t xml:space="preserve">Apakšass 5.1. Iedzīvotāju līdzdalība </w:t>
      </w:r>
    </w:p>
    <w:p>
      <w:pPr>
        <w:pStyle w:val="Normal"/>
        <w:rPr/>
      </w:pPr>
      <w:r>
        <w:rPr/>
        <w:t xml:space="preserve"> </w:t>
      </w:r>
    </w:p>
    <w:p>
      <w:pPr>
        <w:pStyle w:val="P68B1DB1Normal15"/>
        <w:rPr>
          <w:b/>
          <w:b/>
        </w:rPr>
      </w:pPr>
      <w:r>
        <w:rPr/>
        <w:t xml:space="preserve">34. “Mēs iesakām visos ES lēmumu pieņemšanas procesos piedalīties neatkarīgiem pilsoņu novērotājiem. Būtu jāizveido pastāvīgs pilsoņu pārstāvju forums vai struktūra, kas būtu atbildīga par būtiskas un svarīgas informācijas izplatīšanu visiem Savienības pilsoņiem, kas šādi definēti. Šie pilsoņi sadarbotos ar visiem pārējiem Eiropas pilsoņiem, izmantojot lejupēju/augšupēju pieeju, kas turpinātu attīstīt dialogu starp pilsoņiem un ES iestādēm.” </w:t>
      </w:r>
    </w:p>
    <w:p>
      <w:pPr>
        <w:pStyle w:val="Normal"/>
        <w:rPr/>
      </w:pPr>
      <w:r>
        <w:rPr/>
        <w:t xml:space="preserve"> </w:t>
      </w:r>
    </w:p>
    <w:p>
      <w:pPr>
        <w:pStyle w:val="Normal"/>
        <w:rPr/>
      </w:pPr>
      <w:r>
        <w:rPr/>
        <w:t xml:space="preserve">Iedzīvotāji, protams, ir pelnījuši saņemt informāciju par visiem jautājumiem, un ir svarīgi nodrošināt, ka politiķi nevar ignorēt dažus jautājumus, kurus viņi vēlētos ignorēt. Šāds pasākums mazinātu plaisu starp pilsoņiem un vēlētajiem pārstāvjiem, izveidojot jaunas uzticības iespējas. </w:t>
      </w:r>
    </w:p>
    <w:p>
      <w:pPr>
        <w:pStyle w:val="Normal"/>
        <w:rPr/>
      </w:pPr>
      <w:r>
        <w:rPr/>
        <w:t xml:space="preserve"> </w:t>
      </w:r>
    </w:p>
    <w:p>
      <w:pPr>
        <w:pStyle w:val="P68B1DB1Normal15"/>
        <w:rPr>
          <w:b/>
          <w:b/>
        </w:rPr>
      </w:pPr>
      <w:r>
        <w:rPr/>
        <w:t xml:space="preserve"> </w:t>
      </w:r>
      <w:r>
        <w:rPr/>
        <w:t xml:space="preserve">35. “Mēs iesakām Savienībai atsākt diskusiju par Eiropas konstitūciju, lai izstrādātu Savienības pilsoņu iedvesmotu konstitūciju. Pilsoņiem vajadzētu būt iespējai balsot par šādu konstitūciju. Lai izvairītos no jebkādiem konfliktiem ar dalībvalstīm, šajā konstitūcijā prioritārā kārtā būtu jāiekļauj cilvēktiesību un demokrātijas vērtības. Izstrādājot šādu konstitūciju, ir jāņem vērā iepriekšējie centieni, kas nekad nav noveduši pie konstitūcijas. </w:t>
      </w:r>
    </w:p>
    <w:p>
      <w:pPr>
        <w:pStyle w:val="Normal"/>
        <w:rPr/>
      </w:pPr>
      <w:r>
        <w:rPr/>
        <w:t xml:space="preserve"> </w:t>
      </w:r>
    </w:p>
    <w:p>
      <w:pPr>
        <w:pStyle w:val="Normal"/>
        <w:rPr/>
      </w:pPr>
      <w:r>
        <w:rPr/>
        <w:t xml:space="preserve">Jo šī konstitūcija iesaistītu jauniešus politikā ES līmenī un kavētu nacionālisma spēkus, kas gūst labumu. Tas sniegtu vienotu definīciju par to, kas ir demokrātija Eiropā un kura tiktu vienādi īstenota visās dalībvalstīs. Jo ES ir kopīgas vērtības demokrātijas un cilvēktiesību jomā. Tā kā pilsoņiem būtu iespēja iesaistīties lēmumu pieņemšanas procesā un vairāk sadarboties ar Savienību, piedaloties šajā procesā. </w:t>
      </w:r>
    </w:p>
    <w:p>
      <w:pPr>
        <w:pStyle w:val="Normal"/>
        <w:rPr/>
      </w:pPr>
      <w:r>
        <w:rPr/>
        <w:t xml:space="preserve"> </w:t>
      </w:r>
    </w:p>
    <w:p>
      <w:pPr>
        <w:pStyle w:val="P68B1DB1Normal15"/>
        <w:rPr>
          <w:b/>
          <w:b/>
        </w:rPr>
      </w:pPr>
      <w:r>
        <w:rPr/>
        <w:t xml:space="preserve">36. Mēs iesakām politiķiem būt atbildīgākiem par to, kā viņi pārstāv pilsoņus, kuri viņus ievēlēja. Jo īpaši jaunieši ir īpaši nošķirti no politikas un netiek uztverti nopietni, kad viņi piedalās. Bet neieinteresētība ir universāla problēma, un visu vecumu cilvēkiem vajadzētu būt vairāk iesaistītiem nekā tagad. </w:t>
      </w:r>
    </w:p>
    <w:p>
      <w:pPr>
        <w:pStyle w:val="Normal"/>
        <w:rPr/>
      </w:pPr>
      <w:r>
        <w:rPr/>
        <w:t xml:space="preserve"> </w:t>
      </w:r>
    </w:p>
    <w:p>
      <w:pPr>
        <w:pStyle w:val="Normal"/>
        <w:rPr/>
      </w:pPr>
      <w:r>
        <w:rPr/>
        <w:t xml:space="preserve">Tāpēc ir jāatjaunina demokrātijas definīcija. Mums jāatceras, kas patiesībā ir demokrātija. Tā kā jauniešiem ir bijis pietiekami daudz un viņi ir neapmierināti ar politiķiem, kurus viņi uzskata par eliti, kas nedalās ar savu viedokli. Tāpēc iedzīvotājiem ir vairāk jāiesaistās oriģinālā un pievilcīgā veidā. Izglītības sistēma, sociālie plašsaziņas līdzekļi un visi citi plašsaziņas līdzekļu veidi varētu pildīt šo uzdevumu visā dzīves ciklā un visās valodās. </w:t>
      </w:r>
    </w:p>
    <w:p>
      <w:pPr>
        <w:pStyle w:val="Normal"/>
        <w:rPr/>
      </w:pPr>
      <w:r>
        <w:rPr/>
        <w:t xml:space="preserve"> </w:t>
      </w:r>
    </w:p>
    <w:p>
      <w:pPr>
        <w:pStyle w:val="Titre4"/>
        <w:numPr>
          <w:ilvl w:val="3"/>
          <w:numId w:val="2"/>
        </w:numPr>
        <w:rPr/>
      </w:pPr>
      <w:bookmarkStart w:id="149" w:name="__RefHeading___Toc297233_1346298689"/>
      <w:bookmarkEnd w:id="149"/>
      <w:r>
        <w:rPr/>
        <w:t xml:space="preserve">Apakšass 5.2. Iedzīvotāju līdzdalība </w:t>
      </w:r>
    </w:p>
    <w:p>
      <w:pPr>
        <w:pStyle w:val="Normal"/>
        <w:rPr/>
      </w:pPr>
      <w:r>
        <w:rPr/>
        <w:t xml:space="preserve"> </w:t>
      </w:r>
    </w:p>
    <w:p>
      <w:pPr>
        <w:pStyle w:val="P68B1DB1Normal15"/>
        <w:rPr>
          <w:b/>
          <w:b/>
        </w:rPr>
      </w:pPr>
      <w:r>
        <w:rPr/>
        <w:t xml:space="preserve">37. “Mēs iesakām ES pārliecinātāk tuvināties pilsoņiem. Lai to panāktu, dalībvalstīm būtu jāiesaistās pilsoņu līdzdalības veicināšanā Savienībā. Savienībai būtu jāveicina iedzīvotāju līdzdalības mehānismu izmantošana, izveidojot komerciālas un reklāmas kampaņas. Valsts un vietējām pašvaldībām vajadzētu būt pienākumam piedalīties šajā procesā. Savienībai būtu jānodrošina līdzdalības demokrātijas platformu efektivitāte.” </w:t>
      </w:r>
    </w:p>
    <w:p>
      <w:pPr>
        <w:pStyle w:val="Normal"/>
        <w:rPr/>
      </w:pPr>
      <w:r>
        <w:rPr/>
        <w:t xml:space="preserve"> </w:t>
      </w:r>
    </w:p>
    <w:p>
      <w:pPr>
        <w:pStyle w:val="Normal"/>
        <w:rPr/>
      </w:pPr>
      <w:r>
        <w:rPr/>
        <w:t xml:space="preserve">Mēs to iesakām, jo jau pastāvošā platforma ir jāstiprina un jāpadara efektīvāka: ir vajadzīga lielāka iedzīvotāju atgriezeniskā saite uz ES un otrādi. Eiropas Savienībā nav pietiekami daudz debašu gan starp iedzīvotājiem, gan starp valdībām. Jo pilsoņi neiesniedz lūgumrakstus vai nu tāpēc, ka nezina, ka mehānisms pastāv, vai arī tāpēc, ka viņi neuzskata, ka šādi lūgumraksti ir veiksmīgi. </w:t>
      </w:r>
    </w:p>
    <w:p>
      <w:pPr>
        <w:pStyle w:val="Normal"/>
        <w:rPr/>
      </w:pPr>
      <w:r>
        <w:rPr/>
        <w:t xml:space="preserve"> </w:t>
      </w:r>
    </w:p>
    <w:p>
      <w:pPr>
        <w:pStyle w:val="P68B1DB1Normal15"/>
        <w:rPr>
          <w:b/>
          <w:b/>
        </w:rPr>
      </w:pPr>
      <w:r>
        <w:rPr/>
        <w:t xml:space="preserve">38. “Mēs iesakām Savienībai izveidot un īstenot skolu mācību programmas par to, kas ES tiek darīts attiecībā uz līdzdalības mehānismiem. Šādas programmas būtu jāiekļauj skolu mācību programmās par Eiropas pilsonību un ētiku ar saturu, kas pielāgots skolēnu vecumam. Vajadzētu būt arī programmām pieaugušajiem. Mūžizglītības programmām vajadzētu būt pieejamām pilsoņiem, lai padziļinātu viņu zināšanas par pilsoņu līdzdalības iespējām Savienībā.” </w:t>
      </w:r>
    </w:p>
    <w:p>
      <w:pPr>
        <w:pStyle w:val="Normal"/>
        <w:rPr/>
      </w:pPr>
      <w:r>
        <w:rPr/>
        <w:t xml:space="preserve"> </w:t>
      </w:r>
    </w:p>
    <w:p>
      <w:pPr>
        <w:pStyle w:val="Normal"/>
        <w:rPr/>
      </w:pPr>
      <w:r>
        <w:rPr/>
        <w:t xml:space="preserve">Mēs iesakām šo pasākumu, jo tas ir svarīgi mūsu bērnu nākotnei. Iedzīvotāji vēlas zināt, kā paust savu viedokli. Ir svarīgi, lai viņi zinātu precīzus mehānismus un to, kā tos var izmantot, lai Savienība viņu balsi sadzirdētu. Tas ir svarīgi, lai visiem Eiropas pilsoņiem būtu vienlīdzīgi apstākļi. Mums kā Eiropas pilsoņiem ir jāzina, kā izmantot savas tiesības. Mums kā Eiropas pilsoņiem ir tiesības zināt šo informāciju. </w:t>
      </w:r>
    </w:p>
    <w:p>
      <w:pPr>
        <w:pStyle w:val="Normal"/>
        <w:rPr/>
      </w:pPr>
      <w:r>
        <w:rPr/>
        <w:t xml:space="preserve"> </w:t>
      </w:r>
    </w:p>
    <w:p>
      <w:pPr>
        <w:pStyle w:val="Titre4"/>
        <w:numPr>
          <w:ilvl w:val="3"/>
          <w:numId w:val="2"/>
        </w:numPr>
        <w:rPr/>
      </w:pPr>
      <w:bookmarkStart w:id="150" w:name="__RefHeading___Toc297235_1346298689"/>
      <w:bookmarkEnd w:id="150"/>
      <w:r>
        <w:rPr/>
        <w:t xml:space="preserve">Apakšass 5.3. Iedzīvotāju dalība </w:t>
      </w:r>
    </w:p>
    <w:p>
      <w:pPr>
        <w:pStyle w:val="Normal"/>
        <w:rPr/>
      </w:pPr>
      <w:r>
        <w:rPr/>
        <w:t xml:space="preserve"> </w:t>
      </w:r>
    </w:p>
    <w:p>
      <w:pPr>
        <w:pStyle w:val="P68B1DB1Normal15"/>
        <w:rPr>
          <w:b/>
          <w:b/>
        </w:rPr>
      </w:pPr>
      <w:r>
        <w:rPr/>
        <w:t xml:space="preserve">39. Mēs iesakām Savienībai organizēt pilsoņu asamblejas. Mēs stingri iesakām tos ieviest saskaņā ar juridiski saistošiem un obligātiem tiesību aktiem vai noteikumiem. Šīs pilsoņu asamblejas būtu jārīko ik pēc 12 līdz 18 mēnešiem. Pilsoņu līdzdalībai nevajadzētu būt obligātai, bet tā būtu jāveicina, vienlaikus organizējot to, pamatojoties uz ierobežotām pilnvarām. Dalībnieki ir jāizvēlas pēc nejaušības principa saskaņā ar reprezentativitātes kritērijiem. Viņi nedrīkst pārstāvēt jebkāda veida organizācijas, un tos nevajadzētu uzaicināt piedalīties savu profesionālo funkciju dēļ, kad viņi ir asamblejas locekļi. Vajadzības gadījumā eksperti sniegs atbalstu, lai nodrošinātu, ka pilnsapulces locekļiem ir pietiekama informācija, lai apspriestos. Lēmumu pieņemšana būs pilsoņu rokās. Savienībai ir jāgarantē politiķu apņēmība attiecībā uz lēmumiem, ko pilsoņi pieņem pilsoņu asamblejās. Ja pilsoņu priekšlikumi tiek ignorēti vai nepārprotami noraidīti, Eiropas iestādēm par tiem jāziņo, norādot šāda lēmuma pieņemšanas iemeslus. </w:t>
      </w:r>
    </w:p>
    <w:p>
      <w:pPr>
        <w:pStyle w:val="Normal"/>
        <w:rPr/>
      </w:pPr>
      <w:r>
        <w:rPr/>
        <w:t xml:space="preserve"> </w:t>
      </w:r>
    </w:p>
    <w:p>
      <w:pPr>
        <w:pStyle w:val="Normal"/>
        <w:rPr/>
      </w:pPr>
      <w:r>
        <w:rPr/>
        <w:t xml:space="preserve">Mēs iesakām izveidot pilsoņu asamblejas, jo mēs vēlamies, lai pilsoņi justos tuvāk Eiropas iestādēm un sniegtu tiešu ieguldījumu lēmumu pieņemšanā, roku rokā ar politiķiem, lai stiprinātu piederības sajūtu un tiešu efektivitāti. Turklāt mēs vēlamies, lai politiskās partijas tiktu sauktas pie atbildības pilsoņu priekšā, tostarp to vēlēšanu programmas. </w:t>
      </w:r>
    </w:p>
    <w:p>
      <w:pPr>
        <w:pStyle w:val="Normal"/>
        <w:rPr/>
      </w:pPr>
      <w:r>
        <w:rPr/>
        <w:t xml:space="preserve"> </w:t>
      </w:r>
    </w:p>
    <w:p>
      <w:pPr>
        <w:pStyle w:val="Titre3"/>
        <w:numPr>
          <w:ilvl w:val="2"/>
          <w:numId w:val="2"/>
        </w:numPr>
        <w:rPr/>
      </w:pPr>
      <w:bookmarkStart w:id="151" w:name="__RefHeading___Toc297237_1346298689"/>
      <w:bookmarkEnd w:id="151"/>
      <w:r>
        <w:rPr/>
        <w:t xml:space="preserve">Pielikums: CITI IETEIKUMI, KURUS IZSKATĪJA DARBA GRUPA, BET KURI NAV PIEŅEMTI </w:t>
      </w:r>
    </w:p>
    <w:p>
      <w:pPr>
        <w:pStyle w:val="Normal"/>
        <w:rPr/>
      </w:pPr>
      <w:r>
        <w:rPr/>
        <w:t xml:space="preserve"> </w:t>
      </w:r>
    </w:p>
    <w:p>
      <w:pPr>
        <w:pStyle w:val="Titre4"/>
        <w:numPr>
          <w:ilvl w:val="3"/>
          <w:numId w:val="2"/>
        </w:numPr>
        <w:rPr/>
      </w:pPr>
      <w:bookmarkStart w:id="152" w:name="__RefHeading___Toc297239_1346298689"/>
      <w:bookmarkEnd w:id="152"/>
      <w:r>
        <w:rPr/>
        <w:t xml:space="preserve">1. ass: Tiesību un nediskriminācijas garantēšana </w:t>
      </w:r>
    </w:p>
    <w:p>
      <w:pPr>
        <w:pStyle w:val="Normal"/>
        <w:rPr/>
      </w:pPr>
      <w:r>
        <w:rPr/>
        <w:t xml:space="preserve"> </w:t>
      </w:r>
    </w:p>
    <w:p>
      <w:pPr>
        <w:pStyle w:val="Normal"/>
        <w:rPr/>
      </w:pPr>
      <w:r>
        <w:rPr/>
        <w:t xml:space="preserve">Apakšass 1.1. Nediskriminācija/apakšass 1.2 Dzimumu līdztiesība </w:t>
      </w:r>
    </w:p>
    <w:p>
      <w:pPr>
        <w:pStyle w:val="Normal"/>
        <w:rPr/>
      </w:pPr>
      <w:r>
        <w:rPr/>
        <w:t xml:space="preserve"> </w:t>
      </w:r>
    </w:p>
    <w:p>
      <w:pPr>
        <w:pStyle w:val="P68B1DB1Normal15"/>
        <w:rPr>
          <w:b/>
          <w:b/>
        </w:rPr>
      </w:pPr>
      <w:r>
        <w:rPr/>
        <w:t>“</w:t>
      </w:r>
      <w:r>
        <w:rPr/>
        <w:t xml:space="preserve">Mēs iesakām ES aktīvi iesaistīt minoritātes politikas veidošanā par valsts iestāžu (piemēram, policijas un NVO) galvenajiem aspektiem. Mēs iesakām Savienībai izveidot konsultatīvo padomi, ko tieši ievēl mazākumtautības. Tās sastāvā galvenokārt vajadzētu būt minoritāšu pārstāvjiem, kā arī NVO pārstāvjiem. Tai vajadzētu būt apmācības lomai, lai palielinātu valsts amatpersonu informētību par minoritāšu vajadzībām. Šai struktūrai vajadzētu būt veto mazākumtautību jautājumos. </w:t>
      </w:r>
    </w:p>
    <w:p>
      <w:pPr>
        <w:pStyle w:val="Normal"/>
        <w:rPr/>
      </w:pPr>
      <w:r>
        <w:rPr/>
        <w:t xml:space="preserve">Mēs to iesakām, jo mazākumtautību balsis nav pietiekami uzklausītas. Viņiem būtu jāizsakās savā vārdā, pašnoteiktā veidā un profesionālā līmenī; tāpēc mēs apvienojām pārstāvību, izmantojot balsošanu un speciālās zināšanas. </w:t>
      </w:r>
    </w:p>
    <w:p>
      <w:pPr>
        <w:pStyle w:val="Normal"/>
        <w:rPr/>
      </w:pPr>
      <w:r>
        <w:rPr/>
        <w:t xml:space="preserve"> </w:t>
      </w:r>
    </w:p>
    <w:p>
      <w:pPr>
        <w:pStyle w:val="Titre4"/>
        <w:numPr>
          <w:ilvl w:val="3"/>
          <w:numId w:val="2"/>
        </w:numPr>
        <w:rPr/>
      </w:pPr>
      <w:bookmarkStart w:id="153" w:name="__RefHeading___Toc297241_1346298689"/>
      <w:bookmarkEnd w:id="153"/>
      <w:r>
        <w:rPr/>
        <w:t xml:space="preserve">Ass Nr. 2: Demokrātijas un tiesiskuma aizsardzība </w:t>
      </w:r>
    </w:p>
    <w:p>
      <w:pPr>
        <w:pStyle w:val="Normal"/>
        <w:rPr/>
      </w:pPr>
      <w:r>
        <w:rPr/>
        <w:t xml:space="preserve"> </w:t>
      </w:r>
    </w:p>
    <w:p>
      <w:pPr>
        <w:pStyle w:val="Normal"/>
        <w:rPr/>
      </w:pPr>
      <w:r>
        <w:rPr/>
        <w:t xml:space="preserve">Apakšass 2.2. Demokrātijas aizsardzība un stiprināšana/apakšass 2.4. Plašsaziņas līdzekļi un dezinformācija </w:t>
      </w:r>
    </w:p>
    <w:p>
      <w:pPr>
        <w:pStyle w:val="Normal"/>
        <w:rPr/>
      </w:pPr>
      <w:r>
        <w:rPr/>
        <w:t xml:space="preserve"> </w:t>
      </w:r>
    </w:p>
    <w:p>
      <w:pPr>
        <w:pStyle w:val="P68B1DB1Normal15"/>
        <w:rPr>
          <w:b/>
          <w:b/>
        </w:rPr>
      </w:pPr>
      <w:r>
        <w:rPr/>
        <w:t>“</w:t>
      </w:r>
      <w:r>
        <w:rPr/>
        <w:t xml:space="preserve">Mēs iesakām izveidot audiovizuālo, drukāto un digitālo plašsaziņas līdzekļu uzraudzības aģentūru Eiropas līmenī. Šai aģentūrai būtu jāpārbauda, vai valsts plašsaziņas līdzekļi, sagatavojot to saturu, ievēro objektīvu un objektīvu procesu. Lai novērstu dezinformāciju, Aģentūrai būtu jānodrošina sistēma valsts plašsaziņas līdzekļu uzticamības novērtēšanai. Šai reitingu sistēmai vajadzētu būt viegli saprotamai iedzīvotājiem. </w:t>
      </w:r>
    </w:p>
    <w:p>
      <w:pPr>
        <w:pStyle w:val="Normal"/>
        <w:rPr/>
      </w:pPr>
      <w:r>
        <w:rPr/>
        <w:t xml:space="preserve"> </w:t>
      </w:r>
    </w:p>
    <w:p>
      <w:pPr>
        <w:pStyle w:val="Normal"/>
        <w:rPr/>
      </w:pPr>
      <w:r>
        <w:rPr/>
        <w:t xml:space="preserve">Mēs to iesakām, jo mums ir jānovērtē plašsaziņas līdzekļi un to uzticamība, kā arī plašsaziņas līdzekļu daudzveidība ES valstīs. Eiropas aģentūra būtu visobjektīvākā struktūra, lai nodrošinātu šādu uzdevumu. Turklāt šāda reitingu sistēma ļauj iedzīvotājiem izdarīt apzinātu izvēli un mudina plašsaziņas līdzekļus sniegt uzticamu informāciju. Ja reitingu sistēma izrādīsies nepietiekama, lai nodrošinātu plašsaziņas līdzekļu uzticamību, arī aģentūrai vajadzētu būt pilnvarotai piemērot sankcijas. </w:t>
      </w:r>
    </w:p>
    <w:p>
      <w:pPr>
        <w:pStyle w:val="Normal"/>
        <w:rPr/>
      </w:pPr>
      <w:r>
        <w:rPr/>
        <w:t xml:space="preserve"> </w:t>
      </w:r>
    </w:p>
    <w:p>
      <w:pPr>
        <w:pStyle w:val="Titre3"/>
        <w:numPr>
          <w:ilvl w:val="2"/>
          <w:numId w:val="2"/>
        </w:numPr>
        <w:rPr/>
      </w:pPr>
      <w:bookmarkStart w:id="154" w:name="__RefHeading___Toc297243_1346298689"/>
      <w:bookmarkEnd w:id="154"/>
      <w:r>
        <w:rPr/>
        <w:t xml:space="preserve">Ass Nr. 5: Pilsoņu līdzdalības stiprināšana </w:t>
      </w:r>
    </w:p>
    <w:p>
      <w:pPr>
        <w:pStyle w:val="Normal"/>
        <w:rPr/>
      </w:pPr>
      <w:r>
        <w:rPr/>
        <w:t xml:space="preserve"> </w:t>
      </w:r>
    </w:p>
    <w:p>
      <w:pPr>
        <w:pStyle w:val="Titre4"/>
        <w:numPr>
          <w:ilvl w:val="3"/>
          <w:numId w:val="2"/>
        </w:numPr>
        <w:rPr/>
      </w:pPr>
      <w:r>
        <w:rPr/>
        <w:t xml:space="preserve">Apakšass 5.1. Iedzīvotāju līdzdalība </w:t>
      </w:r>
    </w:p>
    <w:p>
      <w:pPr>
        <w:pStyle w:val="Normal"/>
        <w:rPr/>
      </w:pPr>
      <w:r>
        <w:rPr/>
        <w:t xml:space="preserve"> </w:t>
      </w:r>
    </w:p>
    <w:p>
      <w:pPr>
        <w:pStyle w:val="P68B1DB1Normal15"/>
        <w:rPr>
          <w:b/>
          <w:b/>
        </w:rPr>
      </w:pPr>
      <w:r>
        <w:rPr/>
        <w:t>“</w:t>
      </w:r>
      <w:r>
        <w:rPr/>
        <w:t xml:space="preserve">Mēs iesakām izveidot pilsoņu pārstāvības struktūru, kas apspriestu un sniegtu būtisku ieguldījumu lēmumu pieņemšanas procesā — ikreiz, kad ES līmenī tiek pieņemts lēmums par kādu svarīgu jautājumu Eiropas pilsoņiem (saskaņā ar pilsoņu lēmumu — iespējams, veicot izmeklēšanu). Tai vajadzētu būt neviendabīgai aptuveni 100 pilsoņu grupai no visām ES valstīm, kurā katra valsts ir pārstāvēta vienādi. Tai vajadzētu būt rotējošai grupai, kuras locekļi tiek regulāri nomainīti. </w:t>
      </w:r>
    </w:p>
    <w:p>
      <w:pPr>
        <w:pStyle w:val="Normal"/>
        <w:rPr/>
      </w:pPr>
      <w:r>
        <w:rPr/>
        <w:t xml:space="preserve"> </w:t>
      </w:r>
    </w:p>
    <w:p>
      <w:pPr>
        <w:pStyle w:val="Normal"/>
        <w:rPr/>
      </w:pPr>
      <w:r>
        <w:rPr/>
        <w:t xml:space="preserve">Jo ir svarīgi izvairīties no tādām problēmām kā korupcija, kas varētu rasties no pastāvīgas pārstāvības struktūras, un ir svarīgi, lai šādai struktūrai būtu vienāda visu valstu pārstāvība, lai izvairītos no netaisnīgām lēmumu pieņemšanas pilnvarām. Tā kā šis darbības režīms ļautu izvairīties no problēmām, kas saistītas ar attālināto tehnoloģiju uzstādīšanu vai pastāvīgu izmantošanu. </w:t>
      </w:r>
    </w:p>
    <w:p>
      <w:pPr>
        <w:pStyle w:val="Normal"/>
        <w:rPr/>
      </w:pPr>
      <w:r>
        <w:rPr/>
        <w:t xml:space="preserve">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55" w:name="__RefHeading___Toc297245_1346298689"/>
      <w:bookmarkEnd w:id="155"/>
      <w:r>
        <w:rPr/>
        <w:t xml:space="preserve">Eiropas pilsoņu paneļdiskusija Nr. 3: Klimata pārmaiņas un vide/veselība </w:t>
      </w:r>
    </w:p>
    <w:p>
      <w:pPr>
        <w:pStyle w:val="Normal"/>
        <w:rPr/>
      </w:pPr>
      <w:r>
        <w:rPr/>
        <w:t xml:space="preserve"> </w:t>
      </w:r>
    </w:p>
    <w:p>
      <w:pPr>
        <w:pStyle w:val="Normal"/>
        <w:rPr/>
      </w:pPr>
      <w:r>
        <w:rPr/>
        <w:t xml:space="preserve">PANEĻDISKUSIJĀ PIEŅEMTIE IETEIKUMI (JĀIESNIEGS PLENĀRSESIJĀ) </w:t>
      </w:r>
    </w:p>
    <w:p>
      <w:pPr>
        <w:pStyle w:val="Normal"/>
        <w:rPr/>
      </w:pPr>
      <w:r>
        <w:rPr/>
        <w:t xml:space="preserve"> </w:t>
      </w:r>
    </w:p>
    <w:p>
      <w:pPr>
        <w:pStyle w:val="Titre3"/>
        <w:numPr>
          <w:ilvl w:val="2"/>
          <w:numId w:val="2"/>
        </w:numPr>
        <w:rPr/>
      </w:pPr>
      <w:bookmarkStart w:id="156" w:name="__RefHeading___Toc297247_1346298689"/>
      <w:bookmarkEnd w:id="156"/>
      <w:r>
        <w:rPr/>
        <w:t xml:space="preserve">1. ass: Labāki dzīves veidi </w:t>
      </w:r>
    </w:p>
    <w:p>
      <w:pPr>
        <w:pStyle w:val="Normal"/>
        <w:rPr/>
      </w:pPr>
      <w:r>
        <w:rPr/>
        <w:t xml:space="preserve"> </w:t>
      </w:r>
    </w:p>
    <w:p>
      <w:pPr>
        <w:pStyle w:val="Titre4"/>
        <w:numPr>
          <w:ilvl w:val="3"/>
          <w:numId w:val="2"/>
        </w:numPr>
        <w:rPr/>
      </w:pPr>
      <w:bookmarkStart w:id="157" w:name="__RefHeading___Toc297249_1346298689"/>
      <w:bookmarkEnd w:id="157"/>
      <w:r>
        <w:rPr/>
        <w:t xml:space="preserve">Apakšass 1.1 Veselīgs dzīvesveids </w:t>
      </w:r>
    </w:p>
    <w:p>
      <w:pPr>
        <w:pStyle w:val="P68B1DB1Normal15"/>
        <w:rPr>
          <w:b/>
          <w:b/>
        </w:rPr>
      </w:pPr>
      <w:r>
        <w:rPr/>
        <w:t xml:space="preserve">1. Mēs iesakām ES nodrošināt subsīdijas bioloģiskajai lauksaimniecībai, tostarp stimulus bioloģiskajiem pesticīdiem, lai bioloģiskos produktus padarītu pieejamākus. Turklāt ES ir jāatbalsta lauksaimnieku izglītošana par bioloģisko un ilgtspējīgu lauksaimniecību un būtu jāizvairās no monokultūru audzēšanas. Mazām bioloģiskajām saimniecībām, neintensīvām saimniecībām un saimniecībām ar īsām piegādes ķēdēm būtu jāsaņem atbalsts, kas ļautu tām būt konkurētspējīgākām. </w:t>
      </w:r>
    </w:p>
    <w:p>
      <w:pPr>
        <w:pStyle w:val="Normal"/>
        <w:rPr/>
      </w:pPr>
      <w:r>
        <w:rPr/>
        <w:t xml:space="preserve"> </w:t>
      </w:r>
    </w:p>
    <w:p>
      <w:pPr>
        <w:pStyle w:val="Normal"/>
        <w:rPr/>
      </w:pPr>
      <w:r>
        <w:rPr/>
        <w:t xml:space="preserve">Bioloģisko produktu subsidēšana padarītu tos pieejamākus. Mums būtu jāpalīdz lielveikaliem, kas izmanto īsākas piegādes ķēdes, un mazajiem lauksaimniekiem, piedāvājot viņiem iespējas pārdot savus produktus. Tas ļauj paplašināt piekļuvi svaigākiem produktiem. Turklāt nebioloģisko produktu zemās cenas neatspoguļo to radīto kaitējumu. </w:t>
      </w:r>
    </w:p>
    <w:p>
      <w:pPr>
        <w:pStyle w:val="Normal"/>
        <w:rPr/>
      </w:pPr>
      <w:r>
        <w:rPr/>
        <w:t xml:space="preserve"> </w:t>
      </w:r>
    </w:p>
    <w:p>
      <w:pPr>
        <w:pStyle w:val="P68B1DB1Normal15"/>
        <w:rPr>
          <w:b/>
          <w:b/>
        </w:rPr>
      </w:pPr>
      <w:r>
        <w:rPr/>
        <w:t xml:space="preserve">2. Mēs iesakām inovāciju vertikālās lauksaimniecības jomā finansēt no ES ieguldījumiem. </w:t>
      </w:r>
    </w:p>
    <w:p>
      <w:pPr>
        <w:pStyle w:val="Normal"/>
        <w:rPr/>
      </w:pPr>
      <w:r>
        <w:rPr/>
        <w:t xml:space="preserve">Vertikālā lauksaimniecība ļauj mums ietaupīt zemes platību, ko varētu izmantot mežsaimniecībā. Tas arī neprasa pesticīdus, ļaujot mums ražot vairāk bioloģiskās pārtikas. Turklāt to neietekmē slikti laika apstākļi, kas klimata pārmaiņu dēļ kļūst arvien izplatītāki, un tie var saīsināt piegādes ķēdes. </w:t>
      </w:r>
    </w:p>
    <w:p>
      <w:pPr>
        <w:pStyle w:val="Normal"/>
        <w:rPr/>
      </w:pPr>
      <w:r>
        <w:rPr/>
        <w:t xml:space="preserve"> </w:t>
      </w:r>
    </w:p>
    <w:p>
      <w:pPr>
        <w:pStyle w:val="P68B1DB1Normal15"/>
        <w:rPr>
          <w:b/>
          <w:b/>
        </w:rPr>
      </w:pPr>
      <w:r>
        <w:rPr/>
        <w:t xml:space="preserve">3. ES būtu jānosaka minimālie standarti attiecībā uz pārtikas kvalitāti, pārtikas izsekojamību un sezonas produktu patēriņu skolu ēdnīcās. Tāpēc ir jāsubsidē veselīgas sastāvdaļas skolu ēdnīcās, lai nodrošinātu skolēniem kvalitatīvu pārtiku par pieņemamu cenu. </w:t>
      </w:r>
    </w:p>
    <w:p>
      <w:pPr>
        <w:pStyle w:val="Normal"/>
        <w:rPr/>
      </w:pPr>
      <w:r>
        <w:rPr/>
        <w:t xml:space="preserve"> </w:t>
      </w:r>
    </w:p>
    <w:p>
      <w:pPr>
        <w:pStyle w:val="Normal"/>
        <w:rPr/>
      </w:pPr>
      <w:r>
        <w:rPr/>
        <w:t xml:space="preserve">Mēs iegūstam no agra vecuma paradumiem, kas veido mūsu attieksmi pret veselību; labi ieradumi būtu jāveicina skolā, un skolēni varētu tos atkārtot mājās. Tas ir arī sociālā taisnīguma jautājums: ikvienam ES studentam vajadzētu būt tiesībām uz kvalitatīvu pārtiku skolā. </w:t>
      </w:r>
    </w:p>
    <w:p>
      <w:pPr>
        <w:pStyle w:val="Normal"/>
        <w:rPr/>
      </w:pPr>
      <w:r>
        <w:rPr/>
        <w:t xml:space="preserve"> </w:t>
      </w:r>
    </w:p>
    <w:p>
      <w:pPr>
        <w:pStyle w:val="P68B1DB1Normal15"/>
        <w:rPr>
          <w:b/>
          <w:b/>
        </w:rPr>
      </w:pPr>
      <w:r>
        <w:rPr/>
        <w:t xml:space="preserve">4. Mēs iesakām ieguldīt jaunos veloceliņus un uzlabot esošās takas, lai padarītu velosipēdu drošu un pievilcīgu un nodrošinātu, ka visas vecuma grupas var gūt labumu no apmācības ceļu satiksmes noteikumu jomā Eiropā, jo īpaši e-velosipēdu lietotājiem un cilvēkiem bez vadītāja apliecības. Elektrisko velosipēdu ražotājiem būtu jāsniedz informācija par elektriskā velosipēda izmantošanu un ar to saistītajiem riskiem. Būtu jānodrošina tiesiskā aizsardzība velosipēdistiem, ja noticis negadījums, kurā iesaistīts transportlīdzeklis (sk. Nīderlandes noteikumus). Mēs atbalstām bezautomašīnas zonas pilsētās (nekaitējot komercplatības). Plašākā nozīmē mēs iesakām velosipēdistiem un gājējiem piešķirt prioritāti un papildu tiesības salīdzinājumā ar mehāniskajiem transportlīdzekļiem, vienlaikus nodrošinot ceļu satiksmes drošību un satiksmes noteikumu ievērošanu. </w:t>
      </w:r>
    </w:p>
    <w:p>
      <w:pPr>
        <w:pStyle w:val="Normal"/>
        <w:rPr/>
      </w:pPr>
      <w:r>
        <w:rPr/>
        <w:t xml:space="preserve"> </w:t>
      </w:r>
    </w:p>
    <w:p>
      <w:pPr>
        <w:pStyle w:val="Normal"/>
        <w:rPr/>
      </w:pPr>
      <w:r>
        <w:rPr/>
        <w:t xml:space="preserve">Šie ieteikumi ir svarīgi, jo velotransports sniedz labumu individuālās un sabiedrības veselības, gaisa kvalitātes, trokšņa līmeņa, klimata un satiksmes ziņā pilsētu centros. Velosipēdistiem un gājējiem ir jājūtas droši, ņemot vērā riskus, kas saistīti ar pastiprinātu elektriskā velosipēda lietošanu. Dažreiz riteņbraukšanas joslas trūkst vai ir sliktā stāvoklī. </w:t>
      </w:r>
    </w:p>
    <w:p>
      <w:pPr>
        <w:pStyle w:val="Normal"/>
        <w:rPr/>
      </w:pPr>
      <w:r>
        <w:rPr/>
        <w:t xml:space="preserve"> </w:t>
      </w:r>
    </w:p>
    <w:p>
      <w:pPr>
        <w:pStyle w:val="P68B1DB1Normal15"/>
        <w:rPr>
          <w:b/>
          <w:b/>
        </w:rPr>
      </w:pPr>
      <w:r>
        <w:rPr/>
        <w:t xml:space="preserve">5. Mēs iesakām integrēt pārtikas ražošanu valsts izglītībā. Mēs iesakām subsidēt un atbalstīt dārzu izveidi skolās, ja iespējams, un pilsētu dārzkopības projektus publiskās un privātās telpās. Pilsētplānošanas sistēmās ir jāintegrē vajadzība pēc kosmosa, ūdens un atbalsta infrastruktūras. Piemēram, bijušās autostāvvietas varētu izmantot zaļināšanas projektiem, vertikālus dārzkopības projektus varētu īstenot uz ēkām vai būvatļauju saņemšanu varētu paredzēt, integrējot zaļās zonas. Mēs iesakām apmainīties ar inovatīvu un labu praksi visās dalībvalstīs. </w:t>
      </w:r>
    </w:p>
    <w:p>
      <w:pPr>
        <w:pStyle w:val="Normal"/>
        <w:rPr/>
      </w:pPr>
      <w:r>
        <w:rPr/>
        <w:t xml:space="preserve"> </w:t>
      </w:r>
    </w:p>
    <w:p>
      <w:pPr>
        <w:pStyle w:val="Normal"/>
        <w:rPr/>
      </w:pPr>
      <w:r>
        <w:rPr/>
        <w:t xml:space="preserve">Dārzkopības projekti veicina pilsētu un to iedzīvotāju izturētspēju, apvienojot dažāda vecuma cilvēkus un sociālās grupas. Zaļo zonu vairošanās uzlabo dzīves kvalitāti, gaisa kvalitāti, garīgo un fizisko veselību un vidi. </w:t>
      </w:r>
    </w:p>
    <w:p>
      <w:pPr>
        <w:pStyle w:val="Normal"/>
        <w:rPr/>
      </w:pPr>
      <w:r>
        <w:rPr/>
        <w:t xml:space="preserve"> </w:t>
      </w:r>
    </w:p>
    <w:p>
      <w:pPr>
        <w:pStyle w:val="Titre4"/>
        <w:numPr>
          <w:ilvl w:val="3"/>
          <w:numId w:val="2"/>
        </w:numPr>
        <w:rPr/>
      </w:pPr>
      <w:bookmarkStart w:id="158" w:name="__RefHeading___Toc297251_1346298689"/>
      <w:bookmarkEnd w:id="158"/>
      <w:r>
        <w:rPr/>
        <w:t xml:space="preserve">Apakšass 1.2 Vides izglītība </w:t>
      </w:r>
    </w:p>
    <w:p>
      <w:pPr>
        <w:pStyle w:val="P68B1DB1Normal15"/>
        <w:rPr>
          <w:b/>
          <w:b/>
        </w:rPr>
      </w:pPr>
      <w:r>
        <w:rPr/>
        <w:t>6. Mēs iesakām ES pieņemt direktīvu, kas paredz, ka pilsētplānošanas programmām jāatbilst īpašām vides prasībām, lai padarītu pilsētas zaļākas. Šī direktīva būtu jāpiemēro privātajiem un sabiedriskajiem labumiem un telpām, jo īpaši jaunbūvējamām ēkām. Tajā jānosaka obligātie standarti, lai nodrošinātu, ka ēkas un telpas ir pēc iespējas zaļākas. Īpašības vārds “zaļais” šeit attiecas uz atjaunojamo energoresursu izmantošanu, samazinātu enerģijas patēriņu, zemām CO2 emisijām</w:t>
      </w:r>
      <w:r>
        <w:rPr>
          <w:vertAlign w:val="subscript"/>
        </w:rPr>
        <w:t>un</w:t>
      </w:r>
      <w:r>
        <w:rPr/>
        <w:t xml:space="preserve"> iekārtu iekļaušanu arhitektūras projektos. </w:t>
      </w:r>
    </w:p>
    <w:p>
      <w:pPr>
        <w:pStyle w:val="Normal"/>
        <w:rPr/>
      </w:pPr>
      <w:r>
        <w:rPr/>
        <w:t xml:space="preserve"> </w:t>
      </w:r>
    </w:p>
    <w:p>
      <w:pPr>
        <w:pStyle w:val="Normal"/>
        <w:rPr/>
      </w:pPr>
      <w:r>
        <w:rPr/>
        <w:t>Zaļākas pilsētas aktīvi palīdz mazināt klimata pārmaiņu un jo īpaši CO2 un</w:t>
      </w:r>
      <w:r>
        <w:rPr>
          <w:vertAlign w:val="subscript"/>
        </w:rPr>
        <w:t>ozona</w:t>
      </w:r>
      <w:r>
        <w:rPr/>
        <w:t xml:space="preserve"> emisiju ietekmi, kas negatīvi ietekmē iedzīvotāju veselību. Ieguldījumi zaļākās pilsētās veicina ilgtspējīgu kopienu attīstību, kas sniedz ilgtermiņa ekonomiskos un sociālos ieguvumus. </w:t>
      </w:r>
    </w:p>
    <w:p>
      <w:pPr>
        <w:pStyle w:val="Normal"/>
        <w:rPr/>
      </w:pPr>
      <w:r>
        <w:rPr/>
        <w:t xml:space="preserve"> </w:t>
      </w:r>
    </w:p>
    <w:p>
      <w:pPr>
        <w:pStyle w:val="P68B1DB1Normal15"/>
        <w:rPr>
          <w:b/>
          <w:b/>
        </w:rPr>
      </w:pPr>
      <w:r>
        <w:rPr/>
        <w:t xml:space="preserve">7. Mēs iesakām ES ar dalībvalstu palīdzību izstrādāt, pieņemt un īstenot kopēju Eiropas hartu, kas vērsta uz vides jautājumiem to sarežģītības ziņā. Harta nodrošinās dalībvalstīm satvaru, lai organizētu regulāras informācijas un apmācības kampaņas, ko izplatīs, izmantojot visus pieejamos plašsaziņas līdzekļu kanālus un šim nolūkam izveidotu jaunu informācijas portālu. Šīs kampaņas būtu jāorganizē visā ES un visos līmeņos, lai palielinātu visu iedzīvotāju informētību par vidi. </w:t>
      </w:r>
    </w:p>
    <w:p>
      <w:pPr>
        <w:pStyle w:val="Normal"/>
        <w:rPr/>
      </w:pPr>
      <w:r>
        <w:rPr/>
        <w:t xml:space="preserve"> </w:t>
      </w:r>
    </w:p>
    <w:p>
      <w:pPr>
        <w:pStyle w:val="Normal"/>
        <w:rPr/>
      </w:pPr>
      <w:r>
        <w:rPr/>
        <w:t xml:space="preserve">Koordinācijas trūkums starp dalībvalstīm kavē pašreizējo kampaņu efektivitāti un palēnina centienus risināt globālo klimata pārmaiņu problēmu. Kopīga harta veicinās sinerģiju starp dalībvalstu rīcības plāniem, nodrošinot lielāku centienu efektivitāti. Turklāt tā nodrošinās, ka iedzīvotājiem tiek sniegta konsekventa un konsekventa informācija par viņu ikdienas darbību ietekmi, piemēram, par transporta veida izvēli un atkritumu apstrādi. </w:t>
      </w:r>
    </w:p>
    <w:p>
      <w:pPr>
        <w:pStyle w:val="Normal"/>
        <w:rPr/>
      </w:pPr>
      <w:r>
        <w:rPr/>
        <w:t xml:space="preserve"> </w:t>
      </w:r>
    </w:p>
    <w:p>
      <w:pPr>
        <w:pStyle w:val="Titre3"/>
        <w:numPr>
          <w:ilvl w:val="2"/>
          <w:numId w:val="2"/>
        </w:numPr>
        <w:rPr/>
      </w:pPr>
      <w:bookmarkStart w:id="159" w:name="__RefHeading___Toc297253_1346298689"/>
      <w:bookmarkEnd w:id="159"/>
      <w:r>
        <w:rPr/>
        <w:t xml:space="preserve">Ass Nr. 2: Vides un veselības aizsardzība </w:t>
      </w:r>
    </w:p>
    <w:p>
      <w:pPr>
        <w:pStyle w:val="Titre4"/>
        <w:numPr>
          <w:ilvl w:val="3"/>
          <w:numId w:val="2"/>
        </w:numPr>
        <w:rPr/>
      </w:pPr>
      <w:bookmarkStart w:id="160" w:name="__RefHeading___Toc297255_1346298689"/>
      <w:bookmarkEnd w:id="160"/>
      <w:r>
        <w:rPr/>
        <w:t xml:space="preserve">Apakšass 2.1. Veselīga dabiska vide </w:t>
      </w:r>
    </w:p>
    <w:p>
      <w:pPr>
        <w:pStyle w:val="P68B1DB1Normal15"/>
        <w:rPr>
          <w:b/>
          <w:b/>
        </w:rPr>
      </w:pPr>
      <w:r>
        <w:rPr/>
        <w:t xml:space="preserve">8. Mēs iesakām izveidot vienotu eko-score sistēmu, kas parāda katra pieejamā ES iegādātā produkta kopējo vides pēdas nospiedumu. Produktiem no trešām valstīm pārredzamā veidā ir jāievēro šī ekovērtējuma sistēma. Šī sistēma būtu jābalsta uz skaidriem klasifikācijas kritērijiem, kas piemērojami pašiem produktiem, un jāizmanto, piemēram, QR kods, kas sniedz sīkāku informāciju par produktu. </w:t>
      </w:r>
    </w:p>
    <w:p>
      <w:pPr>
        <w:pStyle w:val="Normal"/>
        <w:rPr/>
      </w:pPr>
      <w:r>
        <w:rPr/>
        <w:t xml:space="preserve"> </w:t>
      </w:r>
    </w:p>
    <w:p>
      <w:pPr>
        <w:pStyle w:val="Normal"/>
        <w:rPr/>
      </w:pPr>
      <w:r>
        <w:rPr/>
        <w:t xml:space="preserve">Šī informācija par produktu aprites ciklu ir būtiska visiem ES iedzīvotājiem, lai patērētāji varētu labāk iepirkties. Tas ļaus ES pilsoņiem pieņemt atbildīgus lēmumus, kas veicinās viņu vides aizsardzību. </w:t>
      </w:r>
    </w:p>
    <w:p>
      <w:pPr>
        <w:pStyle w:val="Normal"/>
        <w:rPr/>
      </w:pPr>
      <w:r>
        <w:rPr/>
        <w:t xml:space="preserve"> </w:t>
      </w:r>
    </w:p>
    <w:p>
      <w:pPr>
        <w:pStyle w:val="P68B1DB1Normal15"/>
        <w:rPr>
          <w:b/>
          <w:b/>
        </w:rPr>
      </w:pPr>
      <w:r>
        <w:rPr/>
        <w:t xml:space="preserve">9. Mēs iesakām veikt vairāk investīciju, lai izpētītu jaunus videi draudzīgus enerģijas avotus un līdz šo jauno avotu ieviešanai piešķirt papildu ieguldījumus esošajiem optimālajiem enerģijas ražošanas risinājumiem. Mēs arī iesakām pārredzami informēt un izglītot Eiropas iedzīvotājus par konkrētiem enerģijas avotiem. Mēs ļoti iesakām ņemt vērā enerģijas ražošanas procesa vispārējo ekoloģisko un sociālo ietekmi uz pašreizējām un nākamajām paaudzēm. </w:t>
      </w:r>
    </w:p>
    <w:p>
      <w:pPr>
        <w:pStyle w:val="Normal"/>
        <w:rPr/>
      </w:pPr>
      <w:r>
        <w:rPr/>
        <w:t xml:space="preserve"> </w:t>
      </w:r>
    </w:p>
    <w:p>
      <w:pPr>
        <w:pStyle w:val="Normal"/>
        <w:rPr/>
      </w:pPr>
      <w:r>
        <w:rPr/>
        <w:t xml:space="preserve">Mēs saskaramies ar ļoti augstu oglekļa emisiju līmeni un citām toksiskām vielām no enerģijas ražošanas, kas pasliktina klimata un gaisa kvalitāti. Lai ievērotu ES pamatnostādnes, IPCC ziņojumu ieteikumus un COP26 mērķus, mums ir jāstiprina pētniecība un investīcijas, lai panāktu klimatneitrālu enerģijas ražošanu. </w:t>
      </w:r>
    </w:p>
    <w:p>
      <w:pPr>
        <w:pStyle w:val="Normal"/>
        <w:rPr/>
      </w:pPr>
      <w:r>
        <w:rPr/>
        <w:t xml:space="preserve"> </w:t>
      </w:r>
    </w:p>
    <w:p>
      <w:pPr>
        <w:pStyle w:val="Titre4"/>
        <w:numPr>
          <w:ilvl w:val="3"/>
          <w:numId w:val="2"/>
        </w:numPr>
        <w:rPr/>
      </w:pPr>
      <w:bookmarkStart w:id="161" w:name="__RefHeading___Toc297257_1346298689"/>
      <w:bookmarkEnd w:id="161"/>
      <w:r>
        <w:rPr/>
        <w:t xml:space="preserve">Apakšass 2.2. Mūsu bioloģiskās daudzveidības aizsardzība </w:t>
      </w:r>
    </w:p>
    <w:p>
      <w:pPr>
        <w:pStyle w:val="P68B1DB1Normal15"/>
        <w:rPr>
          <w:b/>
          <w:b/>
        </w:rPr>
      </w:pPr>
      <w:r>
        <w:rPr/>
        <w:t xml:space="preserve">10. Mēs iesakām krasi samazināt ķīmisko pesticīdu un mēslošanas līdzekļu izmantošanu visos lauksaimniecības veidos, nodrošinot stingrāku kopēju standartu piemērošanu, paātrinot pētījumus par dabiskām alternatīvām un atbalstot jaunu risinājumu pieņemšanu, tostarp lauksaimnieku apmācību. </w:t>
      </w:r>
    </w:p>
    <w:p>
      <w:pPr>
        <w:pStyle w:val="Normal"/>
        <w:rPr/>
      </w:pPr>
      <w:r>
        <w:rPr/>
        <w:t xml:space="preserve"> </w:t>
      </w:r>
    </w:p>
    <w:p>
      <w:pPr>
        <w:pStyle w:val="Normal"/>
        <w:rPr/>
      </w:pPr>
      <w:r>
        <w:rPr/>
        <w:t xml:space="preserve">Lai gan ir gūti panākumi attiecībā uz mēslošanas līdzekļiem un alternatīviem pesticīdiem, lielākā daļa no tiem vēl nav izmantojami lielās saimniecībās. Tādēļ ir jāpieliek lielākas pūles, lai izstrādātu jaunus risinājumus. Pētniecība būtu jāveicina, izmantojot publiskos izdevumus un augstākus standartus pesticīdu un mēslošanas līdzekļu izmantošanai. Pētījumu rezultāti ir ātri jāizplata ES līmenī. </w:t>
      </w:r>
    </w:p>
    <w:p>
      <w:pPr>
        <w:pStyle w:val="Normal"/>
        <w:rPr/>
      </w:pPr>
      <w:r>
        <w:rPr/>
        <w:t xml:space="preserve"> </w:t>
      </w:r>
    </w:p>
    <w:p>
      <w:pPr>
        <w:pStyle w:val="P68B1DB1Normal15"/>
        <w:rPr>
          <w:b/>
          <w:b/>
        </w:rPr>
      </w:pPr>
      <w:r>
        <w:rPr/>
        <w:t xml:space="preserve">11. Mēs iesakām paplašināt aizsargājamās teritorijas bioloģiskās daudzveidības saglabāšanai (zīdītāji, putni, kukaiņi un augi) un stiprināt tiesiskumu attiecībā uz cilvēku iejaukšanos šajās teritorijās. Aizsargājamās teritorijas tiks uzskatītas ne tikai par saliņām, bet arī par zaļākām pilsētu teritorijām saskaņā ar saskaņotajiem ES standartiem. </w:t>
      </w:r>
    </w:p>
    <w:p>
      <w:pPr>
        <w:pStyle w:val="Normal"/>
        <w:rPr/>
      </w:pPr>
      <w:r>
        <w:rPr/>
        <w:t xml:space="preserve"> </w:t>
      </w:r>
    </w:p>
    <w:p>
      <w:pPr>
        <w:pStyle w:val="Normal"/>
        <w:rPr/>
      </w:pPr>
      <w:r>
        <w:rPr/>
        <w:t xml:space="preserve">Bioloģiskā daudzveidība lielā mērā cieš no mežu izciršanas. Aizsargājamo teritoriju izveide ir viens no galvenajiem sauszemes bioloģiskās daudzveidības aizsardzības līdzekļiem. Tomēr ir grūti saglabāt aizsargājamās teritorijas pie piesārņotām pilsētām vai izvairīties no cilvēku iejaukšanās, ja apkārtējās teritorijas atstāj maz vietas dabai. Mums ir jāzaļo dzīvojamās zonas un jāintegrē tās apkārtējā dabā. </w:t>
      </w:r>
    </w:p>
    <w:p>
      <w:pPr>
        <w:pStyle w:val="Normal"/>
        <w:rPr/>
      </w:pPr>
      <w:r>
        <w:rPr/>
        <w:t xml:space="preserve"> </w:t>
      </w:r>
    </w:p>
    <w:p>
      <w:pPr>
        <w:pStyle w:val="Normal"/>
        <w:rPr/>
      </w:pPr>
      <w:r>
        <w:rPr>
          <w:b/>
        </w:rPr>
        <w:t>12. Mēs iesakām novirzīt vispārējās subsīdijas lauksaimniecībai galvenokārt projektiem, kas saistīti ar ilgtspējīgas lauksaimniecības attīstību, tostarp cieņu pret dabu un darba ņēmējiem. Atbalsta saņēmējiem būtu jāievēro skaidri vides standarti un tie būtu cieši jāuzrauga.</w:t>
      </w:r>
      <w:r>
        <w:rPr/>
        <w:t xml:space="preserve"> </w:t>
      </w:r>
    </w:p>
    <w:p>
      <w:pPr>
        <w:pStyle w:val="Normal"/>
        <w:rPr/>
      </w:pPr>
      <w:r>
        <w:rPr/>
        <w:t xml:space="preserve"> </w:t>
      </w:r>
    </w:p>
    <w:p>
      <w:pPr>
        <w:pStyle w:val="Normal"/>
        <w:rPr/>
      </w:pPr>
      <w:r>
        <w:rPr/>
        <w:t xml:space="preserve">Mēs uzskatām, ka būtu jāveicina tikai ilgtspējīga lauksaimniecība, kas nozīmē, ka jāpārdala līdzekļi, ko pašlaik izmanto vispārējām subsīdijām. Turklāt ir iespējams palielināt izmantoto līdzekļu efektivitāti, koncentrējoties uz transformatīviem projektiem un inovatīviem risinājumiem, nevis uz ikgadējiem maksājumiem. Būtu jānodrošina lauksaimniecības darbību un projektu ekoloģiskās ietekmes labāka uzraudzība. Darba ņēmēju cilvēktiesības arī jāuzskata par ilgtspējas neatņemamu sastāvdaļu. </w:t>
      </w:r>
    </w:p>
    <w:p>
      <w:pPr>
        <w:pStyle w:val="Normal"/>
        <w:rPr/>
      </w:pPr>
      <w:r>
        <w:rPr/>
        <w:t xml:space="preserve"> </w:t>
      </w:r>
    </w:p>
    <w:p>
      <w:pPr>
        <w:pStyle w:val="Normal"/>
        <w:rPr/>
      </w:pPr>
      <w:r>
        <w:rPr>
          <w:b/>
        </w:rPr>
        <w:t>13. Mēs iesakām ES nodrošināt godīgu konkurenci videi draudzīgiem lauksaimniecības produktiem, nosakot augstākus standartus gan ES, gan importētajiem produktiem, nodrošinot izsekojamību, marķēšanu un kvalitātes kontroli.</w:t>
      </w:r>
      <w:r>
        <w:rPr/>
        <w:t xml:space="preserve"> </w:t>
      </w:r>
    </w:p>
    <w:p>
      <w:pPr>
        <w:pStyle w:val="Normal"/>
        <w:rPr/>
      </w:pPr>
      <w:r>
        <w:rPr/>
        <w:t xml:space="preserve"> </w:t>
      </w:r>
    </w:p>
    <w:p>
      <w:pPr>
        <w:pStyle w:val="Normal"/>
        <w:rPr/>
      </w:pPr>
      <w:r>
        <w:rPr/>
        <w:t xml:space="preserve">Ilgtspējīgu lauksaimniecības produktu zemāka produktivitāte mazina to izmaksu konkurētspēju. Importētajiem produktiem jāatbilst tiem pašiem stingrajiem standartiem attiecībā uz to ražošanas ietekmi uz vidi. Mūsu iestādēm būtu jāspēj nodrošināt importēto lauksaimniecības produktu izsekojamību. </w:t>
      </w:r>
    </w:p>
    <w:p>
      <w:pPr>
        <w:pStyle w:val="Normal"/>
        <w:rPr/>
      </w:pPr>
      <w:r>
        <w:rPr/>
        <w:t xml:space="preserve"> </w:t>
      </w:r>
    </w:p>
    <w:p>
      <w:pPr>
        <w:pStyle w:val="P68B1DB1Normal15"/>
        <w:rPr>
          <w:b/>
          <w:b/>
        </w:rPr>
      </w:pPr>
      <w:r>
        <w:rPr/>
        <w:t xml:space="preserve">14. Mēs iesakām ātri un masveida mežu atjaunošanu un apmežošanu ES, pateicoties optimizētai zemes izmantošanai. Īpaša uzmanība būtu jāpievērš izmantoto vai iznīcināto mežu atkārtotai apmežošanai un tādu teritoriju apmežošanai, kurās ir degradēta augsne. Būtu jāveicina jauni, atbildīgāki risinājumi koksnes labākai izmantošanai, piemēram, lai aizstātu plastmasu un citas ķīmiskas vielas, panāktu lielāku energoefektivitāti no biomasas un pārstrādātu koksnes produktus. </w:t>
      </w:r>
    </w:p>
    <w:p>
      <w:pPr>
        <w:pStyle w:val="Normal"/>
        <w:rPr/>
      </w:pPr>
      <w:r>
        <w:rPr/>
        <w:t xml:space="preserve"> </w:t>
      </w:r>
    </w:p>
    <w:p>
      <w:pPr>
        <w:pStyle w:val="Normal"/>
        <w:rPr/>
      </w:pPr>
      <w:r>
        <w:rPr/>
        <w:t xml:space="preserve">Mežu atjaunošanai ir nepārprotami pozitīva ietekme uz vidi un bioloģisko daudzveidību kopumā. Tajā pašā laikā mums ir jāizmanto mazāk koksnes, lai sildītu sevi, bet vairāk, lai padarītu tos produktus ar augstu pievienoto vērtību; piemēram, lai aizstātu plastmasu, koka izmantošana ir ārkārtīgi svarīga. </w:t>
      </w:r>
    </w:p>
    <w:p>
      <w:pPr>
        <w:pStyle w:val="Normal"/>
        <w:rPr/>
      </w:pPr>
      <w:r>
        <w:rPr/>
        <w:t xml:space="preserve"> </w:t>
      </w:r>
    </w:p>
    <w:p>
      <w:pPr>
        <w:pStyle w:val="Titre4"/>
        <w:numPr>
          <w:ilvl w:val="3"/>
          <w:numId w:val="2"/>
        </w:numPr>
        <w:rPr/>
      </w:pPr>
      <w:bookmarkStart w:id="162" w:name="__RefHeading___Toc297259_1346298689"/>
      <w:bookmarkEnd w:id="162"/>
      <w:r>
        <w:rPr/>
        <w:t xml:space="preserve">Apakšass 2.3. Droša un veselīga pārtika </w:t>
      </w:r>
    </w:p>
    <w:p>
      <w:pPr>
        <w:pStyle w:val="P68B1DB1Normal15"/>
        <w:rPr>
          <w:b/>
          <w:b/>
        </w:rPr>
      </w:pPr>
      <w:r>
        <w:rPr/>
        <w:t xml:space="preserve">15. Mēs iesakām ātri un pakāpeniski izņemt neilgtspējīgu iepakojumu, ko izmanto pārtikā, tostarp plastmasas iepakojumu un citu bioloģiski nenoārdāmu iepakojumu. Šajā nolūkā mēs iesakām piedāvāt finansiālus stimulus uzņēmumiem, kas pāriet uz pilnīgi bioloģiski noārdāmiem iepakojuma veidiem, investējot alternatīvu risinājumu meklēšanā un piemērojot sankcijas uzņēmumiem, kas neizmanto bioloģiski noārdāmu iepakojumu. </w:t>
      </w:r>
    </w:p>
    <w:p>
      <w:pPr>
        <w:pStyle w:val="Normal"/>
        <w:rPr/>
      </w:pPr>
      <w:r>
        <w:rPr/>
        <w:t xml:space="preserve"> </w:t>
      </w:r>
    </w:p>
    <w:p>
      <w:pPr>
        <w:pStyle w:val="Normal"/>
        <w:rPr/>
      </w:pPr>
      <w:r>
        <w:rPr/>
        <w:t xml:space="preserve">Plastmasas atkritumi, jo īpaši mikroplastmasa, kļūst arvien bagātīgāki un lēni degradējoši. Plastmasas patēriņš mazina pārtikas kvalitāti un nekaitīgumu un vienlaikus apdraud cilvēku un dzīvnieku veselību. Turklāt spēkā esošie ES tiesību akti, kuru mērķis ir samazināt bioloģiski nenoārdāmo iepakojumu, ir nepietiekami. </w:t>
      </w:r>
    </w:p>
    <w:p>
      <w:pPr>
        <w:pStyle w:val="Normal"/>
        <w:rPr/>
      </w:pPr>
      <w:r>
        <w:rPr/>
        <w:t xml:space="preserve"> </w:t>
      </w:r>
    </w:p>
    <w:p>
      <w:pPr>
        <w:pStyle w:val="P68B1DB1Normal15"/>
        <w:rPr>
          <w:b/>
          <w:b/>
        </w:rPr>
      </w:pPr>
      <w:r>
        <w:rPr/>
        <w:t xml:space="preserve">16. Mēs iesakām pakāpeniski atteikties no intensīvas lauksaimniecības, tostarp izbeigt dzīvnieku dzīves apstākļu pasliktināšanos. Mēs ierosinām noteikt kopējus standartus lopkopībai (piemēram, maksimālais dzīvnieku skaits, pielāgota āra platība) un vairāk ieguldīt neintensīvās metodēs (plašāka un ilgtspējīga lauksaimniecība), nodrošinot finansiālus stimulus un apmācību lauksaimniekiem, lai atbalstītu šo attīstību. </w:t>
      </w:r>
    </w:p>
    <w:p>
      <w:pPr>
        <w:pStyle w:val="Normal"/>
        <w:rPr/>
      </w:pPr>
      <w:r>
        <w:rPr/>
        <w:t xml:space="preserve"> </w:t>
      </w:r>
    </w:p>
    <w:p>
      <w:pPr>
        <w:pStyle w:val="Normal"/>
        <w:rPr/>
      </w:pPr>
      <w:r>
        <w:rPr/>
        <w:t xml:space="preserve">Intensīvās lauksaimniecības pakāpeniska izbeigšana samazinās vides piesārņojuma līmeni un stiprinās dabas aizsardzību. Turklāt intensīvās lopkopības pakāpeniska pārtraukšana samazinās to zāļu daudzumu, kas vajadzīgas, lai apkarotu dzīvnieku slimības un uzlabotu mūsu uztura kvalitāti. Intensīvā lauksaimniecība arī nerespektē dzīvnieku labturību, bet pastāv ilgtspējīgāki lauksaimniecības veidi, piemēram, ekstensīvā lauksaimniecība; ir jānodrošina subsīdijas lauksaimniekiem, lai palīdzētu viņiem sākt šo ceļu. </w:t>
      </w:r>
    </w:p>
    <w:p>
      <w:pPr>
        <w:pStyle w:val="Normal"/>
        <w:rPr/>
      </w:pPr>
      <w:r>
        <w:rPr/>
        <w:t xml:space="preserve"> </w:t>
      </w:r>
    </w:p>
    <w:p>
      <w:pPr>
        <w:pStyle w:val="P68B1DB1Normal15"/>
        <w:rPr>
          <w:b/>
          <w:b/>
        </w:rPr>
      </w:pPr>
      <w:r>
        <w:rPr/>
        <w:t xml:space="preserve">17. Mēs iesakām pastiprināt kontroli attiecībā uz aizliegumu nevajadzīgi lietot antibiotikas un citas veterinārās zāles barības piedevās: gādāsim, lai šī iniciatīva notiktu! Mēs ierosinām, ka antibiotiku lietošana lopkopībā būtu jāatļauj tikai tad, ja tas ir absolūti nepieciešams, lai aizsargātu dzīvnieku veselību un labturību, nevis preventīvi. Turklāt ir nepieciešams vairāk ieguldīt, meklējot efektīvākas antibiotikas, izstrādājot alternatīvas, vienlaikus balstoties uz šajā jomā notiekošo pētniecību. </w:t>
      </w:r>
    </w:p>
    <w:p>
      <w:pPr>
        <w:pStyle w:val="Normal"/>
        <w:rPr/>
      </w:pPr>
      <w:r>
        <w:rPr/>
        <w:t xml:space="preserve"> </w:t>
      </w:r>
    </w:p>
    <w:p>
      <w:pPr>
        <w:pStyle w:val="Normal"/>
        <w:rPr/>
      </w:pPr>
      <w:r>
        <w:rPr/>
        <w:t xml:space="preserve">Cilvēku rezistence pret antibiotikām samazinās, jo tiek patērēta pārtika, kas iegūta no dzīvniekiem, kuriem ievadītas antibiotikas. Turklāt ir vajadzīgs laiks, lai izstrādātu piemērotus risinājumus esošo antibiotiku aizstāšanai un nodrošinātu, ka lauksaimnieki ir informēti un vēlas tās lietot. Mēs atzīstam, ka pastāv ES antibiotiku direktīvas; tomēr tie nav īstenoti vienādi visās dalībvalstīs. Visbeidzot, veterinārās zāles tiek ļaunprātīgi izmantotas dopinga lietošanas nolūkā; tāpēc stingrāki tiesību akti šajā jomā uzlabos dzīvnieku labturību un uzlabos to dzīves kvalitāti. </w:t>
      </w:r>
    </w:p>
    <w:p>
      <w:pPr>
        <w:pStyle w:val="Normal"/>
        <w:rPr/>
      </w:pPr>
      <w:r>
        <w:rPr/>
        <w:t xml:space="preserve"> </w:t>
      </w:r>
    </w:p>
    <w:p>
      <w:pPr>
        <w:pStyle w:val="P68B1DB1Normal15"/>
        <w:rPr>
          <w:b/>
          <w:b/>
        </w:rPr>
      </w:pPr>
      <w:r>
        <w:rPr/>
        <w:t xml:space="preserve">18. Mēs iesakām ES tiesību aktos pieprasīt ziņošanu par hormonālo vielu un endokrīno disruptoru izmantošanu pārtikas ražošanā, lai precizētu izmantotā galaprodukta veidu, daudzumu un iedarbību. Uz visu attiecīgo pārtikas produktu iepakojuma jābūt marķējumam, kurā skaidri norādītas esošās vielas un to lietošanas iemesli. Turklāt būtu jāpaātrina pētījumi par hormonālo vielu un endokrīno disruptoru ietekmi uz cilvēku veselību. </w:t>
      </w:r>
    </w:p>
    <w:p>
      <w:pPr>
        <w:pStyle w:val="Normal"/>
        <w:rPr/>
      </w:pPr>
      <w:r>
        <w:rPr/>
        <w:t xml:space="preserve"> </w:t>
      </w:r>
    </w:p>
    <w:p>
      <w:pPr>
        <w:pStyle w:val="Normal"/>
        <w:rPr/>
      </w:pPr>
      <w:r>
        <w:rPr/>
        <w:t xml:space="preserve">Pašlaik pārtikas produktu izsekojamība ir nepietiekama, jo īpaši attiecībā uz hormonālām vielām un endokrīnajiem disruptoriem. Mēs uzskatām, ka pārtikas ražošanas pārredzamība ir nepieciešama, lai nodrošinātu pārskatatbildību. Turklāt patērētājiem vajadzētu būt iespējai zināt visu patērēto pārtikas produktu sastāvu un brīvi izvēlēties, ko viņi ēd. Turklāt trūkst pētījumu par ietekmi uz cilvēkiem (un iespējamiem riskiem), kas saistīti ar hormonālas vielas un endokrīno disruptoru saturošu pārtikas produktu patēriņu. </w:t>
      </w:r>
    </w:p>
    <w:p>
      <w:pPr>
        <w:pStyle w:val="Normal"/>
        <w:rPr/>
      </w:pPr>
      <w:r>
        <w:rPr/>
        <w:t xml:space="preserve"> </w:t>
      </w:r>
    </w:p>
    <w:p>
      <w:pPr>
        <w:pStyle w:val="P68B1DB1Normal15"/>
        <w:rPr>
          <w:b/>
          <w:b/>
        </w:rPr>
      </w:pPr>
      <w:r>
        <w:rPr/>
        <w:t xml:space="preserve">19. Mēs iesakām atturēt no pārstrādātas pārtikas patēriņa, piemērojot nodokļus pārtikai, kas ir kaitīga veselībai, un ieguldot līdzekļus veselīgā pārtikā. Mēs ierosinām izveidot Eiropas mēroga vērtēšanas sistēmu veselīgai pārtikai, kuras pamatā būtu dalībvalstu paraugprakse, un uz pārtikas produktiem izvietot marķējumus, lai informētu patērētājus par to ietekmi uz veselību. </w:t>
      </w:r>
    </w:p>
    <w:p>
      <w:pPr>
        <w:pStyle w:val="Normal"/>
        <w:rPr/>
      </w:pPr>
      <w:r>
        <w:rPr/>
        <w:t xml:space="preserve"> </w:t>
      </w:r>
    </w:p>
    <w:p>
      <w:pPr>
        <w:pStyle w:val="Normal"/>
        <w:rPr/>
      </w:pPr>
      <w:r>
        <w:rPr/>
        <w:t xml:space="preserve">Tādējādi iegūtos līdzekļus var izmantot, lai izstrādātu izpratnes veicināšanas un veicināšanas kampaņas, piešķirtu prioritāti veselīgam uzturam izglītības nozarē un padarītu neveselīgu pārtiku mazāk pamanāmu lielveikalos. Ieguldījumi veselīgā pārtikā arī palīdz uzlabot iedzīvotāju vispārējo veselību un tādējādi samazināt publiskos izdevumus, kas vajadzīgi, lai risinātu veselības problēmas, ko rada nepietiekams uzturs. Turklāt mēs uzskatām, ka nodokļi un subsīdijas mudinās uzņēmumus ražot veselīgāku pārtiku. </w:t>
      </w:r>
    </w:p>
    <w:p>
      <w:pPr>
        <w:pStyle w:val="Normal"/>
        <w:rPr/>
      </w:pPr>
      <w:r>
        <w:rPr/>
        <w:t xml:space="preserve"> </w:t>
      </w:r>
    </w:p>
    <w:p>
      <w:pPr>
        <w:pStyle w:val="Titre3"/>
        <w:numPr>
          <w:ilvl w:val="2"/>
          <w:numId w:val="2"/>
        </w:numPr>
        <w:rPr/>
      </w:pPr>
      <w:bookmarkStart w:id="163" w:name="__RefHeading___Toc297261_1346298689"/>
      <w:bookmarkEnd w:id="163"/>
      <w:r>
        <w:rPr/>
        <w:t xml:space="preserve">Ass Nr. 3: mūsu ekonomikas un patēriņa pārorientēšana </w:t>
      </w:r>
    </w:p>
    <w:p>
      <w:pPr>
        <w:pStyle w:val="Titre4"/>
        <w:numPr>
          <w:ilvl w:val="3"/>
          <w:numId w:val="2"/>
        </w:numPr>
        <w:rPr/>
      </w:pPr>
      <w:bookmarkStart w:id="164" w:name="__RefHeading___Toc297263_1346298689"/>
      <w:bookmarkEnd w:id="164"/>
      <w:r>
        <w:rPr/>
        <w:t xml:space="preserve">Apakšasis 3.1 Pārprodukcijas un pārmērīga patēriņa regulēšana </w:t>
      </w:r>
    </w:p>
    <w:p>
      <w:pPr>
        <w:pStyle w:val="P68B1DB1Normal15"/>
        <w:rPr>
          <w:b/>
          <w:b/>
        </w:rPr>
      </w:pPr>
      <w:r>
        <w:rPr/>
        <w:t xml:space="preserve">20. Mēs iesakām ES veikt vairāk pasākumu, lai ļautu patērētājiem ilgāk lietot produktus un mudinātu viņus to darīt. ES būtu jāapkaro plānotā novecošanās, pagarinot produkta garantiju un nosakot maksimālo cenu rezerves daļām pēc garantijas termiņa beigām. Visām dalībvalstīm būtu jāievieš nodokļu samazinājums remonta pakalpojumiem, kā tas ir Zviedrijā. Ražotājiem būtu jāprasa norādīt savu ražojumu paredzamo darbmūžu. ES būtu jāsniedz informācija par to, kā atkārtoti izmantot un salabot produktus, izmantojot tīmekļa vietni un izglītību. </w:t>
      </w:r>
    </w:p>
    <w:p>
      <w:pPr>
        <w:pStyle w:val="Normal"/>
        <w:rPr/>
      </w:pPr>
      <w:r>
        <w:rPr/>
        <w:t xml:space="preserve"> </w:t>
      </w:r>
    </w:p>
    <w:p>
      <w:pPr>
        <w:pStyle w:val="Normal"/>
        <w:rPr/>
      </w:pPr>
      <w:r>
        <w:rPr/>
        <w:t xml:space="preserve">Mūsu atkritumu sabiedrība nav dzīvotspējīga, jo tā rada pārāk daudz atkritumu. Piemērojot ierosinātos pasākumus, mēs virzīsimies uz sabiedrību, kurā produkti tiks atkārtoti izmantoti un laboti un kuru skaits samazināsies, tādējādi samazinot pārmērīgu patēriņu. </w:t>
      </w:r>
    </w:p>
    <w:p>
      <w:pPr>
        <w:pStyle w:val="Normal"/>
        <w:rPr/>
      </w:pPr>
      <w:r>
        <w:rPr/>
        <w:t xml:space="preserve"> </w:t>
      </w:r>
    </w:p>
    <w:p>
      <w:pPr>
        <w:pStyle w:val="P68B1DB1Normal15"/>
        <w:rPr>
          <w:b/>
          <w:b/>
        </w:rPr>
      </w:pPr>
      <w:r>
        <w:rPr/>
        <w:t xml:space="preserve">21. Mēs iesakām ES piemērot stingrākus vides standartus un nodrošināt taisnīgus darba apstākļus visā ražošanas ķēdē. ES ražošanas standartiem vajadzētu būt ilgtspējīgākiem un saskaņotiem starp dalībvalstīm, un tie jāpiemēro importētām precēm. Šiem standartiem jābūt arī sociāliem, tostarp pienācīgiem ienākumiem darba ņēmējiem un apmierinošiem darba apstākļiem rūpnīcās. Būtu jārada sekas attiecībā uz precēm, kas neatbilst šiem standartiem. </w:t>
      </w:r>
    </w:p>
    <w:p>
      <w:pPr>
        <w:pStyle w:val="Normal"/>
        <w:rPr/>
      </w:pPr>
      <w:r>
        <w:rPr/>
        <w:t xml:space="preserve"> </w:t>
      </w:r>
    </w:p>
    <w:p>
      <w:pPr>
        <w:pStyle w:val="Normal"/>
        <w:rPr/>
      </w:pPr>
      <w:r>
        <w:rPr/>
        <w:t xml:space="preserve">Ir svarīgi Eiropā ieviest ekoloģiski un sociāli viendabīgus ražošanas standartus, lai nodrošinātu, ka visi piedāvātie produkti tiek ražoti ilgtspējīgi. Šie pasākumi ir būtiski, lai pārorientētu mūsu ekonomiku un mainītu uzņēmējdarbības ražošanas modeļus. </w:t>
      </w:r>
    </w:p>
    <w:p>
      <w:pPr>
        <w:pStyle w:val="Normal"/>
        <w:rPr/>
      </w:pPr>
      <w:r>
        <w:rPr/>
        <w:t xml:space="preserve"> </w:t>
      </w:r>
    </w:p>
    <w:p>
      <w:pPr>
        <w:pStyle w:val="P68B1DB1Normal15"/>
        <w:rPr>
          <w:b/>
          <w:b/>
        </w:rPr>
      </w:pPr>
      <w:r>
        <w:rPr/>
        <w:t xml:space="preserve">22. Mēs iesakām ES un dalībvalstīm ieviest pasākumus, lai ierobežotu videi kaitīgu produktu reklāmu. Uz zemas izturības produktiem būtu jāattiecina obligāta klauzula par atbildības neesību visos reklāmas veidos, kas liecina, ka tie ir kaitīgi videi. ES būtu jāaizliedz reklamēt produktus, kas vispār nav ilgtspējīgi. </w:t>
      </w:r>
    </w:p>
    <w:p>
      <w:pPr>
        <w:pStyle w:val="Normal"/>
        <w:rPr/>
      </w:pPr>
      <w:r>
        <w:rPr/>
        <w:t xml:space="preserve"> </w:t>
      </w:r>
    </w:p>
    <w:p>
      <w:pPr>
        <w:pStyle w:val="Normal"/>
        <w:rPr/>
      </w:pPr>
      <w:r>
        <w:rPr/>
        <w:t xml:space="preserve">Reklāma veicina patēriņu; nedrīkst izcelt produktus, kas kaitē videi. Tādējādi patērētājiem būs mazāka iespēja iegādāties videi kaitīgus produktus. </w:t>
      </w:r>
    </w:p>
    <w:p>
      <w:pPr>
        <w:pStyle w:val="Normal"/>
        <w:rPr/>
      </w:pPr>
      <w:r>
        <w:rPr/>
        <w:t xml:space="preserve"> </w:t>
      </w:r>
    </w:p>
    <w:p>
      <w:pPr>
        <w:pStyle w:val="P68B1DB1Normal15"/>
        <w:rPr>
          <w:b/>
          <w:b/>
        </w:rPr>
      </w:pPr>
      <w:r>
        <w:rPr/>
        <w:t xml:space="preserve">23. Mēs iesakām ES izveidot un attīstīt depozīta sistēmu infrastruktūru visiem primārajiem stikla, plastmasas, alumīnija u. c. iepakojumiem, vienādi visā ES. Ražotājiem, cik vien iespējams, atkārtoti jāizmanto atpakaļ nosūtītais iepakojums, sterilizējot tos, nevis vienkārši pārstrādājot materiālus. Papildus pārtikas un dzērienu iepakojumam ierīcei būtu jāaptver arī cita veida pudeles un konteineri, piemēram, šampūnu pudeles. </w:t>
      </w:r>
    </w:p>
    <w:p>
      <w:pPr>
        <w:pStyle w:val="Normal"/>
        <w:rPr/>
      </w:pPr>
      <w:r>
        <w:rPr/>
        <w:t xml:space="preserve"> </w:t>
      </w:r>
    </w:p>
    <w:p>
      <w:pPr>
        <w:pStyle w:val="Normal"/>
        <w:rPr/>
      </w:pPr>
      <w:r>
        <w:rPr/>
        <w:t xml:space="preserve">Pašlaik patērētāji izmet pārāk daudz iepakojuma, piesārņo un iznīcina mūsu ekosistēmas. Depozīta sistēmas palīdz samazināt atkritumu daudzumu, mudinot iedzīvotājus nogādāt atpakaļ iepakojumu, nevis izmest to. Attīstot šo sistēmu, mēs izmantosim mazāk resursu; radīto atkritumu daudzums tiks samazināts. </w:t>
      </w:r>
    </w:p>
    <w:p>
      <w:pPr>
        <w:pStyle w:val="Normal"/>
        <w:rPr/>
      </w:pPr>
      <w:r>
        <w:rPr/>
        <w:t xml:space="preserve"> </w:t>
      </w:r>
    </w:p>
    <w:p>
      <w:pPr>
        <w:pStyle w:val="Titre4"/>
        <w:numPr>
          <w:ilvl w:val="3"/>
          <w:numId w:val="2"/>
        </w:numPr>
        <w:rPr/>
      </w:pPr>
      <w:bookmarkStart w:id="165" w:name="__RefHeading___Toc297265_1346298689"/>
      <w:bookmarkEnd w:id="165"/>
      <w:r>
        <w:rPr/>
        <w:t xml:space="preserve">Apakšasis 3.2 Atkritumu samazināšana </w:t>
      </w:r>
    </w:p>
    <w:p>
      <w:pPr>
        <w:pStyle w:val="P68B1DB1Normal15"/>
        <w:rPr>
          <w:b/>
          <w:b/>
        </w:rPr>
      </w:pPr>
      <w:r>
        <w:rPr/>
        <w:t xml:space="preserve">24. Mēs iesakām veicināt stingrāku aprites ekonomikas politikas īstenošanu Eiropas līmenī, pievēršoties gan uzņēmumiem, gan iedzīvotājiem, paredzot finansiālus stimulus tiem, kas to ievēro. </w:t>
      </w:r>
    </w:p>
    <w:p>
      <w:pPr>
        <w:pStyle w:val="Normal"/>
        <w:rPr/>
      </w:pPr>
      <w:r>
        <w:rPr/>
        <w:t xml:space="preserve"> </w:t>
      </w:r>
    </w:p>
    <w:p>
      <w:pPr>
        <w:pStyle w:val="Normal"/>
        <w:rPr/>
      </w:pPr>
      <w:r>
        <w:rPr/>
        <w:t xml:space="preserve">Daudzi cilvēki galu galā kļūs par bezdarbniekiem, ja ražošanas uzņēmumi samazinās savu darbaspēku vai pat nonāks situācijā, kad tiek pārtraukts maksājums/fermentācija. Pārkvalificēšanās pasākumi bezdarbniekiem veicinās videi draudzīgu praksi, vienlaikus ierobežojot bezdarbu un veicinot diversificētas ekonomikas modernizāciju. </w:t>
      </w:r>
    </w:p>
    <w:p>
      <w:pPr>
        <w:pStyle w:val="Normal"/>
        <w:rPr/>
      </w:pPr>
      <w:r>
        <w:rPr/>
        <w:t xml:space="preserve"> </w:t>
      </w:r>
    </w:p>
    <w:p>
      <w:pPr>
        <w:pStyle w:val="P68B1DB1Normal15"/>
        <w:rPr>
          <w:b/>
          <w:b/>
        </w:rPr>
      </w:pPr>
      <w:r>
        <w:rPr/>
        <w:t xml:space="preserve">25. Mēs iesakām ES reglamentēt videi nekaitīga iepakojuma izmantošanu (t. i., iepakojumu, kura pamatā ir bioloģiski noārdāms vai pārstrādājams vai ilgtspējīgāks materiāls) un/vai mazāk apjomīga iepakojuma izmantošanu, izmantojot arī QR kodu, kas sniedz informāciju par iepakojuma pārstrādes un/vai iznīcināšanas procesu pēc lietošanas. </w:t>
      </w:r>
    </w:p>
    <w:p>
      <w:pPr>
        <w:pStyle w:val="Normal"/>
        <w:rPr/>
      </w:pPr>
      <w:r>
        <w:rPr/>
        <w:t xml:space="preserve"> </w:t>
      </w:r>
    </w:p>
    <w:p>
      <w:pPr>
        <w:pStyle w:val="Normal"/>
        <w:rPr/>
      </w:pPr>
      <w:r>
        <w:rPr/>
        <w:t xml:space="preserve">Šis ieteikums samazinās iepakojumu, samazinās atkritumu daudzumu un līdz ar to arī piesārņojumu; tāpēc vide būs tīrāka, un galu galā oglekļa pēda būs mazāka. Arī ražotājiem uzliktais nodokļu slogs būs mazāks. </w:t>
      </w:r>
    </w:p>
    <w:p>
      <w:pPr>
        <w:pStyle w:val="Normal"/>
        <w:rPr/>
      </w:pPr>
      <w:r>
        <w:rPr/>
        <w:t xml:space="preserve"> </w:t>
      </w:r>
    </w:p>
    <w:p>
      <w:pPr>
        <w:pStyle w:val="Titre4"/>
        <w:numPr>
          <w:ilvl w:val="3"/>
          <w:numId w:val="2"/>
        </w:numPr>
        <w:rPr/>
      </w:pPr>
      <w:bookmarkStart w:id="166" w:name="__RefHeading___Toc297267_1346298689"/>
      <w:bookmarkEnd w:id="166"/>
      <w:r>
        <w:rPr/>
        <w:t xml:space="preserve">Apakšass 3.3. Taisnīgi produkti, vienlīdzīga piekļuve un taisnīgs patēriņš </w:t>
      </w:r>
    </w:p>
    <w:p>
      <w:pPr>
        <w:pStyle w:val="P68B1DB1Normal15"/>
        <w:rPr>
          <w:b/>
          <w:b/>
        </w:rPr>
      </w:pPr>
      <w:r>
        <w:rPr/>
        <w:t xml:space="preserve">26. Mēs iesakām Eiropas Savienībai izveidot tiesisko regulējumu, lai nodrošinātu, ka visiem Eiropas patērētājiem ir pieejama un uzlabota piekļuve kvalitatīviem un vietējiem pārtikas produktiem. </w:t>
      </w:r>
    </w:p>
    <w:p>
      <w:pPr>
        <w:pStyle w:val="Normal"/>
        <w:rPr/>
      </w:pPr>
      <w:r>
        <w:rPr/>
        <w:t xml:space="preserve"> </w:t>
      </w:r>
    </w:p>
    <w:p>
      <w:pPr>
        <w:pStyle w:val="Normal"/>
        <w:rPr/>
      </w:pPr>
      <w:r>
        <w:rPr/>
        <w:t xml:space="preserve">Pašlaik ES līmenī nav vienotas interpretācijas par to, kas būtu jāuzskata par vietēju un kvalitatīvu pārtiku. Šī plaisa ir jānovērš. </w:t>
      </w:r>
    </w:p>
    <w:p>
      <w:pPr>
        <w:pStyle w:val="Normal"/>
        <w:rPr/>
      </w:pPr>
      <w:r>
        <w:rPr/>
        <w:t xml:space="preserve">Zemas kvalitātes produktu importam ir tieša negatīva ietekme uz vidi. Lai cīnītos pret klimata pārmaiņām, mums ir jārisina visi to cēloņi, tostarp zemas kvalitātes produktu imports: ir jāsamazina transporta attālums un jāpopularizē sezonas produkti. </w:t>
      </w:r>
    </w:p>
    <w:p>
      <w:pPr>
        <w:pStyle w:val="Normal"/>
        <w:rPr/>
      </w:pPr>
      <w:r>
        <w:rPr/>
        <w:t xml:space="preserve">Šis ieteikums ir daudzsološs, jo tas varētu attiekties arī uz nepārtikas precēm. </w:t>
      </w:r>
    </w:p>
    <w:p>
      <w:pPr>
        <w:pStyle w:val="Normal"/>
        <w:rPr/>
      </w:pPr>
      <w:r>
        <w:rPr/>
        <w:t xml:space="preserve"> </w:t>
      </w:r>
    </w:p>
    <w:p>
      <w:pPr>
        <w:pStyle w:val="P68B1DB1Normal15"/>
        <w:rPr>
          <w:b/>
          <w:b/>
        </w:rPr>
      </w:pPr>
      <w:r>
        <w:rPr/>
        <w:t xml:space="preserve">27. Mēs iesakām Eiropas Savienībai veicināt pētniecību un izstrādi, izmantojot finansēšanas programmas, lai nodrošinātu, ka Eiropas tirgū ir pieejami ilgtspējīgāki un cenas ziņā pieejamāki produkti. Eiropas Savienībai ir arī jāapspriežas ar iedzīvotājiem visos lēmumu pieņemšanas līmeņos, tostarp vietējā līmenī, lai noteiktu viņu vajadzības pēc ilgtspējīgiem produktiem. </w:t>
      </w:r>
    </w:p>
    <w:p>
      <w:pPr>
        <w:pStyle w:val="Normal"/>
        <w:rPr/>
      </w:pPr>
      <w:r>
        <w:rPr/>
        <w:t xml:space="preserve"> </w:t>
      </w:r>
    </w:p>
    <w:p>
      <w:pPr>
        <w:pStyle w:val="Normal"/>
        <w:rPr/>
      </w:pPr>
      <w:r>
        <w:rPr/>
        <w:t xml:space="preserve">Mēs uzskatām, ka pētījumi par ilgtspējīgiem produktiem ir nepietiekami un ir steidzami jāpiešķir vairāk finanšu līdzekļu pētniecībai, lai eiropieši varētu piekļūt ilgtspējīgākiem produktiem par pieņemamākām cenām. </w:t>
      </w:r>
    </w:p>
    <w:p>
      <w:pPr>
        <w:pStyle w:val="Normal"/>
        <w:rPr/>
      </w:pPr>
      <w:r>
        <w:rPr/>
        <w:t xml:space="preserve">Pilsoņiem ir jāpiedalās lēmumu pieņemšanas procesā. Pētniecības un inovācijas pasākumu programma ir jāizstrādā kopā ar iedzīvotājiem. Tās būtu jāinformē par turpmākajiem pasākumiem, un tām būtu jāpaziņo rezultāti. </w:t>
      </w:r>
    </w:p>
    <w:p>
      <w:pPr>
        <w:pStyle w:val="Normal"/>
        <w:rPr/>
      </w:pPr>
      <w:r>
        <w:rPr/>
      </w:r>
    </w:p>
    <w:p>
      <w:pPr>
        <w:pStyle w:val="P68B1DB1Normal15"/>
        <w:rPr>
          <w:b/>
          <w:b/>
        </w:rPr>
      </w:pPr>
      <w:r>
        <w:rPr/>
        <w:t xml:space="preserve">28. Mēs iesakām Eiropas Savienībai ieviest regulatīvo mehānismu attiecībā uz modes precēm, kas nonāk kopējā tirgū. Šis mehānisms būtu paredzēts, lai veicinātu labāku patēriņu, izmantojot rādītāju, kas nodrošina, ka produkts atbilst ilgtspējības kritērijiem. </w:t>
      </w:r>
    </w:p>
    <w:p>
      <w:pPr>
        <w:pStyle w:val="Normal"/>
        <w:rPr/>
      </w:pPr>
      <w:r>
        <w:rPr/>
        <w:t xml:space="preserve"> </w:t>
      </w:r>
    </w:p>
    <w:p>
      <w:pPr>
        <w:pStyle w:val="Normal"/>
        <w:rPr/>
      </w:pPr>
      <w:r>
        <w:rPr/>
        <w:t xml:space="preserve">Modes nozare, kas ražo pārāk daudz sliktas kvalitātes preču ārpus Eiropas robežām, nepiemēro ētikas standartus un nepieņem ilgtspējīgu rīcību. </w:t>
      </w:r>
    </w:p>
    <w:p>
      <w:pPr>
        <w:pStyle w:val="Normal"/>
        <w:rPr/>
      </w:pPr>
      <w:r>
        <w:rPr/>
        <w:t xml:space="preserve">Mums ir jāatrod taisnīgs mehānisms, kas ļaus patērētājiem patērēt labāk. Tomēr ir svarīgi nepalielināt nodokļus, kas negatīvi ietekmētu patērētājus, samazinot viņu pirktspēju. </w:t>
      </w:r>
    </w:p>
    <w:p>
      <w:pPr>
        <w:pStyle w:val="Normal"/>
        <w:rPr/>
      </w:pPr>
      <w:r>
        <w:rPr/>
        <w:t xml:space="preserve">Patērētājiem būtu jāzina, kādos apstākļos viņu iegādātie produkti tiek ražoti un vai tie atbilst ilgtspējīgas kvalitātes standartiem. </w:t>
      </w:r>
    </w:p>
    <w:p>
      <w:pPr>
        <w:pStyle w:val="Normal"/>
        <w:rPr/>
      </w:pPr>
      <w:r>
        <w:rPr/>
        <w:t xml:space="preserve"> </w:t>
      </w:r>
    </w:p>
    <w:p>
      <w:pPr>
        <w:pStyle w:val="Titre3"/>
        <w:numPr>
          <w:ilvl w:val="2"/>
          <w:numId w:val="2"/>
        </w:numPr>
        <w:rPr/>
      </w:pPr>
      <w:bookmarkStart w:id="167" w:name="__RefHeading___Toc297269_1346298689"/>
      <w:bookmarkEnd w:id="167"/>
      <w:r>
        <w:rPr/>
        <w:t xml:space="preserve">Ass Nr. 4: ceļā uz ilgtspējīgu sabiedrību </w:t>
      </w:r>
    </w:p>
    <w:p>
      <w:pPr>
        <w:pStyle w:val="Titre4"/>
        <w:numPr>
          <w:ilvl w:val="3"/>
          <w:numId w:val="2"/>
        </w:numPr>
        <w:rPr/>
      </w:pPr>
      <w:bookmarkStart w:id="168" w:name="__RefHeading___Toc297271_1346298689"/>
      <w:bookmarkEnd w:id="168"/>
      <w:r>
        <w:rPr/>
        <w:t xml:space="preserve">Apakšass 4.1 Atjaunojamie energoresursi, turpmāk </w:t>
      </w:r>
    </w:p>
    <w:p>
      <w:pPr>
        <w:pStyle w:val="P68B1DB1Normal15"/>
        <w:rPr>
          <w:b/>
          <w:b/>
        </w:rPr>
      </w:pPr>
      <w:r>
        <w:rPr/>
        <w:t xml:space="preserve">29. Mēs iesakām ES pārejas periodā veikt pasākumus, lai CO2 filtri būtu obligāti, jo īpaši ogļu spēkstacijās, kamēr mēs turpināsim paļauties uz tradicionālo enerģiju. Turklāt mēs iesakām ES sniegt finansiālu palīdzību dalībvalstīm, kurām nav finanšu resursu CO2 filtru ieviešanai. Atbalsts ir atkarīgs no tā, vai tiek ievērota ES klimata politika, kas saistīta ar Parīzes nolīgumu, zaļo kursu un jebkādiem jauniem tiesību aktiem klimata jomā. </w:t>
      </w:r>
    </w:p>
    <w:p>
      <w:pPr>
        <w:pStyle w:val="Normal"/>
        <w:rPr/>
      </w:pPr>
      <w:r>
        <w:rPr>
          <w:b/>
        </w:rPr>
        <w:t>Tas ir konkrēts solis, kas jāveic līdztekus pastāvīgajiem ieguldījumiem enerģijas ražošanas drošības pētniecībā un kuru mērķis ir palīdzēt ES dalībvalstīm pakāpeniski sasniegt kopējos CO2 samazināšanas mērķus.</w:t>
      </w:r>
      <w:r>
        <w:rPr/>
        <w:t xml:space="preserve"> </w:t>
      </w:r>
    </w:p>
    <w:p>
      <w:pPr>
        <w:pStyle w:val="Normal"/>
        <w:rPr/>
      </w:pPr>
      <w:r>
        <w:rPr/>
        <w:t xml:space="preserve"> </w:t>
      </w:r>
    </w:p>
    <w:p>
      <w:pPr>
        <w:pStyle w:val="Normal"/>
        <w:rPr/>
      </w:pPr>
      <w:r>
        <w:rPr/>
        <w:t xml:space="preserve">Mēs zinām, ka tradicionālo degvielu izmantošana rada siltumnīcefekta gāzu emisijas, un ES dalībvalstīm ir jāsamazina tradicionālo degvielu izmantošana, lai panāktu atbilstību Parīzes nolīgumam. Tā kā nav iespējams nekavējoties izbeigt CO2 emisijas un mēs joprojām esam atkarīgi no oglēm, mums ir jārīkojas īstermiņā un vidējā termiņā. </w:t>
      </w:r>
    </w:p>
    <w:p>
      <w:pPr>
        <w:pStyle w:val="Normal"/>
        <w:rPr/>
      </w:pPr>
      <w:r>
        <w:rPr/>
        <w:t xml:space="preserve">CO2 emisiju samazināšana ir visu iedzīvotāju interesēs gan ES, gan ārpus tās; ES kā iestādei ir savi pienākumi, un iestāde sniedz ieteikumus un risinājumus, jo dalībvalstis vienas pašas nevar sasniegt mērķus. </w:t>
      </w:r>
    </w:p>
    <w:p>
      <w:pPr>
        <w:pStyle w:val="Normal"/>
        <w:rPr/>
      </w:pPr>
      <w:r>
        <w:rPr/>
      </w:r>
    </w:p>
    <w:p>
      <w:pPr>
        <w:pStyle w:val="P68B1DB1Normal15"/>
        <w:rPr>
          <w:b/>
          <w:b/>
        </w:rPr>
      </w:pPr>
      <w:r>
        <w:rPr/>
        <w:t xml:space="preserve">30. Mēs iesakām samazināt intensīvo rūpniecisko lopkopību, lai samazinātu metāna ražošanu un ūdens piesārņojumu. Šajā nolūkā ES pārskata savu kopējo lauksaimniecības politiku, lai novirzītu subsīdijas ilgtspējīgai un vietējai lauksaimniecībai, tostarp izmantojot marķēšanas sistēmu, kas ļauj patērētājiem atzīt ilgtspējīgus gaļas produktus. Mēs arī mudinām ES ieguldīt dzīvnieku ražošanas un citu nozaru atkritumu atkārtotas izmantošanas metodēs. </w:t>
      </w:r>
    </w:p>
    <w:p>
      <w:pPr>
        <w:pStyle w:val="Normal"/>
        <w:rPr/>
      </w:pPr>
      <w:r>
        <w:rPr/>
        <w:t xml:space="preserve"> </w:t>
      </w:r>
    </w:p>
    <w:p>
      <w:pPr>
        <w:pStyle w:val="Normal"/>
        <w:rPr/>
      </w:pPr>
      <w:r>
        <w:rPr/>
        <w:t xml:space="preserve">Iedzīvotāju skaits pieaug, kā rezultātā nākotnē palielināsies pieprasījums pēc gaļas. Tas ir iemesls, kāpēc ir jāsamazina gaļas patēriņš. </w:t>
      </w:r>
    </w:p>
    <w:p>
      <w:pPr>
        <w:pStyle w:val="Normal"/>
        <w:rPr/>
      </w:pPr>
      <w:r>
        <w:rPr/>
        <w:t xml:space="preserve">Tā kā metāns rada siltumnīcefekta gāzes, mēs uzskatām, ka ir dabiski sākt ar lauksaimniecības dzīvnieku emisiju samazināšanu. </w:t>
      </w:r>
    </w:p>
    <w:p>
      <w:pPr>
        <w:pStyle w:val="Normal"/>
        <w:rPr/>
      </w:pPr>
      <w:r>
        <w:rPr/>
        <w:t xml:space="preserve">Mēs visi zinām, ka jāpatērē mazāk gaļas un tādēļ attiecīgi jāsamazina liellopu skaits. </w:t>
      </w:r>
    </w:p>
    <w:p>
      <w:pPr>
        <w:pStyle w:val="Normal"/>
        <w:rPr/>
      </w:pPr>
      <w:r>
        <w:rPr/>
        <w:t xml:space="preserve"> </w:t>
      </w:r>
    </w:p>
    <w:p>
      <w:pPr>
        <w:pStyle w:val="P68B1DB1Normal15"/>
        <w:rPr>
          <w:b/>
          <w:b/>
        </w:rPr>
      </w:pPr>
      <w:r>
        <w:rPr/>
        <w:t xml:space="preserve">31. Lai gan zaļā ūdeņraža ražošana ir dārgs process, jo 25 % ūdeņraža iegūšanai ir vajadzīgi 75 % enerģijas, šāda veida enerģijai ir daudz pozitīvu aspektu. Labākais risinājums var būt enerģijas ražošana bez CO2, vienlaikus attīstot zaļo ūdeņradi. Vēja enerģija būtu jāizmanto zaļā ūdeņraža ražošanai, un ES būtu vairāk jāiegulda un jāpalielina vēja enerģijas ražošana un jāuzglabā tā nākotnes vajadzībām. </w:t>
      </w:r>
    </w:p>
    <w:p>
      <w:pPr>
        <w:pStyle w:val="Normal"/>
        <w:rPr/>
      </w:pPr>
      <w:r>
        <w:rPr/>
        <w:t xml:space="preserve"> </w:t>
      </w:r>
    </w:p>
    <w:p>
      <w:pPr>
        <w:pStyle w:val="Normal"/>
        <w:rPr/>
      </w:pPr>
      <w:r>
        <w:rPr/>
        <w:t xml:space="preserve">Zaļais ūdeņradis ir elastīgs, un to var uzglabāt lietošanai, kad tas ir nepieciešams. Tas nerada CO2 piesārņojumu. </w:t>
      </w:r>
    </w:p>
    <w:p>
      <w:pPr>
        <w:pStyle w:val="Normal"/>
        <w:rPr/>
      </w:pPr>
      <w:r>
        <w:rPr/>
        <w:t xml:space="preserve"> </w:t>
      </w:r>
    </w:p>
    <w:p>
      <w:pPr>
        <w:pStyle w:val="Titre4"/>
        <w:numPr>
          <w:ilvl w:val="3"/>
          <w:numId w:val="2"/>
        </w:numPr>
        <w:rPr/>
      </w:pPr>
      <w:bookmarkStart w:id="169" w:name="__RefHeading___Toc297273_1346298689"/>
      <w:bookmarkEnd w:id="169"/>
      <w:r>
        <w:rPr/>
        <w:t xml:space="preserve">Apakšass 4.2 Atbalsta izmaiņas </w:t>
      </w:r>
    </w:p>
    <w:p>
      <w:pPr>
        <w:pStyle w:val="P68B1DB1Normal15"/>
        <w:rPr>
          <w:b/>
          <w:b/>
        </w:rPr>
      </w:pPr>
      <w:r>
        <w:rPr/>
        <w:t xml:space="preserve">32. Mēs iesakām ES ieviest piespiešanas un atlīdzības sistēmu piesārņojuma, tostarp ūdens, augsnes, gaisa un radiācijas, apkarošanai. Piesārņotājiem ir jāuzliek naudas sodi apvienojumā ar obligātu atbalstu no specializētas organizācijas, kas īpaši paredzēta, lai palīdzētu struktūrām novērst piesārņojumu un atjaunot ekosistēmu. Šai specializētajai organizācijai būtu jāuzņemas vadošā loma piesārņojuma līmeņa novēršanā un kontrolēšanā. </w:t>
      </w:r>
    </w:p>
    <w:p>
      <w:pPr>
        <w:pStyle w:val="Normal"/>
        <w:rPr/>
      </w:pPr>
      <w:r>
        <w:rPr/>
        <w:t xml:space="preserve"> </w:t>
      </w:r>
    </w:p>
    <w:p>
      <w:pPr>
        <w:pStyle w:val="Normal"/>
        <w:rPr/>
      </w:pPr>
      <w:r>
        <w:rPr/>
        <w:t xml:space="preserve">Jo ir svarīgi koncentrēties uz piesārņotāju atbildību un mudināt struktūras samazināt piesārņojumu, vēršoties pret nulles piesārņojumu. Ir svarīgi, lai planēta būtu veselīga, jo tā ir tieši saistīta ar mūsu labklājību un mūsu turpmāko eksistenci. </w:t>
      </w:r>
    </w:p>
    <w:p>
      <w:pPr>
        <w:pStyle w:val="Normal"/>
        <w:rPr/>
      </w:pPr>
      <w:r>
        <w:rPr/>
        <w:t xml:space="preserve"> </w:t>
      </w:r>
    </w:p>
    <w:p>
      <w:pPr>
        <w:pStyle w:val="P68B1DB1Normal15"/>
        <w:rPr>
          <w:b/>
          <w:b/>
        </w:rPr>
      </w:pPr>
      <w:r>
        <w:rPr/>
        <w:t xml:space="preserve">33. Mēs iesakām ES izveidot īpašu tīmekļa vietni/platformu, ko pārbaudītu vairāki eksperti — ar daudzveidīgu un regulāri atjauninātu vides zinātnisko informāciju —, kas ir viegli pieejama un pārredzama visiem iedzīvotājiem. Šī tīmekļa vietne/platforma tiks saistīta ar forumu, kurā iedzīvotāji un eksperti var mijiedarboties. Mēs arī iesakām uzsākt plašsaziņas līdzekļu kampaņu, lai popularizētu šo tīmekļa vietni/platformu (piemēram, izmantojot sociālos plašsaziņas līdzekļus, piemēram, YouTube, TikTok un LinkedIn). </w:t>
      </w:r>
    </w:p>
    <w:p>
      <w:pPr>
        <w:pStyle w:val="Normal"/>
        <w:rPr/>
      </w:pPr>
      <w:r>
        <w:rPr/>
        <w:t xml:space="preserve"> </w:t>
      </w:r>
    </w:p>
    <w:p>
      <w:pPr>
        <w:pStyle w:val="Normal"/>
        <w:rPr/>
      </w:pPr>
      <w:r>
        <w:rPr/>
        <w:t xml:space="preserve">Visiem iedzīvotājiem ir jābūt neatkarīgiem informācijas avotiem, pamatojoties uz zinātniskiem pierādījumiem, lai izprastu problēmas, kas saistītas ar klimata pārmaiņām (to sekas un pasākumi, kas jāveic, lai tās novērstu), kā arī lai risinātu nepatiesas ziņas. Plašsaziņas līdzekļu kampaņa uzlabos informētību par šīs platformas/tīmekļa vietnes pastāvēšanu. Ir arī svarīgi, lai tīmekļa vietnē/platformā sniegtā informācija būtu saprotama visiem iedzīvotājiem, nodrošinot piekļuvi izejmateriāliem tiem, kuri vēlas padziļināt šo tematu. </w:t>
      </w:r>
    </w:p>
    <w:p>
      <w:pPr>
        <w:pStyle w:val="Normal"/>
        <w:rPr/>
      </w:pPr>
      <w:r>
        <w:rPr/>
        <w:t xml:space="preserve"> </w:t>
      </w:r>
    </w:p>
    <w:p>
      <w:pPr>
        <w:pStyle w:val="P68B1DB1Normal15"/>
        <w:rPr>
          <w:b/>
          <w:b/>
        </w:rPr>
      </w:pPr>
      <w:r>
        <w:rPr/>
        <w:t xml:space="preserve">34. Mēs iesakām ES samazināt importēto preču daudzumu, kas neatbilst ES vides pēdas nospieduma standartiem. </w:t>
      </w:r>
    </w:p>
    <w:p>
      <w:pPr>
        <w:pStyle w:val="Normal"/>
        <w:rPr/>
      </w:pPr>
      <w:r>
        <w:rPr/>
        <w:t xml:space="preserve"> </w:t>
      </w:r>
    </w:p>
    <w:p>
      <w:pPr>
        <w:pStyle w:val="Normal"/>
        <w:rPr/>
      </w:pPr>
      <w:r>
        <w:rPr/>
        <w:t xml:space="preserve">To darot, mēs nodrošinām, ka ES importētajām precēm ir videi nekaitīgāka ietekme. Mērķis ir samazināt piesārņojumu visā pasaulē. Ir svarīgi arī iepazīstināt valstis ar standartiem, ja tās vēlas eksportēt preces uz ES. </w:t>
      </w:r>
    </w:p>
    <w:p>
      <w:pPr>
        <w:pStyle w:val="Normal"/>
        <w:rPr/>
      </w:pPr>
      <w:r>
        <w:rPr/>
        <w:t xml:space="preserve"> </w:t>
      </w:r>
    </w:p>
    <w:p>
      <w:pPr>
        <w:pStyle w:val="P68B1DB1Normal15"/>
        <w:rPr>
          <w:b/>
          <w:b/>
        </w:rPr>
      </w:pPr>
      <w:r>
        <w:rPr/>
        <w:t xml:space="preserve">35. Mēs iesakām ES veicināt, veicināt un veicināt dialogu par klimata pārmaiņām starp visiem lēmumu pieņemšanas līmeņiem — no ļoti vietējiem (pilsoņiem) līdz globāliem (valsts, starptautiskiem un starpkontinentāliem), lai kliedētu visu ieinteresēto personu bažas. </w:t>
      </w:r>
    </w:p>
    <w:p>
      <w:pPr>
        <w:pStyle w:val="Normal"/>
        <w:rPr/>
      </w:pPr>
      <w:r>
        <w:rPr/>
        <w:t xml:space="preserve"> </w:t>
      </w:r>
    </w:p>
    <w:p>
      <w:pPr>
        <w:pStyle w:val="Normal"/>
        <w:rPr/>
      </w:pPr>
      <w:r>
        <w:rPr/>
        <w:t xml:space="preserve">Jo dialogs un vienprātība ir labākais veids, kā risināt klimata pārmaiņu problēmas: ja puses saprot viens otru, ir lielāka vēlme atrast kopīgu pamatu. </w:t>
      </w:r>
    </w:p>
    <w:p>
      <w:pPr>
        <w:pStyle w:val="Normal"/>
        <w:rPr/>
      </w:pPr>
      <w:r>
        <w:rPr/>
        <w:t xml:space="preserve"> </w:t>
      </w:r>
    </w:p>
    <w:p>
      <w:pPr>
        <w:pStyle w:val="Titre4"/>
        <w:numPr>
          <w:ilvl w:val="3"/>
          <w:numId w:val="2"/>
        </w:numPr>
        <w:rPr/>
      </w:pPr>
      <w:bookmarkStart w:id="170" w:name="__RefHeading___Toc297275_1346298689"/>
      <w:bookmarkEnd w:id="170"/>
      <w:r>
        <w:rPr/>
        <w:t xml:space="preserve">Apakšass 4.3 Videi draudzīgs transports </w:t>
      </w:r>
    </w:p>
    <w:p>
      <w:pPr>
        <w:pStyle w:val="Normal"/>
        <w:rPr/>
      </w:pPr>
      <w:r>
        <w:rPr>
          <w:b/>
        </w:rPr>
        <w:t>36. Mēs iesakām ES finansiāli atbalstīt Eiropas dalībvalstis, lai uzlabotu savienojamību lauku apvidos. Lai to panāktu, ir jāattīsta Eiropas sabiedriskā transporta tīkls, kura pamatā ir pieņemamas cenas (prioritārs dzelzceļš) un stimuli sabiedriskā transporta izmantošanai. Šajā nolūkā īsā un reālistiskā laikposmā lauku apvidos būtu jāattīsta arī interneta pieslēgums.</w:t>
      </w:r>
      <w:r>
        <w:rPr/>
        <w:t xml:space="preserve"> </w:t>
      </w:r>
    </w:p>
    <w:p>
      <w:pPr>
        <w:pStyle w:val="Normal"/>
        <w:rPr/>
      </w:pPr>
      <w:r>
        <w:rPr/>
        <w:t xml:space="preserve"> </w:t>
      </w:r>
    </w:p>
    <w:p>
      <w:pPr>
        <w:pStyle w:val="Normal"/>
        <w:rPr/>
      </w:pPr>
      <w:r>
        <w:rPr/>
        <w:t xml:space="preserve">Mēs sniedzam šo ieteikumu, jo nav vienlīdzīgas piekļuves sabiedriskajam transportam un interneta pieslēgumam starp lauku un pilsētu teritorijām. Tiktu stiprināts kopējs Eiropas projekts, jo visi iedzīvotāji uzskata, ka viņiem ir vienādas tiesības. Sabiedriskā transporta tīkla un interneta savienojamības stiprināšana mudinātu cilvēkus apmesties lauku apvidos. Šis process samazinātu piesārņojumu, jo mazāk cilvēku dzīvo pārapdzīvotās pilsētās. </w:t>
      </w:r>
    </w:p>
    <w:p>
      <w:pPr>
        <w:pStyle w:val="Normal"/>
        <w:rPr/>
      </w:pPr>
      <w:r>
        <w:rPr/>
        <w:t xml:space="preserve"> </w:t>
      </w:r>
    </w:p>
    <w:p>
      <w:pPr>
        <w:pStyle w:val="P68B1DB1Normal15"/>
        <w:rPr>
          <w:b/>
          <w:b/>
        </w:rPr>
      </w:pPr>
      <w:r>
        <w:rPr/>
        <w:t xml:space="preserve">37. Mēs iesakām uzlabot esošo transporta infrastruktūru, kas vairs netiek izmantota vai ko var vēl vairāk uzlabot no ekoloģiskā viedokļa (elektrovilcienu izveide). Šis process jāveic, neskarot vides aizsardzības teritorijas. </w:t>
      </w:r>
    </w:p>
    <w:p>
      <w:pPr>
        <w:pStyle w:val="Normal"/>
        <w:rPr/>
      </w:pPr>
      <w:r>
        <w:rPr/>
        <w:t xml:space="preserve"> </w:t>
      </w:r>
    </w:p>
    <w:p>
      <w:pPr>
        <w:pStyle w:val="Normal"/>
        <w:rPr/>
      </w:pPr>
      <w:r>
        <w:rPr/>
        <w:t>Uzlabojot esošo infrastruktūru, netiktu tērēts pārāk daudz resursu un netiktu nodarīts kaitējums svarīgām aizsargājamām teritorijām bioloģiskās daudzveidības saglabāšanai. Dzelzceļa infrastruktūras palielināšana samazinātu CO2 emisijas un</w:t>
      </w:r>
      <w:r>
        <w:rPr>
          <w:vertAlign w:val="subscript"/>
        </w:rPr>
        <w:t>veicinātu</w:t>
      </w:r>
      <w:r>
        <w:rPr/>
        <w:t xml:space="preserve"> cilvēku mobilitāti no pilsētām uz lauku apvidiem. </w:t>
      </w:r>
    </w:p>
    <w:p>
      <w:pPr>
        <w:pStyle w:val="Normal"/>
        <w:rPr/>
      </w:pPr>
      <w:r>
        <w:rPr/>
        <w:t xml:space="preserve"> </w:t>
      </w:r>
    </w:p>
    <w:p>
      <w:pPr>
        <w:pStyle w:val="P68B1DB1Normal15"/>
        <w:rPr>
          <w:b/>
          <w:b/>
        </w:rPr>
      </w:pPr>
      <w:r>
        <w:rPr/>
        <w:t xml:space="preserve">38. Mēs iesakām ES veicināt tādu elektrotransportlīdzekļu iegādi, kas atbilst labiem akumulatoru ekspluatācijas standartiem. Šajā nolūkā ES varētu stimulēt visas dalībvalstis un uzlabot elektroenerģijas infrastruktūru. Tajā pašā laikā ES būtu jāiegulda citu tīro tehnoloģiju, piemēram, biodegvielu un ūdeņraža, izstrādē transportlīdzekļiem, kuru elektrifikāciju ir grūti panākt, piemēram, laivām un kravas automobiļiem. </w:t>
      </w:r>
    </w:p>
    <w:p>
      <w:pPr>
        <w:pStyle w:val="Normal"/>
        <w:rPr/>
      </w:pPr>
      <w:r>
        <w:rPr/>
        <w:t xml:space="preserve"> </w:t>
      </w:r>
    </w:p>
    <w:p>
      <w:pPr>
        <w:pStyle w:val="Normal"/>
        <w:rPr/>
      </w:pPr>
      <w:r>
        <w:rPr/>
        <w:t xml:space="preserve">Mēs sniedzam šo ieteikumu, jo elektrība ir ātrākais veids, kā samazināt transportlīdzekļu emisijas, izmantojot citus enerģijas avotus, piemēram, ūdeņradi un biodegvielas. Ātrākais, ekonomiskais un realizējamais risinājums ir elektroenerģija, kam seko biodegviela. Ilgtermiņā zaļajam ūdeņradim vajadzētu būt papildinošam, aptverot transporta veidus, kurus nevar elektrificēt. </w:t>
      </w:r>
    </w:p>
    <w:p>
      <w:pPr>
        <w:pStyle w:val="Normal"/>
        <w:rPr/>
      </w:pPr>
      <w:r>
        <w:rPr/>
        <w:t xml:space="preserve"> </w:t>
      </w:r>
    </w:p>
    <w:p>
      <w:pPr>
        <w:pStyle w:val="Titre3"/>
        <w:numPr>
          <w:ilvl w:val="2"/>
          <w:numId w:val="2"/>
        </w:numPr>
        <w:rPr/>
      </w:pPr>
      <w:bookmarkStart w:id="171" w:name="__RefHeading___Toc297277_1346298689"/>
      <w:bookmarkEnd w:id="171"/>
      <w:r>
        <w:rPr/>
        <w:t xml:space="preserve">Ass 5 rūpes par visiem </w:t>
      </w:r>
    </w:p>
    <w:p>
      <w:pPr>
        <w:pStyle w:val="Titre4"/>
        <w:numPr>
          <w:ilvl w:val="3"/>
          <w:numId w:val="2"/>
        </w:numPr>
        <w:rPr/>
      </w:pPr>
      <w:bookmarkStart w:id="172" w:name="__RefHeading___Toc297279_1346298689"/>
      <w:bookmarkEnd w:id="172"/>
      <w:r>
        <w:rPr/>
        <w:t xml:space="preserve">Apakšass 5.1 Stiprināt veselības aprūpes sistēmu </w:t>
      </w:r>
    </w:p>
    <w:p>
      <w:pPr>
        <w:pStyle w:val="P68B1DB1Normal15"/>
        <w:rPr>
          <w:b/>
          <w:b/>
        </w:rPr>
      </w:pPr>
      <w:r>
        <w:rPr/>
        <w:t xml:space="preserve">39. Mēs iesakām Eiropas Savienībai garantēt kopējus veselības standartus, kā arī iestāties par pienācīgu minimālo algu, maksimālo darba laiku un vienādiem apmācības standartiem attiecībā uz vienu un to pašu kvalifikāciju veselības aprūpes speciālistiem visā Eiropas Savienībā. </w:t>
      </w:r>
    </w:p>
    <w:p>
      <w:pPr>
        <w:pStyle w:val="Normal"/>
        <w:rPr/>
      </w:pPr>
      <w:r>
        <w:rPr/>
        <w:t xml:space="preserve"> </w:t>
      </w:r>
    </w:p>
    <w:p>
      <w:pPr>
        <w:pStyle w:val="Normal"/>
        <w:rPr/>
      </w:pPr>
      <w:r>
        <w:rPr/>
        <w:t xml:space="preserve">Ja mums nebūs kopīgu veselības aprūpes standartu, algu un veselības aprūpes speciālistu kopīgas apmācības, atšķirības starp dalībvalstīm varētu radīt nelīdzsvarotas situācijas visā Eiropas Savienībā. Veselības aprūpes standartizācija varētu veicināt spēcīgāku, efektīvāku un noturīgāku sistēmu (piemēram, Covid-19 krīze attiecībā uz mūsu sistēmu stabilitāti). Tas arī atvieglotu zināšanu un informācijas apmaiņu veselības aprūpes nozarē. </w:t>
      </w:r>
    </w:p>
    <w:p>
      <w:pPr>
        <w:pStyle w:val="Normal"/>
        <w:rPr/>
      </w:pPr>
      <w:r>
        <w:rPr/>
        <w:t xml:space="preserve"> </w:t>
      </w:r>
    </w:p>
    <w:p>
      <w:pPr>
        <w:pStyle w:val="P68B1DB1Normal15"/>
        <w:rPr>
          <w:b/>
          <w:b/>
        </w:rPr>
      </w:pPr>
      <w:r>
        <w:rPr/>
        <w:t xml:space="preserve">40. Mēs iesakām Eiropas Savienībai nodrošināt, lai ārstēšana visā ES būtu vienādas kvalitātes un par taisnīgām vietējām izmaksām. To varētu nodrošināt, piemēram, paplašinot Eiropas Zāļu aģentūras (EMA) kompetenci vai izveidojot jaunu Eiropas publiskā iepirkuma aģentūru, kas būtu kompetenta risināt sarunas un iegūt atbilstošākas zāļu cenas visām dalībvalstīm. Monopolu risks farmācijas nozarē ir jāsamazina līdz minimumam. </w:t>
      </w:r>
    </w:p>
    <w:p>
      <w:pPr>
        <w:pStyle w:val="Normal"/>
        <w:rPr/>
      </w:pPr>
      <w:r>
        <w:rPr/>
        <w:t xml:space="preserve"> </w:t>
      </w:r>
    </w:p>
    <w:p>
      <w:pPr>
        <w:pStyle w:val="Normal"/>
        <w:rPr/>
      </w:pPr>
      <w:r>
        <w:rPr/>
        <w:t xml:space="preserve">Veselības aprūpes pakalpojumu un ārstēšanas vienlīdzība ES garantē vienlīdzīgas tiesības veselības jomā visiem Eiropas pilsoņiem. Lielāka pirktspēja nodrošina labākus iepirkuma nosacījumus. Tomēr tam nevajadzētu novest pie monopola struktūrām un farmācijas lobēšanas. Covid-19 krīzes pārvaldība ir labs piemērs sadarbīgai veselības pārvaldībai Eiropas Savienībā kopumā. </w:t>
      </w:r>
    </w:p>
    <w:p>
      <w:pPr>
        <w:pStyle w:val="Normal"/>
        <w:rPr/>
      </w:pPr>
      <w:r>
        <w:rPr/>
        <w:t xml:space="preserve"> </w:t>
      </w:r>
    </w:p>
    <w:p>
      <w:pPr>
        <w:pStyle w:val="P68B1DB1Normal15"/>
        <w:rPr>
          <w:b/>
          <w:b/>
        </w:rPr>
      </w:pPr>
      <w:r>
        <w:rPr/>
        <w:t xml:space="preserve">41. Mēs iesakām izveidot Eiropas veselības aprūpes datubāzi, kurā ārkārtas vai slimības gadījumā būtu pieejama medicīniskā informācija. Līdzdalībai vajadzētu būt fakultatīvai, un būtu jānodrošina personas datu aizsardzība. </w:t>
      </w:r>
    </w:p>
    <w:p>
      <w:pPr>
        <w:pStyle w:val="Normal"/>
        <w:rPr/>
      </w:pPr>
      <w:r>
        <w:rPr/>
        <w:t xml:space="preserve"> </w:t>
      </w:r>
    </w:p>
    <w:p>
      <w:pPr>
        <w:pStyle w:val="Normal"/>
        <w:rPr/>
      </w:pPr>
      <w:r>
        <w:rPr/>
        <w:t xml:space="preserve">Piekļuve datiem un datu izmantošana ļauj ātri reaģēt gadījumos, kad dzīvība ir apdraudēta. Pirātisms vai ļaunprātīga izmantošana ir nopietns drauds šādai Eiropas veselības aprūpes datubāzes sistēmai, tādēļ ir jānodrošina datu drošība, savukārt līdzdalība joprojām ir fakultatīva un, protams, jānovērš ar drošību saistīti draudi. </w:t>
      </w:r>
    </w:p>
    <w:p>
      <w:pPr>
        <w:pStyle w:val="Normal"/>
        <w:rPr/>
      </w:pPr>
      <w:r>
        <w:rPr/>
        <w:t xml:space="preserve"> </w:t>
      </w:r>
    </w:p>
    <w:p>
      <w:pPr>
        <w:pStyle w:val="P68B1DB1Normal15"/>
        <w:rPr>
          <w:b/>
          <w:b/>
        </w:rPr>
      </w:pPr>
      <w:r>
        <w:rPr/>
        <w:t xml:space="preserve">42. Mēs iesakām Eiropas Savienībai turpināt izstrādāt un sinhronizēt esošās veselības pētniecības un inovācijas programmas, kā tas notiek saskaņā ar pašreizējo programmu “Apvārsnis Eiropa”. Pētījumu rezultātiem vajadzētu būt brīvi pieejamiem visās dalībvalstīs. </w:t>
      </w:r>
    </w:p>
    <w:p>
      <w:pPr>
        <w:pStyle w:val="Normal"/>
        <w:rPr/>
      </w:pPr>
      <w:r>
        <w:rPr/>
        <w:t xml:space="preserve"> </w:t>
      </w:r>
    </w:p>
    <w:p>
      <w:pPr>
        <w:pStyle w:val="Normal"/>
        <w:rPr/>
      </w:pPr>
      <w:r>
        <w:rPr/>
        <w:t xml:space="preserve">Zinātniskā sadarbība ES līmenī varētu bagātināt atsevišķu pētnieku zinātniskās spējas un zināšanas. Zināšanu apmaiņa, piemēram, varētu izraisīt agrīnu diagnosticēšanu un labāku ārstēšanu, lai samazinātu nopietnas un letālas slimības visā Eiropā. Tas arī veicinātu Eiropas pašpietiekamību zāļu un aprīkojuma jomā. </w:t>
      </w:r>
    </w:p>
    <w:p>
      <w:pPr>
        <w:pStyle w:val="Normal"/>
        <w:rPr/>
      </w:pPr>
      <w:r>
        <w:rPr/>
        <w:t xml:space="preserve"> </w:t>
      </w:r>
    </w:p>
    <w:p>
      <w:pPr>
        <w:pStyle w:val="P68B1DB1Normal15"/>
        <w:rPr>
          <w:b/>
          <w:b/>
        </w:rPr>
      </w:pPr>
      <w:r>
        <w:rPr/>
        <w:t xml:space="preserve">43. Mēs iesakām ES palielināt budžetu kopīgiem veselības pētniecības un inovācijas projektiem (bez budžeta samazinājumiem citās ar veselību saistītās ES programmās). Tas arī stiprinātu Eiropas zinātnes un pētniecības iestādes kopumā. </w:t>
      </w:r>
    </w:p>
    <w:p>
      <w:pPr>
        <w:pStyle w:val="Normal"/>
        <w:rPr/>
      </w:pPr>
      <w:r>
        <w:rPr/>
        <w:t xml:space="preserve"> </w:t>
      </w:r>
    </w:p>
    <w:p>
      <w:pPr>
        <w:pStyle w:val="Normal"/>
        <w:rPr/>
      </w:pPr>
      <w:r>
        <w:rPr/>
        <w:t xml:space="preserve">Veselības pētniecība un investīcijas stiprinās profilaktisko medicīnu ilgtermiņā un samazinās ar veselību saistītās izmaksas. Lielāks finansējums varētu novērst Eiropas intelektuālā darbaspēka emigrāciju uz citām attīstītajām valstīm, kurām ir lielāks pētniecības un attīstības budžets veselības aprūpes jomā. Šis finansējums nebūtu jāgūst no esošajiem finanšu resursiem veselības aprūpei. </w:t>
      </w:r>
    </w:p>
    <w:p>
      <w:pPr>
        <w:pStyle w:val="Normal"/>
        <w:rPr/>
      </w:pPr>
      <w:r>
        <w:rPr/>
        <w:t xml:space="preserve"> </w:t>
      </w:r>
    </w:p>
    <w:p>
      <w:pPr>
        <w:pStyle w:val="Titre4"/>
        <w:numPr>
          <w:ilvl w:val="3"/>
          <w:numId w:val="2"/>
        </w:numPr>
        <w:rPr/>
      </w:pPr>
      <w:bookmarkStart w:id="173" w:name="__RefHeading___Toc297281_1346298689"/>
      <w:bookmarkEnd w:id="173"/>
      <w:r>
        <w:rPr/>
        <w:t xml:space="preserve">Apakšass 5.2. Plašāks skatījums uz veselību </w:t>
      </w:r>
    </w:p>
    <w:p>
      <w:pPr>
        <w:pStyle w:val="P68B1DB1Normal15"/>
        <w:rPr>
          <w:b/>
          <w:b/>
        </w:rPr>
      </w:pPr>
      <w:r>
        <w:rPr/>
        <w:t xml:space="preserve">44. Mēs iesakām visās dalībvalstīs vienā un tajā pašā nedēļā izveidot veselības nedēļu kā ES iniciatīvu, kas veltīta visiem veselības jautājumiem, īpašu uzmanību pievēršot garīgajai veselībai. Šīs nedēļas laikā visas galvenās garīgās veselības tēmas tiks aptvertas un veicinātas kolektīvi, kā arī citas jau esošās iniciatīvas, piemēram, garīgās veselības Eiropas iniciatīvas. </w:t>
      </w:r>
    </w:p>
    <w:p>
      <w:pPr>
        <w:pStyle w:val="Normal"/>
        <w:rPr/>
      </w:pPr>
      <w:r>
        <w:rPr/>
        <w:t xml:space="preserve"> </w:t>
      </w:r>
    </w:p>
    <w:p>
      <w:pPr>
        <w:pStyle w:val="Normal"/>
        <w:rPr/>
      </w:pPr>
      <w:r>
        <w:rPr/>
        <w:t xml:space="preserve">Mēs sniedzam šo ieteikumu, jo visiem Eiropas iedzīvotājiem ir jājūtas pieņemamiem un iekļautiem, jo īpaši, ja viņi cieš no garīgās veselības problēmām. Turklāt ir jāstandartizē un jāuzlabo izpratne par garīgās veselības problēmām, kā arī jānovērš ar to saistītās sociālās problēmas, piemēram, diskriminācija. Turklāt, tā kā garīgās veselības problēmas pandēmijas laikā ir palielinājušās un, visticamāk, turpināsies, šī iniciatīva ir vēl jo svarīgāka. </w:t>
      </w:r>
    </w:p>
    <w:p>
      <w:pPr>
        <w:pStyle w:val="Normal"/>
        <w:rPr/>
      </w:pPr>
      <w:r>
        <w:rPr/>
        <w:t xml:space="preserve"> </w:t>
      </w:r>
    </w:p>
    <w:p>
      <w:pPr>
        <w:pStyle w:val="P68B1DB1Normal15"/>
        <w:rPr>
          <w:b/>
          <w:b/>
        </w:rPr>
      </w:pPr>
      <w:r>
        <w:rPr/>
        <w:t xml:space="preserve">45. Mēs iesakām, lai sieviešu higiēnas preces nodokļu ziņā vairs netiktu uzskatītas par luksusa precēm, jo tās ir būtiskas preces. Mēs arī iesakām hormonālos kontracepcijas līdzekļus, ko izmanto medicīnisku iemeslu dēļ, piemēram, fibromialģiju un endometriozi, aplikt ar nodokli kā regulāru ārstēšanu. Mēs arī iesakām Eiropas Savienībai veicināt visu sieviešu (vienas vai precējušās) reproduktīvās ārstēšanas saskaņošanu visās dalībvalstīs. </w:t>
      </w:r>
    </w:p>
    <w:p>
      <w:pPr>
        <w:pStyle w:val="Normal"/>
        <w:rPr/>
      </w:pPr>
      <w:r>
        <w:rPr/>
        <w:t xml:space="preserve"> </w:t>
      </w:r>
    </w:p>
    <w:p>
      <w:pPr>
        <w:pStyle w:val="Normal"/>
        <w:rPr/>
      </w:pPr>
      <w:r>
        <w:rPr/>
        <w:t xml:space="preserve">Dažās Eiropas valstīs sieviešu higiēnas produkti tiek aplikti ar nodokli kā luksusa preces, kas ir netaisnīgi. Daži hormonālie kontracepcijas līdzekļi tiek izmantoti medicīniskiem mērķiem, un tāpēc tie būtu attiecīgi jāapliek ar nodokli. Tā kā sieviešu reproduktīvajai ārstēšanai, piemēram, in vitro apaugļošanai un olu sasaldēšanas metodēm, dalībvalstīs ir atšķirīgi atbilstības nosacījumi, un Eiropas Savienībai ir jācenšas tos saskaņot. </w:t>
      </w:r>
    </w:p>
    <w:p>
      <w:pPr>
        <w:pStyle w:val="Normal"/>
        <w:rPr/>
      </w:pPr>
      <w:r>
        <w:rPr/>
        <w:t xml:space="preserve"> </w:t>
      </w:r>
    </w:p>
    <w:p>
      <w:pPr>
        <w:pStyle w:val="P68B1DB1Normal15"/>
        <w:rPr>
          <w:b/>
          <w:b/>
        </w:rPr>
      </w:pPr>
      <w:r>
        <w:rPr/>
        <w:t xml:space="preserve">46. Mēs iesakām Eiropas Savienībai ieņemt stingru nostāju, lai mudinātu visas dalībvalstis vajadzības gadījumā iekļaut savās skolu mācību programmās jautājumus, kas saistīti ar garīgo veselību un dzimumizglītību. Lai palīdzētu dalībvalstīm iekļaut šos jautājumus skolu mācību programmās, Eiropas Savienībai būtu jāizstrādā un jādara pieejama standarta programma garīgās veselības un seksuālo jautājumu jomā. </w:t>
      </w:r>
    </w:p>
    <w:p>
      <w:pPr>
        <w:pStyle w:val="Normal"/>
        <w:rPr/>
      </w:pPr>
      <w:r>
        <w:rPr/>
        <w:t xml:space="preserve"> </w:t>
      </w:r>
    </w:p>
    <w:p>
      <w:pPr>
        <w:pStyle w:val="Normal"/>
        <w:rPr/>
      </w:pPr>
      <w:r>
        <w:rPr/>
        <w:t xml:space="preserve">Ir jāsamazina diskriminācija un tabu attiecībā uz garīgās veselības problēmām. Jāizvairās arī no dezinformācijas un nezinātniskām pieejām. Turklāt dzimumizglītība ir būtiska veselīgai dzīvei un kopienai un novērš tādas problēmas kā pusaudžu grūtniecība. </w:t>
      </w:r>
    </w:p>
    <w:p>
      <w:pPr>
        <w:pStyle w:val="Normal"/>
        <w:rPr/>
      </w:pPr>
      <w:r>
        <w:rPr/>
        <w:t xml:space="preserve"> </w:t>
      </w:r>
    </w:p>
    <w:p>
      <w:pPr>
        <w:pStyle w:val="P68B1DB1Normal15"/>
        <w:rPr>
          <w:b/>
          <w:b/>
        </w:rPr>
      </w:pPr>
      <w:r>
        <w:rPr/>
        <w:t xml:space="preserve">47. Mēs iesakām Eiropas Savienībai izstrādāt labāku komunikācijas sistēmu visām tās garīgās veselības iniciatīvām, proti, sabiedrības veselības portālam par paraugpraksi dalībvalstīs un visiem iedzīvotājiem. Deputāti varētu iepazīstināt viens ar otru ar šo paraugpraksi, lai padarītu to labāk zināmu visās dalībvalstīs. </w:t>
      </w:r>
    </w:p>
    <w:p>
      <w:pPr>
        <w:pStyle w:val="Normal"/>
        <w:rPr/>
      </w:pPr>
      <w:r>
        <w:rPr/>
        <w:t xml:space="preserve"> </w:t>
      </w:r>
    </w:p>
    <w:p>
      <w:pPr>
        <w:pStyle w:val="Normal"/>
        <w:rPr/>
      </w:pPr>
      <w:r>
        <w:rPr/>
        <w:t xml:space="preserve">Iedzīvotāji nav labi informēti par ES iniciatīvām, un paraugprakses apmaiņa ļauj mums mācīties viens no otra. </w:t>
      </w:r>
    </w:p>
    <w:p>
      <w:pPr>
        <w:pStyle w:val="Normal"/>
        <w:rPr/>
      </w:pPr>
      <w:r>
        <w:rPr/>
        <w:t xml:space="preserve"> </w:t>
      </w:r>
    </w:p>
    <w:p>
      <w:pPr>
        <w:pStyle w:val="Titre4"/>
        <w:numPr>
          <w:ilvl w:val="3"/>
          <w:numId w:val="2"/>
        </w:numPr>
        <w:rPr/>
      </w:pPr>
      <w:bookmarkStart w:id="174" w:name="__RefHeading___Toc297283_1346298689"/>
      <w:bookmarkEnd w:id="174"/>
      <w:r>
        <w:rPr/>
        <w:t xml:space="preserve">Apakšass 5.3. Vienlīdzīga piekļuve veselības aprūpei visiem </w:t>
      </w:r>
    </w:p>
    <w:p>
      <w:pPr>
        <w:pStyle w:val="P68B1DB1Normal15"/>
        <w:rPr>
          <w:b/>
          <w:b/>
        </w:rPr>
      </w:pPr>
      <w:r>
        <w:rPr/>
        <w:t xml:space="preserve">48. Mēs iesakām ES noteikt un veicināt minimālos standartus kvalitatīvai zobārstniecības aprūpei, tostarp profilaksei, visās ES dalībvalstīs. Bērniem, grupām ar zemiem ienākumiem un citām neaizsargātām grupām būtu jāsniedz bezmaksas zobārstniecības aprūpe. 15–20 gadu laikā ES būtu jānodrošina, ka zobu aprūpe par pieņemamu cenu ir pieejama visiem. </w:t>
      </w:r>
    </w:p>
    <w:p>
      <w:pPr>
        <w:pStyle w:val="Normal"/>
        <w:rPr/>
      </w:pPr>
      <w:r>
        <w:rPr/>
        <w:t xml:space="preserve"> </w:t>
      </w:r>
    </w:p>
    <w:p>
      <w:pPr>
        <w:pStyle w:val="Normal"/>
        <w:rPr/>
      </w:pPr>
      <w:r>
        <w:rPr/>
        <w:t xml:space="preserve">Mēs sniedzam šo ieteikumu, jo zobārstniecības aprūpe pašlaik nav pieejama daudziem cilvēkiem, kas dzīvo ES. Zobārstniecības un zobu profilakses trūkums kaitē viņu veselībai un dzīvesveidam. ES būtu jāsāk, nosakot minimālos standartus zobārstniecības aprūpei un pieprasot bezmaksas zobārstniecības aprūpi bērniem un grupām ar zemiem ienākumiem. Galu galā ikvienam vajadzētu būt tiesībām uz kvalitatīvu zobārstniecības aprūpi. </w:t>
      </w:r>
    </w:p>
    <w:p>
      <w:pPr>
        <w:pStyle w:val="Normal"/>
        <w:rPr/>
      </w:pPr>
      <w:r>
        <w:rPr/>
        <w:t xml:space="preserve"> </w:t>
      </w:r>
    </w:p>
    <w:p>
      <w:pPr>
        <w:pStyle w:val="P68B1DB1Normal15"/>
        <w:rPr>
          <w:b/>
          <w:b/>
        </w:rPr>
      </w:pPr>
      <w:r>
        <w:rPr/>
        <w:t xml:space="preserve">49. Mēs iesakām veselības aizsardzību un veselības aprūpi iekļaut ES un tās dalībvalstu dalītajā kompetencē. Lai iekļautu šo jauno dalīto kompetenci, ir jāgroza Līguma par Eiropas Savienības darbību (LESD) 4. pants. </w:t>
      </w:r>
    </w:p>
    <w:p>
      <w:pPr>
        <w:pStyle w:val="Normal"/>
        <w:rPr/>
      </w:pPr>
      <w:r>
        <w:rPr/>
        <w:t xml:space="preserve"> </w:t>
      </w:r>
    </w:p>
    <w:p>
      <w:pPr>
        <w:pStyle w:val="Normal"/>
        <w:rPr/>
      </w:pPr>
      <w:r>
        <w:rPr/>
        <w:t xml:space="preserve">Mēs sniedzam šo ieteikumu, jo Eiropas Savienībai pašlaik nav pietiekamu pilnvaru, lai pieņemtu tiesību aktus veselības aprūpes jomā. Covid-19 pandēmija ir parādījusi, ka ir jāpalielina ES klātbūtne veselības politikā. Šis Līguma grozījums ļaus ES darīt vairāk, lai nodrošinātu veselības aprūpi visiem ES pilsoņiem un izdot saistošus noteikumus un lēmumus. </w:t>
      </w:r>
    </w:p>
    <w:p>
      <w:pPr>
        <w:pStyle w:val="Normal"/>
        <w:rPr/>
      </w:pPr>
      <w:r>
        <w:rPr/>
        <w:t xml:space="preserve"> </w:t>
      </w:r>
    </w:p>
    <w:p>
      <w:pPr>
        <w:pStyle w:val="P68B1DB1Normal15"/>
        <w:rPr>
          <w:b/>
          <w:b/>
        </w:rPr>
      </w:pPr>
      <w:r>
        <w:rPr/>
        <w:t xml:space="preserve">50. Mēs iesakām ES piedāvāt bezmaksas pirmās palīdzības kursus visiem ES pilsoņiem. ES varētu apsvērt iespēju noteikt, ka šie kursi ir obligāti studentiem un darbavietā (gan publiskajā, gan privātajā sektorā). Šiem kursiem jābūt arī praktiskiem, regulāriem un pielāgotiem studentu vecumam. Minimālajam defibrilatoru skaitam vajadzētu būt pieejamam arī sabiedriskās vietās visās ES dalībvalstīs. </w:t>
      </w:r>
    </w:p>
    <w:p>
      <w:pPr>
        <w:pStyle w:val="Normal"/>
        <w:rPr/>
      </w:pPr>
      <w:r>
        <w:rPr/>
        <w:t xml:space="preserve"> </w:t>
      </w:r>
    </w:p>
    <w:p>
      <w:pPr>
        <w:pStyle w:val="Normal"/>
        <w:rPr/>
      </w:pPr>
      <w:r>
        <w:rPr/>
        <w:t xml:space="preserve">Mēs to iesakām, jo daudzi cilvēki Eiropas Savienībā nav gatavi rīkoties, kad personai ir vajadzīga palīdzība un viņi nezina pirmās palīdzības metodes. Tas ir iemesls, kāpēc daudzas dzīvības ir zaudētas. Dažās sabiedriskās vietās defibrilators nav pieejams. </w:t>
      </w:r>
    </w:p>
    <w:p>
      <w:pPr>
        <w:pStyle w:val="Normal"/>
        <w:rPr/>
      </w:pPr>
      <w:r>
        <w:rPr/>
        <w:t xml:space="preserve"> </w:t>
      </w:r>
    </w:p>
    <w:p>
      <w:pPr>
        <w:pStyle w:val="P68B1DB1Normal15"/>
        <w:rPr>
          <w:b/>
          <w:b/>
        </w:rPr>
      </w:pPr>
      <w:r>
        <w:rPr/>
        <w:t xml:space="preserve">51. Mēs iesakām Eiropas Savienībai nodrošināt, ka privātie veselības aprūpes sniedzēji netaisnīgi negūst labumu no valsts līdzekļiem un neizmanto sabiedrības veselības aprūpes sistēmu resursus. Eiropas Savienībai būtu jāsniedz stingri ieteikumi dalībvalstīm, lai palielinātu finansējumu sabiedrības veselības aprūpei. </w:t>
      </w:r>
    </w:p>
    <w:p>
      <w:pPr>
        <w:pStyle w:val="Normal"/>
        <w:rPr/>
      </w:pPr>
      <w:r>
        <w:rPr/>
        <w:t xml:space="preserve"> </w:t>
      </w:r>
    </w:p>
    <w:p>
      <w:pPr>
        <w:pStyle w:val="Normal"/>
        <w:rPr/>
      </w:pPr>
      <w:r>
        <w:rPr/>
        <w:t xml:space="preserve">Mēs sniedzam šo ieteikumu, jo Eiropas Savienībai un tās dalībvalstīm ir pienākums nodrošināt veselības aprūpes pieejamību visiem saviem pilsoņiem. Turklāt spēcīgākai sabiedrības veselības sistēmai ir vajadzīga arī labāka sagatavotība turpmākām pandēmijām. </w:t>
      </w:r>
    </w:p>
    <w:p>
      <w:pPr>
        <w:pStyle w:val="Normal"/>
        <w:rPr/>
      </w:pPr>
      <w:r>
        <w:rPr/>
        <w:t xml:space="preserve"> </w:t>
      </w:r>
    </w:p>
    <w:p>
      <w:pPr>
        <w:pStyle w:val="Titre3"/>
        <w:numPr>
          <w:ilvl w:val="2"/>
          <w:numId w:val="2"/>
        </w:numPr>
        <w:rPr/>
      </w:pPr>
      <w:bookmarkStart w:id="175" w:name="__RefHeading___Toc297285_1346298689"/>
      <w:bookmarkEnd w:id="175"/>
      <w:r>
        <w:rPr/>
        <w:t xml:space="preserve">Pielikums: CITI PANEĻDISKUSIJĀ IZSKATĪTIE IETEIKUMI, KAS NETIKA PIEŅEMTI </w:t>
      </w:r>
    </w:p>
    <w:p>
      <w:pPr>
        <w:pStyle w:val="Titre4"/>
        <w:numPr>
          <w:ilvl w:val="3"/>
          <w:numId w:val="2"/>
        </w:numPr>
        <w:rPr/>
      </w:pPr>
      <w:bookmarkStart w:id="176" w:name="__RefHeading___Toc297287_1346298689"/>
      <w:bookmarkEnd w:id="176"/>
      <w:r>
        <w:rPr/>
        <w:t xml:space="preserve">1. ass: Labāki dzīves veidi </w:t>
      </w:r>
    </w:p>
    <w:p>
      <w:pPr>
        <w:pStyle w:val="Normal"/>
        <w:rPr/>
      </w:pPr>
      <w:r>
        <w:rPr/>
        <w:t xml:space="preserve">Apakšass 1.1 Veselīgs dzīvesveids </w:t>
      </w:r>
    </w:p>
    <w:p>
      <w:pPr>
        <w:pStyle w:val="P68B1DB1Normal15"/>
        <w:rPr>
          <w:b/>
          <w:b/>
        </w:rPr>
      </w:pPr>
      <w:r>
        <w:rPr/>
        <w:t xml:space="preserve">Mēs iesakām ES nosūtīt visām dalībvalstīm ieteikumu par paraugpraksi attiecībā uz alkohola un tabakas reklāmas aizliegšanu vai ierobežošanu visos plašsaziņas līdzekļos un visās vecuma grupās, bet īpašu uzmanību pievēršot jauniešiem. ES būtu jānodrošina to tiesību aktu izpilde, kas ierobežo šo produktu pārdošanu nepilngadīgajiem. Visām dalībvalstīm ar sankcijām būtu jānodrošina, ka tiek īstenotas tiesību normas par smēķēšanu sabiedriskās vietās, jo īpaši skolās, un jārada smēķētājiem rezervētas telpas. </w:t>
      </w:r>
    </w:p>
    <w:p>
      <w:pPr>
        <w:pStyle w:val="Normal"/>
        <w:rPr/>
      </w:pPr>
      <w:r>
        <w:rPr/>
        <w:t xml:space="preserve"> </w:t>
      </w:r>
    </w:p>
    <w:p>
      <w:pPr>
        <w:pStyle w:val="Normal"/>
        <w:rPr/>
      </w:pPr>
      <w:r>
        <w:rPr/>
        <w:t xml:space="preserve">Veselībai kaitējošs dzīvesveids nevar parādīties reklāmā, un tam vajadzētu būt mazāk pamanāmam sabiedriskajā dzīvē. Turklāt, tā kā alkohols un tabaka ir vienas no visbiežāk izmantotajām kaitīgajām vielām, šis ieteikums novērsīs to ļaunprātīgu izmantošanu. </w:t>
      </w:r>
    </w:p>
    <w:p>
      <w:pPr>
        <w:pStyle w:val="Normal"/>
        <w:rPr/>
      </w:pPr>
      <w:r>
        <w:rPr/>
        <w:t xml:space="preserve"> </w:t>
      </w:r>
    </w:p>
    <w:p>
      <w:pPr>
        <w:pStyle w:val="P68B1DB1Normal15"/>
        <w:rPr>
          <w:b/>
          <w:b/>
        </w:rPr>
      </w:pPr>
      <w:r>
        <w:rPr/>
        <w:t xml:space="preserve">Mēs iesakām ES mudināt dalībvalstis iekļaut kursus valsts skolu mācību programmās, lai iemācītos gatavot ilgtspējīgā, veselīgā un garšīgā veidā. Šajā nolūkā ES var gan tiešsaistē, gan drukātā veidā darīt pieejamas veselīgas ēdiena gatavošanas rokasgrāmatas. Jaunieši būtu jāuzrunā, aktīvi reklamējot tradicionālos un sociālos plašsaziņas līdzekļus. Mums vajadzētu arī izglītot vecākus, lai uzzinātu, kā vislabāk izmantot pārtiku, lai pieņemtu veselīgu dzīvesveidu. Būtu jāveicina un jāuzlabo pētniecība šajā jomā. </w:t>
      </w:r>
    </w:p>
    <w:p>
      <w:pPr>
        <w:pStyle w:val="Normal"/>
        <w:rPr/>
      </w:pPr>
      <w:r>
        <w:rPr/>
        <w:t xml:space="preserve"> </w:t>
      </w:r>
    </w:p>
    <w:p>
      <w:pPr>
        <w:pStyle w:val="Normal"/>
        <w:rPr/>
      </w:pPr>
      <w:r>
        <w:rPr/>
        <w:t xml:space="preserve">Ēdiena gatavošanas un uztura nodarbību organizēšana skolā uzlabotu jauniešu veselību un atturētu no ātrās ēdināšanas patēriņa. Jauniešu izglītošana ļautu viņiem izskaidrot saviem vecākiem, ko viņi ir iemācījušies. Turklāt vecāku izglītošana par veselīgu dzīvesveidu ļautu viņiem rādīt piemēru saviem bērniem. </w:t>
      </w:r>
    </w:p>
    <w:p>
      <w:pPr>
        <w:pStyle w:val="Normal"/>
        <w:rPr/>
      </w:pPr>
      <w:r>
        <w:rPr/>
      </w:r>
    </w:p>
    <w:p>
      <w:pPr>
        <w:pStyle w:val="P68B1DB1Normal15"/>
        <w:rPr>
          <w:b/>
          <w:b/>
        </w:rPr>
      </w:pPr>
      <w:r>
        <w:rPr/>
        <w:t xml:space="preserve">Mēs iesakām pastiprināt Eiropas Komisijas publisko kampaņu par veselīgu dzīvesveidu, HealthyLifestyle4All un sociālās aktivitātes pozitīvo ietekmi, izmantojot konkrētus piemērus un visaptverošu stratēģiju. Būtu jānosaka informācijas kampaņas labi strukturētām mērķgrupām un jāizvēlas atbilstoši saziņas līdzekļi katrai no šīm grupām. Turklāt ir svarīgi ieviest atlīdzības un stimulu sistēmas, lai veicinātu pozitīvu rīcību. Kampaņās jāiesaista ietekmētāji, slavenības vai iestādes. Tām ir jāuzsver divējādie ieguvumi veselības, vides un klimata jomā. Turklāt dotācijām vajadzētu būt pieejamām visās dalībvalstīs, lai veicinātu bezmaksas publisko sporta infrastruktūru. </w:t>
      </w:r>
    </w:p>
    <w:p>
      <w:pPr>
        <w:pStyle w:val="Normal"/>
        <w:rPr/>
      </w:pPr>
      <w:r>
        <w:rPr/>
        <w:t xml:space="preserve"> </w:t>
      </w:r>
    </w:p>
    <w:p>
      <w:pPr>
        <w:pStyle w:val="Normal"/>
        <w:rPr/>
      </w:pPr>
      <w:r>
        <w:rPr/>
        <w:t xml:space="preserve">Veselīgākam dzīvesveidam ir pozitīva ietekme uz veselības aprūpes sistēmu, jo tas samazina veselības problēmas. Fiziskā veselība ietekmē garīgo veselību un laimi. Pašreizējās kampaņas nav pietiekami zināmas. Tie ir efektīvāki un motivējoši, kad ar to ir saistītas personības un ietekmētāji. </w:t>
      </w:r>
    </w:p>
    <w:p>
      <w:pPr>
        <w:pStyle w:val="Normal"/>
        <w:rPr/>
      </w:pPr>
      <w:r>
        <w:rPr/>
        <w:t xml:space="preserve"> </w:t>
      </w:r>
    </w:p>
    <w:p>
      <w:pPr>
        <w:pStyle w:val="P68B1DB1Normal15"/>
        <w:rPr>
          <w:b/>
          <w:b/>
        </w:rPr>
      </w:pPr>
      <w:r>
        <w:rPr/>
        <w:t xml:space="preserve">Mēs iesakām informācijas kampaņu par veselīgu uzturu un uzturu. ES būtu jāveicina lielāki nodokļi gaļai un cukuram dalībvalstīs. Tajā būtu jāizskata iespējas nošķirt veselīgu pārtiku no kaitīgiem pārtikas produktiem un jāpiemēro diferencēts PVN. Mēs iesakām izvietot ļoti skaidrus brīdinājuma signālus uz izstrādājumiem, kas ir ļoti kaitīgi veselībai (piemēram, tabakas izstrādājumiem). Turklāt mēs iesakām izveidot Eiropas mēroga uzturvērtības novērtējuma sistēmu, kas sniedz attiecīgu informāciju un QR kodu, kas ļauj patērētājiem pieņemt labāk informētus lēmumus. Izpētīt iespējas, kā veselīgu pārtiku padarīt lētāku par nevēlamo pārtiku, un vēl vairāk mudināt lauksaimniekus ražot veselīgus produktus. </w:t>
      </w:r>
    </w:p>
    <w:p>
      <w:pPr>
        <w:pStyle w:val="Normal"/>
        <w:rPr/>
      </w:pPr>
      <w:r>
        <w:rPr/>
        <w:t xml:space="preserve"> </w:t>
      </w:r>
    </w:p>
    <w:p>
      <w:pPr>
        <w:pStyle w:val="Normal"/>
        <w:rPr/>
      </w:pPr>
      <w:r>
        <w:rPr/>
        <w:t xml:space="preserve">Veselīgs uzturs ir veselīgas dzīves pamats. Ir jāiejaucas gan no ražotāja puses, gan no patērētāja puses. Veselīgu produktu ražošanai ir arī pozitīva ietekme uz vidi, un tā var palīdzēt atbalstīt vietējos lauksaimniekus. Ja pieaug veselīgas pārtikas ražošana, cenas pazeminās un pieprasījums pieaug. </w:t>
      </w:r>
    </w:p>
    <w:p>
      <w:pPr>
        <w:pStyle w:val="Normal"/>
        <w:rPr/>
      </w:pPr>
      <w:r>
        <w:rPr/>
        <w:t xml:space="preserve"> </w:t>
      </w:r>
    </w:p>
    <w:p>
      <w:pPr>
        <w:pStyle w:val="Normal"/>
        <w:rPr/>
      </w:pPr>
      <w:r>
        <w:rPr/>
        <w:t xml:space="preserve">Apakšass 1.2 Vides izglītība </w:t>
      </w:r>
    </w:p>
    <w:p>
      <w:pPr>
        <w:pStyle w:val="P68B1DB1Normal15"/>
        <w:rPr>
          <w:b/>
          <w:b/>
        </w:rPr>
      </w:pPr>
      <w:r>
        <w:rPr/>
        <w:t xml:space="preserve">Mēs iesakām ES izveidot finansēšanas mehānismu, lai veicinātu ilgtermiņa vides izglītības programmas iekļaušanu valsts izglītības sistēmās bērniem pamatskolās un vidusskolās. Šajā finansēšanas mehānismā būtu jāiekļauj finansējums vecākiem, kuriem vajadzīga finansiāla palīdzība. </w:t>
      </w:r>
    </w:p>
    <w:p>
      <w:pPr>
        <w:pStyle w:val="Normal"/>
        <w:rPr/>
      </w:pPr>
      <w:r>
        <w:rPr/>
        <w:t xml:space="preserve"> </w:t>
      </w:r>
    </w:p>
    <w:p>
      <w:pPr>
        <w:pStyle w:val="Normal"/>
        <w:rPr/>
      </w:pPr>
      <w:r>
        <w:rPr/>
        <w:t xml:space="preserve">Pašreizējās izglītības sistēmās nav pietiekami daudz praktisku elementu, kas veicinātu tiešu un dziļu mijiedarbību starp bērniem un vidi. Pašreizējās īstermiņa programmas ir neviendabīgas un neveicina nepieciešamās attieksmes maiņu. Būtu jāatbalsta vecāki, lai nodrošinātu, ka visi bērni var vienlīdzīgi gūt labumu no programmas un ka neviens netiek izslēgts finansiālu iemeslu dēļ. </w:t>
      </w:r>
    </w:p>
    <w:p>
      <w:pPr>
        <w:pStyle w:val="Normal"/>
        <w:rPr/>
      </w:pPr>
      <w:r>
        <w:rPr/>
        <w:t xml:space="preserve"> </w:t>
      </w:r>
    </w:p>
    <w:p>
      <w:pPr>
        <w:pStyle w:val="Titre4"/>
        <w:numPr>
          <w:ilvl w:val="3"/>
          <w:numId w:val="2"/>
        </w:numPr>
        <w:rPr/>
      </w:pPr>
      <w:bookmarkStart w:id="177" w:name="__RefHeading___Toc297289_1346298689"/>
      <w:bookmarkEnd w:id="177"/>
      <w:r>
        <w:rPr/>
        <w:t xml:space="preserve">Ass Nr. 2: Vides un veselības aizsardzība </w:t>
      </w:r>
    </w:p>
    <w:p>
      <w:pPr>
        <w:pStyle w:val="Normal"/>
        <w:rPr/>
      </w:pPr>
      <w:r>
        <w:rPr/>
        <w:t xml:space="preserve">Apakšass 2.1. Veselīga dabiska vide </w:t>
      </w:r>
    </w:p>
    <w:p>
      <w:pPr>
        <w:pStyle w:val="P68B1DB1Normal15"/>
        <w:rPr>
          <w:b/>
          <w:b/>
        </w:rPr>
      </w:pPr>
      <w:r>
        <w:rPr/>
        <w:t xml:space="preserve">Mēs iesakām nekavējoties ieviest visaugstākos iespējamos ūdens kvalitātes standartus visā ES. Lai taupītu ūdeni, mēs piedāvājam atlīdzības sistēmu, kuras pamatā ir ūdens cenas, lai veicinātu un veicinātu mazāku patēriņu, piemēram: 1) izveidojot dinamisku sistēmu, kas attur patērētājus no vidējā ūdens patēriņa pārsniegšanas (piemēram, 10 % ūdens patēriņa pieaugums izraisa cenas pieaugumu par 11 %), 2) izveidojot tirgus sistēmu ražošanas uzņēmumu piesārņotam ūdenim, kas būtu līdzīgs jau esošajam oglekļa atļauju tirgum. </w:t>
      </w:r>
    </w:p>
    <w:p>
      <w:pPr>
        <w:pStyle w:val="Normal"/>
        <w:rPr/>
      </w:pPr>
      <w:r>
        <w:rPr/>
        <w:t xml:space="preserve"> </w:t>
      </w:r>
    </w:p>
    <w:p>
      <w:pPr>
        <w:pStyle w:val="Normal"/>
        <w:rPr/>
      </w:pPr>
      <w:r>
        <w:rPr/>
        <w:t xml:space="preserve">Šo ieteikumu pamato fakts, ka cenu pieaugums mudina visus lietotājus pieņemt labāk informētus lēmumus. Ņemot vērā ES valstu atšķirīgos apstākļus un lai izveidotu sociāli taisnīgu sistēmu, mēs varam atbalstīt nabadzīgākus cilvēkus viņu ūdens apsaimniekošanā, veicot līdzieguldījumus ūdensapgādes infrastruktūrā un pētniecībā. </w:t>
      </w:r>
    </w:p>
    <w:p>
      <w:pPr>
        <w:pStyle w:val="Normal"/>
        <w:rPr/>
      </w:pPr>
      <w:r>
        <w:rPr/>
        <w:t xml:space="preserve"> </w:t>
      </w:r>
    </w:p>
    <w:p>
      <w:pPr>
        <w:pStyle w:val="Titre4"/>
        <w:numPr>
          <w:ilvl w:val="3"/>
          <w:numId w:val="2"/>
        </w:numPr>
        <w:rPr/>
      </w:pPr>
      <w:bookmarkStart w:id="178" w:name="__RefHeading___Toc297291_1346298689"/>
      <w:bookmarkEnd w:id="178"/>
      <w:r>
        <w:rPr/>
        <w:t xml:space="preserve">Ass Nr. 3: mūsu ekonomikas un patēriņa pārorientēšana </w:t>
      </w:r>
    </w:p>
    <w:p>
      <w:pPr>
        <w:pStyle w:val="Normal"/>
        <w:rPr/>
      </w:pPr>
      <w:r>
        <w:rPr/>
        <w:t xml:space="preserve">Apakšasis 3.1 Pārprodukcijas un pārmērīga patēriņa regulēšana </w:t>
      </w:r>
    </w:p>
    <w:p>
      <w:pPr>
        <w:pStyle w:val="P68B1DB1Normal15"/>
        <w:rPr>
          <w:b/>
          <w:b/>
        </w:rPr>
      </w:pPr>
      <w:r>
        <w:rPr/>
        <w:t xml:space="preserve">Mēs iesakām ES uzlikt naudas sodus uzņēmumiem, kas novērš nepārdotos produktus, kas ražoti pārprodukcijas rezultātā. </w:t>
      </w:r>
    </w:p>
    <w:p>
      <w:pPr>
        <w:pStyle w:val="Normal"/>
        <w:rPr/>
      </w:pPr>
      <w:r>
        <w:rPr/>
        <w:t xml:space="preserve"> </w:t>
      </w:r>
    </w:p>
    <w:p>
      <w:pPr>
        <w:pStyle w:val="Normal"/>
        <w:rPr/>
      </w:pPr>
      <w:r>
        <w:rPr/>
        <w:t xml:space="preserve">Dažos gadījumos uzņēmumi uzskata, ka ir rentablāk izmest nepārdotās preces, nevis tās pārstrādāt vai atkārtoti izmantot. Tāpēc ir svarīgi novērst pārprodukciju, piemērojot naudas sodus, lai šāda prakse ražotājiem vairs nebūtu izdevīga. </w:t>
      </w:r>
    </w:p>
    <w:p>
      <w:pPr>
        <w:pStyle w:val="Normal"/>
        <w:rPr/>
      </w:pPr>
      <w:r>
        <w:rPr/>
        <w:t xml:space="preserve"> </w:t>
      </w:r>
    </w:p>
    <w:p>
      <w:pPr>
        <w:pStyle w:val="Normal"/>
        <w:rPr/>
      </w:pPr>
      <w:r>
        <w:rPr/>
        <w:t xml:space="preserve">Apakšasis 3.2 Atkritumu samazināšana </w:t>
      </w:r>
    </w:p>
    <w:p>
      <w:pPr>
        <w:pStyle w:val="P68B1DB1Normal15"/>
        <w:rPr>
          <w:b/>
          <w:b/>
        </w:rPr>
      </w:pPr>
      <w:r>
        <w:rPr/>
        <w:t xml:space="preserve">Mēs iesakām ES izstrādāt un īstenot atkritumu apsaimniekošanas politiku mājsaimniecībām un iedzīvotājiem, pievēršot uzmanību faktiskajam atkritumu daudzumam, ko tie rada, un papildinot to ar nepieciešamajiem pasākumiem, lai palielinātu iedzīvotāju informētību par ieguvumiem, ko sniedz atkritumu rašanās samazināšana un selektīva atkritumu savākšana. Būtu jāīsteno arī pasākumi, kas vērsti uz sociāli nelabvēlīgā situācijā esošām ģimenēm (piemēram, jaunām ģimenēm ar bērniem, vecāka gadagājuma cilvēkiem u. c.), vienlaikus ievērojot principu “nevienu neatstāt novārtā”. </w:t>
      </w:r>
    </w:p>
    <w:p>
      <w:pPr>
        <w:pStyle w:val="Normal"/>
        <w:rPr/>
      </w:pPr>
      <w:r>
        <w:rPr/>
        <w:t xml:space="preserve"> </w:t>
      </w:r>
    </w:p>
    <w:p>
      <w:pPr>
        <w:pStyle w:val="Normal"/>
        <w:rPr/>
      </w:pPr>
      <w:r>
        <w:rPr/>
        <w:t xml:space="preserve">Šādas politikas mērķis ir izstrādāt vienotu pieeju atkritumu apsaimniekošanai mājsaimniecībās; tā arī veicina vides aizsardzību, samazinot atkritumus, vēl vairāk stimulē aprites ekonomiku un palielina atkritumu savākšanas efektivitāti. Visbeidzot, kas nav nenozīmīgs, tas palielina iedzīvotāju informētību un stiprina vides atbildības sajūtu. </w:t>
      </w:r>
    </w:p>
    <w:p>
      <w:pPr>
        <w:pStyle w:val="Normal"/>
        <w:rPr/>
      </w:pPr>
      <w:r>
        <w:rPr/>
        <w:t xml:space="preserve"> </w:t>
      </w:r>
    </w:p>
    <w:p>
      <w:pPr>
        <w:pStyle w:val="P68B1DB1Normal15"/>
        <w:rPr>
          <w:b/>
          <w:b/>
        </w:rPr>
      </w:pPr>
      <w:r>
        <w:rPr/>
        <w:t xml:space="preserve">Mēs iesakām ES veicināt brīvu konkurenci un mudināt privāto sektoru aktīvāk piedalīties atkritumu, tostarp notekūdeņu, attīrīšanā un atkritumu pārstrādes un reģenerācijas darbībās. </w:t>
      </w:r>
    </w:p>
    <w:p>
      <w:pPr>
        <w:pStyle w:val="Normal"/>
        <w:rPr/>
      </w:pPr>
      <w:r>
        <w:rPr/>
        <w:t xml:space="preserve"> </w:t>
      </w:r>
    </w:p>
    <w:p>
      <w:pPr>
        <w:pStyle w:val="Normal"/>
        <w:rPr/>
      </w:pPr>
      <w:r>
        <w:rPr/>
        <w:t xml:space="preserve">ES ir piemērots līmenis šā ieteikuma īstenošanai, jo tas papildina Atkritumu pamatdirektīvu un aprites ekonomikas rīcības plānu. Turklāt ieteikuma īstenošana stiprinās inovatīvus atkritumu apsaimniekošanas risinājumus, uzlabos atkritumu apsaimniekošanas kvalitāti un palielinās apstrādāto atkritumu apjomu, jo šajās darbībās piedalīsies vairāk uzņēmumu. </w:t>
      </w:r>
    </w:p>
    <w:p>
      <w:pPr>
        <w:pStyle w:val="Normal"/>
        <w:rPr/>
      </w:pPr>
      <w:r>
        <w:rPr/>
        <w:t xml:space="preserve"> </w:t>
      </w:r>
    </w:p>
    <w:p>
      <w:pPr>
        <w:pStyle w:val="Normal"/>
        <w:rPr/>
      </w:pPr>
      <w:r>
        <w:rPr/>
        <w:t xml:space="preserve">Apakšass 3.3. Taisnīgi produkti, vienlīdzīga piekļuve un taisnīgs patēriņš </w:t>
      </w:r>
    </w:p>
    <w:p>
      <w:pPr>
        <w:pStyle w:val="P68B1DB1Normal15"/>
        <w:rPr>
          <w:b/>
          <w:b/>
        </w:rPr>
      </w:pPr>
      <w:r>
        <w:rPr/>
        <w:t xml:space="preserve">Mēs iesakām pārcelt nozares uz Eiropas Savienību, lai nodrošinātu augstas kvalitātes taisnīgus produktus un ietekmētu klimata jautājumus. </w:t>
      </w:r>
    </w:p>
    <w:p>
      <w:pPr>
        <w:pStyle w:val="Normal"/>
        <w:rPr/>
      </w:pPr>
      <w:r>
        <w:rPr/>
        <w:t xml:space="preserve"> </w:t>
      </w:r>
    </w:p>
    <w:p>
      <w:pPr>
        <w:pStyle w:val="Normal"/>
        <w:rPr/>
      </w:pPr>
      <w:r>
        <w:rPr/>
        <w:t xml:space="preserve">Eiropas Savienībai ir zinātība, kas ir jāpopularizē savā tirgū. </w:t>
      </w:r>
    </w:p>
    <w:p>
      <w:pPr>
        <w:pStyle w:val="Normal"/>
        <w:rPr/>
      </w:pPr>
      <w:r>
        <w:rPr/>
        <w:t xml:space="preserve">Sakarā ar rūpniecības nozaru pārvietošanu ārpus ES, jo īpaši Āzijā, tiek pārceltas arī dažas profesionālās prasmes. Šis ieteikums ietver Eiropas darba ņēmēju profesionālo apmācību. Mēs uzsveram, ka ir jāizvairās no pārvietošanas starp dažādām dalībvalstīm, lai izvairītos no negodīgas konkurences. </w:t>
      </w:r>
    </w:p>
    <w:p>
      <w:pPr>
        <w:pStyle w:val="Normal"/>
        <w:rPr/>
      </w:pPr>
      <w:r>
        <w:rPr/>
        <w:t xml:space="preserve">Mēs esam novērojuši, ka milzīgā rūpniecības nozaru pārvietošana visā pasaulē ietekmē Eiropas rūpniecību. Tāpēc vietējā ražošana uzlabos iedzīvotāju veselību un vidi. </w:t>
      </w:r>
    </w:p>
    <w:p>
      <w:pPr>
        <w:pStyle w:val="Normal"/>
        <w:rPr/>
      </w:pPr>
      <w:r>
        <w:rPr/>
      </w:r>
    </w:p>
    <w:p>
      <w:pPr>
        <w:pStyle w:val="Titre4"/>
        <w:numPr>
          <w:ilvl w:val="3"/>
          <w:numId w:val="2"/>
        </w:numPr>
        <w:rPr/>
      </w:pPr>
      <w:bookmarkStart w:id="179" w:name="__RefHeading___Toc297293_1346298689"/>
      <w:bookmarkEnd w:id="179"/>
      <w:r>
        <w:rPr/>
        <w:t xml:space="preserve">Ass Nr. 4: ceļā uz ilgtspējīgu sabiedrību </w:t>
      </w:r>
    </w:p>
    <w:p>
      <w:pPr>
        <w:pStyle w:val="Normal"/>
        <w:rPr/>
      </w:pPr>
      <w:r>
        <w:rPr/>
        <w:t xml:space="preserve">Apakšass 4.3 Videi draudzīgs transports </w:t>
      </w:r>
    </w:p>
    <w:p>
      <w:pPr>
        <w:pStyle w:val="P68B1DB1Normal15"/>
        <w:rPr>
          <w:b/>
          <w:b/>
        </w:rPr>
      </w:pPr>
      <w:r>
        <w:rPr/>
        <w:t xml:space="preserve">Mēs iesakām lielajām pilsētām piemērot naudas sodus vai subsīdijas atbilstoši to sabiedriskā transporta ekoloģiskajiem un piesārņojuma rādītājiem (elektriskie transportlīdzekļi, videi nekaitīgs sabiedriskais transports, gājēju zonu izveide, velosipēdu izmantošanas veicināšana u. c.). Jo īpaši soda naudas vai subsīdijas, ko piemēro pilsētas vietējām pašvaldībām, būtu jānosaka, pamatojoties uz izmaiņām zaļajā transportā salīdzinājumā ar sākotnējo situāciju šajā pilsētā. Tieši Eiropas Savienībai ar saviem tiesību aktiem būtu jānosaka darbības rādītāji ar piesārņojumu saistītiem pasākumiem un jānosaka proporcionāls samazinājums. Šajā sakarā būtu jāņem vērā katras pilsētas sākumpunkts. </w:t>
      </w:r>
    </w:p>
    <w:p>
      <w:pPr>
        <w:pStyle w:val="Normal"/>
        <w:rPr/>
      </w:pPr>
      <w:r>
        <w:rPr/>
        <w:t xml:space="preserve"> </w:t>
      </w:r>
    </w:p>
    <w:p>
      <w:pPr>
        <w:pStyle w:val="Normal"/>
        <w:rPr/>
      </w:pPr>
      <w:r>
        <w:rPr/>
        <w:t xml:space="preserve">Mēs sniedzam šo ieteikumu, jo pilsētas ir ietekmējis gaisa piesārņojums, kas ir radījis veselības problēmas. Videi draudzīga transporta attīstība uzlabotu cilvēku dzīvi un veselību un samazinātu siltumnīcas efektu. Subsīdijas un sankcijas ir efektīvi pasākumi, lai veicinātu pārmaiņas un atvieglotu pielāgošanos dažādām situācijām dažādās pilsētās. </w:t>
      </w:r>
    </w:p>
    <w:p>
      <w:pPr>
        <w:pStyle w:val="Normal"/>
        <w:rPr/>
      </w:pPr>
      <w:r>
        <w:rPr/>
        <w:t xml:space="preserve"> </w:t>
      </w:r>
    </w:p>
    <w:p>
      <w:pPr>
        <w:pStyle w:val="P68B1DB1Normal15"/>
        <w:rPr>
          <w:b/>
          <w:b/>
        </w:rPr>
      </w:pPr>
      <w:r>
        <w:rPr/>
        <w:t xml:space="preserve">Mēs iesakām ES tiesību aktos ierobežot un reglamentēt tuvo lidojumu un kruīza kuģu izmantošanu. Cilvēkiem būtu jāpiedāvā videi draudzīgas transporta alternatīvas. Vienai no šādām alternatīvām vajadzētu būt dzelzceļa standartizācijai, lai savienotu Eiropas galvaspilsētas. Mēs arī iesakām ES sniegt subsīdijas, lai preču pārvadājumus padarītu videi draudzīgākus, tostarp dzelzceļa un laivu pārvadājumus (īsiem braucieniem). </w:t>
      </w:r>
    </w:p>
    <w:p>
      <w:pPr>
        <w:pStyle w:val="Normal"/>
        <w:rPr/>
      </w:pPr>
      <w:r>
        <w:rPr/>
        <w:t xml:space="preserve"> </w:t>
      </w:r>
    </w:p>
    <w:p>
      <w:pPr>
        <w:pStyle w:val="Normal"/>
        <w:rPr/>
      </w:pPr>
      <w:r>
        <w:rPr/>
        <w:t xml:space="preserve">Mēs sniedzam šo ieteikumu, jo īsa attāluma braucieni ir pārāk bieži, piesārņojoši un viegli aizvietojami. Kruīza kuģu ierobežošana samazinātu jūras piesārņojumu (liela vides problēma), kā arī negatīvu ietekmi uz piekrastes pilsētām. Tāpēc mums ir jāievieš pieejamākas alternatīvas piesārņojošākiem risinājumiem. Vienots sliežu platums uzlabotu dzelzceļa savienojumus starp Eiropas galvaspilsētām. </w:t>
      </w:r>
    </w:p>
    <w:p>
      <w:pPr>
        <w:pStyle w:val="Normal"/>
        <w:rPr/>
      </w:pPr>
      <w:r>
        <w:rPr/>
        <w:t xml:space="preserve"> </w:t>
      </w:r>
    </w:p>
    <w:p>
      <w:pPr>
        <w:pStyle w:val="Titre4"/>
        <w:numPr>
          <w:ilvl w:val="3"/>
          <w:numId w:val="2"/>
        </w:numPr>
        <w:rPr/>
      </w:pPr>
      <w:bookmarkStart w:id="180" w:name="__RefHeading___Toc297295_1346298689"/>
      <w:bookmarkEnd w:id="180"/>
      <w:r>
        <w:rPr/>
        <w:t xml:space="preserve">Ass Nr. 5: Rūpes par visiem </w:t>
      </w:r>
    </w:p>
    <w:p>
      <w:pPr>
        <w:pStyle w:val="Normal"/>
        <w:rPr/>
      </w:pPr>
      <w:r>
        <w:rPr/>
        <w:t xml:space="preserve">Apakšass 5.2. Plašāks skatījums uz veselību </w:t>
      </w:r>
    </w:p>
    <w:p>
      <w:pPr>
        <w:pStyle w:val="Normal"/>
        <w:rPr>
          <w:b/>
          <w:b/>
        </w:rPr>
      </w:pPr>
      <w:r>
        <w:rPr>
          <w:b/>
        </w:rPr>
        <w:t>Mēs iesakām Eiropas Savienībai saskaņā ar tās</w:t>
      </w:r>
      <w:r>
        <w:rPr>
          <w:b/>
        </w:rPr>
        <w:commentReference w:id="5"/>
      </w:r>
      <w:r>
        <w:rPr>
          <w:b/>
        </w:rPr>
        <w:t xml:space="preserve"> kampaņu HealthyLife4All veicināt arī tādas iniciatīvas kā sociālie sporta pasākumi, skolu sporta pasākumi, divreiz gadā pieejamās olimpiskās spēles, kas pieejamas visiem vecumiem, un visi sporta veidi [nevis profesionāļiem]. Mēs arī iesakām izstrādāt bezmaksas Eiropas sporta lietotni, lai veicinātu kolektīvās sporta aktivitātes. Šī app vajadzētu palīdzēt cilvēkiem tikties caur sportu. Turklāt šīm iniciatīvām vajadzētu būt plaši zināmām un izplatītām. </w:t>
      </w:r>
    </w:p>
    <w:p>
      <w:pPr>
        <w:pStyle w:val="Normal"/>
        <w:rPr/>
      </w:pPr>
      <w:r>
        <w:rPr/>
        <w:t xml:space="preserve"> </w:t>
      </w:r>
    </w:p>
    <w:p>
      <w:pPr>
        <w:pStyle w:val="Normal"/>
        <w:rPr/>
      </w:pPr>
      <w:r>
        <w:rPr/>
        <w:t xml:space="preserve">Lai uzlabotu Eiropas iedzīvotāju veselību, Eiropas Savienībai ir jāveicina sports un veselīgs dzīvesveids. Turklāt iedzīvotāji ļoti bieži neapzinās attiecības starp sportu un veselīgu dzīvesveidu. App ir svarīgi, jo cilvēki ir vairāk gatavi darīt sportu, ja viņi to dara kopā. </w:t>
      </w:r>
      <w:r>
        <w:br w:type="page"/>
      </w:r>
    </w:p>
    <w:p>
      <w:pPr>
        <w:pStyle w:val="P68B1DB1Normal19"/>
        <w:rPr>
          <w:rFonts w:ascii="Times New Roman" w:hAnsi="Times New Roman"/>
          <w:color w:val="000000"/>
          <w:sz w:val="24"/>
        </w:rPr>
      </w:pPr>
      <w:r>
        <w:rPr/>
        <w:t xml:space="preserve"> </w:t>
      </w:r>
    </w:p>
    <w:p>
      <w:pPr>
        <w:pStyle w:val="Titre2"/>
        <w:numPr>
          <w:ilvl w:val="1"/>
          <w:numId w:val="2"/>
        </w:numPr>
        <w:rPr/>
      </w:pPr>
      <w:bookmarkStart w:id="181" w:name="__RefHeading___Toc297297_1346298689"/>
      <w:bookmarkEnd w:id="181"/>
      <w:r>
        <w:rPr/>
        <w:t xml:space="preserve">Eiropas pilsoņu paneļdiskusija Nr. 4: “ES pasaulē/Migrācija” </w:t>
      </w:r>
    </w:p>
    <w:p>
      <w:pPr>
        <w:pStyle w:val="Normal"/>
        <w:rPr/>
      </w:pPr>
      <w:r>
        <w:rPr/>
        <w:t xml:space="preserve">PANEĻDISKUSIJĀ PIEŅEMTIE IETEIKUMI (JĀIESNIEDZ PLENĀRSĒDEI) </w:t>
      </w:r>
    </w:p>
    <w:p>
      <w:pPr>
        <w:pStyle w:val="Normal"/>
        <w:rPr/>
      </w:pPr>
      <w:r>
        <w:rPr/>
      </w:r>
    </w:p>
    <w:p>
      <w:pPr>
        <w:pStyle w:val="Titre3"/>
        <w:numPr>
          <w:ilvl w:val="2"/>
          <w:numId w:val="2"/>
        </w:numPr>
        <w:rPr/>
      </w:pPr>
      <w:bookmarkStart w:id="182" w:name="__RefHeading___Toc297299_1346298689"/>
      <w:bookmarkEnd w:id="182"/>
      <w:r>
        <w:rPr/>
        <w:t xml:space="preserve">1. ass: Pašpietiekamība un stabilitāte </w:t>
      </w:r>
    </w:p>
    <w:p>
      <w:pPr>
        <w:pStyle w:val="Titre4"/>
        <w:numPr>
          <w:ilvl w:val="3"/>
          <w:numId w:val="2"/>
        </w:numPr>
        <w:rPr/>
      </w:pPr>
      <w:bookmarkStart w:id="183" w:name="__RefHeading___Toc297301_1346298689"/>
      <w:bookmarkEnd w:id="183"/>
      <w:r>
        <w:rPr/>
        <w:t xml:space="preserve">Apakšass — ES autonomija </w:t>
      </w:r>
    </w:p>
    <w:p>
      <w:pPr>
        <w:pStyle w:val="Normal"/>
        <w:rPr>
          <w:b/>
          <w:b/>
        </w:rPr>
      </w:pPr>
      <w:r>
        <w:rPr>
          <w:b/>
        </w:rPr>
        <w:t>1. Mēs iesakām vēl vairāk veicināt un finansiāli atbalstīt stratēģiskus Eiropas ražošanas produktus (piemēram, lauksaimniecības produktus, pusvadītājus, medicīnas produktus vai inovatīvas digitālās un vides tehnoloģijas), lai tie būtu pieejami un pieejami Eiropas patērētājiem un pēc iespējas samazinātu atkarību no piegādātājiem ārpus Eiropas. Šāds atbalsts varētu ietvert strukturālus un reģionālus pasākumus, atbalstu rūpniecības nozaru un piegādes ķēžu uzturēšanai Savienībā,</w:t>
      </w:r>
      <w:r>
        <w:rPr>
          <w:b/>
        </w:rPr>
        <w:commentReference w:id="6"/>
      </w:r>
      <w:r>
        <w:rPr>
          <w:b/>
        </w:rPr>
        <w:t xml:space="preserve"> nodokļuatvieglojumus, subsīdijas, aktīvu MVU politiku vai izglītības programmas, lai aizsargātu attiecīgās prasmes un darbvietas Eiropā. Tomēr aktīvai rūpniecības politikai vajadzētu būt selektīvai un vērstai uz inovatīviem produktiem vai produktiem, kas ir būtiski, lai garantētu pamatpreces un pakalpojumus. </w:t>
      </w:r>
    </w:p>
    <w:p>
      <w:pPr>
        <w:pStyle w:val="Normal"/>
        <w:rPr/>
      </w:pPr>
      <w:r>
        <w:rPr/>
        <w:t xml:space="preserve"> </w:t>
      </w:r>
    </w:p>
    <w:p>
      <w:pPr>
        <w:pStyle w:val="Normal"/>
        <w:rPr/>
      </w:pPr>
      <w:r>
        <w:rPr/>
        <w:t xml:space="preserve">Mēs iesakām šos pasākumus, jo Eiropa ir pārāk atkarīga no piegādātājiem </w:t>
      </w:r>
      <w:commentRangeStart w:id="7"/>
      <w:r>
        <w:rPr/>
        <w:t>ārpus Eiropas</w:t>
      </w:r>
      <w:r>
        <w:rPr/>
      </w:r>
      <w:commentRangeEnd w:id="7"/>
      <w:r>
        <w:commentReference w:id="7"/>
      </w:r>
      <w:r>
        <w:rPr/>
        <w:t xml:space="preserve"> galvenajās jomās, kas var izraisīt diplomātiskus konfliktus un novest pie pamatproduktu vai pakalpojumu trūkuma vai stratēģiskas nozīmes. Tā kā ražošanas izmaksas ES kopumā ir augstākas nekā citur pasaulē, aktīvas veicināšanas un atbalsta politika šiem produktiem ļaus eiropiešiem iegādāties konkurētspējīgus Eiropas produktus un tiks mudināti to darīt. Šī politika arī stiprinās Eiropas konkurētspēju un saglabās nākotnes nozares un darbavietas Eiropā. Turklāt lielāka ražošanas reģionalizācija samazinās transporta izmaksas un novērsīs vides degradāciju. </w:t>
      </w:r>
    </w:p>
    <w:p>
      <w:pPr>
        <w:pStyle w:val="Normal"/>
        <w:rPr/>
      </w:pPr>
      <w:r>
        <w:rPr/>
        <w:t xml:space="preserve"> </w:t>
      </w:r>
    </w:p>
    <w:p>
      <w:pPr>
        <w:pStyle w:val="P68B1DB1Normal15"/>
        <w:rPr>
          <w:b/>
          <w:b/>
        </w:rPr>
      </w:pPr>
      <w:r>
        <w:rPr/>
        <w:t>2. Mēs iesakām ES samazināt atkarību no naftas un gāzes importa. Tam būtu nepieciešams aktīvs atbalsts sabiedriskā transporta un energoefektivitātes projektiem, Eiropas ātrgaitas kravu pārvadājumu dzelzceļa tīklam, tīras un atjaunojamas enerģijas piegādes paplašināšanai (tostarp saules un vēja enerģijai) un alternatīvām tehnoloģijām (piemēram, ūdeņradim vai enerģijas reģenerācijai no atkritumiem). Eiropas Savienībai būtu arī jāveicina domāšanas maiņa un privāto automobiļu atmešana par labu sabiedriskajam transportam, automobiļu koplietošanai, izmantojot elektriskos transportlīdzekļus un velosipēdus.</w:t>
      </w:r>
    </w:p>
    <w:p>
      <w:pPr>
        <w:pStyle w:val="Normal"/>
        <w:rPr/>
      </w:pPr>
      <w:r>
        <w:rPr/>
      </w:r>
    </w:p>
    <w:p>
      <w:pPr>
        <w:pStyle w:val="Normal"/>
        <w:rPr/>
      </w:pPr>
      <w:r>
        <w:rPr/>
        <w:t>Mēs iesakām šos pasākumus, jo tie rada situāciju, kas veicina gan Eiropas autonomiju, samazinot tās ārējo atkarību, gan sasniedzot vērienīgus klimata un CO2 emisiju samazināšanas</w:t>
      </w:r>
      <w:r>
        <w:rPr>
          <w:vertAlign w:val="subscript"/>
        </w:rPr>
        <w:t>mērķus</w:t>
      </w:r>
      <w:r>
        <w:rPr/>
        <w:t xml:space="preserve">. Tie arī ļaus Eiropai kļūt par galveno dalībnieku nākotnes tehnoloģijās, stiprināt savu ekonomiku un radīt darbvietas. </w:t>
      </w:r>
    </w:p>
    <w:p>
      <w:pPr>
        <w:pStyle w:val="Normal"/>
        <w:rPr/>
      </w:pPr>
      <w:r>
        <w:rPr/>
        <w:t xml:space="preserve"> </w:t>
      </w:r>
    </w:p>
    <w:p>
      <w:pPr>
        <w:pStyle w:val="P68B1DB1Normal15"/>
        <w:rPr>
          <w:b/>
          <w:b/>
        </w:rPr>
      </w:pPr>
      <w:r>
        <w:rPr/>
        <w:t xml:space="preserve">3. Mēs iesakām ES līmenī pieņemt tiesību aktu, lai nodrošinātu, ka visi ES ražošanas un piegādes procesi un importētās preces atbilst Eiropas kvalitātes, ētikas un ilgtspējas standartiem, kā arī visiem piemērojamiem Eiropas cilvēktiesību standartiem un ka produkti, kas atbilst šiem kritērijiem, ir sertificēti. </w:t>
      </w:r>
    </w:p>
    <w:p>
      <w:pPr>
        <w:pStyle w:val="Normal"/>
        <w:rPr/>
      </w:pPr>
      <w:r>
        <w:rPr/>
        <w:t xml:space="preserve"> </w:t>
      </w:r>
    </w:p>
    <w:p>
      <w:pPr>
        <w:pStyle w:val="Normal"/>
        <w:rPr/>
      </w:pPr>
      <w:r>
        <w:rPr/>
        <w:t xml:space="preserve">Mēs iesakām šos pasākumus, jo tie ļauj patērētājiem un tirgotājiem viegli piekļūt informācijai par produktiem, ko viņi pērk vai pārdod. Lai to izdarītu, vienkārši konsultējieties ar sertifikācijas sistēmu. Sertifikācija arī samazina plaisu starp lētiem un dārgiem produktiem, kas pieejami tirgū. Lēti produkti neatbildīs noteiktajiem kritērijiem un tāpēc nevarēs sevi pierādīt kā labas kvalitātes produktus. Izpildot sertifikācijas kritērijus, tiks aizsargāta vide, taupot resursus un veicinot atbildīgu patēriņu. </w:t>
      </w:r>
    </w:p>
    <w:p>
      <w:pPr>
        <w:pStyle w:val="Normal"/>
        <w:rPr/>
      </w:pPr>
      <w:r>
        <w:rPr/>
        <w:t xml:space="preserve"> </w:t>
      </w:r>
    </w:p>
    <w:p>
      <w:pPr>
        <w:pStyle w:val="P68B1DB1Normal15"/>
        <w:rPr>
          <w:b/>
          <w:b/>
        </w:rPr>
      </w:pPr>
      <w:r>
        <w:rPr/>
        <w:t xml:space="preserve">4. Mēs iesakām īstenot Eiropas programmu mazo vietējo ražotāju atbalstam stratēģiskās nozarēs visās dalībvalstīs. Šie ražotāji gūtu labumu no profesionālās apmācības, finansiāla atbalsta, izmantojot subsīdijas, un (ja izejvielas ir pieejamas Savienībā) stimulētu ražot vairāk atbilstīgo preču, kaitējot importam. </w:t>
      </w:r>
    </w:p>
    <w:p>
      <w:pPr>
        <w:pStyle w:val="Normal"/>
        <w:rPr/>
      </w:pPr>
      <w:r>
        <w:rPr/>
        <w:t xml:space="preserve"> </w:t>
      </w:r>
    </w:p>
    <w:p>
      <w:pPr>
        <w:pStyle w:val="Normal"/>
        <w:rPr/>
      </w:pPr>
      <w:r>
        <w:rPr/>
        <w:t xml:space="preserve">Mēs iesakām šos pasākumus, jo, atbalstot ražotājus stratēģiskās nozarēs, kas atrodas Savienībā, Savienība var iegūt savu ekonomisko neatkarību šajās nozarēs. Tas var tikai veicināt visa ražošanas procesa nostiprināšanos un tādējādi veicināt inovāciju. Tas nodrošinās ilgtspējīgāku izejvielu ražošanu ES, kas samazinās transporta izmaksas un aizsargās vidi. </w:t>
      </w:r>
    </w:p>
    <w:p>
      <w:pPr>
        <w:pStyle w:val="Normal"/>
        <w:rPr/>
      </w:pPr>
      <w:r>
        <w:rPr/>
        <w:t xml:space="preserve"> </w:t>
      </w:r>
    </w:p>
    <w:p>
      <w:pPr>
        <w:pStyle w:val="P68B1DB1Normal15"/>
        <w:rPr>
          <w:b/>
          <w:b/>
        </w:rPr>
      </w:pPr>
      <w:r>
        <w:rPr/>
        <w:t xml:space="preserve">5. Mēs iesakām uzlabot cilvēktiesību īstenošanu Eiropas līmenī šādi: palielināt to valstu informētību, kuras neatbilst Eiropas Cilvēktiesību konvencijai (ECTK) vai Cilvēktiesību un pamatbrīvību aizsardzības konvencijai, ciktāl tas nepieciešams; nodrošināt stingru uzraudzību, ko koordinē Eiropas Savienība un rezultātu apkopojums tiesiskuma jomā, attiecībā uz to, cik lielā mērā dažādās dalībvalstīs tiek ievērotas cilvēktiesības, un nodrošināt to stingru ievērošanu, izmantojot dažādus sankciju veidus. </w:t>
      </w:r>
    </w:p>
    <w:p>
      <w:pPr>
        <w:pStyle w:val="Normal"/>
        <w:rPr/>
      </w:pPr>
      <w:r>
        <w:rPr/>
        <w:t xml:space="preserve"> </w:t>
      </w:r>
    </w:p>
    <w:p>
      <w:pPr>
        <w:pStyle w:val="Normal"/>
        <w:rPr/>
      </w:pPr>
      <w:r>
        <w:rPr/>
        <w:t xml:space="preserve">Mēs iesakām šos pasākumus, jo, ratificējot Eiropas Cilvēktiesību konvenciju, dalībvalstis jau ir akceptējušas cilvēktiesības, bet tagad ir jāuzlabo to pieņemšana katrā dalībvalstī, lai cilvēktiesības būtu zināmas un aktīvi īstenotas šajās dalībvalstīs. </w:t>
      </w:r>
    </w:p>
    <w:p>
      <w:pPr>
        <w:pStyle w:val="Normal"/>
        <w:rPr/>
      </w:pPr>
      <w:r>
        <w:rPr/>
        <w:t xml:space="preserve"> </w:t>
      </w:r>
    </w:p>
    <w:p>
      <w:pPr>
        <w:pStyle w:val="P68B1DB1Normal15"/>
        <w:rPr>
          <w:b/>
          <w:b/>
        </w:rPr>
      </w:pPr>
      <w:r>
        <w:rPr/>
        <w:t xml:space="preserve">6. Mēs iesakām sākt pārskatīšanu un organizēt intensīvu komunikācijas kampaņu Eiropas līmenī, lai nodrošinātu, ka EURES (Eiropas Nodarbinātības dienestu tīkls), ES Imigrācijas portāls un Eiropas prasmju profila rīks trešo valstu valstspiederīgajiem ir labāk zināmi Eiropas iedzīvotājiem un ka ES uzņēmumi tos biežāk izmanto, lai publicētu un reklamētu savus darba piedāvājumus. </w:t>
      </w:r>
    </w:p>
    <w:p>
      <w:pPr>
        <w:pStyle w:val="Normal"/>
        <w:rPr/>
      </w:pPr>
      <w:r>
        <w:rPr/>
        <w:t xml:space="preserve"> </w:t>
      </w:r>
    </w:p>
    <w:p>
      <w:pPr>
        <w:pStyle w:val="Normal"/>
        <w:rPr/>
      </w:pPr>
      <w:r>
        <w:rPr/>
        <w:t xml:space="preserve">Mēs iesakām neveidot jaunu tiešsaistes platformu Eiropas jauniešiem paredzētu darba piedāvājumu publicēšanai. Eiropas līmenī jau ir vairāk nekā pietiekami daudz šādu iniciatīvu. Mēs uzskatām, ka, lai palielinātu informētību par esošo darbaspēku un nodarbinātības iespējām Eiropas līmenī, ir vēlams uzlabot to, kas jau pastāv. </w:t>
      </w:r>
    </w:p>
    <w:p>
      <w:pPr>
        <w:pStyle w:val="Normal"/>
        <w:rPr/>
      </w:pPr>
      <w:r>
        <w:rPr/>
        <w:t xml:space="preserve"> </w:t>
      </w:r>
    </w:p>
    <w:p>
      <w:pPr>
        <w:pStyle w:val="Titre4"/>
        <w:numPr>
          <w:ilvl w:val="3"/>
          <w:numId w:val="2"/>
        </w:numPr>
        <w:rPr/>
      </w:pPr>
      <w:bookmarkStart w:id="184" w:name="__RefHeading___Toc297303_1346298689"/>
      <w:bookmarkEnd w:id="184"/>
      <w:r>
        <w:rPr/>
        <w:t xml:space="preserve">Apakšass — Robežas </w:t>
      </w:r>
    </w:p>
    <w:p>
      <w:pPr>
        <w:pStyle w:val="P68B1DB1Normal15"/>
        <w:rPr>
          <w:b/>
          <w:b/>
        </w:rPr>
      </w:pPr>
      <w:r>
        <w:rPr/>
        <w:t xml:space="preserve">7. Mēs iesakām Eiropas Savienībā izveidot darbaspēka migrācijas mehānismu, kura pamatā būtu Eiropas darba tirgu reālās vajadzības. Būtu jāizveido vienota sistēma profesionālo un akadēmisko diplomu atzīšanai, kas pastāv Eiropas Savienībā un trešās valstīs. Ir jābūt profesionālās kvalifikācijas piedāvājumiem, kā arī kultūras un valodas integrācijas piedāvājumiem kvalificētiem migrantiem. Patvēruma meklētājiem ar atbilstošu kvalifikāciju vajadzētu būt piekļuvei darba tirgum. Būtu jāizveido integrēta aģentūra, kuras pamatā varētu būt Eiropas Nodarbinātības dienestu tīkls. </w:t>
      </w:r>
    </w:p>
    <w:p>
      <w:pPr>
        <w:pStyle w:val="Normal"/>
        <w:rPr/>
      </w:pPr>
      <w:r>
        <w:rPr/>
        <w:t xml:space="preserve"> </w:t>
      </w:r>
    </w:p>
    <w:p>
      <w:pPr>
        <w:pStyle w:val="Normal"/>
        <w:rPr/>
      </w:pPr>
      <w:r>
        <w:rPr/>
        <w:t xml:space="preserve">Mēs iesakām šos pasākumus, jo Eiropai ir vajadzīgs kvalificēts darbaspēks dažās nozarēs, kurās nav iespējams pilnībā apmierināt ES darba ņēmēju pieprasījumu. Pašlaik nav pietiekami daudz dzīvotspējīgu veidu, kā likumīgi pieteikties darba atļaujai ES. Eiropas sistēma profesionālo un akadēmisko diplomu atzīšanai atvieglos šo vajadzību apmierināšanu un vienkāršos darbaspēka migrāciju Savienībā un darbaspēka migrāciju no valstīm ārpus Savienības. Tādējādi pieprasījumu pēc darbaspēka varētu labāk apmierināt, un nelegālā imigrācija tiktu labāk pārvaldīta. Darbaspēka migrācijas mehānisma atvēršana patvēruma meklētājiem paātrinātu viņu integrāciju Eiropas ekonomikā un sabiedrībā. </w:t>
      </w:r>
    </w:p>
    <w:p>
      <w:pPr>
        <w:pStyle w:val="Normal"/>
        <w:rPr/>
      </w:pPr>
      <w:r>
        <w:rPr/>
        <w:t xml:space="preserve"> </w:t>
      </w:r>
    </w:p>
    <w:p>
      <w:pPr>
        <w:pStyle w:val="P68B1DB1Normal15"/>
        <w:rPr>
          <w:b/>
          <w:b/>
        </w:rPr>
      </w:pPr>
      <w:r>
        <w:rPr/>
        <w:t xml:space="preserve">8. Mēs iesakām Eiropas Savienībai stiprināt savus tiesību aktus, lai piešķirtu Frontex lielākas pilnvaras un neatkarību. Tādējādi tā varēs iejaukties visās dalībvalstīs, lai nodrošinātu visu Savienības ārējo robežu aizsardzību. Tomēr Savienībai būtu jāveic Frontex organizatorisko procesu revīzijas, jo tai jādarbojas pārredzami, lai izvairītos no jebkāda veida ļaunprātīgas izmantošanas. </w:t>
      </w:r>
    </w:p>
    <w:p>
      <w:pPr>
        <w:pStyle w:val="Normal"/>
        <w:rPr/>
      </w:pPr>
      <w:r>
        <w:rPr/>
        <w:t xml:space="preserve"> </w:t>
      </w:r>
    </w:p>
    <w:p>
      <w:pPr>
        <w:pStyle w:val="Normal"/>
        <w:rPr/>
      </w:pPr>
      <w:r>
        <w:rPr/>
        <w:t xml:space="preserve">Mēs iesakām šos pasākumus, jo, mūsuprāt, ir nepieņemami liegt Frontex piekļuvi robežām, jo īpaši tad, ja tiek pārkāptas cilvēktiesības. Mēs vēlamies būt pārliecināti, ka Frontex piemēro Eiropas tiesību aktus. Pašai Frontex ir jāveic pārbaudes un pārbaudes, lai izvairītos no neatbilstīgas rīcības tajā. </w:t>
      </w:r>
    </w:p>
    <w:p>
      <w:pPr>
        <w:pStyle w:val="Normal"/>
        <w:rPr/>
      </w:pPr>
      <w:r>
        <w:rPr/>
        <w:t xml:space="preserve"> </w:t>
      </w:r>
    </w:p>
    <w:p>
      <w:pPr>
        <w:pStyle w:val="P68B1DB1Normal15"/>
        <w:rPr>
          <w:b/>
          <w:b/>
        </w:rPr>
      </w:pPr>
      <w:r>
        <w:rPr/>
        <w:t xml:space="preserve">9. Mēs iesakām Eiropas Savienībai, jo īpaši ekonomiskajiem migrantiem, organizēt iespēju atlasīt pilsoņus izcelsmes valstī (pamatojoties uz viņu pierādītajām prasmēm, izcelsmi utt.), lai noteiktu, kurš varētu strādāt ES atbilstoši ekonomikas vajadzībām un brīvajām darbvietām uzņēmējā valstī. Šiem atlases kritērijiem jābūt publiski pieejamiem un visiem pieejamiem. Šajā nolūkā būtu jāizveido Eiropas Imigrācijas aģentūra (tiešsaistē). </w:t>
      </w:r>
    </w:p>
    <w:p>
      <w:pPr>
        <w:pStyle w:val="Normal"/>
        <w:rPr/>
      </w:pPr>
      <w:r>
        <w:rPr/>
        <w:t xml:space="preserve"> </w:t>
      </w:r>
    </w:p>
    <w:p>
      <w:pPr>
        <w:pStyle w:val="Normal"/>
        <w:rPr/>
      </w:pPr>
      <w:r>
        <w:rPr/>
        <w:t xml:space="preserve">Mēs iesakām šos pasākumus, jo šādā veidā vairs nebūtu vajadzības nelegāli šķērsot robežas. To cilvēku plūsma, kuri ieceļo ES, tiktu kontrolēta, kas samazinātu spiedienu uz robežām, vienlaikus atvieglojot uzņēmējvalstu darbaspēka vajadzību apmierināšanu. </w:t>
      </w:r>
    </w:p>
    <w:p>
      <w:pPr>
        <w:pStyle w:val="Normal"/>
        <w:rPr/>
      </w:pPr>
      <w:r>
        <w:rPr/>
        <w:t xml:space="preserve"> </w:t>
      </w:r>
    </w:p>
    <w:p>
      <w:pPr>
        <w:pStyle w:val="P68B1DB1Normal15"/>
        <w:rPr>
          <w:b/>
          <w:b/>
        </w:rPr>
      </w:pPr>
      <w:r>
        <w:rPr/>
        <w:t xml:space="preserve">10. Mēs iesakām Eiropas Savienībai nodrošināt, lai uzņemšanas politika un iekārtas būtu identiskas pie visām robežām, ievērotu cilvēktiesības un nodrošinātu visu migrantu (tostarp, piemēram, grūtnieču un bērnu) drošību un veselību. </w:t>
      </w:r>
    </w:p>
    <w:p>
      <w:pPr>
        <w:pStyle w:val="Normal"/>
        <w:rPr/>
      </w:pPr>
      <w:r>
        <w:rPr/>
        <w:t xml:space="preserve"> </w:t>
      </w:r>
    </w:p>
    <w:p>
      <w:pPr>
        <w:pStyle w:val="Normal"/>
        <w:rPr/>
      </w:pPr>
      <w:r>
        <w:rPr/>
        <w:t xml:space="preserve">Mēs iesakām šos pasākumus, jo mēs piešķiram lielu nozīmi vienlīdzīgai attieksmei pret migrantiem uz visām robežām. Mēs vēlamies nodrošināt, lai migranti nepaliktu pārāk ilgi pie robežām un lai dalībvalstis pārslogotu migrantu plūsma. Dalībvalstīm jābūt labi aprīkotām, lai tās varētu izmitināt. </w:t>
      </w:r>
    </w:p>
    <w:p>
      <w:pPr>
        <w:pStyle w:val="Normal"/>
        <w:rPr/>
      </w:pPr>
      <w:r>
        <w:rPr/>
        <w:t xml:space="preserve"> </w:t>
      </w:r>
    </w:p>
    <w:p>
      <w:pPr>
        <w:pStyle w:val="Titre3"/>
        <w:numPr>
          <w:ilvl w:val="2"/>
          <w:numId w:val="2"/>
        </w:numPr>
        <w:rPr/>
      </w:pPr>
      <w:bookmarkStart w:id="185" w:name="__RefHeading___Toc297305_1346298689"/>
      <w:bookmarkEnd w:id="185"/>
      <w:r>
        <w:rPr/>
        <w:t xml:space="preserve">Ass Nr. 2: ES kā starptautiska partnere </w:t>
      </w:r>
    </w:p>
    <w:p>
      <w:pPr>
        <w:pStyle w:val="Titre4"/>
        <w:numPr>
          <w:ilvl w:val="3"/>
          <w:numId w:val="2"/>
        </w:numPr>
        <w:rPr/>
      </w:pPr>
      <w:bookmarkStart w:id="186" w:name="__RefHeading___Toc297307_1346298689"/>
      <w:bookmarkEnd w:id="186"/>
      <w:r>
        <w:rPr/>
        <w:t xml:space="preserve">Apakšass — tirdzniecība un attiecības no ētikas viedokļa </w:t>
      </w:r>
    </w:p>
    <w:p>
      <w:pPr>
        <w:pStyle w:val="P68B1DB1Normal15"/>
        <w:rPr>
          <w:b/>
          <w:b/>
        </w:rPr>
      </w:pPr>
      <w:r>
        <w:rPr/>
        <w:t xml:space="preserve">11. Mēs iesakām ES noteikt ierobežojumus tādu produktu importam no valstīm, kas pieļauj bērnu darbu. Lai to izdarītu, būtu jāizveido uzņēmumu melnais saraksts, kas tiktu regulāri atjaunināts atbilstoši notikumu attīstībai. Mēs arī iesakām nodrošināt pakāpenisku piekļuvi izglītībai bērniem, kuri pārtrauc strādāt, kā arī palielināt patērētāju informētību par bērnu darbu, izmantojot informāciju, ko oficiāli izplata Eiropas Savienība, piemēram, izmantojot kampaņas vai stāstus. </w:t>
      </w:r>
    </w:p>
    <w:p>
      <w:pPr>
        <w:pStyle w:val="Normal"/>
        <w:rPr/>
      </w:pPr>
      <w:r>
        <w:rPr/>
        <w:t xml:space="preserve"> </w:t>
      </w:r>
    </w:p>
    <w:p>
      <w:pPr>
        <w:pStyle w:val="Normal"/>
        <w:rPr/>
      </w:pPr>
      <w:r>
        <w:rPr/>
        <w:t xml:space="preserve">Mēs iesakām šos pasākumus, jo uzskatām, ka pastāv saikne starp izglītības trūkumu un bērnu darbu. Ar šo ieteikumu mēs vēlamies palielināt patērētāju informētību un samazināt pieprasījumu pēc bērnu produktiem, lai šī prakse beigtos. </w:t>
      </w:r>
    </w:p>
    <w:p>
      <w:pPr>
        <w:pStyle w:val="Normal"/>
        <w:rPr/>
      </w:pPr>
      <w:r>
        <w:rPr/>
        <w:t xml:space="preserve"> </w:t>
      </w:r>
    </w:p>
    <w:p>
      <w:pPr>
        <w:pStyle w:val="P68B1DB1Normal15"/>
        <w:rPr>
          <w:b/>
          <w:b/>
        </w:rPr>
      </w:pPr>
      <w:r>
        <w:rPr/>
        <w:t xml:space="preserve">12. Mēs iesakām Eiropas Savienībai veidot partnerības ar jaunattīstības valstīm, lai atbalstītu to infrastruktūru un dalītos pieredzē apmaiņā pret savstarpēji izdevīgiem tirdzniecības nolīgumiem, kas tām palīdzētu pārejā uz videi draudzīgiem enerģijas avotiem. </w:t>
      </w:r>
    </w:p>
    <w:p>
      <w:pPr>
        <w:pStyle w:val="Normal"/>
        <w:rPr/>
      </w:pPr>
      <w:r>
        <w:rPr/>
        <w:t xml:space="preserve"> </w:t>
      </w:r>
    </w:p>
    <w:p>
      <w:pPr>
        <w:pStyle w:val="Normal"/>
        <w:rPr/>
      </w:pPr>
      <w:r>
        <w:rPr/>
        <w:t xml:space="preserve">Mēs iesakām šos pasākumus, lai atvieglotu jaunattīstības valstu pāreju uz atjaunojamo enerģiju, izmantojot tirdzniecības partnerības un diplomātiskos nolīgumus. Tādējādi Eiropas Savienība un jaunattīstības valstis veidotu labas ilgtermiņa attiecības, kas palīdzētu cīnīties pret klimata pārmaiņām. </w:t>
      </w:r>
    </w:p>
    <w:p>
      <w:pPr>
        <w:pStyle w:val="Normal"/>
        <w:rPr/>
      </w:pPr>
      <w:r>
        <w:rPr/>
        <w:t xml:space="preserve"> </w:t>
      </w:r>
    </w:p>
    <w:p>
      <w:pPr>
        <w:pStyle w:val="P68B1DB1Normal15"/>
        <w:rPr>
          <w:b/>
          <w:b/>
        </w:rPr>
      </w:pPr>
      <w:r>
        <w:rPr/>
        <w:t xml:space="preserve">13. Mēs iesakām Eiropas Savienībai noteikt Eiropas ietekmes uz vidi rādītāju (rezultātu) visiem patēriņa produktiem. Ecoscore aprēķina, pamatojoties uz ražošanas un transporta radītajām emisijām, kā arī satura kaitīgumu, pamatojoties uz bīstamo produktu sarakstu. Ecoscore būtu jāpārvalda un jākontrolē Eiropas iestādei. </w:t>
      </w:r>
    </w:p>
    <w:p>
      <w:pPr>
        <w:pStyle w:val="Normal"/>
        <w:rPr/>
      </w:pPr>
      <w:r>
        <w:rPr/>
        <w:t xml:space="preserve"> </w:t>
      </w:r>
    </w:p>
    <w:p>
      <w:pPr>
        <w:pStyle w:val="Normal"/>
        <w:rPr/>
      </w:pPr>
      <w:r>
        <w:rPr/>
        <w:t xml:space="preserve">Mēs iesakām šos pasākumus, lai Eiropas patērētāji būtu labāk informēti par iegādāto produktu ietekmi uz vidi. Ecoscore ļautu viegli norādīt, cik lielā mērā produkts saudzē vidi, izmantojot visā Eiropā izplatītu mērogu. Ecoscore jābūt QR kodam produkta aizmugurē, lai varētu iepazīties ar papildu informāciju par tā vides pēdas nospiedumu. </w:t>
      </w:r>
    </w:p>
    <w:p>
      <w:pPr>
        <w:pStyle w:val="Normal"/>
        <w:rPr/>
      </w:pPr>
      <w:r>
        <w:rPr/>
        <w:t xml:space="preserve"> </w:t>
      </w:r>
    </w:p>
    <w:p>
      <w:pPr>
        <w:pStyle w:val="Titre4"/>
        <w:numPr>
          <w:ilvl w:val="3"/>
          <w:numId w:val="2"/>
        </w:numPr>
        <w:rPr/>
      </w:pPr>
      <w:bookmarkStart w:id="187" w:name="__RefHeading___Toc297309_1346298689"/>
      <w:bookmarkEnd w:id="187"/>
      <w:r>
        <w:rPr/>
        <w:t xml:space="preserve">Apakšass — Starptautiskā rīcība klimata jomā </w:t>
      </w:r>
    </w:p>
    <w:p>
      <w:pPr>
        <w:pStyle w:val="P68B1DB1Normal15"/>
        <w:rPr>
          <w:b/>
          <w:b/>
        </w:rPr>
      </w:pPr>
      <w:r>
        <w:rPr/>
        <w:t xml:space="preserve">14. Mēs iesakām Eiropas Savienībai pieņemt stratēģiju, lai padarītu to neatkarīgāku savā enerģijas ražošanā. Eiropas struktūrai, kas apvieno pašreizējās Eiropas enerģētikas iestādes, būtu jākoordinē atjaunojamās enerģijas attīstība atbilstoši dalībvalstu vajadzībām, spējām un resursiem, vienlaikus respektējot to suverenitāti. Iestādes veicinātu zināšanu apmaiņu savā starpā, lai īstenotu šo stratēģiju. </w:t>
      </w:r>
    </w:p>
    <w:p>
      <w:pPr>
        <w:pStyle w:val="Normal"/>
        <w:rPr/>
      </w:pPr>
      <w:r>
        <w:rPr/>
        <w:t xml:space="preserve"> </w:t>
      </w:r>
    </w:p>
    <w:p>
      <w:pPr>
        <w:pStyle w:val="Normal"/>
        <w:rPr/>
      </w:pPr>
      <w:r>
        <w:rPr/>
        <w:t xml:space="preserve">Mēs iesakām šos pasākumus, jo mūsu pašreizējā atkarība padara mūs neaizsargātus politiskas spriedzes gadījumā ar valstīm, kuras importē enerģiju. Tagad mēs to redzam ar elektroenerģētisko krīzi. Tomēr šādai koordinācijai būtu jārespektē katras valsts suverenitāte. </w:t>
      </w:r>
    </w:p>
    <w:p>
      <w:pPr>
        <w:pStyle w:val="Normal"/>
        <w:rPr/>
      </w:pPr>
      <w:r>
        <w:rPr/>
        <w:t xml:space="preserve"> </w:t>
      </w:r>
    </w:p>
    <w:p>
      <w:pPr>
        <w:pStyle w:val="P68B1DB1Normal15"/>
        <w:rPr>
          <w:b/>
          <w:b/>
        </w:rPr>
      </w:pPr>
      <w:r>
        <w:rPr/>
        <w:t xml:space="preserve">15. Mēs iesakām stiprināt vides standartus atkritumu eksportam ES un ārpus tās, kā arī stingrākus kontroles pasākumus un sankcijas, lai apturētu nelikumīgu eksportu. ES būtu jāmudina dalībvalstis turpināt pārstrādāt savus atkritumus un izmantot tos enerģijas ražošanai. </w:t>
      </w:r>
    </w:p>
    <w:p>
      <w:pPr>
        <w:pStyle w:val="Normal"/>
        <w:rPr/>
      </w:pPr>
      <w:r>
        <w:rPr/>
        <w:t xml:space="preserve"> </w:t>
      </w:r>
    </w:p>
    <w:p>
      <w:pPr>
        <w:pStyle w:val="Normal"/>
        <w:rPr/>
      </w:pPr>
      <w:r>
        <w:rPr/>
        <w:t xml:space="preserve">Mēs iesakām šos pasākumus, lai izbeigtu videi nodarīto kaitējumu valstīm, kas apglabā savus atkritumus, kaitējot citām valstīm, jo īpaši tad, ja ir pilnīga neatbilstība vides standartiem. </w:t>
      </w:r>
    </w:p>
    <w:p>
      <w:pPr>
        <w:pStyle w:val="Normal"/>
        <w:rPr/>
      </w:pPr>
      <w:r>
        <w:rPr/>
        <w:t xml:space="preserve"> </w:t>
      </w:r>
    </w:p>
    <w:p>
      <w:pPr>
        <w:pStyle w:val="P68B1DB1Normal15"/>
        <w:rPr>
          <w:b/>
          <w:b/>
        </w:rPr>
      </w:pPr>
      <w:r>
        <w:rPr/>
        <w:t xml:space="preserve">16. Mēs iesakām ES apņēmīgāk veicināt notiekošo ekoloģisko pāreju, cenšoties likvidēt piesārņojošu iepakojumu. Tas būtu jādara, veicinot iepakojuma samazināšanu vai videi draudzīgāku iepakojumu. Lai mazie uzņēmumi varētu pielāgoties, tiem būtu jāsaņem atbalsts un pielāgojumi. </w:t>
      </w:r>
    </w:p>
    <w:p>
      <w:pPr>
        <w:pStyle w:val="Normal"/>
        <w:rPr/>
      </w:pPr>
      <w:r>
        <w:rPr/>
        <w:t xml:space="preserve"> </w:t>
      </w:r>
    </w:p>
    <w:p>
      <w:pPr>
        <w:pStyle w:val="Normal"/>
        <w:rPr/>
      </w:pPr>
      <w:r>
        <w:rPr/>
        <w:t xml:space="preserve">Mēs iesakām šos pasākumus, jo mums ir jāsamazina dabas resursu, tostarp izejvielu no valstīm ārpus ES, izmantošana. Mums ir arī jāsamazina eiropiešu radītais kaitējums mūsu planētai un tās klimatam. Ir būtiski labāk atbalstīt mazos uzņēmumus, lai tie varētu pielāgoties, nepalielinot cenas. </w:t>
      </w:r>
    </w:p>
    <w:p>
      <w:pPr>
        <w:pStyle w:val="Normal"/>
        <w:rPr/>
      </w:pPr>
      <w:r>
        <w:rPr/>
        <w:t xml:space="preserve"> </w:t>
      </w:r>
    </w:p>
    <w:p>
      <w:pPr>
        <w:pStyle w:val="P68B1DB1Normal15"/>
        <w:rPr>
          <w:b/>
          <w:b/>
        </w:rPr>
      </w:pPr>
      <w:r>
        <w:rPr/>
        <w:t xml:space="preserve">17. Mēs iesakām Eiropas Savienības valstīm nopietnāk izskatīt kodolenerģijas jautājumu. Būtu jāpastiprina sadarbība, lai novērtētu kodolenerģijas izmantošanu un tās nozīmi Eiropas zaļās enerģētikas pārkārtošanā. </w:t>
      </w:r>
    </w:p>
    <w:p>
      <w:pPr>
        <w:pStyle w:val="Normal"/>
        <w:rPr/>
      </w:pPr>
      <w:r>
        <w:rPr/>
        <w:t xml:space="preserve"> </w:t>
      </w:r>
    </w:p>
    <w:p>
      <w:pPr>
        <w:pStyle w:val="Normal"/>
        <w:rPr/>
      </w:pPr>
      <w:r>
        <w:rPr/>
        <w:t xml:space="preserve">Mēs iesakām šos pasākumus, jo kodoljautājumu nevar atrisināt valsts izolēti. Pašlaik pusē dalībvalstu ir vairāk nekā 100 reaktoru, un tiek būvēti jauni reaktori. Tā kā mums ir kopīgs elektrotīkls, to saražotā elektroenerģija ar zemu oglekļa dioksīda emisiju līmeni nāk par labu visiem eiropiešiem un palielina mūsu kontinenta enerģētisko autonomiju. Turklāt atteikšanās no kodolatkritumiem vai negadījums skartu vairākas valstis. Neatkarīgi no tā, vai ir pieņemts lēmums par kodolenerģijas izmantošanu, eiropiešiem tas ir jāapspriež kopā un jādefinē konverģentākas stratēģijas, vienlaikus ievērojot valstu suverenitāti. </w:t>
      </w:r>
    </w:p>
    <w:p>
      <w:pPr>
        <w:pStyle w:val="Normal"/>
        <w:rPr/>
      </w:pPr>
      <w:r>
        <w:rPr/>
        <w:t xml:space="preserve"> </w:t>
      </w:r>
    </w:p>
    <w:p>
      <w:pPr>
        <w:pStyle w:val="Titre4"/>
        <w:numPr>
          <w:ilvl w:val="3"/>
          <w:numId w:val="2"/>
        </w:numPr>
        <w:rPr/>
      </w:pPr>
      <w:bookmarkStart w:id="188" w:name="__RefHeading___Toc297311_1346298689"/>
      <w:bookmarkEnd w:id="188"/>
      <w:r>
        <w:rPr/>
        <w:t xml:space="preserve">Apakšass — Eiropas vērtību veicināšana </w:t>
      </w:r>
    </w:p>
    <w:p>
      <w:pPr>
        <w:pStyle w:val="P68B1DB1Normal15"/>
        <w:rPr>
          <w:b/>
          <w:b/>
        </w:rPr>
      </w:pPr>
      <w:r>
        <w:rPr/>
        <w:t xml:space="preserve">18. ES vajadzētu būt tuvākai pilsoņiem. Mēs iesakām ES izveidot un stiprināt saiknes ar iedzīvotājiem un vietējām iestādēm, piemēram, vietējām pašvaldībām, skolām un pašvaldībām. Mērķis ir uzlabot pārredzamību, sasniegt iedzīvotājus, labāk informēt viņus par konkrētām ES iniciatīvām un labāk darīt zināmu vispārīgu ES informāciju. </w:t>
      </w:r>
    </w:p>
    <w:p>
      <w:pPr>
        <w:pStyle w:val="Normal"/>
        <w:rPr/>
      </w:pPr>
      <w:r>
        <w:rPr/>
        <w:t xml:space="preserve"> </w:t>
      </w:r>
    </w:p>
    <w:p>
      <w:pPr>
        <w:pStyle w:val="Normal"/>
        <w:rPr/>
      </w:pPr>
      <w:r>
        <w:rPr/>
        <w:t xml:space="preserve">Mēs iesakām šos pasākumus, jo pašreizējā informācija par ES nav pietiekami pieejama visām sociālajām grupām un neietekmē parastos iedzīvotājus. Tie bieži ir garlaicīgi, grūti saprotami un nedraudzīgi. Šī situācija ir jāmaina, lai iedzīvotājiem būtu skaidrs redzējums par ES darbībām un lomu. Lai piesaistītu sabiedrības interesi, informācijai, kas saistīta ar ES, jābūt viegli atrodamai, motivējošai, interesantai un uzrakstītai kopīgā valodā. Šeit ir mūsu ieteikumi: Eiropas politiķu apmeklējumu organizēšana skolās, radio kampaņas aplādes, vēstuļu, preses rakstu, reklāmas autobusu un sociālo plašsaziņas līdzekļu veidā, vietējo iedzīvotāju asamblejas un darba grupas izveide, lai uzlabotu ES komunikāciju. Šie pasākumi ļaus iedzīvotājiem iegūt informāciju par ES, ko nefiltrē valstu plašsaziņas līdzekļi. </w:t>
      </w:r>
    </w:p>
    <w:p>
      <w:pPr>
        <w:pStyle w:val="Normal"/>
        <w:rPr/>
      </w:pPr>
      <w:r>
        <w:rPr/>
        <w:t xml:space="preserve"> </w:t>
      </w:r>
    </w:p>
    <w:p>
      <w:pPr>
        <w:pStyle w:val="P68B1DB1Normal15"/>
        <w:rPr>
          <w:b/>
          <w:b/>
        </w:rPr>
      </w:pPr>
      <w:r>
        <w:rPr/>
        <w:t xml:space="preserve">19. Mēs iesakām vairāk iesaistīt iedzīvotājus ES politikas nostādnēs. Mēs ierosinām organizēt pasākumus, kas ietver pilsoņu tiešu līdzdalību pēc konferences par Eiropas nākotni parauga. Tās būtu jāorganizē valsts, vietējā un Eiropas līmenī. ES būtu jānosaka saskaņota stratēģija un centralizēti norādījumi šiem pasākumiem. </w:t>
      </w:r>
    </w:p>
    <w:p>
      <w:pPr>
        <w:pStyle w:val="Normal"/>
        <w:rPr/>
      </w:pPr>
      <w:r>
        <w:rPr/>
        <w:t xml:space="preserve"> </w:t>
      </w:r>
    </w:p>
    <w:p>
      <w:pPr>
        <w:pStyle w:val="Normal"/>
        <w:rPr/>
      </w:pPr>
      <w:r>
        <w:rPr/>
        <w:t xml:space="preserve">Mēs iesakām šos pasākumus, jo šie līdzdalības demokrātijas pasākumi sniegs pareizu informāciju par ES un uzlabos ES politikas kvalitāti. Pasākumi būtu jāorganizē tā, lai veicinātu Savienības pamatvērtības — demokrātiju un pilsoņu līdzdalību. Šie pasākumi dotu iespēju politiķiem parādīt pilsoņiem, ka viņiem ir svarīgi, lai pilsoņi būtu informēti par aktuāliem notikumiem un būtu saistīti ar viņu definīciju. Centralizēti norādījumi nodrošinās valsts un vietējo konferenču konsekvenci un konsekvenci. </w:t>
      </w:r>
    </w:p>
    <w:p>
      <w:pPr>
        <w:pStyle w:val="Normal"/>
        <w:rPr/>
      </w:pPr>
      <w:r>
        <w:rPr/>
        <w:t xml:space="preserve"> </w:t>
      </w:r>
    </w:p>
    <w:p>
      <w:pPr>
        <w:pStyle w:val="Titre3"/>
        <w:numPr>
          <w:ilvl w:val="2"/>
          <w:numId w:val="2"/>
        </w:numPr>
        <w:rPr/>
      </w:pPr>
      <w:bookmarkStart w:id="189" w:name="__RefHeading___Toc297313_1346298689"/>
      <w:bookmarkEnd w:id="189"/>
      <w:r>
        <w:rPr/>
        <w:t xml:space="preserve">Ass Nr. 3: Spēcīga ES mierīgā pasaulē </w:t>
      </w:r>
    </w:p>
    <w:p>
      <w:pPr>
        <w:pStyle w:val="Titre4"/>
        <w:numPr>
          <w:ilvl w:val="3"/>
          <w:numId w:val="2"/>
        </w:numPr>
        <w:rPr/>
      </w:pPr>
      <w:bookmarkStart w:id="190" w:name="__RefHeading___Toc297315_1346298689"/>
      <w:bookmarkEnd w:id="190"/>
      <w:r>
        <w:rPr/>
        <w:t xml:space="preserve">Apakšass — Drošība un aizsardzība </w:t>
      </w:r>
    </w:p>
    <w:p>
      <w:pPr>
        <w:pStyle w:val="P68B1DB1Normal15"/>
        <w:rPr>
          <w:b/>
          <w:b/>
        </w:rPr>
      </w:pPr>
      <w:r>
        <w:rPr/>
        <w:t xml:space="preserve">20. Mēs iesakām turpmākos “Eiropas Savienības Kopīgos bruņotos spēkus” izmantot galvenokārt aizsardzības mērķiem. Jebkura agresīva militāra darbība, neatkarīgi no tās rakstura, ir izslēgta. Eiropā tas nodrošinātu līdzekļus palīdzības sniegšanai krīzes gadījumā, jo īpaši dabas katastrofas gadījumā. Tas ļautu ārpus Eiropas robežām izvietot resursus teritorijās, kurās ir ārkārtēji apstākļi, vienīgi saskaņā ar ANO Drošības padomes juridiskajām pilnvarām un tādējādi saskaņā ar starptautiskajām tiesībām. </w:t>
      </w:r>
    </w:p>
    <w:p>
      <w:pPr>
        <w:pStyle w:val="Normal"/>
        <w:rPr/>
      </w:pPr>
      <w:r>
        <w:rPr/>
        <w:t xml:space="preserve"> </w:t>
      </w:r>
    </w:p>
    <w:p>
      <w:pPr>
        <w:pStyle w:val="Normal"/>
        <w:rPr/>
      </w:pPr>
      <w:r>
        <w:rPr/>
        <w:t xml:space="preserve">Ja to īstenotu, tas ļautu Eiropas Savienību uzskatīt par uzticamu, atbildīgu, spēcīgu un miermīlīgu partneri starptautiskā mērogā. Tādējādi tās uzlabotajai spējai reaģēt uz krīzes situācijām gan pašu valstī, gan ārvalstīs būtu jāaizsargā tās pamatvērtības. </w:t>
      </w:r>
    </w:p>
    <w:p>
      <w:pPr>
        <w:pStyle w:val="Normal"/>
        <w:rPr/>
      </w:pPr>
      <w:r>
        <w:rPr/>
        <w:t xml:space="preserve"> </w:t>
      </w:r>
    </w:p>
    <w:p>
      <w:pPr>
        <w:pStyle w:val="Titre4"/>
        <w:numPr>
          <w:ilvl w:val="3"/>
          <w:numId w:val="2"/>
        </w:numPr>
        <w:rPr/>
      </w:pPr>
      <w:bookmarkStart w:id="191" w:name="__RefHeading___Toc297317_1346298689"/>
      <w:bookmarkEnd w:id="191"/>
      <w:r>
        <w:rPr/>
        <w:t xml:space="preserve">Apakšass — Lēmumu pieņemšana un ES ārpolitika </w:t>
      </w:r>
    </w:p>
    <w:p>
      <w:pPr>
        <w:pStyle w:val="P68B1DB1Normal15"/>
        <w:rPr>
          <w:b/>
          <w:b/>
        </w:rPr>
      </w:pPr>
      <w:r>
        <w:rPr/>
        <w:t xml:space="preserve">21. Mēs iesakām visas jomas, kurās lēmumus pieņem vienprātīgi, tagad pieņemt ar kvalificētu balsu vairākumu. Vienīgajiem izņēmumiem vajadzētu būt jaunu dalībvalstu uzņemšanai Savienībā un Lisabonas līguma 2. pantā un Eiropas Savienības Pamattiesību hartā noteikto Savienības pamatprincipu grozīšanai. </w:t>
      </w:r>
    </w:p>
    <w:p>
      <w:pPr>
        <w:pStyle w:val="Normal"/>
        <w:rPr/>
      </w:pPr>
      <w:r>
        <w:rPr/>
        <w:t xml:space="preserve"> </w:t>
      </w:r>
    </w:p>
    <w:p>
      <w:pPr>
        <w:pStyle w:val="Normal"/>
        <w:rPr/>
      </w:pPr>
      <w:r>
        <w:rPr/>
        <w:t xml:space="preserve">Tas stiprinātu ES pozīciju pasaulē, radot vienotu nostāju attiecībā uz trešām valstīm, un veicinātu tās vispārējās reaģēšanas spējas, tostarp reaģēšanu krīzes situācijās. </w:t>
      </w:r>
    </w:p>
    <w:p>
      <w:pPr>
        <w:pStyle w:val="Normal"/>
        <w:rPr/>
      </w:pPr>
      <w:r>
        <w:rPr/>
        <w:t xml:space="preserve"> </w:t>
      </w:r>
    </w:p>
    <w:p>
      <w:pPr>
        <w:pStyle w:val="P68B1DB1Normal15"/>
        <w:rPr>
          <w:b/>
          <w:b/>
        </w:rPr>
      </w:pPr>
      <w:r>
        <w:rPr/>
        <w:t xml:space="preserve">22. Mēs iesakām Eiropas Savienībai stiprināt tās spēju piemērot sankcijas dalībvalstīm, valdībām, struktūrām, grupām vai organizācijām un personām, kuras neievēro tās pamatprincipus, nolīgumus un tiesību aktus. Ir ļoti svarīgi, lai spēkā esošās sankcijas tiktu ātri īstenotas un efektīvi ievērotas. Sankcijām, ko piemēro trešām valstīm, vajadzētu būt samērīgām ar darbībām, kas tās izraisīja, būt efektīvām un piemērotām laikus. </w:t>
      </w:r>
    </w:p>
    <w:p>
      <w:pPr>
        <w:pStyle w:val="Normal"/>
        <w:rPr/>
      </w:pPr>
      <w:r>
        <w:rPr/>
        <w:t xml:space="preserve"> </w:t>
      </w:r>
    </w:p>
    <w:p>
      <w:pPr>
        <w:pStyle w:val="Normal"/>
        <w:rPr/>
      </w:pPr>
      <w:r>
        <w:rPr/>
        <w:t xml:space="preserve">Lai ES būtu uzticama un uzticama, tai ir jāpiemēro sankcijas tiem, kas pārkāpj tās principus. Šādas sankcijas būtu jāpiemēro efektīvi un ātri, un tās būtu jākontrolē. </w:t>
      </w:r>
    </w:p>
    <w:p>
      <w:pPr>
        <w:pStyle w:val="Normal"/>
        <w:rPr/>
      </w:pPr>
      <w:r>
        <w:rPr/>
        <w:t xml:space="preserve"> </w:t>
      </w:r>
    </w:p>
    <w:p>
      <w:pPr>
        <w:pStyle w:val="Titre4"/>
        <w:numPr>
          <w:ilvl w:val="3"/>
          <w:numId w:val="2"/>
        </w:numPr>
        <w:rPr/>
      </w:pPr>
      <w:bookmarkStart w:id="192" w:name="__RefHeading___Toc297319_1346298689"/>
      <w:bookmarkEnd w:id="192"/>
      <w:r>
        <w:rPr/>
        <w:t xml:space="preserve">Apakšass — kaimiņvalstis un paplašināšanās </w:t>
      </w:r>
    </w:p>
    <w:p>
      <w:pPr>
        <w:pStyle w:val="P68B1DB1Normal15"/>
        <w:rPr>
          <w:b/>
          <w:b/>
        </w:rPr>
      </w:pPr>
      <w:r>
        <w:rPr/>
        <w:t xml:space="preserve">23. Mēs iesakām Eiropas Savienībai piešķirt īpašu budžetu tādu izglītības programmu izstrādei, kas paredzētas ES darbībai un tās vērtībām. Pēc tam šīs programmas tiks piedāvātas dalībvalstīm, ja tās to vēlas integrēt savās skolu programmās (pamatizglītībā un vidējā izglītībā un universitātēs). Turklāt studentiem, kuri vēlas studēt citā Eiropas valstī, izmantojot Erasmus programmu, varētu piedāvāt īpašu kursu par ES un tās darbību. Studentiem, kuri izvēlas šo kursu, tiks piešķirta prioritāte, lai gūtu labumu no šīm Erasmus programmām. </w:t>
      </w:r>
    </w:p>
    <w:p>
      <w:pPr>
        <w:pStyle w:val="Normal"/>
        <w:rPr/>
      </w:pPr>
      <w:r>
        <w:rPr/>
        <w:t xml:space="preserve"> </w:t>
      </w:r>
    </w:p>
    <w:p>
      <w:pPr>
        <w:pStyle w:val="Normal"/>
        <w:rPr/>
      </w:pPr>
      <w:r>
        <w:rPr/>
        <w:t xml:space="preserve">Mēs iesakām šos pasākumus, lai palielinātu piederības sajūtu ES. Tādējādi pilsoņi varēs labāk identificēties ar Savienību un paust tās vērtības. Turklāt šie pasākumi uzlabos pārredzamību attiecībā uz ES darbību un ieguvumiem, ko sniedz dalība ES, kā arī cīņa pret pret Eiropu vērstām kustībām. Šiem pasākumiem būtu jāattur dalībvalstis no izstāšanās no ES. </w:t>
      </w:r>
    </w:p>
    <w:p>
      <w:pPr>
        <w:pStyle w:val="Normal"/>
        <w:rPr/>
      </w:pPr>
      <w:r>
        <w:rPr/>
        <w:t xml:space="preserve"> </w:t>
      </w:r>
    </w:p>
    <w:p>
      <w:pPr>
        <w:pStyle w:val="P68B1DB1Normal15"/>
        <w:rPr>
          <w:b/>
          <w:b/>
        </w:rPr>
      </w:pPr>
      <w:r>
        <w:rPr/>
        <w:t xml:space="preserve">24. Mēs iesakām ES vairāk izmantot savu politisko un ekonomisko ietekmi attiecībās ar citām valstīm, lai novērstu to, ka atsevišķas dalībvalstis tiek pakļautas divpusējam ekonomiskam, politiskam un sociālam spiedienam. </w:t>
      </w:r>
    </w:p>
    <w:p>
      <w:pPr>
        <w:pStyle w:val="Normal"/>
        <w:rPr/>
      </w:pPr>
      <w:r>
        <w:rPr/>
        <w:t xml:space="preserve"> </w:t>
      </w:r>
    </w:p>
    <w:p>
      <w:pPr>
        <w:pStyle w:val="Normal"/>
        <w:rPr/>
      </w:pPr>
      <w:r>
        <w:rPr/>
        <w:t xml:space="preserve">Mēs iesakām šos pasākumus trīs iemeslu dēļ. Pirmkārt, tie stiprinās vienotības sajūtu Eiropas Savienībā. Otrkārt, vienpusēja reakcija būs skaidra, spēcīga un ātra reakcija, lai izvairītos no jebkādiem trešo valstu mēģinājumiem iebiedēt vai apspiest ES dalībvalstis. Visbeidzot, tie stiprinās Savienības drošību un nodrošinās, ka neviena dalībvalsts nejūtas pamesta vai ignorēta. Divpusēja reakcija šķeļ ES un ir vājums, ko trešās valstis izmanto pret mums. </w:t>
      </w:r>
    </w:p>
    <w:p>
      <w:pPr>
        <w:pStyle w:val="Normal"/>
        <w:rPr/>
      </w:pPr>
      <w:r>
        <w:rPr/>
        <w:t xml:space="preserve"> </w:t>
      </w:r>
    </w:p>
    <w:p>
      <w:pPr>
        <w:pStyle w:val="P68B1DB1Normal15"/>
        <w:rPr>
          <w:b/>
          <w:b/>
        </w:rPr>
      </w:pPr>
      <w:r>
        <w:rPr/>
        <w:t xml:space="preserve">25. “Mēs iesakām Savienībai uzlabot komunikācijas stratēģiju”. No vienas puses, ES būtu jāpalielina sava pamanāmība sociālajos tīklos un aktīvi jāpopularizē tās saturs. No otras puses, tai katru gadu būtu jāturpina organizēt konferences, piemēram, konferenci par Eiropas nākotni. Mēs iesakām arī turpmāk veicināt inovāciju, veicinot pieejamu Eiropas sociālo tīklu. </w:t>
      </w:r>
    </w:p>
    <w:p>
      <w:pPr>
        <w:pStyle w:val="Normal"/>
        <w:rPr/>
      </w:pPr>
      <w:r>
        <w:rPr/>
        <w:t xml:space="preserve"> </w:t>
      </w:r>
    </w:p>
    <w:p>
      <w:pPr>
        <w:pStyle w:val="Normal"/>
        <w:rPr/>
      </w:pPr>
      <w:r>
        <w:rPr/>
        <w:t xml:space="preserve">Šie priekšlikumi ne tikai sasniegtu jauniešus, bet arī palielinātu Eiropas iedzīvotāju interesi un līdzdalību, izmantojot pievilcīgāku un efektīvāku komunikācijas instrumentu. Pasākumu organizēšanai, piemēram, konferencei par Eiropas nākotni, būtu jādod iespēja iedzīvotājiem vairāk iesaistīties lēmumu pieņemšanas procesā un jānodrošina, ka viņu viedoklis tiek uzklausīts. </w:t>
      </w:r>
    </w:p>
    <w:p>
      <w:pPr>
        <w:pStyle w:val="Normal"/>
        <w:rPr/>
      </w:pPr>
      <w:r>
        <w:rPr/>
        <w:t xml:space="preserve"> </w:t>
      </w:r>
    </w:p>
    <w:p>
      <w:pPr>
        <w:pStyle w:val="P68B1DB1Normal15"/>
        <w:rPr>
          <w:b/>
          <w:b/>
        </w:rPr>
      </w:pPr>
      <w:r>
        <w:rPr/>
        <w:t xml:space="preserve">26. Mēs iesakām dalībvalstīm pieņemt stingru redzējumu un kopīgu stratēģiju, lai saskaņotu un konsolidētu Eiropas identitāti un vienotību pirms Savienības turpmākas paplašināšanas. </w:t>
      </w:r>
    </w:p>
    <w:p>
      <w:pPr>
        <w:pStyle w:val="Normal"/>
        <w:rPr/>
      </w:pPr>
      <w:r>
        <w:rPr/>
        <w:t xml:space="preserve"> </w:t>
      </w:r>
    </w:p>
    <w:p>
      <w:pPr>
        <w:pStyle w:val="Normal"/>
        <w:rPr/>
      </w:pPr>
      <w:r>
        <w:rPr/>
        <w:t xml:space="preserve">Mēs uzskatām, ka ir būtiski stiprināt ES un stiprināt attiecības starp dalībvalstīm, pirms tiek apsvērta citu valstu integrācija. Jo vairāk dalībvalstu ES, jo sarežģītāks ir lēmumu pieņemšanas process; tādēļ ir svarīgi lēmumu pieņemšanas procesos pārskatīt vienprātīgu balsojumu. </w:t>
      </w:r>
    </w:p>
    <w:p>
      <w:pPr>
        <w:pStyle w:val="Normal"/>
        <w:rPr/>
      </w:pPr>
      <w:r>
        <w:rPr/>
        <w:t xml:space="preserve"> </w:t>
      </w:r>
    </w:p>
    <w:p>
      <w:pPr>
        <w:pStyle w:val="Titre3"/>
        <w:numPr>
          <w:ilvl w:val="2"/>
          <w:numId w:val="2"/>
        </w:numPr>
        <w:rPr/>
      </w:pPr>
      <w:bookmarkStart w:id="193" w:name="__RefHeading___Toc297321_1346298689"/>
      <w:bookmarkEnd w:id="193"/>
      <w:r>
        <w:rPr/>
        <w:t xml:space="preserve">Ass Nr. 4: Migrācija no cilvēka viedokļa </w:t>
      </w:r>
    </w:p>
    <w:p>
      <w:pPr>
        <w:pStyle w:val="Titre4"/>
        <w:numPr>
          <w:ilvl w:val="3"/>
          <w:numId w:val="2"/>
        </w:numPr>
        <w:rPr/>
      </w:pPr>
      <w:bookmarkStart w:id="194" w:name="__RefHeading___Toc297323_1346298689"/>
      <w:bookmarkEnd w:id="194"/>
      <w:r>
        <w:rPr/>
        <w:t xml:space="preserve">Apakšass — Emigrācijas cēloņu novēršana </w:t>
      </w:r>
    </w:p>
    <w:p>
      <w:pPr>
        <w:pStyle w:val="P68B1DB1Normal15"/>
        <w:rPr>
          <w:b/>
          <w:b/>
        </w:rPr>
      </w:pPr>
      <w:r>
        <w:rPr/>
        <w:t xml:space="preserve">27. Mēs iesakām Eiropas Savienībai aktīvi piedalīties to trešo valstu un valstu ekonomiskajā attīstībā, no kurām nāk lielākās migrantu plūsmas. Ar attiecīgo struktūru (vietējo NVO un vietējo politiķu, nozares speciālistu u. c.) palīdzību ES būtu jāmeklē veidi, kā miermīlīgi un efektīvi iejaukties valstīs, kurās ir lielākās migrantu plūsmas un kuras ir piekritušas sadarbības kārtībai. Šiem pasākumiem būtu jārada taustāma un izmērāma ietekme, kas būtu skaidri jāuzsver, lai Eiropas iedzīvotāji varētu izprast Savienības attīstības palīdzības politiku. Tādējādi ES attīstības palīdzības darbībām būtu jākļūst redzamākām. </w:t>
      </w:r>
    </w:p>
    <w:p>
      <w:pPr>
        <w:pStyle w:val="Normal"/>
        <w:rPr/>
      </w:pPr>
      <w:r>
        <w:rPr/>
        <w:t xml:space="preserve"> </w:t>
      </w:r>
    </w:p>
    <w:p>
      <w:pPr>
        <w:pStyle w:val="Normal"/>
        <w:rPr/>
      </w:pPr>
      <w:r>
        <w:rPr/>
        <w:t xml:space="preserve">Pat ja ES strādā pie starptautiskās attīstības, tai ir jāturpina darbība un jāiegulda savas politikas pārskatāmībā un pamanāmībā šajā jomā. </w:t>
      </w:r>
    </w:p>
    <w:p>
      <w:pPr>
        <w:pStyle w:val="Normal"/>
        <w:rPr/>
      </w:pPr>
      <w:r>
        <w:rPr/>
        <w:t xml:space="preserve"> </w:t>
      </w:r>
    </w:p>
    <w:p>
      <w:pPr>
        <w:pStyle w:val="P68B1DB1Normal15"/>
        <w:rPr>
          <w:b/>
          <w:b/>
        </w:rPr>
      </w:pPr>
      <w:r>
        <w:rPr/>
        <w:t xml:space="preserve">28. Mēs iesakām izveidot vienotu Eiropas sistēmu darba apstākļu saskaņošanai visā Savienībā (minimālā alga, darba laiks utt.). ES būtu jācenšas izveidot kopīgus darba pamatstandartus, lai nepieļautu, ka pilsoņi izceļo no savas valsts, lai meklētu labākus darba apstākļus citur. Šo standartu ietvaros ES būtu jāstiprina arodbiedrību loma starptautiskā līmenī. Tādējādi ES atzīst, ka iekšējā ekonomiskā migrācija (ES pilsoņu migrācija) ir nopietna problēma. </w:t>
      </w:r>
    </w:p>
    <w:p>
      <w:pPr>
        <w:pStyle w:val="Normal"/>
        <w:rPr/>
      </w:pPr>
      <w:r>
        <w:rPr/>
        <w:t xml:space="preserve"> </w:t>
      </w:r>
    </w:p>
    <w:p>
      <w:pPr>
        <w:pStyle w:val="Normal"/>
        <w:rPr/>
      </w:pPr>
      <w:r>
        <w:rPr/>
        <w:t xml:space="preserve">Šā ieteikuma pamatā ir konstatējums, ka liels skaits cilvēku Eiropas Savienībā migrē ekonomisku iemeslu dēļ, ņemot vērā darba apstākļu atšķirības starp dalībvalstīm. Ir jānovērš šī intelektuālā darbaspēka emigrācija, lai dalībvalstis saglabātu savus talantus un darbaspēku. Mēs atbalstām pilsoņu brīvu pārvietošanos, bet uzskatām, ka ES pilsoņu migrācija starp dažādām dalībvalstīm, ja tā nav vēlama, notiek ekonomisku iemeslu dēļ. Tāpēc ir svarīgi izveidot kopēju darba sistēmu. </w:t>
      </w:r>
    </w:p>
    <w:p>
      <w:pPr>
        <w:pStyle w:val="Normal"/>
        <w:rPr/>
      </w:pPr>
      <w:r>
        <w:rPr/>
        <w:t xml:space="preserve"> </w:t>
      </w:r>
    </w:p>
    <w:p>
      <w:pPr>
        <w:pStyle w:val="Titre4"/>
        <w:numPr>
          <w:ilvl w:val="3"/>
          <w:numId w:val="2"/>
        </w:numPr>
        <w:rPr/>
      </w:pPr>
      <w:bookmarkStart w:id="195" w:name="__RefHeading___Toc297325_1346298689"/>
      <w:bookmarkEnd w:id="195"/>
      <w:r>
        <w:rPr/>
        <w:t xml:space="preserve">Apakšass 4.2 — Cilvēka apsvērumi </w:t>
      </w:r>
    </w:p>
    <w:p>
      <w:pPr>
        <w:pStyle w:val="P68B1DB1Normal15"/>
        <w:rPr>
          <w:b/>
          <w:b/>
        </w:rPr>
      </w:pPr>
      <w:r>
        <w:rPr/>
        <w:t xml:space="preserve">29. Mēs iesakām īstenot kopēju migrācijas politiku, kuras pamatā ir solidaritātes princips. Mēs vēlamies, lai uzmanība tiktu pievērsta bēgļu problēmai. Visām ES dalībvalstīm vienotas procedūras pamatā vajadzētu būt visefektīvākajai praksei visās ES valstīs. Šī procedūra būtu proaktīvi jāīsteno valstu iestādēm un ES administrācijai. </w:t>
      </w:r>
    </w:p>
    <w:p>
      <w:pPr>
        <w:pStyle w:val="Normal"/>
        <w:rPr/>
      </w:pPr>
      <w:r>
        <w:rPr/>
        <w:t xml:space="preserve"> </w:t>
      </w:r>
    </w:p>
    <w:p>
      <w:pPr>
        <w:pStyle w:val="Normal"/>
        <w:rPr/>
      </w:pPr>
      <w:r>
        <w:rPr/>
        <w:t xml:space="preserve">Bēgļu problēma skar visas dalībvalstis. Pašlaik šajās valstīs ir pārāk atšķirīga prakse, kas negatīvi ietekmē bēgļus un ES pilsoņus. Tādēļ ir jāpieņem saskaņota un konsekventa pieeja. </w:t>
      </w:r>
    </w:p>
    <w:p>
      <w:pPr>
        <w:pStyle w:val="Normal"/>
        <w:rPr/>
      </w:pPr>
      <w:r>
        <w:rPr/>
        <w:t xml:space="preserve"> </w:t>
      </w:r>
    </w:p>
    <w:p>
      <w:pPr>
        <w:pStyle w:val="P68B1DB1Normal15"/>
        <w:rPr>
          <w:b/>
          <w:b/>
        </w:rPr>
      </w:pPr>
      <w:r>
        <w:rPr/>
        <w:t xml:space="preserve">30. Mēs iesakām ES pastiprināt centienus informēt un izglītot dalībvalstu pilsoņus par jautājumiem, kas saistīti ar migrāciju. Tas būtu jāpanāk, pēc iespējas ātrāk no sākumskolas sākuma izglītojot bērnus par tādiem jautājumiem kā migrācija un integrācija. Ja mēs šo agrīno izglītību apvienosim ar NVO un jaunatnes organizāciju darbībām, kā arī ar plaša mēroga plašsaziņas līdzekļu kampaņām, mēs varētu pilnībā sasniegt savu mērķi. Turklāt varētu izmantot daudzus saziņas līdzekļus: bukleti, televīzija un sociālie tīkli. </w:t>
      </w:r>
    </w:p>
    <w:p>
      <w:pPr>
        <w:pStyle w:val="Normal"/>
        <w:rPr/>
      </w:pPr>
      <w:r>
        <w:rPr/>
        <w:t xml:space="preserve"> </w:t>
      </w:r>
    </w:p>
    <w:p>
      <w:pPr>
        <w:pStyle w:val="Normal"/>
        <w:rPr/>
      </w:pPr>
      <w:r>
        <w:rPr/>
        <w:t xml:space="preserve">Ir svarīgi parādīt, ka migrācijai ir arī daudzi pozitīvi aspekti, piemēram, papildu darbaspēks. Mēs vēlamies uzsvērt, cik svarīgi ir palielināt informētību par abiem procesiem, lai iedzīvotāji saprastu migrācijas iemeslus un sekas, lai novērstu stigmatizāciju, kas rodas, tiekot uztverta kā migrants. </w:t>
      </w:r>
    </w:p>
    <w:p>
      <w:pPr>
        <w:pStyle w:val="Normal"/>
        <w:rPr/>
      </w:pPr>
      <w:r>
        <w:rPr/>
        <w:t xml:space="preserve"> </w:t>
      </w:r>
    </w:p>
    <w:p>
      <w:pPr>
        <w:pStyle w:val="Titre4"/>
        <w:numPr>
          <w:ilvl w:val="3"/>
          <w:numId w:val="2"/>
        </w:numPr>
        <w:rPr/>
      </w:pPr>
      <w:bookmarkStart w:id="196" w:name="__RefHeading___Toc297327_1346298689"/>
      <w:bookmarkEnd w:id="196"/>
      <w:r>
        <w:rPr/>
        <w:t xml:space="preserve">Apakšass — Robežas </w:t>
      </w:r>
    </w:p>
    <w:p>
      <w:pPr>
        <w:pStyle w:val="P68B1DB1Normal15"/>
        <w:rPr>
          <w:b/>
          <w:b/>
        </w:rPr>
      </w:pPr>
      <w:r>
        <w:rPr/>
        <w:t xml:space="preserve">31. Mēs iesakām Direktīvu 2013/33/ES par minimālajiem standartiem patvēruma meklētāju uzņemšanai dalībvalstīs aizstāt ar obligātu ES regulu, kas vienādi tiks piemērota visās dalībvalstīs. Prioritāte būtu jāpiešķir uzņemšanas un izmitināšanas iespēju uzlabošanai. Mēs iesakām izveidot īpašu ES pārraudzības struktūru regulas īstenošanai. </w:t>
      </w:r>
    </w:p>
    <w:p>
      <w:pPr>
        <w:pStyle w:val="Normal"/>
        <w:rPr/>
      </w:pPr>
      <w:r>
        <w:rPr/>
        <w:t xml:space="preserve"> </w:t>
      </w:r>
    </w:p>
    <w:p>
      <w:pPr>
        <w:pStyle w:val="Normal"/>
        <w:rPr/>
      </w:pPr>
      <w:r>
        <w:rPr/>
        <w:t xml:space="preserve">Patiešām, direktīva netiek vienādi īstenota visās dalībvalstīs. Mums jāizvairās no Morijas bēgļu nometnē novēroto apstākļu atkārtošanās. Tādēļ ieteiktā regula būtu jāīsteno, un tajā būtu jāiekļauj obligātas sankcijas. Pārraudzības struktūrai jābūt stabilai un uzticamai. </w:t>
      </w:r>
    </w:p>
    <w:p>
      <w:pPr>
        <w:pStyle w:val="Normal"/>
        <w:rPr/>
      </w:pPr>
      <w:r>
        <w:rPr/>
        <w:t xml:space="preserve"> </w:t>
      </w:r>
    </w:p>
    <w:p>
      <w:pPr>
        <w:pStyle w:val="P68B1DB1Normal15"/>
        <w:rPr>
          <w:b/>
          <w:b/>
        </w:rPr>
      </w:pPr>
      <w:r>
        <w:rPr/>
        <w:t xml:space="preserve">32. Mēs iesakām ES nodrošināt, ka visi patvēruma meklētāji un bēgļi apgūst valodas un integrācijas kursus, kamēr tiek izskatīts viņu uzturēšanās pieteikums. Kursiem jābūt obligātiem, bez maksas, un tajos jāietver personīga palīdzība sākotnējai integrācijai. Viņiem jāsākas divu nedēļu laikā pēc uzturēšanās pieteikuma iesniegšanas. Būtu jāievieš arī stimulu un sankciju mehānismi. </w:t>
      </w:r>
    </w:p>
    <w:p>
      <w:pPr>
        <w:pStyle w:val="Normal"/>
        <w:rPr/>
      </w:pPr>
      <w:r>
        <w:rPr/>
        <w:t xml:space="preserve"> </w:t>
      </w:r>
    </w:p>
    <w:p>
      <w:pPr>
        <w:pStyle w:val="Normal"/>
        <w:rPr/>
      </w:pPr>
      <w:r>
        <w:rPr/>
        <w:t xml:space="preserve">Valodas apguve un izpratne par ierašanās valsts kultūru, vēsturi un ētiku ir būtisks solis integrācijas procesā. Kavēšanās ilgums pirms sākotnējā integrācijas procesa sākuma negatīvi ietekmē migrantu sociālo asimilāciju. Sankciju mehānismi var palīdzēt noteikt migrantu vēlmi integrēties. </w:t>
      </w:r>
    </w:p>
    <w:p>
      <w:pPr>
        <w:pStyle w:val="Normal"/>
        <w:rPr/>
      </w:pPr>
      <w:r>
        <w:rPr/>
        <w:t xml:space="preserve"> </w:t>
      </w:r>
    </w:p>
    <w:p>
      <w:pPr>
        <w:pStyle w:val="Titre3"/>
        <w:numPr>
          <w:ilvl w:val="2"/>
          <w:numId w:val="2"/>
        </w:numPr>
        <w:rPr/>
      </w:pPr>
      <w:bookmarkStart w:id="197" w:name="__RefHeading___Toc297329_1346298689"/>
      <w:bookmarkEnd w:id="197"/>
      <w:r>
        <w:rPr/>
        <w:t xml:space="preserve">Ass Nr. 5: Atbildība un solidaritāte Eiropas Savienībā </w:t>
      </w:r>
    </w:p>
    <w:p>
      <w:pPr>
        <w:pStyle w:val="Titre4"/>
        <w:numPr>
          <w:ilvl w:val="3"/>
          <w:numId w:val="2"/>
        </w:numPr>
        <w:rPr/>
      </w:pPr>
      <w:bookmarkStart w:id="198" w:name="__RefHeading___Toc297331_1346298689"/>
      <w:bookmarkEnd w:id="198"/>
      <w:r>
        <w:rPr/>
        <w:t xml:space="preserve">Apakšass — migrantu sadalījums </w:t>
      </w:r>
    </w:p>
    <w:p>
      <w:pPr>
        <w:pStyle w:val="P68B1DB1Normal15"/>
        <w:rPr>
          <w:b/>
          <w:b/>
        </w:rPr>
      </w:pPr>
      <w:r>
        <w:rPr/>
        <w:t xml:space="preserve">33. Mēs iesakām aizstāt Dublinas sistēmu ar juridiski saistošu līgumu, lai nodrošinātu taisnīgu, līdzsvarotu un samērīgu patvēruma meklētāju sadalījumu ES, pamatojoties uz solidaritāti un taisnīgumu. Pašlaik bēgļiem ir jāiesniedz patvēruma pieteikums pirmajā ierašanās dalībvalstī. Šai sistēmas maiņai jābūt pēc iespējas ātrākai. Eiropas Komisijas priekšlikums par jaunu ES Migrācijas un patvēruma paktu no 2020. gada ir labs sākums, un tam vajadzētu būt juridiskam formai, jo tas paredz kvotas bēgļu sadalei starp ES dalībvalstīm. </w:t>
      </w:r>
    </w:p>
    <w:p>
      <w:pPr>
        <w:pStyle w:val="Normal"/>
        <w:rPr/>
      </w:pPr>
      <w:r>
        <w:rPr/>
        <w:t xml:space="preserve"> </w:t>
      </w:r>
    </w:p>
    <w:p>
      <w:pPr>
        <w:pStyle w:val="Normal"/>
        <w:rPr/>
      </w:pPr>
      <w:r>
        <w:rPr/>
        <w:t xml:space="preserve">Mēs to iesakām, jo pašreizējā Dublinas sistēmā nav ievēroti solidaritātes un tiesiskuma principi. Tas rada smagu slogu dalībvalstīm, kuras atrodas tuvu ES ārējām robežām un kuras patvēruma meklētāji šķērso, lai ieceļotu tās teritorijā. Visām dalībvalstīm ir jāuzņemas atbildība par bēgļu plūsmu pārvaldību uz ES. ES ir kopiena ar kopīgām vērtībām, un tai ir attiecīgi jārīkojas. </w:t>
      </w:r>
    </w:p>
    <w:p>
      <w:pPr>
        <w:pStyle w:val="Normal"/>
        <w:rPr/>
      </w:pPr>
      <w:r>
        <w:rPr/>
        <w:t xml:space="preserve"> </w:t>
      </w:r>
    </w:p>
    <w:p>
      <w:pPr>
        <w:pStyle w:val="P68B1DB1Normal15"/>
        <w:rPr>
          <w:b/>
          <w:b/>
        </w:rPr>
      </w:pPr>
      <w:r>
        <w:rPr/>
        <w:t xml:space="preserve">34. Mēs iesakām ES palīdzēt dalībvalstīm izskatīt patvēruma pieteikumus ātrāk un saskaņā ar kopējiem standartiem. Turklāt bēgļiem būtu jānodrošina humānās palīdzības mājokļi. Lai izkrautu ierašanās valstis un varētu apstrādāt savus patvēruma pieteikumus citur, mēs iesakām bēgļus ātri un efektīvi pārvietot uz dažādām dalībvalstīm pēc viņu pirmās ierašanās ES. Šajā nolūkā ir vajadzīgs ES finansiālais atbalsts un organizatoriskais atbalsts no ES Patvēruma aģentūras. Personas, kuru patvēruma pieteikums ir noraidīts, efektīvi jāatgriež savā izcelsmes valstī ar nosacījumu, ka viņu izcelsmes valsts tiek uzskatīta par drošu. </w:t>
      </w:r>
    </w:p>
    <w:p>
      <w:pPr>
        <w:pStyle w:val="Normal"/>
        <w:rPr/>
      </w:pPr>
      <w:r>
        <w:rPr/>
        <w:t xml:space="preserve"> </w:t>
      </w:r>
    </w:p>
    <w:p>
      <w:pPr>
        <w:pStyle w:val="Normal"/>
        <w:rPr/>
      </w:pPr>
      <w:r>
        <w:rPr/>
        <w:t xml:space="preserve">Mēs to iesakām, jo patvēruma procedūras pašlaik ir pārāk garas un dažādās dalībvalstīs var atšķirties. Paātrinot patvēruma procedūras, bēgļi pavada mazāk laika, gaidot galīgo lēmumu pagaidu izmitināšanas iestādēs. Patvēruma meklētājus var integrēt ātrāk. </w:t>
      </w:r>
    </w:p>
    <w:p>
      <w:pPr>
        <w:pStyle w:val="Normal"/>
        <w:rPr/>
      </w:pPr>
      <w:r>
        <w:rPr/>
        <w:t xml:space="preserve"> </w:t>
      </w:r>
    </w:p>
    <w:p>
      <w:pPr>
        <w:pStyle w:val="P68B1DB1Normal15"/>
        <w:rPr>
          <w:b/>
          <w:b/>
        </w:rPr>
      </w:pPr>
      <w:r>
        <w:rPr/>
        <w:t xml:space="preserve">35. Mēs iesakām spēcīgu ES finansiālo, loģistikas un operatīvo atbalstu pirmās uzņemšanas pārvaldībai, kas, iespējams, novedīs pie neatbilstīgo migrantu integrācijas vai repatriācijas. Šā atbalsta saņēmējas ir ES pierobežas valstis, kas uzņemas migrācijas pieplūduma slogu. </w:t>
      </w:r>
    </w:p>
    <w:p>
      <w:pPr>
        <w:pStyle w:val="Normal"/>
        <w:rPr/>
      </w:pPr>
      <w:r>
        <w:rPr/>
        <w:t xml:space="preserve"> </w:t>
      </w:r>
    </w:p>
    <w:p>
      <w:pPr>
        <w:pStyle w:val="Normal"/>
        <w:rPr/>
      </w:pPr>
      <w:r>
        <w:rPr/>
        <w:t xml:space="preserve">Ņemot vērā to ģeogrāfisko atrašanās vietu, dažas </w:t>
      </w:r>
      <w:r>
        <w:rPr/>
        <w:commentReference w:id="8"/>
      </w:r>
      <w:r>
        <w:rPr/>
        <w:t xml:space="preserve"> dalībvalstis visvairāk ietekmē migrantu pieplūdums. </w:t>
      </w:r>
    </w:p>
    <w:p>
      <w:pPr>
        <w:pStyle w:val="Normal"/>
        <w:rPr/>
      </w:pPr>
      <w:r>
        <w:rPr/>
        <w:t xml:space="preserve"> </w:t>
      </w:r>
    </w:p>
    <w:p>
      <w:pPr>
        <w:pStyle w:val="P68B1DB1Normal15"/>
        <w:rPr>
          <w:b/>
          <w:b/>
        </w:rPr>
      </w:pPr>
      <w:r>
        <w:rPr/>
        <w:t xml:space="preserve">36. Mēs iesakām stiprināt ES Patvēruma aģentūras pilnvaras, lai panāktu patvēruma meklētāju taisnīgu sadalījumu starp dalībvalstīm. Lai to panāktu, būtu jāņem vērā šādu patvēruma meklētāju vajadzības, kā arī dalībvalstu loģistikas un ekonomiskās spējas un viņu vajadzības darba tirgū. </w:t>
      </w:r>
    </w:p>
    <w:p>
      <w:pPr>
        <w:pStyle w:val="Normal"/>
        <w:rPr/>
      </w:pPr>
      <w:r>
        <w:rPr/>
        <w:t xml:space="preserve"> </w:t>
      </w:r>
    </w:p>
    <w:p>
      <w:pPr>
        <w:pStyle w:val="Normal"/>
        <w:rPr/>
      </w:pPr>
      <w:r>
        <w:rPr/>
        <w:t xml:space="preserve">Koordinēta un centralizēta patvēruma meklētāju sadale, ko dalībvalstis un to pilsoņi uzskata par taisnīgu, novērš haotiskas situācijas un sociālo spriedzi un stiprina solidaritāti starp dalībvalstīm. </w:t>
      </w:r>
    </w:p>
    <w:p>
      <w:pPr>
        <w:pStyle w:val="Normal"/>
        <w:rPr/>
      </w:pPr>
      <w:r>
        <w:rPr/>
        <w:t xml:space="preserve"> </w:t>
      </w:r>
    </w:p>
    <w:p>
      <w:pPr>
        <w:pStyle w:val="Titre4"/>
        <w:numPr>
          <w:ilvl w:val="3"/>
          <w:numId w:val="2"/>
        </w:numPr>
        <w:rPr/>
      </w:pPr>
      <w:bookmarkStart w:id="199" w:name="__RefHeading___Toc297333_1346298689"/>
      <w:bookmarkEnd w:id="199"/>
      <w:r>
        <w:rPr/>
        <w:t xml:space="preserve">Apakšass — Kopēja pieeja patvērumam </w:t>
      </w:r>
    </w:p>
    <w:p>
      <w:pPr>
        <w:pStyle w:val="P68B1DB1Normal15"/>
        <w:rPr>
          <w:b/>
          <w:b/>
        </w:rPr>
      </w:pPr>
      <w:r>
        <w:rPr/>
        <w:t xml:space="preserve">37. Mēs iesakām izveidot visaptverošu Eiropas iestādi vai stiprināt ES Patvēruma aģentūru, lai tā varētu apstrādāt patvēruma pieteikumus visā Eiropas Savienībā un rīkoties, pamatojoties uz vienotiem standartiem. Aģentūrai vajadzētu būt atbildīgai arī par bēgļu taisnīgu sadali. Tajā būtu arī jānosaka drošas un nedrošas izcelsmes valstis, un tai vajadzētu būt atbildīgai par patvēruma meklētāju, kuru pieteikumi ir noraidīti, atgriešanu. </w:t>
      </w:r>
    </w:p>
    <w:p>
      <w:pPr>
        <w:pStyle w:val="Normal"/>
        <w:rPr/>
      </w:pPr>
      <w:r>
        <w:rPr/>
        <w:t xml:space="preserve"> </w:t>
      </w:r>
    </w:p>
    <w:p>
      <w:pPr>
        <w:pStyle w:val="Normal"/>
        <w:rPr/>
      </w:pPr>
      <w:r>
        <w:rPr/>
        <w:t xml:space="preserve">Pašreizējo patvēruma politiku raksturo neskaidri pienākumi un atšķirīgi standarti ES dalībvalstīs. Tādēļ patvēruma procedūru piemērošana dažādās dalībvalstīs nav vienāda. Turklāt Eiropas Savienības Patvēruma aģentūrai pašlaik ir tikai ietekmes pilnvaras. Tā var tikai konsultēt dalībvalstis par patvēruma jautājumiem. </w:t>
      </w:r>
    </w:p>
    <w:p>
      <w:pPr>
        <w:pStyle w:val="Normal"/>
        <w:rPr/>
      </w:pPr>
      <w:r>
        <w:rPr/>
        <w:t xml:space="preserve"> </w:t>
      </w:r>
    </w:p>
    <w:p>
      <w:pPr>
        <w:pStyle w:val="P68B1DB1Normal15"/>
        <w:rPr>
          <w:b/>
          <w:b/>
        </w:rPr>
      </w:pPr>
      <w:r>
        <w:rPr/>
        <w:t xml:space="preserve">38. Mēs iesakām nekavējoties izveidot specializētus patvēruma centrus nepavadītiem nepilngadīgajiem visās ES dalībvalstīs. Mērķis ir pēc iespējas ātrāk uzņemt nepilngadīgos un rūpēties par tiem atbilstoši viņu īpašajām vajadzībām. </w:t>
      </w:r>
    </w:p>
    <w:p>
      <w:pPr>
        <w:pStyle w:val="Normal"/>
        <w:rPr/>
      </w:pPr>
      <w:r>
        <w:rPr/>
        <w:t xml:space="preserve"> </w:t>
      </w:r>
    </w:p>
    <w:p>
      <w:pPr>
        <w:pStyle w:val="Normal"/>
        <w:rPr/>
      </w:pPr>
      <w:r>
        <w:rPr/>
        <w:t xml:space="preserve">Mēs sniedzam šo ieteikumu, jo: </w:t>
      </w:r>
    </w:p>
    <w:p>
      <w:pPr>
        <w:pStyle w:val="Normal"/>
        <w:rPr/>
      </w:pPr>
      <w:r>
        <w:rPr/>
        <w:t xml:space="preserve">1) Daudzi nepilngadīgie, visticamāk, tiks traumēti (jo viņi nāk no konflikta zonām); </w:t>
      </w:r>
    </w:p>
    <w:p>
      <w:pPr>
        <w:pStyle w:val="Normal"/>
        <w:rPr/>
      </w:pPr>
      <w:r>
        <w:rPr/>
        <w:t xml:space="preserve">2) dažādiem bērniem ir atšķirīgas vajadzības (atkarībā no vecuma, veselības u. c.); </w:t>
      </w:r>
    </w:p>
    <w:p>
      <w:pPr>
        <w:pStyle w:val="Normal"/>
        <w:rPr/>
      </w:pPr>
      <w:r>
        <w:rPr/>
        <w:t xml:space="preserve">(3) ja to īstenos, tas nodrošinātu, ka neaizsargātie un traumētie nepilngadīgie pēc iespējas ātrāk saņem visu nepieciešamo aprūpi; </w:t>
      </w:r>
    </w:p>
    <w:p>
      <w:pPr>
        <w:pStyle w:val="Normal"/>
        <w:rPr/>
      </w:pPr>
      <w:r>
        <w:rPr/>
        <w:t xml:space="preserve">4) šie nepilngadīgie ir topošie Eiropas pilsoņi, un tādēļ, ja pret viņiem izturas pienācīgi, tiem būtu jādod pozitīvs ieguldījums Eiropas nākotnē. </w:t>
      </w:r>
    </w:p>
    <w:p>
      <w:pPr>
        <w:pStyle w:val="Normal"/>
        <w:rPr/>
      </w:pPr>
      <w:r>
        <w:rPr/>
        <w:t xml:space="preserve"> </w:t>
      </w:r>
    </w:p>
    <w:p>
      <w:pPr>
        <w:pStyle w:val="P68B1DB1Normal15"/>
        <w:rPr>
          <w:b/>
          <w:b/>
        </w:rPr>
      </w:pPr>
      <w:r>
        <w:rPr/>
        <w:t xml:space="preserve">39. Mēs iesakām izveidot kopīgu, ātru un pārredzamu sistēmu patvēruma pieteikumu izskatīšanai. Šajā procesā būtu jāparedz minimālie standarti, un tas būtu jāpiemēro vienādi visās dalībvalstīs. </w:t>
      </w:r>
    </w:p>
    <w:p>
      <w:pPr>
        <w:pStyle w:val="Normal"/>
        <w:rPr/>
      </w:pPr>
      <w:r>
        <w:rPr/>
        <w:t xml:space="preserve"> </w:t>
      </w:r>
    </w:p>
    <w:p>
      <w:pPr>
        <w:pStyle w:val="Normal"/>
        <w:rPr/>
      </w:pPr>
      <w:r>
        <w:rPr/>
        <w:t xml:space="preserve">Mēs sniedzam šo ieteikumu, jo: </w:t>
      </w:r>
    </w:p>
    <w:p>
      <w:pPr>
        <w:pStyle w:val="Normal"/>
        <w:rPr/>
      </w:pPr>
      <w:r>
        <w:rPr/>
        <w:t xml:space="preserve">1) ja šis ieteikums tiktu īstenots, patvēruma pieteikumu izskatīšana būtu ātrāka un pārredzamāka; </w:t>
      </w:r>
    </w:p>
    <w:p>
      <w:pPr>
        <w:pStyle w:val="Normal"/>
        <w:rPr/>
      </w:pPr>
      <w:r>
        <w:rPr/>
        <w:t xml:space="preserve">2) pašreizējo procedūru lēnums noved pie nelikumības un noziedzības; </w:t>
      </w:r>
    </w:p>
    <w:p>
      <w:pPr>
        <w:pStyle w:val="Normal"/>
        <w:rPr/>
      </w:pPr>
      <w:r>
        <w:rPr/>
        <w:t xml:space="preserve">3) mūsu ieteikumā paredzētajos obligātajos standartos būtu jāiekļauj patvēruma meklētāju cilvēktiesību, veselības un izglītības vajadzību ievērošana; </w:t>
      </w:r>
    </w:p>
    <w:p>
      <w:pPr>
        <w:pStyle w:val="Normal"/>
        <w:rPr/>
      </w:pPr>
      <w:r>
        <w:rPr/>
        <w:t xml:space="preserve">4) šā ieteikuma īstenošana nodrošinātu labāku piekļuvi nodarbinātībai un pašpietiekamību, kas ļautu sniegt pozitīvu ieguldījumu Eiropas sabiedrībā; patvēruma meklētājiem, kuru profesionālais statuss ir legalizēts, ir mazāka iespējamība, ka viņi tiks ļaunprātīgi izmantoti viņu darba vidē; tas varētu tikai veicināt visu iesaistīto pušu integrāciju; </w:t>
      </w:r>
    </w:p>
    <w:p>
      <w:pPr>
        <w:pStyle w:val="Normal"/>
        <w:rPr/>
      </w:pPr>
      <w:r>
        <w:rPr/>
        <w:t xml:space="preserve">5) ilgāka uzturēšanās patvēruma centros negatīvi ietekmē iemītnieku garīgo veselību un labklājību. </w:t>
      </w:r>
    </w:p>
    <w:p>
      <w:pPr>
        <w:pStyle w:val="Normal"/>
        <w:rPr/>
      </w:pPr>
      <w:r>
        <w:rPr/>
        <w:t xml:space="preserve"> </w:t>
      </w:r>
    </w:p>
    <w:p>
      <w:pPr>
        <w:pStyle w:val="P68B1DB1Normal15"/>
        <w:rPr>
          <w:b/>
          <w:b/>
        </w:rPr>
      </w:pPr>
      <w:r>
        <w:rPr/>
        <w:t xml:space="preserve">40. Mēs iesakām visaptveroši pārskatīt visus nolīgumus un tiesību aktus, kas reglamentē patvērumu un imigrāciju Eiropā. Mēs iesakām pieņemt pieeju visai Eiropai. </w:t>
      </w:r>
    </w:p>
    <w:p>
      <w:pPr>
        <w:pStyle w:val="Normal"/>
        <w:rPr/>
      </w:pPr>
      <w:r>
        <w:rPr/>
        <w:t xml:space="preserve"> </w:t>
      </w:r>
    </w:p>
    <w:p>
      <w:pPr>
        <w:pStyle w:val="Normal"/>
        <w:rPr/>
      </w:pPr>
      <w:r>
        <w:rPr/>
        <w:t xml:space="preserve">Mēs sniedzam šo ieteikumu, jo: </w:t>
      </w:r>
    </w:p>
    <w:p>
      <w:pPr>
        <w:pStyle w:val="Normal"/>
        <w:rPr/>
      </w:pPr>
      <w:r>
        <w:rPr/>
        <w:t xml:space="preserve">1) kopš 2015. gada visi spēkā esošie līgumi ir nepiemērojami, nepraktiski un nepiemēroti; </w:t>
      </w:r>
    </w:p>
    <w:p>
      <w:pPr>
        <w:pStyle w:val="Normal"/>
        <w:rPr/>
      </w:pPr>
      <w:r>
        <w:rPr/>
        <w:t xml:space="preserve">2) ES jāuzskata par galveno “aģentūru”, kas pārrauga visas pārējās aģentūras un NVO, kuru uzdevums ir tieši risināt patvēruma jautājumus; </w:t>
      </w:r>
    </w:p>
    <w:p>
      <w:pPr>
        <w:pStyle w:val="Normal"/>
        <w:rPr/>
      </w:pPr>
      <w:r>
        <w:rPr/>
        <w:t xml:space="preserve">(3) Dalībvalstis, kuras visvairāk cieš no šīs situācijas, ir tās, kas lielā mērā ir atstātas, lai cīnītos ar šo problēmu atsevišķi; dažu dalībvalstu “à la carte” izvēle nedod priekšstatu par vienotību; </w:t>
      </w:r>
    </w:p>
    <w:p>
      <w:pPr>
        <w:pStyle w:val="Normal"/>
        <w:rPr/>
      </w:pPr>
      <w:r>
        <w:rPr/>
        <w:t xml:space="preserve">4) jauni mērķtiecīgi tiesību akti uzlabotu visu patvēruma meklētāju nākotni un stiprinātu Eiropas vienotību; </w:t>
      </w:r>
    </w:p>
    <w:p>
      <w:pPr>
        <w:pStyle w:val="Normal"/>
        <w:rPr/>
      </w:pPr>
      <w:r>
        <w:rPr/>
        <w:t xml:space="preserve">5) spēkā esošo tiesību aktu trūkumi izraisa konfliktus un saskaņošanas trūkumu visā Eiropā, kā arī palielina Eiropas pilsoņu neiecietību pret migrantiem. </w:t>
      </w:r>
    </w:p>
    <w:p>
      <w:pPr>
        <w:pStyle w:val="Normal"/>
        <w:rPr/>
      </w:pPr>
      <w:r>
        <w:rPr/>
        <w:t>6) stingrāki un atbilstoši tiesību akti samazinātu noziedzību un pašreizējās patvēruma sistēmas ļaunprātīgu izmantošanu.</w:t>
      </w:r>
    </w:p>
    <w:p>
      <w:pPr>
        <w:pStyle w:val="Normal"/>
        <w:rPr/>
      </w:pPr>
      <w:r>
        <w:rPr/>
        <w:t xml:space="preserve"> </w:t>
      </w:r>
    </w:p>
    <w:p>
      <w:pPr>
        <w:pStyle w:val="Titre3"/>
        <w:numPr>
          <w:ilvl w:val="2"/>
          <w:numId w:val="2"/>
        </w:numPr>
        <w:rPr/>
      </w:pPr>
      <w:bookmarkStart w:id="200" w:name="__RefHeading___Toc297335_1346298689"/>
      <w:bookmarkEnd w:id="200"/>
      <w:r>
        <w:rPr/>
        <w:t xml:space="preserve">Pielikums: CITI IETEIKUMI, KURUS IZSKATĪJA DARBA GRUPA, BET KURI NAV PIEŅEMTI </w:t>
      </w:r>
    </w:p>
    <w:p>
      <w:pPr>
        <w:pStyle w:val="Titre4"/>
        <w:numPr>
          <w:ilvl w:val="3"/>
          <w:numId w:val="2"/>
        </w:numPr>
        <w:rPr/>
      </w:pPr>
      <w:bookmarkStart w:id="201" w:name="__RefHeading___Toc297337_1346298689"/>
      <w:bookmarkEnd w:id="201"/>
      <w:r>
        <w:rPr/>
        <w:t xml:space="preserve">1. ass: Pašpietiekamība un stabilitāte </w:t>
      </w:r>
    </w:p>
    <w:p>
      <w:pPr>
        <w:pStyle w:val="Normal"/>
        <w:rPr/>
      </w:pPr>
      <w:r>
        <w:rPr/>
        <w:t xml:space="preserve">Apakšass — ES autonomija </w:t>
      </w:r>
    </w:p>
    <w:p>
      <w:pPr>
        <w:pStyle w:val="P68B1DB1Normal15"/>
        <w:rPr>
          <w:b/>
          <w:b/>
        </w:rPr>
      </w:pPr>
      <w:r>
        <w:rPr/>
        <w:t xml:space="preserve">Ja jaunattīstības valstis to pieprasa, mēs iesakām izstrādāt intervences programmas ekonomikas attīstībai, pamatojoties uz partnerībām, kas pielāgotas katras valsts vajadzībām, un/vai pamatojoties uz tirdzniecības nolīgumiem. Tādēļ vispirms jānovērtē attiecīgo valstu ekonomiskais potenciāls un pēc tam jāsniedz tām nepieciešamais ekonomiskais atbalsts un arodapmācība. </w:t>
      </w:r>
    </w:p>
    <w:p>
      <w:pPr>
        <w:pStyle w:val="Normal"/>
        <w:rPr/>
      </w:pPr>
      <w:r>
        <w:rPr/>
        <w:t xml:space="preserve">Tas palielinātu rūpniecības neatkarību un uzlabotu vispārējo situāciju migrācijas jomā, radot darbvietas; tas arī novestu pie labākiem tirdzniecības nolīgumiem jaunattīstības valstīs. </w:t>
      </w:r>
    </w:p>
    <w:p>
      <w:pPr>
        <w:pStyle w:val="Normal"/>
        <w:rPr/>
      </w:pPr>
      <w:r>
        <w:rPr/>
        <w:t xml:space="preserve"> </w:t>
      </w:r>
    </w:p>
    <w:p>
      <w:pPr>
        <w:pStyle w:val="Titre4"/>
        <w:numPr>
          <w:ilvl w:val="3"/>
          <w:numId w:val="2"/>
        </w:numPr>
        <w:rPr/>
      </w:pPr>
      <w:bookmarkStart w:id="202" w:name="__RefHeading___Toc297339_1346298689"/>
      <w:bookmarkEnd w:id="202"/>
      <w:r>
        <w:rPr/>
        <w:t xml:space="preserve">Ass Nr. 2: ES kā starptautiska partnere </w:t>
      </w:r>
    </w:p>
    <w:p>
      <w:pPr>
        <w:pStyle w:val="Normal"/>
        <w:rPr/>
      </w:pPr>
      <w:r>
        <w:rPr/>
        <w:t xml:space="preserve">Apakšass — ētiska perspektīva par tirdzniecības attiecībām </w:t>
      </w:r>
    </w:p>
    <w:p>
      <w:pPr>
        <w:pStyle w:val="P68B1DB1Normal15"/>
        <w:rPr>
          <w:b/>
          <w:b/>
        </w:rPr>
      </w:pPr>
      <w:r>
        <w:rPr/>
        <w:t xml:space="preserve">Mēs iesakām ES ieviest noteikumus, saskaņā ar kuriem uzņēmumiem ir jāveic revīzija to piegādes ķēdē un regulāri iesniegt visaptverošu revīzijas ziņojumu, kā arī noteikumus par importa atalgošanu vai ierobežošanu, pamatojoties uz ētikas kritērijiem. Uzņēmumiem būtu jāiesniedz iekšējās un/vai ārējās revīzijas ziņojums, pamatojoties uz to lielumu. </w:t>
      </w:r>
    </w:p>
    <w:p>
      <w:pPr>
        <w:pStyle w:val="Normal"/>
        <w:rPr/>
      </w:pPr>
      <w:r>
        <w:rPr/>
        <w:t xml:space="preserve"> </w:t>
      </w:r>
    </w:p>
    <w:p>
      <w:pPr>
        <w:pStyle w:val="Normal"/>
        <w:rPr/>
      </w:pPr>
      <w:r>
        <w:rPr/>
        <w:t xml:space="preserve">Ir jāattīsta ētiskais aspekts tirdzniecībā ar ES. To var panākt, uzraugot uzņēmējdarbību starptautiskajās piegādes ķēdēs un mudinot uzņēmumus rīkoties saskaņā ar ētikas kritērijiem, piemēram, bīstamiem produktiem, darba tiesībām un apstākļiem, bērnu darbu un vides aizsardzību. Šis ieteikums neattiecas uz tiešsaistes produktiem, ko tieši iegādājas patērētājs. </w:t>
      </w:r>
    </w:p>
    <w:p>
      <w:pPr>
        <w:pStyle w:val="Normal"/>
        <w:rPr/>
      </w:pPr>
      <w:r>
        <w:rPr/>
        <w:t xml:space="preserve"> </w:t>
      </w:r>
    </w:p>
    <w:p>
      <w:pPr>
        <w:pStyle w:val="Titre4"/>
        <w:numPr>
          <w:ilvl w:val="3"/>
          <w:numId w:val="2"/>
        </w:numPr>
        <w:rPr/>
      </w:pPr>
      <w:bookmarkStart w:id="203" w:name="__RefHeading___Toc297341_1346298689"/>
      <w:bookmarkEnd w:id="203"/>
      <w:r>
        <w:rPr/>
        <w:t xml:space="preserve">Ass Nr. 3: Spēcīga ES mierīgā pasaulē </w:t>
      </w:r>
    </w:p>
    <w:p>
      <w:pPr>
        <w:pStyle w:val="Normal"/>
        <w:rPr/>
      </w:pPr>
      <w:r>
        <w:rPr/>
        <w:t xml:space="preserve">Apakšass — Drošība un aizsardzība </w:t>
      </w:r>
    </w:p>
    <w:p>
      <w:pPr>
        <w:pStyle w:val="P68B1DB1Normal15"/>
        <w:rPr>
          <w:b/>
          <w:b/>
        </w:rPr>
      </w:pPr>
      <w:r>
        <w:rPr/>
        <w:t xml:space="preserve">Mēs iesakām pārskatīt pašreizējo Eiropas drošības arhitektūru, lai padarītu to par efektīvāku un efektīvāku pārvalstisku struktūru ar lielākām spējām nolūkā izveidot kopīgu Eiropas Savienības armiju. Šajā nolūkā valstu bruņotie spēki būtu pakāpeniski jāapvieno un jāpārveido. Mērķis ir panākt, lai šī militāro spēju apvienošana visā Eiropas Savienībā arī veicinātu Eiropas integrāciju ilgtermiņā. Kopējas ES armijas izveidei būtu nepieciešams arī jauns sadarbības nolīgums ar ES dalībvalstīm un NATO dalībvalstīm, kas nav Eiropas valstis. </w:t>
      </w:r>
    </w:p>
    <w:p>
      <w:pPr>
        <w:pStyle w:val="Normal"/>
        <w:rPr/>
      </w:pPr>
      <w:r>
        <w:rPr/>
        <w:t xml:space="preserve"> </w:t>
      </w:r>
    </w:p>
    <w:p>
      <w:pPr>
        <w:pStyle w:val="Normal"/>
        <w:rPr/>
      </w:pPr>
      <w:r>
        <w:rPr/>
        <w:t xml:space="preserve">Ja šis ieteikums tiks īstenots, mēs uzskatām, ka militārās struktūras Eiropas Savienībā kļūs rentablākas un spēs labāk reaģēt un rīkoties vajadzības gadījumā. Šāda integrēta pieeja stiprinātu ES spēju kritiskās situācijās rīkoties izlēmīgi un koordinēti. </w:t>
      </w:r>
    </w:p>
    <w:p>
      <w:pPr>
        <w:pStyle w:val="Normal"/>
        <w:rPr/>
      </w:pPr>
      <w:r>
        <w:rPr/>
        <w:t xml:space="preserve"> </w:t>
      </w:r>
    </w:p>
    <w:p>
      <w:pPr>
        <w:pStyle w:val="Titre4"/>
        <w:numPr>
          <w:ilvl w:val="3"/>
          <w:numId w:val="2"/>
        </w:numPr>
        <w:rPr/>
      </w:pPr>
      <w:bookmarkStart w:id="204" w:name="__RefHeading___Toc297343_1346298689"/>
      <w:bookmarkEnd w:id="204"/>
      <w:r>
        <w:rPr/>
        <w:t xml:space="preserve">Ass Nr. 4: Emigrācija no cilvēka viedokļa </w:t>
      </w:r>
    </w:p>
    <w:p>
      <w:pPr>
        <w:pStyle w:val="Normal"/>
        <w:rPr/>
      </w:pPr>
      <w:r>
        <w:rPr/>
        <w:t xml:space="preserve">Apakšass — Emigrācijas cēloņu novēršana </w:t>
      </w:r>
    </w:p>
    <w:p>
      <w:pPr>
        <w:pStyle w:val="P68B1DB1Normal15"/>
        <w:rPr>
          <w:b/>
          <w:b/>
        </w:rPr>
      </w:pPr>
      <w:r>
        <w:rPr/>
        <w:t xml:space="preserve">Mēs iesakām ES ieviest rīcības protokolu, lai sagatavotos nākamajai migrācijas krīzei — klimata bēgļiem. Saskaņā ar šo protokolu ES ir jāpaplašina bēgļu un patvēruma meklētāju definīcija, iekļaujot tos, kurus skar klimata pārmaiņas. Tā kā daudzu migrantu izcelsmes valsts būs kļuvusi neapdzīvota, protokolam ir arī jānodrošina, ka klimata pārmaiņu skartajās teritorijās tiek atrasti jauni izmantošanas veidi, lai atbalstītu tos, kas pametuši šos apgabalus. Piemēram, applūdušas teritorijas varētu izmantot, lai izveidotu vēja ģeneratorus. </w:t>
      </w:r>
    </w:p>
    <w:p>
      <w:pPr>
        <w:pStyle w:val="Normal"/>
        <w:rPr/>
      </w:pPr>
      <w:r>
        <w:rPr/>
        <w:t xml:space="preserve"> </w:t>
      </w:r>
    </w:p>
    <w:p>
      <w:pPr>
        <w:pStyle w:val="Normal"/>
        <w:rPr/>
      </w:pPr>
      <w:r>
        <w:rPr/>
        <w:t xml:space="preserve">Mēs sniedzam šo ieteikumu, jo mēs visi esam atbildīgi par klimata krīzi. Tātad mēs esam atbildīgi pret tiem, kas ir visvairāk skarti. Pat ja mums nav ne prognožu, ne konkrētu datu par bēgļiem nākotnē, klimata pārmaiņas neapšaubāmi ietekmēs miljoniem cilvēku. </w:t>
      </w:r>
    </w:p>
    <w:p>
      <w:pPr>
        <w:pStyle w:val="Normal"/>
        <w:rPr/>
      </w:pPr>
      <w:r>
        <w:rPr/>
        <w:t xml:space="preserve"> </w:t>
      </w:r>
    </w:p>
    <w:p>
      <w:pPr>
        <w:pStyle w:val="Normal"/>
        <w:rPr/>
      </w:pPr>
      <w:r>
        <w:rPr/>
        <w:t xml:space="preserve">Apakšass 4.2 — Cilvēka apsvērumi </w:t>
      </w:r>
    </w:p>
    <w:p>
      <w:pPr>
        <w:pStyle w:val="P68B1DB1Normal15"/>
        <w:rPr>
          <w:b/>
          <w:b/>
        </w:rPr>
      </w:pPr>
      <w:r>
        <w:rPr/>
        <w:t xml:space="preserve">Mēs iesakām nekavējoties stiprināt un finansēt legālos un humanitāros ceļus un transporta līdzekļus, lai bēgļi varētu organizēti pārvietoties no krīzes zonām. Īpaša drošības sistēma Eiropas joslām būtu jāizveido un jāreglamentē struktūrai, kas īpaši izveidota šim nolūkam. Šī aģentūra ir jāizveido saskaņā ar likumdošanas procedūru, un tai ir īpašas pilnvaras, kas noteiktas tās reglamentā. </w:t>
      </w:r>
    </w:p>
    <w:p>
      <w:pPr>
        <w:pStyle w:val="Normal"/>
        <w:rPr/>
      </w:pPr>
      <w:r>
        <w:rPr/>
        <w:t xml:space="preserve"> </w:t>
      </w:r>
    </w:p>
    <w:p>
      <w:pPr>
        <w:pStyle w:val="Normal"/>
        <w:rPr/>
      </w:pPr>
      <w:r>
        <w:rPr/>
        <w:t xml:space="preserve">Cilvēku tirdzniecība un migrantu kontrabanda ir nopietni jautājumi, kas jārisina. Mūsu ieteikums noteikti mazinātu šīs bažas. </w:t>
      </w:r>
    </w:p>
    <w:p>
      <w:pPr>
        <w:pStyle w:val="Normal"/>
        <w:rPr/>
      </w:pPr>
      <w:r>
        <w:rPr/>
        <w:t xml:space="preserve"> </w:t>
      </w:r>
    </w:p>
    <w:p>
      <w:pPr>
        <w:pStyle w:val="Normal"/>
        <w:rPr/>
      </w:pPr>
      <w:r>
        <w:rPr/>
        <w:t xml:space="preserve">Apakšass — Robežas </w:t>
      </w:r>
    </w:p>
    <w:p>
      <w:pPr>
        <w:pStyle w:val="P68B1DB1Normal15"/>
        <w:rPr>
          <w:b/>
          <w:b/>
        </w:rPr>
      </w:pPr>
      <w:r>
        <w:rPr/>
        <w:t xml:space="preserve">Mēs iesakām ar Eiropas direktīvu nodrošināt, ka katrā dzīves telpā katrā dalībvalstī ir ne vairāk kā 30 % trešo valstu iedzīvotāju. Paredzams, ka šis mērķis tiks sasniegts līdz 2030. gadam, un ES dalībvalstīm ir jāsaņem atbalsts šā mērķrādītāja īstenošanai. </w:t>
      </w:r>
    </w:p>
    <w:p>
      <w:pPr>
        <w:pStyle w:val="Normal"/>
        <w:rPr/>
      </w:pPr>
      <w:r>
        <w:rPr/>
        <w:t xml:space="preserve"> </w:t>
      </w:r>
    </w:p>
    <w:p>
      <w:pPr>
        <w:pStyle w:val="Normal"/>
        <w:rPr/>
      </w:pPr>
      <w:r>
        <w:rPr/>
        <w:t xml:space="preserve">Mēs sniedzam šo ieteikumu, jo taisnīgāks ģeogrāfiskais sadalījums ļaus vietējiem iedzīvotājiem labāk uzņemt migrantus un tādējādi ļaus viņiem labāk integrēties. Šī procentuālā daļa ir balstīta uz neseno politisko vienošanos Dānijā. </w:t>
      </w:r>
      <w:r>
        <w:br w:type="page"/>
      </w:r>
    </w:p>
    <w:p>
      <w:pPr>
        <w:pStyle w:val="Titre1"/>
        <w:numPr>
          <w:ilvl w:val="0"/>
          <w:numId w:val="2"/>
        </w:numPr>
        <w:rPr/>
      </w:pPr>
      <w:bookmarkStart w:id="205" w:name="__RefHeading___Toc297345_1346298689"/>
      <w:bookmarkEnd w:id="205"/>
      <w:r>
        <w:rPr/>
        <w:t xml:space="preserve">II A — valstu paneļdiskusiju grupas: Beļģija </w:t>
      </w:r>
    </w:p>
    <w:p>
      <w:pPr>
        <w:pStyle w:val="Normal"/>
        <w:spacing w:before="1285" w:after="57"/>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120130" cy="815975"/>
            <wp:effectExtent l="0" t="0" r="0" b="0"/>
            <wp:wrapSquare wrapText="largest"/>
            <wp:docPr id="74" name="Fotoattēls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otoattēls32" descr=""/>
                    <pic:cNvPicPr>
                      <a:picLocks noChangeAspect="1" noChangeArrowheads="1"/>
                    </pic:cNvPicPr>
                  </pic:nvPicPr>
                  <pic:blipFill>
                    <a:blip r:embed="rId84"/>
                    <a:stretch>
                      <a:fillRect/>
                    </a:stretch>
                  </pic:blipFill>
                  <pic:spPr bwMode="auto">
                    <a:xfrm>
                      <a:off x="0" y="0"/>
                      <a:ext cx="6120130" cy="815975"/>
                    </a:xfrm>
                    <a:prstGeom prst="rect">
                      <a:avLst/>
                    </a:prstGeom>
                  </pic:spPr>
                </pic:pic>
              </a:graphicData>
            </a:graphic>
          </wp:anchor>
        </w:drawing>
      </w:r>
    </w:p>
    <w:p>
      <w:pPr>
        <w:pStyle w:val="P68B1DB1Normal20"/>
        <w:widowControl w:val="false"/>
        <w:spacing w:lineRule="exact" w:line="316"/>
        <w:ind w:left="0" w:right="152" w:hanging="0"/>
        <w:jc w:val="both"/>
        <w:rPr/>
      </w:pPr>
      <w:r>
        <w:rPr/>
        <w:t xml:space="preserve">Šeit mēs varam atrast visus ieteikumus, ko snieguši 50 pilsoņu paneļdiskusija, kas tika organizēta premjerministra vietnieka un ārlietu un Eiropas lietu ministres Sophie Wilmès aizgādībā kā Beļģijas federālās valdības ieguldījums konferencē par Eiropas nākotni. Šīs paneļdiskusijas tēma bija “Kā pilsoņus vairāk iesaistīt Eiropas demokrātijā”. Lai gan tā labi apzinās, ka konferencei ir plašāka darbības joma nekā tikai ES lietām, šīs paneļdiskusijas temats paskaidro, kāpēc tik daudz skaidru atsauču ir uz ES un tās iestādēm. Vajadzības gadījumā atsaucas uz Eiropu kopumā. </w:t>
      </w:r>
    </w:p>
    <w:p>
      <w:pPr>
        <w:pStyle w:val="P68B1DB1Normal19"/>
        <w:widowControl w:val="false"/>
        <w:spacing w:lineRule="exact" w:line="388" w:before="146" w:after="0"/>
        <w:ind w:left="0" w:right="0" w:hanging="0"/>
        <w:jc w:val="left"/>
        <w:rPr>
          <w:rFonts w:ascii="Times New Roman" w:hAnsi="Times New Roman"/>
          <w:color w:val="000000"/>
          <w:sz w:val="24"/>
        </w:rPr>
      </w:pPr>
      <w:r>
        <w:rPr/>
        <w:t xml:space="preserve"> </w:t>
      </w:r>
    </w:p>
    <w:p>
      <w:pPr>
        <w:pStyle w:val="P68B1DB1Normal21"/>
        <w:widowControl w:val="false"/>
        <w:spacing w:lineRule="exact" w:line="316" w:before="102" w:after="0"/>
        <w:ind w:left="0" w:right="176" w:hanging="0"/>
        <w:jc w:val="left"/>
        <w:rPr/>
      </w:pPr>
      <w:r>
        <w:rPr>
          <w:color w:val="000000"/>
        </w:rPr>
        <w:t xml:space="preserve">Lai atspoguļotu visu iedzīvotāju ieguldījumu, šajā ziņojumā ir izklāstīti visi ieteikumi, tostarp ieteikumi, par kuriem galīgajā balsojumā netika saņemts vienkāršs balsu vairākums par visiem ieteikumiem. Tie ir skaidri atpazīstami, ņemot vērā procentuālo daļu </w:t>
      </w:r>
      <w:r>
        <w:rPr>
          <w:b/>
          <w:color w:val="FF0000"/>
        </w:rPr>
        <w:t>sarkanā un treknrakstā.</w:t>
      </w:r>
      <w:r>
        <w:rPr>
          <w:color w:val="000000"/>
        </w:rPr>
        <w:t xml:space="preserve"> Turklāt daži ieteikumi ir pretrunā viens otram, un pat galīgajās diskusijās iedzīvotāji par tiem joprojām ir nepārliecinoši. Šie ieteikumi ir atpazīstami, jo tie ir </w:t>
      </w:r>
      <w:r>
        <w:rPr>
          <w:i/>
          <w:color w:val="000000"/>
        </w:rPr>
        <w:t>slīprakstā.</w:t>
      </w:r>
      <w:r>
        <w:rPr>
          <w:color w:val="000000"/>
        </w:rPr>
        <w:t xml:space="preserve"> Attiecībā uz vienu ieteikumu sadalījums bija tik skaidrs, ka balsojums beidzās ar </w:t>
      </w:r>
      <w:r>
        <w:rPr>
          <w:i/>
          <w:color w:val="000000"/>
        </w:rPr>
        <w:t xml:space="preserve">ex-aequo, </w:t>
      </w:r>
      <w:r>
        <w:rPr>
          <w:color w:val="000000"/>
        </w:rPr>
        <w:t xml:space="preserve">tas ir </w:t>
      </w:r>
      <w:r>
        <w:rPr>
          <w:b/>
          <w:color w:val="FF9900"/>
        </w:rPr>
        <w:t>norādīts oranžā un treknrakstā</w:t>
      </w:r>
      <w:r>
        <w:rPr>
          <w:color w:val="000000"/>
        </w:rPr>
        <w:t xml:space="preserve">. Iedzīvotāji ir vienisprātis, ka viedokļi par šiem ieteikumiem atšķiras. Tāpēc viņi ierosina, lai CoFE struktūras un ES iestādes būtu modras šo ieteikumu īstenošanā, jo pastāv uz balsošanu balstīta šķelšanās. </w:t>
      </w:r>
    </w:p>
    <w:p>
      <w:pPr>
        <w:pStyle w:val="Normal"/>
        <w:rPr/>
      </w:pPr>
      <w:r>
        <w:rPr/>
      </w:r>
      <w:r>
        <w:br w:type="page"/>
      </w:r>
    </w:p>
    <w:p>
      <w:pPr>
        <w:pStyle w:val="Normal"/>
        <w:rPr/>
      </w:pPr>
      <w:r>
        <w:rPr/>
        <w:t>1. Saziņa ar mums</w:t>
      </w:r>
    </w:p>
    <w:p>
      <w:pPr>
        <w:pStyle w:val="Normal"/>
        <w:rPr/>
      </w:pPr>
      <w:r>
        <w:rPr/>
      </w:r>
    </w:p>
    <w:tbl>
      <w:tblPr>
        <w:tblW w:w="9638" w:type="dxa"/>
        <w:jc w:val="center"/>
        <w:tblInd w:w="0" w:type="dxa"/>
        <w:tblBorders>
          <w:top w:val="single" w:sz="2" w:space="0" w:color="000001"/>
          <w:left w:val="single" w:sz="2" w:space="0" w:color="000001"/>
          <w:bottom w:val="single" w:sz="2" w:space="0" w:color="000001"/>
          <w:insideH w:val="single" w:sz="2" w:space="0" w:color="000001"/>
        </w:tblBorders>
        <w:tblCellMar>
          <w:top w:w="28" w:type="dxa"/>
          <w:left w:w="25" w:type="dxa"/>
          <w:bottom w:w="28" w:type="dxa"/>
          <w:right w:w="28" w:type="dxa"/>
        </w:tblCellMar>
      </w:tblPr>
      <w:tblGrid>
        <w:gridCol w:w="2004"/>
        <w:gridCol w:w="6469"/>
        <w:gridCol w:w="1165"/>
      </w:tblGrid>
      <w:tr>
        <w:trPr/>
        <w:tc>
          <w:tcPr>
            <w:tcW w:w="2004"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Problēmas, kas saistītas ar </w:t>
            </w:r>
          </w:p>
        </w:tc>
        <w:tc>
          <w:tcPr>
            <w:tcW w:w="6469" w:type="dxa"/>
            <w:tcBorders>
              <w:top w:val="single" w:sz="2" w:space="0" w:color="000001"/>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Style w:val="Accentuationforte"/>
              </w:rPr>
              <w:t xml:space="preserve">Rekomendācijas </w:t>
            </w:r>
          </w:p>
        </w:tc>
        <w:tc>
          <w:tcPr>
            <w:tcW w:w="116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Style w:val="Accentuationforte"/>
              </w:rPr>
              <w:t xml:space="preserve">Atbalsta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 Paziņojums par ES nav apmierinošs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1.1 Mēs ierosinām iekļaut kursus par Eiropas Savienību, sākot no trešā līmeņa pamatskolā. Mērķis ir sasniegt visus pilsoņus un uzlabot zināšanas par Eiropas Savienību.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88,4 %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1.2 Eiropas Savienībai un jo īpaši Komisijai būtu jādara pieejami izglītojoši materiāli par Eiropas darbību dažādu dalībvalstu izglītības ministrijām. Papildus iestāžu darbības, sastāva un pilnvaru izskaidrošanai šiem veidojumiem būtu jāsniedz arī īss pārskats par Eiropas integrācijas vēsturi. Īpaša uzmanība būtu jāpievērš skaidras un saprotamas, pieejamas valodas, kā arī izglītības līdzekļu, piemēram, dokumentālo filmu, klipu vai skolas televīzijas programmu, izmantošanai visās 24 valodās.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95,0 %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jc w:val="left"/>
              <w:rPr/>
            </w:pPr>
            <w:r>
              <w:rPr/>
              <w:t xml:space="preserve">2. Eiropas projekts pilsoņiem joprojām ir ārvalstnieks </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2.1 Mēs ierosinām Eiropas iestādēm savā paziņojumā nodrošināt, ka tās labāk izskaidro to, kas ietilpst ES kompetences jomā, kā arī to, kas neietilpst tās kompetencē.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97,6 %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2.2 Eiropas Savienībai savā paziņojumā būtu jāiekļauj pazīstami piemēri no eiropiešu ikdienas dzīves. Lai sasniegtu plašu auditoriju, šie skaidrojumi būtu jāsniedz dalībvalstīs, izmantojot nolīgumus starp Eiropas iestādēm un valstu sabiedriskajiem televīzijas kanāliem.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80,5 %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2.3 Turklāt dalībvalstu pilsoņi, piemēram, izmantojot videomateriālus, regulāri jāinformē par Eiropas Savienības lomu citās dalībvalstīs. Tādējādi Eiropas priekšrocības un trūkumi būtu labāk aplūkoti debatēs par Eiropas nākotni. </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85,7 %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2.4 Lai stiprinātu Eiropas identitāti, mēs ierosinām regulāri atsaukt un darīt pieejamu informāciju par to, kāda būtu eiropiešu dzīve bez ES un tās konkrētiem sasniegumiem.</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2.5 Mēs arī ierosinām noteikt Eiropas dienu (9. maijs) par Eiropas svētku dienu visiem ES pilsoņiem.</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2.6. EESK iesaka Eiropas iestādēm pievērst vēl lielāku uzmanību informācijas vienkāršošanai, izpratnei un pieejamībai par prioritārajiem jautājumiem, kas tiek risināti Eiropas līmenī</w:t>
            </w:r>
            <w:r>
              <w:rPr/>
              <w:commentReference w:id="9"/>
            </w:r>
            <w:r>
              <w:rPr/>
              <w: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2.7. EESK iesaka Eiropas Savienībai sniegt </w:t>
            </w:r>
            <w:commentRangeStart w:id="10"/>
            <w:r>
              <w:rPr/>
              <w:t>rezultātu</w:t>
            </w:r>
            <w:r>
              <w:rPr/>
            </w:r>
            <w:commentRangeEnd w:id="10"/>
            <w:r>
              <w:commentReference w:id="10"/>
            </w:r>
            <w:r>
              <w:rPr/>
              <w:t xml:space="preserve"> pārskatu par katrai valstij piešķirtajiem resursiem katrai prioritārajai tēmai. Visai šādai informācijai vajadzētu būt pieejamai Eiropas Savienības tīmekļa vietnē.</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93,0 %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2.8 Mēs iesakām Eiropas Savienībai skaidri izklāstīt pašreizējo likumdošanas darbu. Visai šādai informācijai vajadzētu būt pieejamai Eiropas Savienības tīmekļa vietnē.</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 xml:space="preserve">2.9 Mēs vēlamies, lai Eiropas iestādes būtu pieejamākas </w:t>
            </w:r>
            <w:commentRangeStart w:id="11"/>
            <w:r>
              <w:rPr/>
              <w:t>Eiropas iedzīvotājiem</w:t>
            </w:r>
            <w:r>
              <w:rPr/>
            </w:r>
            <w:commentRangeEnd w:id="11"/>
            <w:r>
              <w:commentReference w:id="11"/>
            </w:r>
            <w:r>
              <w:rPr/>
              <w:t>. Būtu jāatvieglo viņu dalība debatēs Eiropas Parlamenta sesijās.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2.10 Iesakām paplašināt dalību Erasmus programmā visiem studentiem neatkarīgi no viņu izglītības veida (profesionālās tehnoloģijas, pārmaiņus). Visiem jābūt iespējai piedalīties Eiropas apmaiņas pasākumos.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79,5 %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2.11 Iesakām ļaut strādājošajiem iedzīvotājiem gūt labumu no Eiropas apmaiņas programmām neatkarīgi no darbības nozares, arī vietējiem uzņēmumiem. Visiem jābūt iespējai piedalīties Eiropas apmaiņas pasākumos.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2.12 Mēs iesakām izveidot Eiropas pilsonības kursus visiem Eiropas pilsoņiem.</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 ES tiesību akti dalībvalstīs netiek piemēroti tādā pašā veidā.</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3.1. EESK iesaka Eiropas Savienībai vairāk izmantot dalībvalstīs tieši piemērojamos tiesību aktus. Tas samazinātu valstu atšķirības ES tiesību aktu īstenošanā, kas vājina Eiropas projektu. Tas arī uzlabotu svarīgākos Eiropas sasniegumus, piemēram, iekšējo tirgu, euro un Šengenas zonu.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 Eiropas demokrātija ir apdraudēta.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4.1 Mēs iesakām ES paziņojumā par Eiropas demokrātiju neatlaidīgi un nepārprotami atgādināt, ko tas nozīmē Eiropas iedzīvotājiem.</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4.2 Eiropas Savienības līgumu vērtības un principi, kuriem dalībvalstis ir pievienojušās pievienošanās brīdī, ir neatgriezeniski. To aizsardzība arī turpmāk ir jānodrošina.</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4.3 Līgumu vērtību un principu aizsardzību nodrošina Eiropas Tiesa</w:t>
            </w:r>
            <w:r>
              <w:rPr/>
              <w:commentReference w:id="12"/>
            </w:r>
            <w:r>
              <w:rPr/>
              <w:t>, un dalībvalstis to nevar apšaubīt.</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81,0 %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 Informācija par ES nav viegli pieejama un ir grūti saprotama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5.1 Iesakām pastiprināt informācijas pārbaudi par Eiropas jautājumiem. Šai informācijai, ko izplata un pārbauda iestādes, jābūt viegli pieejamai Eiropas sabiedrībai un katras dalībvalsts plašsaziņas līdzekļiem.</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83,3 %</w:t>
            </w:r>
          </w:p>
        </w:tc>
      </w:tr>
      <w:tr>
        <w:trPr/>
        <w:tc>
          <w:tcPr>
            <w:tcW w:w="2004"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 Valstu plašsaziņas līdzekļi bieži vien rada negatīvu priekšstatu par ES</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6.1. ES jābūt arī aktīvākai saziņai Eiropas iedzīvotāju ikdienas dzīvē. (Piemēram, sponsorējot, piemēram, kultūras pasākumus, kas pulcē iedzīvotājus un liek viņiem lepoties ar to, ka viņi ir ES pilsoņi. Ziņošana un teasers arī ļautu eiropiešiem piekļūt kontekstuālai</w:t>
            </w:r>
            <w:r>
              <w:rPr/>
              <w:commentReference w:id="13"/>
            </w:r>
            <w:r>
              <w:rPr/>
              <w:t xml:space="preserve"> informācijai par ES).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 Pilsoņi nezina tos, kas viņus pārstāv Eiropas Parlamentā.</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7.1 Mēs iesakām, lai parlamentārieši būtu labāk pazīstami viņu izcelsmes valstīs, jo īpaši ārpus vēlēšanu periodiem. Tiem jābūt pieejamākiem. Viņu balsojuma iemesliem Eiropas Parlamentā jābūt vieglāk pieejamiem Eiropas pilsoņiem, izmantojot Eiropas Savienības tīmekļa vietni.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92,7 %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7.2 Iesakām valstu politiskajām partijām atjaunot Eiropas Parlamenta vēlēšanās iekļauto kandidātu sarakstus. Šāds pilnvarojums nebūtu jāuzskata par atlīdzību par labiem un lojāliem pakalpojumiem, kas sniegti saskaņā ar valsts politiku.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74,4 %</w:t>
            </w:r>
          </w:p>
        </w:tc>
      </w:tr>
      <w:tr>
        <w:trPr/>
        <w:tc>
          <w:tcPr>
            <w:tcW w:w="2004" w:type="dxa"/>
            <w:vMerge w:val="restart"/>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 ES komunikācija ir pārāk viendabīga; tajā nav ņemta vērā iedzīvotāju daudzveidība.</w:t>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8.1 Lai sasniegtu pietiekami plašu un daudzveidīgu auditoriju, iesakām ES, izmantojot iekļaujošu saziņu jau no koncepcijas posma, ņemt vērā attiecīgo personu izglītības pakāpi, viņu iespējamo invaliditāti. Turklāt mēs arī iesakām iesaistīt personas un organizācijas (ielas pedagogus, kaimiņattiecību aģentus, CPAS, pilsonisko sabiedrību) šā paziņojuma izplatīšanā.</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8.2 Lai sasniegtu darbaspēku, iesakām vairāk ieguldīt esošo saziņas kanālu izmantošanā, lai periodiski sniegtu atbilstošu informāciju par ES, piemēram, izmantojot skaidrojošas programmas. Turklāt mēs iesakām paļauties uz vēstniekiem (gan privātpersonām, gan organizācijām), kas popularizē ES projektu.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8.3 Lai sasniegtu jauniešus un studentus, iesakām līdzās esošajiem kanāliem, piemēram, izglītībai un attiecīgām jaunatnes kustībām, aicināt vēstniekus, jo īpaši ietekmētājus, kas var sasniegt jauniešus, izmantojot sociālos plašsaziņas līdzekļus. Vēl viens ieteikums būtu organizēt Eiropas mēroga konkursu, lai radītu karikatūras raksturu, kas piesaista jauniešus un nosūta viņiem Eiropas vēstījumus.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8.4 senioriem iesakām izmantot tos pašus kanālus, kādus piedāvā darbaspēks. Turklāt mēs iesakām meklēt pareizo līdzsvaru starp digitālo un nedigitālo saziņu (rakstisku presi, radio, klātienes pasākumus), lai apmierinātu ikviena vajadzības, tostarp tos, kas digitālajā vidē ir mazāk komfortabli, kā arī tos, kuri sabiedrībā ir mazāk mobili.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85,7 %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8.5 Mēs iesakām, lai, izmantojot integrācijas kursus, kas jau pastāv daudzās dalībvalstīs, ES apņemas iekļaut “jaunos eiropiešus” (cilvēkus, kuri, izmantojot vienu vai otru legālās imigrācijas procedūru, dzīvo ES) un var informēt viņus par citiem tradicionāliem kanāliem, ar kuriem ES sazinās. Visbeidzot, mēs arī iesakām piešķirt vietu vietējai asociatīvajai pasaulei.</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76,7 %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8.6 Mēs arī iesakām ar iekļaujošu saziņu ES nokļūt ielās. Piemēram, varētu izmantot (digitālus) informācijas stendus, kā arī jaunus saziņas līdzekļus, piemēram, QR kodus un tradicionālos līdzekļus.</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62,8 %</w:t>
            </w:r>
          </w:p>
        </w:tc>
      </w:tr>
      <w:tr>
        <w:trPr/>
        <w:tc>
          <w:tcPr>
            <w:tcW w:w="2004" w:type="dxa"/>
            <w:vMerge w:val="continue"/>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r>
          </w:p>
        </w:tc>
        <w:tc>
          <w:tcPr>
            <w:tcW w:w="6469" w:type="dxa"/>
            <w:tcBorders>
              <w:left w:val="single" w:sz="2" w:space="0" w:color="000001"/>
              <w:bottom w:val="single" w:sz="2" w:space="0" w:color="000001"/>
              <w:insideH w:val="single" w:sz="2" w:space="0" w:color="000001"/>
            </w:tcBorders>
            <w:shd w:fill="auto" w:val="clear"/>
            <w:vAlign w:val="center"/>
          </w:tcPr>
          <w:p>
            <w:pPr>
              <w:pStyle w:val="Normal"/>
              <w:spacing w:before="57" w:after="57"/>
              <w:ind w:left="0" w:right="0" w:hanging="0"/>
              <w:rPr/>
            </w:pPr>
            <w:r>
              <w:rPr/>
              <w:t>8.7 Citi ieteikumi būtu padarīt ES vizuālāku (ar mazām filmām vai infografikām), izveidot Eiropas sporta kustību, lai radītu saikni/piederības sajūtu un uzlabotu Eiropas himnas atpazīstamību.</w:t>
            </w:r>
          </w:p>
        </w:tc>
        <w:tc>
          <w:tcPr>
            <w:tcW w:w="116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68,2 %</w:t>
            </w:r>
          </w:p>
        </w:tc>
      </w:tr>
    </w:tbl>
    <w:p>
      <w:pPr>
        <w:pStyle w:val="Normal"/>
        <w:rPr/>
      </w:pPr>
      <w:r>
        <w:rPr/>
      </w:r>
    </w:p>
    <w:p>
      <w:pPr>
        <w:pStyle w:val="Normal"/>
        <w:rPr/>
      </w:pPr>
      <w:r>
        <w:rPr/>
        <w:t>2. Dezinformācija</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204"/>
        <w:gridCol w:w="5625"/>
        <w:gridCol w:w="1816"/>
      </w:tblGrid>
      <w:tr>
        <w:trPr/>
        <w:tc>
          <w:tcPr>
            <w:tcW w:w="2204"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Problēmas, kas saistītas ar</w:t>
            </w:r>
          </w:p>
        </w:tc>
        <w:tc>
          <w:tcPr>
            <w:tcW w:w="562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Rekomendācijas</w:t>
            </w:r>
          </w:p>
        </w:tc>
        <w:tc>
          <w:tcPr>
            <w:tcW w:w="181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Atbalsta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Dezinformācijas risks plašsaziņas līdzekļos kļūst arvien izplatītāks</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Mēs iesakām pārskatīt plašsaziņas līdzekļu finansēšanas modeli, kā arī obligāti publicēt ieņēmumu avotus skaidrā un pieejamā veidā. Plašsaziņas līdzekļu finansēšanas modelis tos virza uz sensacionālismu un tādējādi publicēt informāciju ārpus konteksta, pārvēršot to dezinformācijā.</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73,8 %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Mēs iesakām plašsaziņas līdzekļiem obligāti citēt avotus, nodrošinot saites, lai tos pārbaudītu. Pretējā gadījumā informācija būtu jāmarķē kā nepārbaudīta.</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1.3. Iesakām, lai Eiropas dezinformācijas apkarošanas regulators (sk. 2. punktu) būtu atbildīgs arī par informācijas pārbaudes organizāciju (“faktu pārbaudītāju”) akreditāciju.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1.4 Mēs iesakām katrā dalībvalstī izveidot neatkarīgu iestādi, kas būtu atbildīga par plašsaziņas līdzekļu neitralitātes pārbaudi. Šī iestāde būtu jāfinansē un jāuzrauga Eiropas Savienībai.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75,6 %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1.5. Mēs iesakām izplatīt informāciju par oficiālo ES tīmekļa vietņu URL, lai pārliecinātu iedzīvotājus par informācijas izcelsmi.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90,2 %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Daudzi iedzīvotāji apšauba plašsaziņas līdzekļu neitralitāti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Mēs iesakām izveidot Eiropas regulatoru dezinformācijas apkarošanai. Konkrētāk, šīs regulatora uzdevums būtu noteikt neitralitātes marķējuma kritērijus un vajadzības gadījumā izveidot sankciju vai stimulu sistēmu, kas saistīta ar neitralitātes standartu ievērošanu. Alternatīvi varētu apsvērt ētikas hartas ievērošanu. Zīmi piešķirtu neatkarīga valsts iestāde, un tajā tiktu ņemti vērā plašsaziņas līdzekļu veiktie pasākumi dezinformācijas apkarošanai.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Mēs iesakām izveidot Eiropas palīdzības dienestu, kas ļautu iedzīvotājiem nosodīt dezinformāciju par Eiropas (politisko un ekonomisko) kompetenci.</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82,1 %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Iedzīvotāji nav informēti par maldinošas informācijas risku, kam viņi ir pakļauti.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Mēs iesakām noteikt, ka platformām ir pienākums publicēt skaidru un saprotamu informāciju par dezinformācijas riskiem, kam pakļauti to lietotāji. Šī informācija būtu automātiski jāpaziņo, tiklīdz konts ir atvērts.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85,7 %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Iesakām obligātu apmācību plašsaziņas līdzekļu lietošanā jau no agra vecuma un pielāgota dažādiem izglītības sistēmas līmeņiem.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74,4 %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Mēs iesakām Eiropas Savienībai sākt atkārtotas kampaņas par dezinformāciju. Šīs kampaņas varētu identificēt ar logotipu vai talismans. Eiropas Savienība varētu piespiest sociālos tīklus tos izplatīt, izplatot vietas.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204"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Līdzekļi dezinformācijas apkarošanai nav pietiekami.</w:t>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Mēs iesakām vienkāršā un saprotamā valodā publicēt informāciju par algoritmiem, kas organizē platformas lietotāju saņemtos ziņojumus.</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83,3 %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Mēs iesakām lietotājiem vienkāršā veidā atspējot uzvedības aizspriedumus veicinošus algoritmus. Varētu izskatīt arī pienākumu nodrošināt lietotājiem piekļuvi citiem avotiem, kas aizstāv dažādas nostājas par vienu un to pašu tematu.</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80,0 %</w:t>
            </w:r>
          </w:p>
        </w:tc>
      </w:tr>
      <w:tr>
        <w:trPr/>
        <w:tc>
          <w:tcPr>
            <w:tcW w:w="2204"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62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EESK iesaka Eiropas Savienībai atbalstīt tādas sociālo plašsaziņas līdzekļu platformas izveidi, kas atbilst tās standartiem attiecībā uz neitralitāti un cīņu pret dezinformāciju. Alternatīvi varētu pievienot daudzvalodu platformu, kas izveidota, lai atbalstītu konferenci par Eiropas nākotni, ar jaunām iezīmēm.</w:t>
            </w:r>
          </w:p>
        </w:tc>
        <w:tc>
          <w:tcPr>
            <w:tcW w:w="181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56,4 %</w:t>
            </w:r>
          </w:p>
        </w:tc>
      </w:tr>
    </w:tbl>
    <w:p>
      <w:pPr>
        <w:pStyle w:val="Normal"/>
        <w:rPr/>
      </w:pPr>
      <w:r>
        <w:rPr/>
      </w:r>
    </w:p>
    <w:p>
      <w:pPr>
        <w:pStyle w:val="Normal"/>
        <w:rPr/>
      </w:pPr>
      <w:r>
        <w:rPr/>
        <w:t>3. Pilsoņu paneļdiskusija</w:t>
      </w:r>
    </w:p>
    <w:tbl>
      <w:tblPr>
        <w:tblW w:w="9645" w:type="dxa"/>
        <w:jc w:val="left"/>
        <w:tblInd w:w="0" w:type="dxa"/>
        <w:tblBorders>
          <w:top w:val="single" w:sz="2" w:space="0" w:color="000001"/>
          <w:left w:val="single" w:sz="2" w:space="0" w:color="000001"/>
          <w:right w:val="single" w:sz="2" w:space="0" w:color="000001"/>
          <w:insideV w:val="single" w:sz="2" w:space="0" w:color="000001"/>
        </w:tblBorders>
        <w:tblCellMar>
          <w:top w:w="28" w:type="dxa"/>
          <w:left w:w="25" w:type="dxa"/>
          <w:bottom w:w="28" w:type="dxa"/>
          <w:right w:w="28" w:type="dxa"/>
        </w:tblCellMar>
      </w:tblPr>
      <w:tblGrid>
        <w:gridCol w:w="2204"/>
        <w:gridCol w:w="5790"/>
        <w:gridCol w:w="1651"/>
      </w:tblGrid>
      <w:tr>
        <w:trPr/>
        <w:tc>
          <w:tcPr>
            <w:tcW w:w="2204"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Problēmas, kas saistītas ar</w:t>
            </w:r>
          </w:p>
        </w:tc>
        <w:tc>
          <w:tcPr>
            <w:tcW w:w="5790"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Rekomendācijas</w:t>
            </w:r>
          </w:p>
        </w:tc>
        <w:tc>
          <w:tcPr>
            <w:tcW w:w="1651" w:type="dxa"/>
            <w:tcBorders>
              <w:top w:val="single" w:sz="2" w:space="0" w:color="000001"/>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Atbalsta (%)</w:t>
            </w:r>
          </w:p>
        </w:tc>
      </w:tr>
      <w:tr>
        <w:trPr/>
        <w:tc>
          <w:tcPr>
            <w:tcW w:w="2204" w:type="dxa"/>
            <w:vMerge w:val="restart"/>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 Grūtības nodrošināt pilsoņu paneļdiskusiju reprezentativitāti. Galu galā, ir iesaistīta tikai neliela daļa iedzīvotāju.</w:t>
            </w:r>
          </w:p>
        </w:tc>
        <w:tc>
          <w:tcPr>
            <w:tcW w:w="5790"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1.1 Iesakām uzraudzīt, ko iesaka jaunākais zinātniskais darbs apspriežu demokrātijas jomā attiecībā uz paraugu ņemšanu, atlases metodes izstrādi un zinātnisko apstiprināšanu, lai nodrošinātu pēc iespējas labāku reprezentativitāti.</w:t>
            </w:r>
          </w:p>
        </w:tc>
        <w:tc>
          <w:tcPr>
            <w:tcW w:w="1651" w:type="dxa"/>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t>89,7 %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Iesakām, lai pie galda būtu pietiekams skaits cilvēku, lai nodrošinātu viedokļu un profilu dažādību, tostarp — bet ne tikai — cilvēkus, kuri ir tieši saistīti ar šo tēmu.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90,2 %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1.3 Mēs iesakām atlases kritērijos papildus tādiem tradicionāliem kritērijiem kā dzimums, vecums, dzīvesvieta vai izglītības līmenis pievienot vecāku statusa kritēriju (t. i., vai personai ir bērni?).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33,3 %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1.4 Mēs iesakām noteikt kvotas katram ģeogrāfiskajam apgabalam, t. i., noteikt, ka Eiropas pilsoņu paneļdiskusijā ir jābūt X cilvēkiem katrā Eiropas ģeogrāfiskajā apgabalā (jānosaka), lai šo paneļdiskusiju varētu patiesi kvalificēt kā Eiropas un jēgpilnu.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73,2 %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1.5 Iesakām iedzīvotāju reģistrus (vai to ekvivalentus atkarībā no valsts) izmantot kā galvenās datubāzes izlozei, lai dotu visiem vienādu iespēju tikt izvēlētam un radītu interesi par kādu no iedzīvotājiem.</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1.6 Mēs iesakām, lai dalībnieki saņemtu kompensāciju par viņu ieguldījumu vērtību un piesaistītu cilvēkus, kuri nepiedalīsies, ja viņi nesaņemtu kompensāciju.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87,5 %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 Mēs iesakām informēt — diezgan minimāli: ne pārāk daudz informācijas, ne pārāk sarežģīta informācija — pirmie dalībnieki, izmantojot ekspertu prezentācijas, lai nodrošinātu, ka pat cilvēki bez priekšzināšanām jūtas ērti piedalīties diskusijās.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82,9 %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1.7.2 Iesakām iepriekš informēt par pilsoņu paneļdiskusiju, lai cilvēki varētu zināt, par kādu tematu viņi ir apņēmušies diskutēt.</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78,6 % </w:t>
            </w:r>
          </w:p>
        </w:tc>
      </w:tr>
      <w:tr>
        <w:trPr/>
        <w:tc>
          <w:tcPr>
            <w:tcW w:w="2204" w:type="dxa"/>
            <w:vMerge w:val="continue"/>
            <w:tcBorders>
              <w:left w:val="single" w:sz="2" w:space="0" w:color="000001"/>
              <w:right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1.8 Mēs iesakām nepieprasīt, lai iedzīvotāji piedalītos.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97,6 %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Grūtības organizēt paneļdiskusiju Eiropas līmenī.</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Mēs iesakām atļaut Eiropas pilsoņu paneļdiskusiju rīkot hibrīdformātā (prezentācijā/distancial). Tajā varētu piedalīties arī cilvēki, kuri nevar fiziski pārvietoties.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70,0 %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2.2. EESK iesaka Eiropas Savienībai, lai nodrošinātu vieglāku piekļuvi un organizāciju, deleģēt pilsoņu paneļdiskusiju organizēšanu (par Eiropas tematiem) dažādos valsts pārvaldes līmeņos.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69,0 %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2.3. EESK iesaka katrai Eiropas līmenī organizētai žūrijai izvēlēties vienu tematu. Tas ļaus visiem dalībniekiem apspriest vienu un to pašu tematu neatkarīgi no tā, no kurienes viņi nāk Eiropā.</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80,5 %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 xml:space="preserve">3. Izvairieties no paneļa </w:t>
              <w:br/>
              <w:t>pilsoņi netiek novirzīti citiem mērķiem, kā vien tiem, kas deklarēti.</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Mēs iesakām ikvienam pilsonim iesniegt apspriešanai jautājumu, lai šīs tiesības netiktu rezervētas politiskajai pasaulei vai lobistu pasaulei.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Mēs iesakām piešķirt Eiropas Parlamentam iniciatīvas tiesības, lai Eiropas Parlaments noteiktu apspriežamo tematu un pēc tam pieņemtu tekstus, kas vajadzīgi, lai ņemtu vērā no apspriedēm izrietošos ieteikumus.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Grūtības izlemt, kā vislabāk organizēt procesu, lai vislabāk pārstāvētu iedzīvotājus.</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4.1.1 Iesakām izveidot pastāvīgu pilsoņu paneļdiskusiju kopā ar parlamentu, kas uzņemas konkrētus uzdevumus. Tas tiktu regulāri atjaunots. Tas ļautu tuvināt pilsoņus ilgtermiņā un veltīt nepieciešamo laiku debatēm. Laiks ļauj niansēt debates un vienprātību. Līdztekus šai pastāvīgajai žūrijai ad hoc pilsoņu paneļdiskusijās tiek apspriesti pastāvīgās paneļdiskusijas izvēlētie temati. Mēs ierosinām sekot vācu valodas kopienas modelim.</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54,8 %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4.1.2 Mēs iesakām izveidot tikai vienu vai vairākas pagaidu Eiropas pilsoņu paneļdiskusiju, kas tikai uz noteiktu laiku tiktos un apspriestu kādu konkrētu tematu.</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58,5 %</w:t>
            </w:r>
          </w:p>
        </w:tc>
      </w:tr>
      <w:tr>
        <w:trPr/>
        <w:tc>
          <w:tcPr>
            <w:tcW w:w="2204"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4.2 Mēs iesakām neorganizēt Eiropas pilsoņu paneļdiskusiju par steidzamiem jautājumiem, jo ir vajadzīgs pietiekams laiks, lai nodrošinātu debašu kvalitāti.</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63,4 %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Pārāk bieži iedzīvotāji, kas piedalās līdzdalības demokrātijas iniciatīvās, piemēram, pilsoņu paneļdiskusijās, nesaņem atgriezenisko saiti par turpmākajiem pasākumiem, kas veikti saistībā ar viņu darbu gan īstermiņā, gan ilgtermiņā.</w:t>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Iesakām iedzīvotājiem sniegt atsauksmes par turpmākajiem pasākumiem, kas veikti (vai ne) saistībā ar ieteikumiem, kas sniegti pēc Eiropas pilsoņu paneļdiskusijām. Ja ieteikumi netiek ievēroti, iesaistītajām Eiropas iestādēm ir jānorāda sava lēmuma iemesli (piemēram, kompetences trūkums). Lai to panāktu, mēs iesakām rakstīt regulārus kopsavilkumus visā procesā pēc paneļdiskusija.</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97,5 %</w:t>
            </w:r>
          </w:p>
        </w:tc>
      </w:tr>
      <w:tr>
        <w:trPr/>
        <w:tc>
          <w:tcPr>
            <w:tcW w:w="220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57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6.1 Mēs iesakām organizēt pilsoņu paneļdiskusiju, arī ar bērniem no agrīna vecuma (piemēram, 10–16 gadus veci), lai palielinātu informētību par līdzdalību un debatēm. To var organizēt skolās.</w:t>
            </w:r>
          </w:p>
        </w:tc>
        <w:tc>
          <w:tcPr>
            <w:tcW w:w="165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59,5 %</w:t>
            </w:r>
          </w:p>
        </w:tc>
      </w:tr>
    </w:tbl>
    <w:p>
      <w:pPr>
        <w:pStyle w:val="Normal"/>
        <w:rPr/>
      </w:pPr>
      <w:r>
        <w:rPr/>
      </w:r>
    </w:p>
    <w:p>
      <w:pPr>
        <w:pStyle w:val="Normal"/>
        <w:rPr/>
      </w:pPr>
      <w:r>
        <w:rPr/>
        <w:t>4. Referendumi</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160"/>
        <w:gridCol w:w="5835"/>
        <w:gridCol w:w="1650"/>
      </w:tblGrid>
      <w:tr>
        <w:trPr/>
        <w:tc>
          <w:tcPr>
            <w:tcW w:w="216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Problēmas, kas saistītas ar</w:t>
            </w:r>
          </w:p>
        </w:tc>
        <w:tc>
          <w:tcPr>
            <w:tcW w:w="5835"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Rekomendācijas</w:t>
            </w:r>
          </w:p>
        </w:tc>
        <w:tc>
          <w:tcPr>
            <w:tcW w:w="1650"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Atbalsta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0.1 Mēs iesakām Eiropas līmenī rīkot referendumus par Eiropas lietām.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73,3 %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Referenduma kultūra dažādās dalībvalstīs ir ļoti atšķirīga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Mēs iesakām pasūtīt pētījumu par to, kā Eiropā izveidot kopīgu referendumu kultūru.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70,7 %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1.2 Mēs iesakām (neatkarīgu ekspertu) veikt pētījumus par nepieciešamību un iespējām rīkot referendumu par konkrētu tematu Eiropas līmenī.</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Referendumā uzdotā jautājuma formulēšanai var būt negatīva ietekme, kā arī spēja atbildēt tikai ar “jā” vai “nē”, kas bieži vien polarizē debates un sabiedrību.</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Iesakām izveidot zinātnisku komiteju, lai pārdomātu, kā pēc iespējas objektīvāk uzdot jautājumus, kas būtu Eiropas referenduma priekšmets.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2.2 Mēs iesakām uzdot jautājumus ar atbilžu variantiem, kas pārsniedz vienkāršo alternatīvu starp “jā” un “nē”, lai nianses vai pat pievienotu nosacījumus “jā” un “nē” (t. i., “jā, ja”, “nē ja”).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2.3. Mēs iesakām, lai, aprēķinot balsu vairākumu (vienkāršs balsu vairākums vai absolūtais vairākums), nebūtu jāņem vērā baltās balsis. Vēl ir jābūt pietiekami daudz balsu (kvorums ir jāievēro).</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Tēmas izvēle ir arī delikāta.</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2.4.1 Mēs iesakām jautājumu, kas izvirzīts Eiropas referendumā, attiecināt uz jebkuru Eiropas jautājumu, kas ir Eiropas Savienības kompetencē.</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2.4.2 Mēs iesakām izslēgt tematus, kas varētu izraisīt konfliktus starp dalībvalstīm.</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39,0 %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2.5 Mēs iesakām uzdot arī tehniskus un sarežģītus jautājumus ar skaidru formulējumu, jo cilvēki var būt pietiekami informēti.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Referendums nav demokrātisks instruments, ja tikai politiskā pasaule var izlemt to organizēt.</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Komiteja iesaka, lai Eiropas Parlamentam būtu iniciatīvas tiesības rīkot</w:t>
            </w:r>
            <w:r>
              <w:rPr/>
              <w:commentReference w:id="14"/>
            </w:r>
            <w:r>
              <w:rPr/>
              <w:t xml:space="preserve"> Eiropas referendumus un lai tas pēc tam varētu īstenot šo referendumu rezultātus (Eiropas Komisijai un Padomei būtu jāseko bez iespējas tos bloķēt).</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3.2 Mēs iesakām iniciatīvu nākt arī no pašu pilsoņu puses (piemēram, ievērojot noteikumus, kas ir līdzīgi tiem, ko piemēro attiecībā uz Eiropas pilsoņu iniciatīvu).</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3.3 Iesakām, ka Eiropas referenduma praktiskai organizēšanai vajadzētu būt neitrālai struktūrai.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75,0 %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4. Referenduma konsultatīvajam vai saistošajam aspektam jābūt </w:t>
              <w:br/>
              <w:t>skaidri definēts.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4.1.1 Mēs iesakām Eiropas referenduma rezultātus noteikt par saistošiem tikai tad, ja ir izpildīti konkrēti nosacījumi attiecībā uz vēlētāju aktivitāti.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92,7 %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4.1.2 Iesakām, ka referenduma rezultāti ir saistoši tikai tad, ja ir sasniegts noteikts balsu vairākums (51/49, 70/30). Šie nosacījumi tiek noteikti pirms katra referenduma.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Mēs iesakām, lai Eiropas referenduma rezultāti būtu saistoši, ja tās organizācijas iniciatīvu uzņemtos pilsoņi (kuriem šim nolūkam būtu izdevies savākt vairākus parakstus), bet orientējoši, ja iniciatīvu būtu uzņēmusies politiska iestāde.</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Mēs iesakām Eiropas referenduma rezultātus padarīt saistošus tikai dažos jautājumos, bet ne tajos, kuros balsojuma sekas varētu būt ļoti nopietnas.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40,0 %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 Iedzīvotāji bieži vien ir slikti informēti pirms aicinājuma balsot referendumā. Tajā pašā laikā ir svarīgi kontrolēt paziņoto informāciju, lai izvairītos no kaitīgas (iekšējās vai ārvalstu) ietekmes uz balsošanu.</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Mēs iesakām pirms jebkura Eiropas referenduma skaidri informēt sabiedrību par balsošanas ietekmi uz viņu ikdienas dzīvi, izmantojot brošūras, kā tas tiek darīts Šveicē, un/vai informatīvas sesijas.</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97,5 %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5.2 Katram Eiropas referendumam iesakām izveidot zinātnisku komiteju, kas garantētu sniegtās informācijas neitralitāti.</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87,2 %</w:t>
            </w:r>
          </w:p>
        </w:tc>
      </w:tr>
      <w:tr>
        <w:trPr/>
        <w:tc>
          <w:tcPr>
            <w:tcW w:w="2160"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Lai gan referendums aicina visus iedzīvotājus balsot tieši (atšķirībā no pilsoņu paneļa), vienmēr ir zināms prombūtnes laiks, kas ir vairāk vai mazāk svarīgs.</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6.1.1 Mēs iesakām obligāti piedalīties balsošanā Eiropas referendumā.</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43,6 %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6.1.2 Mēs iesakām, lai balsošana Eiropas referendumā būtu brīvprātīga.</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52,5 %</w:t>
            </w:r>
          </w:p>
        </w:tc>
      </w:tr>
      <w:tr>
        <w:trPr/>
        <w:tc>
          <w:tcPr>
            <w:tcW w:w="2160"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6.2 Lai samazinātu prombūtni, mēs iesakām atļaut elektronisku balsošanu papildus papīra balsošanai (vai papildus citiem balsošanas veidiem, piemēram, balsošanai pa pastu). Elektroniskā balsošana ir īpaši interesanta cilvēkiem, kas dodas atvaļinājumā, un tas arī mudina cilvēkus, kas mazāk ieinteresēti balsošanā, jo ceļošanas piespiešana vairs nav.</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90,0 %</w:t>
            </w:r>
          </w:p>
        </w:tc>
      </w:tr>
      <w:tr>
        <w:trPr/>
        <w:tc>
          <w:tcPr>
            <w:tcW w:w="2160"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 Pārāk bieži iedzīvotāji, kas piedalās līdzdalības demokrātijas iniciatīvās, piemēram, referendumos,</w:t>
            </w:r>
            <w:r>
              <w:rPr/>
              <w:commentReference w:id="15"/>
            </w:r>
            <w:r>
              <w:rPr/>
              <w:t xml:space="preserve"> nesaņem atgriešanos par turpmākajiem pasākumiem, kas veikti pēc viņu balsojuma ne īstermiņā, ne ilgtermiņā.</w:t>
            </w:r>
          </w:p>
        </w:tc>
        <w:tc>
          <w:tcPr>
            <w:tcW w:w="5835"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7.1 Iesakām iedzīvotājiem sniegt atsauksmes par turpmākajiem pasākumiem, kas veikti (vai ne) saistībā ar lēmumu, ko pilsoņi pieņēma Eiropas referendumā.</w:t>
            </w:r>
          </w:p>
        </w:tc>
        <w:tc>
          <w:tcPr>
            <w:tcW w:w="1650"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92,5 %</w:t>
            </w:r>
          </w:p>
        </w:tc>
      </w:tr>
    </w:tbl>
    <w:p>
      <w:pPr>
        <w:pStyle w:val="Normal"/>
        <w:rPr/>
      </w:pPr>
      <w:r>
        <w:rPr/>
      </w:r>
    </w:p>
    <w:p>
      <w:pPr>
        <w:pStyle w:val="Normal"/>
        <w:rPr/>
      </w:pPr>
      <w:r>
        <w:rPr/>
        <w:t>5. Esošie instrumenti</w:t>
      </w:r>
    </w:p>
    <w:p>
      <w:pPr>
        <w:pStyle w:val="Normal"/>
        <w:rPr/>
      </w:pPr>
      <w:r>
        <w:rPr/>
        <w:t>5.1. Eiropas Parlamenta vēlēšanas.</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867"/>
        <w:gridCol w:w="6749"/>
        <w:gridCol w:w="1022"/>
      </w:tblGrid>
      <w:tr>
        <w:trPr>
          <w:trHeight w:val="596" w:hRule="atLeast"/>
        </w:trPr>
        <w:tc>
          <w:tcPr>
            <w:tcW w:w="186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Problēmas, kas saistītas ar</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Rekomendācijas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Atbalsta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Dažādās dalībvalstīs regulējums atšķiras</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Mēs ierosinām, ka Eiropas Parlamentam ir obligāti jāpiedalās balsošanā, taču sniedzot pietiekamu informāciju, lai iedzīvotāji varētu saprast tā iemeslus.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50,0 %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1.2 Mūsu ieteikums ir noteikt Eiropas Parlamenta vēlēšanu noteikumus, cik vien iespējams visās valstīs, tostarp minimālo vecumu.</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87,2 %</w:t>
            </w:r>
          </w:p>
        </w:tc>
      </w:tr>
      <w:tr>
        <w:trPr/>
        <w:tc>
          <w:tcPr>
            <w:tcW w:w="18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EP deputātu vecuma, izcelsmes un dzimumu kritēriju dažādība nav pietiekama.</w:t>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2.1.1 Mēs ierosinām, lai EP deputāti būtu visu vecumu un izcelsmes.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82,1 %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2.1.2 Mēs ierosinām EP deputātiem apzināti izvēlēties karjeru Eiropā, nevis tikai tāpēc, ka viņi ir savas karjeras beigās.</w:t>
            </w:r>
          </w:p>
        </w:tc>
        <w:tc>
          <w:tcPr>
            <w:tcW w:w="10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2.1.3 Mēs ierosinām izvēlēties līdzsvarotu sadalījumu pa dzimumiem, piemēram, mainot dzimumus vēlētāju sarakstos</w:t>
            </w:r>
            <w:r>
              <w:rPr/>
              <w:commentReference w:id="16"/>
            </w:r>
            <w:r>
              <w:rPr/>
              <w:t>. ES ir jānosaka šie kritēriji un jāpārbauda, vai tie atbilst kvotu sastāvam. Ja kandidāts atsakās no amata, viņa vietā ieņem nākamo kandidātu prioritārā secībā un ar tādu pašu dzimumu.</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82,5 %</w:t>
            </w:r>
          </w:p>
        </w:tc>
      </w:tr>
      <w:tr>
        <w:trPr/>
        <w:tc>
          <w:tcPr>
            <w:tcW w:w="18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2.1.4 Iesakām kandidātiem, kas iekļauti Eiropas sarakstos, īstenot savas pilnvaras, ja tās tiek ievēlētas.</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89,2 %</w:t>
            </w:r>
          </w:p>
        </w:tc>
      </w:tr>
      <w:tr>
        <w:trPr/>
        <w:tc>
          <w:tcPr>
            <w:tcW w:w="1867"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Mēs balsojam par Eiropas Parlamentu, un mums nav nekādas ietekmes uz komitejas sastāvu</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Mēs ierosinām grozīt Līgumu, saskaņā ar kuru Eiropas Parlamenta lielākā puse var iecelt Eiropas Komisijas priekšsēdētāju.</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48,6 %</w:t>
            </w:r>
          </w:p>
        </w:tc>
      </w:tr>
      <w:tr>
        <w:trPr/>
        <w:tc>
          <w:tcPr>
            <w:tcW w:w="1867"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Mēs iesakām padarīt Eiropas Komisijas sastāvu pārredzamāku saskaņā ar dažiem pamatnoteikumiem, lai sastāvs atspoguļotu iedzīvotāju viedokli un lai iedzīvotāji zinātu, kā notika atlase.</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88,9 %</w:t>
            </w:r>
          </w:p>
        </w:tc>
      </w:tr>
      <w:tr>
        <w:trPr/>
        <w:tc>
          <w:tcPr>
            <w:tcW w:w="18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Nav daudz informācijas par kandidātiem, mēs daudz nezinām par viņiem un viņu programmu, kā arī politisko daļu, ko viņi pārstāvēs Eiropas Parlamentā.</w:t>
            </w:r>
          </w:p>
        </w:tc>
        <w:tc>
          <w:tcPr>
            <w:tcW w:w="67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Mēs ierosinām, lai Eiropas kandidāti, izmantojot dažādus kanālus (komunikācija), konkrētāk iepazīstinātu ar saviem mērķiem un programmām.</w:t>
            </w:r>
          </w:p>
        </w:tc>
        <w:tc>
          <w:tcPr>
            <w:tcW w:w="1022"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84,2 %</w:t>
            </w:r>
          </w:p>
        </w:tc>
      </w:tr>
    </w:tbl>
    <w:p>
      <w:pPr>
        <w:pStyle w:val="Normal"/>
        <w:rPr/>
      </w:pPr>
      <w:r>
        <w:rPr/>
      </w:r>
    </w:p>
    <w:p>
      <w:pPr>
        <w:pStyle w:val="Normal"/>
        <w:rPr/>
      </w:pPr>
      <w:r>
        <w:rPr/>
        <w:t>5.1.2 Eiropas Ombuds</w:t>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179"/>
        <w:gridCol w:w="5431"/>
        <w:gridCol w:w="1035"/>
      </w:tblGrid>
      <w:tr>
        <w:trPr/>
        <w:tc>
          <w:tcPr>
            <w:tcW w:w="317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Problēmas, kas saistītas ar</w:t>
            </w:r>
          </w:p>
        </w:tc>
        <w:tc>
          <w:tcPr>
            <w:tcW w:w="543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Rekomendācijas</w:t>
            </w:r>
          </w:p>
        </w:tc>
        <w:tc>
          <w:tcPr>
            <w:tcW w:w="1035"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Atbalsta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Vietnē valodās, kas nav angļu valoda, pirmajās divās lapās ir iekļauta tikai informācija angļu valodā. Tas rada šķēršļus pilsoņiem, kuri neapgūst angļu valodu</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Mēs ierosinām ievietot informāciju mājas lapā katra pilsoņa valodā un publicēt, ja to nav iespējams tulkot, ziņas angļu valodā citur vietnē.</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89,2 %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Ombuds nav puse no soda un jebkādas kompensācijas sūdzības iesniedzējam</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Mēs ierosinām ombudam piedalīties risinājuma/sankciju/kompensācijas atrašanas un īstenošanas procesā un paust savu viedokli šajā jautājumā.</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71,1 %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Termiņš dažkārt ir ļoti ilgs, lai validētu reģistrāciju uz vietas (apstiprināšanas e-pasts). Dažreiz tas aizņem 24 stundas un pilsoņus, kuri pārceļas uz kaut ko citu, demotivē.</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Mēs ierosinām ieviest tūlītējas apstiprināšanas sistēmu.</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Iesniedzot sūdzību, tiek uzdots šāds jautājums: vai esat izmantojis visas iespējamās procedūras? Pilsonis ne vienmēr zina visas procedūras un nevar atbildēt uz jautājumu.</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Mēs ierosinām iekļaut saiti uz vienkāršu citu procedūru izklāstu/paskaidrojumu</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17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w:t>
            </w:r>
            <w:r>
              <w:rPr/>
              <w:commentReference w:id="17"/>
            </w:r>
            <w:r>
              <w:rPr/>
              <w:t>. Ombuda tīmekļa vietne ir labi sagatavota, bet tai nav skaidra Eiropas tēla, tāpēc tas rada jautājumus pilsoņiem (vai es esmu īstajā vietā, vai tas ir ticams? ...).</w:t>
            </w:r>
          </w:p>
        </w:tc>
        <w:tc>
          <w:tcPr>
            <w:tcW w:w="543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Mēs ierosinām pārskatīt vietnes grafisko hartu un vairāk saskaņot to ar ES hartu (pirmais ieteikums: paaugstināt Eiropas karogu uz lapas augšdaļu). Pirmajā “klikšķis” ir skaidri jānorāda, ka pilsonis ir iestāžu ombuda tīmekļa vietnē.</w:t>
            </w:r>
          </w:p>
        </w:tc>
        <w:tc>
          <w:tcPr>
            <w:tcW w:w="1035"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78,4 %</w:t>
            </w:r>
          </w:p>
        </w:tc>
      </w:tr>
    </w:tbl>
    <w:p>
      <w:pPr>
        <w:pStyle w:val="Normal"/>
        <w:rPr/>
      </w:pPr>
      <w:r>
        <w:rPr/>
      </w:r>
    </w:p>
    <w:p>
      <w:pPr>
        <w:pStyle w:val="Normal"/>
        <w:rPr/>
      </w:pPr>
      <w:r>
        <w:rPr/>
        <w:t>5.1.3 Sabiedriskā apspriešana</w:t>
      </w:r>
      <w:r>
        <w:rPr/>
        <w:commentReference w:id="18"/>
      </w:r>
    </w:p>
    <w:tbl>
      <w:tblPr>
        <w:tblW w:w="9645"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3211"/>
        <w:gridCol w:w="5398"/>
        <w:gridCol w:w="1036"/>
      </w:tblGrid>
      <w:tr>
        <w:trPr/>
        <w:tc>
          <w:tcPr>
            <w:tcW w:w="3211"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Problēmas, kas saistītas ar</w:t>
            </w:r>
          </w:p>
        </w:tc>
        <w:tc>
          <w:tcPr>
            <w:tcW w:w="5398"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Rekomendācijas</w:t>
            </w:r>
          </w:p>
        </w:tc>
        <w:tc>
          <w:tcPr>
            <w:tcW w:w="1036"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Atbalsta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 Konsultāciju tīmekļa vietne ir mainījusies, un pilsonis pirmajā instancē tiek nosūtīts uz novecojušu vietni. Jums ir jāmeklē, lai atrastu jaunās vietnes adresi.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1.1. Mēs ierosinām dzēst veco vietni un vispirms atsaukties uz jauno vietni.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 Apspriešanas ceļvedis (angļu valodā) un viedoklis (iedzīvotāju redaktora valoda) netiek tulkots iedzīvotāju lasītāja valodā.</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2.1. Mēs iesakām šo ceļvedi tulkot iedzīvotāju valodā. Ceļvedis angļu valodā bloķē jebkuru pilsoni, kurš savā</w:t>
            </w:r>
            <w:r>
              <w:rPr/>
              <w:commentReference w:id="19"/>
            </w:r>
            <w:r>
              <w:rPr/>
              <w:t xml:space="preserve"> līdzdalībāneapgūst angļu valodu.</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 xml:space="preserve">2.2. Mēs ierosinām katrā pārskatā ievietot cilni/ikonu “automātiska tulkošana”, kas savieno ar atvērtā pirmkoda tulkošanas programmu, piemēram, </w:t>
            </w:r>
            <w:commentRangeStart w:id="20"/>
            <w:r>
              <w:rPr/>
              <w:t>Google Translate vai DeepL.</w:t>
            </w:r>
            <w:commentRangeEnd w:id="20"/>
            <w:r>
              <w:commentReference w:id="20"/>
            </w:r>
            <w:r>
              <w:rPr/>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65,8 %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 Jums ir jāpiesakās pēc apspriešanas</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3.1. Mēs ierosinām nosūtīt procesa izsekošanu automātiski ikvienam, kurš ir reaģējis, ar iespēju atteikties no abonēšanas.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89,5 %</w:t>
            </w:r>
          </w:p>
        </w:tc>
      </w:tr>
      <w:tr>
        <w:trPr/>
        <w:tc>
          <w:tcPr>
            <w:tcW w:w="3211" w:type="dxa"/>
            <w:vMerge w:val="restart"/>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 Mēs nezinām, vai atzinumu skaits zināmā mērā ietekmē komisiju vai arī līdzīgi viedokļi tiek uzskatīti par vienu atzinumu (svērums vai nē). Ja zināmā mērā tiek ņemts vērā viedokļu skaits, mēs esam nobažījušies par lobistu/aktīvistu/lielo uzņēmumu nozīmi konsultācijās un de facto par pasākumiem, ko ES veikusi attiecībā uz iedzīvotājiem un asociatīvo pasauli.</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4.1. Mēs iesakām šajā vietnē ievietot skaidru informāciju par to.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4.2. Ja atzinumu skaitam vienā virzienā ir ietekme, mēs iesakām izveidot sistēmu, kas spēj filtrēt lobistus/aktīvistus/lielus uzņēmumus utt., lai nepiešķirtu tiem nesamērīgu nozīmi.</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60,5 %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4.3. Mēs iesakām izveidot mākslīgā intelekta programmatūru, kas sarindo dažādas atsauksmes un skaita pretējas vai labvēlīgas atsauksmes.</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47,4 %</w:t>
            </w:r>
          </w:p>
        </w:tc>
      </w:tr>
      <w:tr>
        <w:trPr/>
        <w:tc>
          <w:tcPr>
            <w:tcW w:w="3211" w:type="dxa"/>
            <w:vMerge w:val="continue"/>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4.4. Mēs ierosinām organizēt pasākumus starp iedzīvotājiem un apvienībām (militāriem): ir vietas, kur iedzīvotāji varētu ierasties, un paust savu viedokli “Eiropas namu” veidā, kas varētu palīdzēt izplatīt pilsoņu viedokļus Eiropas līmenī. Šīs vietas būtu jāizveido dažādās vietās, vietējā līmenī un jāpārvieto.</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62,2 %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5.Paziņojuma veidlapa nav skaidra: ir atklāts jautājums un anketa. Kāda ir katra dokumenta loma, kas būtu jāaizpilda?</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5.1 Noskaidrojiet šo informāciju vietnē.</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81,6 %</w:t>
            </w:r>
          </w:p>
        </w:tc>
      </w:tr>
      <w:tr>
        <w:trPr/>
        <w:tc>
          <w:tcPr>
            <w:tcW w:w="3211"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 Ir pārāk daudz prasmju līmeņu, kad runa ir par instrumentiem</w:t>
            </w:r>
          </w:p>
        </w:tc>
        <w:tc>
          <w:tcPr>
            <w:tcW w:w="5398"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6.1 Mēs ierosinām izveidot dispečervadības centru, kas ļaus nosūtīt pieprasījumus kompetentam iestādes līmenim.</w:t>
            </w:r>
          </w:p>
        </w:tc>
        <w:tc>
          <w:tcPr>
            <w:tcW w:w="1036"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78,9 %</w:t>
            </w:r>
          </w:p>
        </w:tc>
      </w:tr>
    </w:tbl>
    <w:p>
      <w:pPr>
        <w:pStyle w:val="Normal"/>
        <w:rPr/>
      </w:pPr>
      <w:r>
        <w:rPr/>
      </w:r>
    </w:p>
    <w:p>
      <w:pPr>
        <w:pStyle w:val="Normal"/>
        <w:rPr/>
      </w:pPr>
      <w:r>
        <w:rPr/>
        <w:t>5.1.4. Eiropas pilsoņu iniciatīva</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2190"/>
        <w:gridCol w:w="6375"/>
        <w:gridCol w:w="1080"/>
      </w:tblGrid>
      <w:tr>
        <w:trPr>
          <w:trHeight w:val="596"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Problēmas, kas saistītas ar</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Rekomendācijas</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Atbalsta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Iedzīvotājiem, kuriem nav interneta, ir grūtāk piekļūt.</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Mēs ierosinām, ka šīs iniciatīvas izplatīšanā un parakstu vākšanā var iesaistīt pašvaldības vai bibliotēkas, kas ir neatkarīgas no valdības. Gan elektroniski, gan uz papīra. ES būtu jāizvērtē šis tīkls pa valstīm un jādara tas pieejams iniciatoriem.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1481" w:hRule="atLeast"/>
        </w:trPr>
        <w:tc>
          <w:tcPr>
            <w:tcW w:w="219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To valstu skaits, kurām jāpiedalās, ir pārāk mazs, lai saņemtu pietiekamu atbalstu.</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Mēs ierosinām palielināt to valstu skaitu, no kurām tiek savākti paraksti, līdz 13 valstīm, lai panāktu lielāku atbalstu priekšlikumam. Parakstu skaits ir jāievēro proporcionāli iedzīvotāju skaitam.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64,9 %</w:t>
            </w:r>
          </w:p>
        </w:tc>
      </w:tr>
      <w:tr>
        <w:trPr>
          <w:trHeight w:val="596" w:hRule="atLeast"/>
        </w:trPr>
        <w:tc>
          <w:tcPr>
            <w:tcW w:w="2190"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Izmaksas un pūles, lai savāktu parakstus, ir augstas</w:t>
            </w:r>
          </w:p>
        </w:tc>
        <w:tc>
          <w:tcPr>
            <w:tcW w:w="63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Mēs ierosinām piešķirt ES finansējumu šo iniciatīvu atbalstam.</w:t>
            </w:r>
          </w:p>
        </w:tc>
        <w:tc>
          <w:tcPr>
            <w:tcW w:w="10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71,1 %</w:t>
            </w:r>
          </w:p>
        </w:tc>
      </w:tr>
      <w:tr>
        <w:trPr>
          <w:trHeight w:val="596" w:hRule="atLeast"/>
        </w:trPr>
        <w:tc>
          <w:tcPr>
            <w:tcW w:w="2190"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3.2 Mēs ierosinām izveidot struktūru, kas veicinātu koordināciju starp dažādām valstīm.</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75,7 %</w:t>
            </w:r>
          </w:p>
        </w:tc>
      </w:tr>
      <w:tr>
        <w:trPr>
          <w:trHeight w:val="596" w:hRule="atLeast"/>
        </w:trPr>
        <w:tc>
          <w:tcPr>
            <w:tcW w:w="219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 Šī procedūra pilsoņiem ir sarežģīta.</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4.1 Mēs ierosinām izveidot palīdzības dienestu, lai palīdzētu iedzīvotājiem pabeigt šo procesu.</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83,8 %</w:t>
            </w:r>
          </w:p>
        </w:tc>
      </w:tr>
      <w:tr>
        <w:trPr>
          <w:trHeight w:val="596" w:hRule="atLeast"/>
        </w:trPr>
        <w:tc>
          <w:tcPr>
            <w:tcW w:w="2190" w:type="dxa"/>
            <w:vMerge w:val="restart"/>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 Pilsoņu iniciatīvas iznākums ir neskaidrs.</w:t>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5.1 Mēs ierosinām noteikt Eiropas Komisijai pienākumu apspriest un strādāt pie priekšlikuma īstenošanas, nevis vienkārši atbildēt un apstiprināt saņemšanu. Ja Komisija nolemj nerīkoties attiecībā uz priekšlikumu, tai tas jāpamato.</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100,0 %</w:t>
            </w:r>
          </w:p>
        </w:tc>
      </w:tr>
      <w:tr>
        <w:trPr>
          <w:trHeight w:val="596" w:hRule="atLeast"/>
        </w:trPr>
        <w:tc>
          <w:tcPr>
            <w:tcW w:w="2190" w:type="dxa"/>
            <w:vMerge w:val="continue"/>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r>
          </w:p>
        </w:tc>
        <w:tc>
          <w:tcPr>
            <w:tcW w:w="63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5.2 Mēs ierosinām organizēt apspriešanos ar pilsoņiem, saņemot Eiropas pilsoņu iniciatīvu, lai lūgtu viņiem sniegt atzinumu par to, pirms komiteja to uzrauga. Tas ļautu izvairīties tikai no ekstrēmiem atzinumiem/balsošanas par iniciatīvu un to cilvēku viedokļa, kuri nav parakstījušies. Turklāt, ja visi iedzīvotāji sniegs savu viedokli, šim ierosinājumam būs lielāka nozīme ES līmenī un turpmākajiem pasākumiem.</w:t>
            </w:r>
          </w:p>
        </w:tc>
        <w:tc>
          <w:tcPr>
            <w:tcW w:w="1080"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55,3 %</w:t>
            </w:r>
          </w:p>
        </w:tc>
      </w:tr>
    </w:tbl>
    <w:p>
      <w:pPr>
        <w:pStyle w:val="Normal"/>
        <w:rPr/>
      </w:pPr>
      <w:r>
        <w:rPr/>
      </w:r>
    </w:p>
    <w:p>
      <w:pPr>
        <w:pStyle w:val="Normal"/>
        <w:rPr/>
      </w:pPr>
      <w:r>
        <w:rPr/>
        <w:t>5.1.5 Tiesības iesniegt lūgumrakstu</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3276"/>
        <w:gridCol w:w="5168"/>
        <w:gridCol w:w="1201"/>
      </w:tblGrid>
      <w:tr>
        <w:trPr>
          <w:trHeight w:val="3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Problēmas, kas saistītas ar</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Rekomendācijas</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Atbalsta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 Eiropas Komisijai ir galīgais lēmums, nav pārliecības par iznākumu</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1.1 Mēs ierosinām, lai komiteja ievērotu Eiropas Parlamenta ieteikumu.</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81,1 %</w:t>
            </w:r>
          </w:p>
        </w:tc>
      </w:tr>
      <w:tr>
        <w:trPr>
          <w:trHeight w:val="941"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 Lēmuma pieņemšanas process un motivācija nav pietiekami pārredzami.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2.1 Mēs ierosinām regulāri informēt lūgumraksta iesniedzēju par paveikto un lēmumiem. Galīgais secinājums arī ir jāpamato.</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94,4 %</w:t>
            </w:r>
          </w:p>
        </w:tc>
      </w:tr>
      <w:tr>
        <w:trPr>
          <w:trHeight w:val="656" w:hRule="atLeast"/>
        </w:trPr>
        <w:tc>
          <w:tcPr>
            <w:tcW w:w="32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 Iedzīvotājiem ir grūti pierādīt, ka ir vajadzīgi jauni tiesību akti.</w:t>
            </w:r>
          </w:p>
        </w:tc>
        <w:tc>
          <w:tcPr>
            <w:tcW w:w="516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3.1 Mūsu ieteikums ir, ka lūgumraksts būtu jāizmanto arī kā instruments, lai pierādītu nepieciešamību pēc jauniem tiesību aktiem.</w:t>
            </w:r>
          </w:p>
        </w:tc>
        <w:tc>
          <w:tcPr>
            <w:tcW w:w="120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Normal"/>
              <w:spacing w:before="57" w:after="57"/>
              <w:ind w:left="0" w:right="0" w:hanging="0"/>
              <w:rPr/>
            </w:pPr>
            <w:r>
              <w:rPr/>
              <w:t>78,4 %</w:t>
            </w:r>
          </w:p>
        </w:tc>
      </w:tr>
    </w:tbl>
    <w:p>
      <w:pPr>
        <w:pStyle w:val="Normal"/>
        <w:rPr/>
      </w:pPr>
      <w:r>
        <w:rPr/>
      </w:r>
    </w:p>
    <w:p>
      <w:pPr>
        <w:pStyle w:val="Normal"/>
        <w:rPr/>
      </w:pPr>
      <w:r>
        <w:rPr/>
      </w:r>
    </w:p>
    <w:p>
      <w:pPr>
        <w:pStyle w:val="Normal"/>
        <w:rPr/>
      </w:pPr>
      <w:r>
        <w:rPr/>
      </w:r>
      <w:r>
        <w:br w:type="page"/>
      </w:r>
    </w:p>
    <w:p>
      <w:pPr>
        <w:pStyle w:val="Titre1"/>
        <w:numPr>
          <w:ilvl w:val="0"/>
          <w:numId w:val="2"/>
        </w:numPr>
        <w:rPr/>
      </w:pPr>
      <w:bookmarkStart w:id="206" w:name="__RefHeading___Toc297349_1346298689"/>
      <w:bookmarkEnd w:id="206"/>
      <w:r>
        <w:rPr/>
        <w:t>II B valstu paneļdiskusiju grupas: Francija</w:t>
      </w:r>
    </w:p>
    <w:p>
      <w:pPr>
        <w:pStyle w:val="Normal"/>
        <w:spacing w:before="15880" w:after="57"/>
        <w:rPr/>
      </w:pPr>
      <w:r>
        <w:rPr/>
        <mc:AlternateContent>
          <mc:Choice Requires="wps">
            <w:drawing>
              <wp:anchor behindDoc="0" distT="72390" distB="72390" distL="72390" distR="72390" simplePos="0" locked="0" layoutInCell="1" allowOverlap="1" relativeHeight="39">
                <wp:simplePos x="0" y="0"/>
                <wp:positionH relativeFrom="column">
                  <wp:posOffset>914400</wp:posOffset>
                </wp:positionH>
                <wp:positionV relativeFrom="paragraph">
                  <wp:posOffset>5288280</wp:posOffset>
                </wp:positionV>
                <wp:extent cx="4782820" cy="1020445"/>
                <wp:effectExtent l="0" t="0" r="0" b="0"/>
                <wp:wrapTopAndBottom/>
                <wp:docPr id="75" name="Ietvarstruktūra14"/>
                <a:graphic xmlns:a="http://schemas.openxmlformats.org/drawingml/2006/main">
                  <a:graphicData uri="http://schemas.microsoft.com/office/word/2010/wordprocessingShape">
                    <wps:wsp>
                      <wps:cNvSpPr/>
                      <wps:spPr>
                        <a:xfrm>
                          <a:off x="0" y="0"/>
                          <a:ext cx="4782240" cy="1019880"/>
                        </a:xfrm>
                        <a:prstGeom prst="rect">
                          <a:avLst/>
                        </a:prstGeom>
                        <a:solidFill>
                          <a:srgbClr val="eeeeee">
                            <a:alpha val="50000"/>
                          </a:srgbClr>
                        </a:solidFill>
                        <a:ln>
                          <a:noFill/>
                        </a:ln>
                      </wps:spPr>
                      <wps:style>
                        <a:lnRef idx="0"/>
                        <a:fillRef idx="0"/>
                        <a:effectRef idx="0"/>
                        <a:fontRef idx="minor"/>
                      </wps:style>
                      <wps:txbx>
                        <w:txbxContent>
                          <w:p>
                            <w:pPr>
                              <w:pStyle w:val="P68B1DB1Contenudecadre22"/>
                              <w:spacing w:before="57" w:after="57"/>
                              <w:rPr>
                                <w:color w:val="FFFFFF"/>
                              </w:rPr>
                            </w:pPr>
                            <w:r>
                              <w:rPr/>
                              <w:t xml:space="preserve">Šis dokuments ir kopsavilkums ziņojumam “Pilsoņu ieguldījums konferencē par Eiropas nākotni”, ko organizēja Francija. Ziņojuma pilna versija franču valodā ir pieejama šādā tīmekļa vietnē: </w:t>
                            </w:r>
                          </w:p>
                          <w:p>
                            <w:pPr>
                              <w:pStyle w:val="Contenudecadre"/>
                              <w:spacing w:before="57" w:after="57"/>
                              <w:rPr/>
                            </w:pPr>
                            <w:hyperlink r:id="rId85">
                              <w:r>
                                <w:rPr>
                                  <w:rStyle w:val="LienInternet"/>
                                </w:rPr>
                                <w:t>https://participation-citoyenne.gouv.fr/sites/default/files/2021-11/20211126%20-%20COFE%20-%20Rapport%20final.pdf</w:t>
                              </w:r>
                            </w:hyperlink>
                            <w:r>
                              <w:rPr>
                                <w:color w:val="FFFFFF"/>
                              </w:rPr>
                              <w:t xml:space="preserve"> </w:t>
                            </w:r>
                          </w:p>
                        </w:txbxContent>
                      </wps:txbx>
                      <wps:bodyPr lIns="54000" rIns="54000" tIns="54000" bIns="54000">
                        <a:noAutofit/>
                      </wps:bodyPr>
                    </wps:wsp>
                  </a:graphicData>
                </a:graphic>
              </wp:anchor>
            </w:drawing>
          </mc:Choice>
          <mc:Fallback>
            <w:pict>
              <v:rect id="shape_0" ID="Ietvarstruktūra14" fillcolor="#eeeeee" stroked="f" style="position:absolute;margin-left:72pt;margin-top:416.4pt;width:376.5pt;height:80.25pt">
                <w10:wrap type="square"/>
                <v:fill o:detectmouseclick="t" type="solid" color2="#111111" opacity="0.5"/>
                <v:stroke color="#3465a4" joinstyle="round" endcap="flat"/>
                <v:textbox>
                  <w:txbxContent>
                    <w:p>
                      <w:pPr>
                        <w:pStyle w:val="P68B1DB1Contenudecadre22"/>
                        <w:spacing w:before="57" w:after="57"/>
                        <w:rPr>
                          <w:color w:val="FFFFFF"/>
                        </w:rPr>
                      </w:pPr>
                      <w:r>
                        <w:rPr/>
                        <w:t xml:space="preserve">Šis dokuments ir kopsavilkums ziņojumam “Pilsoņu ieguldījums konferencē par Eiropas nākotni”, ko organizēja Francija. Ziņojuma pilna versija franču valodā ir pieejama šādā tīmekļa vietnē: </w:t>
                      </w:r>
                    </w:p>
                    <w:p>
                      <w:pPr>
                        <w:pStyle w:val="Contenudecadre"/>
                        <w:spacing w:before="57" w:after="57"/>
                        <w:rPr/>
                      </w:pPr>
                      <w:hyperlink r:id="rId86">
                        <w:r>
                          <w:rPr>
                            <w:rStyle w:val="LienInternet"/>
                          </w:rPr>
                          <w:t>https://participation-citoyenne.gouv.fr/sites/default/files/2021-11/20211126%20-%20COFE%20-%20Rapport%20final.pdf</w:t>
                        </w:r>
                      </w:hyperlink>
                      <w:r>
                        <w:rPr>
                          <w:color w:val="FFFFFF"/>
                        </w:rPr>
                        <w:t xml:space="preserve"> </w:t>
                      </w:r>
                    </w:p>
                  </w:txbxContent>
                </v:textbox>
              </v:rect>
            </w:pict>
          </mc:Fallback>
        </mc:AlternateContent>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443855" cy="6813550"/>
            <wp:effectExtent l="0" t="0" r="0" b="0"/>
            <wp:wrapTopAndBottom/>
            <wp:docPr id="77" name="Fotoattēls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otoattēls33" descr=""/>
                    <pic:cNvPicPr>
                      <a:picLocks noChangeAspect="1" noChangeArrowheads="1"/>
                    </pic:cNvPicPr>
                  </pic:nvPicPr>
                  <pic:blipFill>
                    <a:blip r:embed="rId87"/>
                    <a:stretch>
                      <a:fillRect/>
                    </a:stretch>
                  </pic:blipFill>
                  <pic:spPr bwMode="auto">
                    <a:xfrm>
                      <a:off x="0" y="0"/>
                      <a:ext cx="5443855" cy="6813550"/>
                    </a:xfrm>
                    <a:prstGeom prst="rect">
                      <a:avLst/>
                    </a:prstGeom>
                  </pic:spPr>
                </pic:pic>
              </a:graphicData>
            </a:graphic>
          </wp:anchor>
        </w:drawing>
        <w:drawing>
          <wp:anchor behindDoc="0" distT="0" distB="0" distL="0" distR="0" simplePos="0" locked="0" layoutInCell="1" allowOverlap="1" relativeHeight="35">
            <wp:simplePos x="0" y="0"/>
            <wp:positionH relativeFrom="column">
              <wp:posOffset>5186680</wp:posOffset>
            </wp:positionH>
            <wp:positionV relativeFrom="paragraph">
              <wp:posOffset>6484620</wp:posOffset>
            </wp:positionV>
            <wp:extent cx="838200" cy="485775"/>
            <wp:effectExtent l="0" t="0" r="0" b="0"/>
            <wp:wrapSquare wrapText="largest"/>
            <wp:docPr id="78" name="Fotoattēls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otoattēls38" descr=""/>
                    <pic:cNvPicPr>
                      <a:picLocks noChangeAspect="1" noChangeArrowheads="1"/>
                    </pic:cNvPicPr>
                  </pic:nvPicPr>
                  <pic:blipFill>
                    <a:blip r:embed="rId88"/>
                    <a:stretch>
                      <a:fillRect/>
                    </a:stretch>
                  </pic:blipFill>
                  <pic:spPr bwMode="auto">
                    <a:xfrm>
                      <a:off x="0" y="0"/>
                      <a:ext cx="838200" cy="485775"/>
                    </a:xfrm>
                    <a:prstGeom prst="rect">
                      <a:avLst/>
                    </a:prstGeom>
                  </pic:spPr>
                </pic:pic>
              </a:graphicData>
            </a:graphic>
          </wp:anchor>
        </w:drawing>
        <w:drawing>
          <wp:anchor behindDoc="0" distT="0" distB="0" distL="0" distR="0" simplePos="0" locked="0" layoutInCell="1" allowOverlap="1" relativeHeight="36">
            <wp:simplePos x="0" y="0"/>
            <wp:positionH relativeFrom="column">
              <wp:posOffset>3897630</wp:posOffset>
            </wp:positionH>
            <wp:positionV relativeFrom="paragraph">
              <wp:posOffset>6478270</wp:posOffset>
            </wp:positionV>
            <wp:extent cx="1212850" cy="419100"/>
            <wp:effectExtent l="0" t="0" r="0" b="0"/>
            <wp:wrapSquare wrapText="largest"/>
            <wp:docPr id="79" name="Fotoattēls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otoattēls37" descr=""/>
                    <pic:cNvPicPr>
                      <a:picLocks noChangeAspect="1" noChangeArrowheads="1"/>
                    </pic:cNvPicPr>
                  </pic:nvPicPr>
                  <pic:blipFill>
                    <a:blip r:embed="rId89"/>
                    <a:stretch>
                      <a:fillRect/>
                    </a:stretch>
                  </pic:blipFill>
                  <pic:spPr bwMode="auto">
                    <a:xfrm>
                      <a:off x="0" y="0"/>
                      <a:ext cx="1212850" cy="419100"/>
                    </a:xfrm>
                    <a:prstGeom prst="rect">
                      <a:avLst/>
                    </a:prstGeom>
                  </pic:spPr>
                </pic:pic>
              </a:graphicData>
            </a:graphic>
          </wp:anchor>
        </w:drawing>
        <w:drawing>
          <wp:anchor behindDoc="0" distT="0" distB="0" distL="0" distR="0" simplePos="0" locked="0" layoutInCell="1" allowOverlap="1" relativeHeight="37">
            <wp:simplePos x="0" y="0"/>
            <wp:positionH relativeFrom="column">
              <wp:posOffset>2844800</wp:posOffset>
            </wp:positionH>
            <wp:positionV relativeFrom="paragraph">
              <wp:posOffset>6459220</wp:posOffset>
            </wp:positionV>
            <wp:extent cx="1007745" cy="490855"/>
            <wp:effectExtent l="0" t="0" r="0" b="0"/>
            <wp:wrapSquare wrapText="largest"/>
            <wp:docPr id="80" name="Fotoattēls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otoattēls36" descr=""/>
                    <pic:cNvPicPr>
                      <a:picLocks noChangeAspect="1" noChangeArrowheads="1"/>
                    </pic:cNvPicPr>
                  </pic:nvPicPr>
                  <pic:blipFill>
                    <a:blip r:embed="rId90"/>
                    <a:stretch>
                      <a:fillRect/>
                    </a:stretch>
                  </pic:blipFill>
                  <pic:spPr bwMode="auto">
                    <a:xfrm>
                      <a:off x="0" y="0"/>
                      <a:ext cx="1007745" cy="490855"/>
                    </a:xfrm>
                    <a:prstGeom prst="rect">
                      <a:avLst/>
                    </a:prstGeom>
                  </pic:spPr>
                </pic:pic>
              </a:graphicData>
            </a:graphic>
          </wp:anchor>
        </w:drawing>
        <w:drawing>
          <wp:anchor behindDoc="0" distT="0" distB="0" distL="0" distR="0" simplePos="0" locked="0" layoutInCell="1" allowOverlap="1" relativeHeight="38">
            <wp:simplePos x="0" y="0"/>
            <wp:positionH relativeFrom="column">
              <wp:posOffset>1290955</wp:posOffset>
            </wp:positionH>
            <wp:positionV relativeFrom="paragraph">
              <wp:posOffset>6459220</wp:posOffset>
            </wp:positionV>
            <wp:extent cx="1554480" cy="240030"/>
            <wp:effectExtent l="0" t="0" r="0" b="0"/>
            <wp:wrapSquare wrapText="largest"/>
            <wp:docPr id="81" name="Fotoattēls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otoattēls34" descr=""/>
                    <pic:cNvPicPr>
                      <a:picLocks noChangeAspect="1" noChangeArrowheads="1"/>
                    </pic:cNvPicPr>
                  </pic:nvPicPr>
                  <pic:blipFill>
                    <a:blip r:embed="rId91"/>
                    <a:stretch>
                      <a:fillRect/>
                    </a:stretch>
                  </pic:blipFill>
                  <pic:spPr bwMode="auto">
                    <a:xfrm>
                      <a:off x="0" y="0"/>
                      <a:ext cx="1554480" cy="240030"/>
                    </a:xfrm>
                    <a:prstGeom prst="rect">
                      <a:avLst/>
                    </a:prstGeom>
                  </pic:spPr>
                </pic:pic>
              </a:graphicData>
            </a:graphic>
          </wp:anchor>
        </w:drawing>
        <w:drawing>
          <wp:anchor behindDoc="0" distT="0" distB="0" distL="0" distR="0" simplePos="0" locked="0" layoutInCell="1" allowOverlap="1" relativeHeight="56">
            <wp:simplePos x="0" y="0"/>
            <wp:positionH relativeFrom="column">
              <wp:posOffset>-47625</wp:posOffset>
            </wp:positionH>
            <wp:positionV relativeFrom="paragraph">
              <wp:posOffset>6496050</wp:posOffset>
            </wp:positionV>
            <wp:extent cx="1281430" cy="614680"/>
            <wp:effectExtent l="0" t="0" r="0" b="0"/>
            <wp:wrapSquare wrapText="largest"/>
            <wp:docPr id="82" name="Fotoattēls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otoattēls35" descr=""/>
                    <pic:cNvPicPr>
                      <a:picLocks noChangeAspect="1" noChangeArrowheads="1"/>
                    </pic:cNvPicPr>
                  </pic:nvPicPr>
                  <pic:blipFill>
                    <a:blip r:embed="rId92"/>
                    <a:stretch>
                      <a:fillRect/>
                    </a:stretch>
                  </pic:blipFill>
                  <pic:spPr bwMode="auto">
                    <a:xfrm>
                      <a:off x="0" y="0"/>
                      <a:ext cx="1281430" cy="614680"/>
                    </a:xfrm>
                    <a:prstGeom prst="rect">
                      <a:avLst/>
                    </a:prstGeom>
                  </pic:spPr>
                </pic:pic>
              </a:graphicData>
            </a:graphic>
          </wp:anchor>
        </w:drawing>
      </w:r>
    </w:p>
    <w:p>
      <w:pPr>
        <w:pStyle w:val="Normal"/>
        <w:widowControl w:val="false"/>
        <w:spacing w:lineRule="exact" w:line="388" w:before="80" w:after="0"/>
        <w:ind w:left="0" w:right="0" w:hanging="0"/>
        <w:jc w:val="left"/>
        <w:rPr>
          <w:rFonts w:ascii="Times New Roman" w:hAnsi="Times New Roman"/>
          <w:color w:val="000000"/>
          <w:sz w:val="24"/>
        </w:rPr>
      </w:pPr>
      <w:r>
        <w:rPr>
          <w:rFonts w:ascii="Times New Roman" w:hAnsi="Times New Roman"/>
          <w:color w:val="000000"/>
          <w:sz w:val="24"/>
        </w:rPr>
      </w:r>
      <w:r>
        <w:br w:type="page"/>
      </w:r>
    </w:p>
    <w:sdt>
      <w:sdtPr>
        <w:docPartObj>
          <w:docPartGallery w:val="Table of Contents"/>
          <w:docPartUnique w:val="true"/>
        </w:docPartObj>
      </w:sdtPr>
      <w:sdtContent>
        <w:p>
          <w:pPr>
            <w:pStyle w:val="TOAHeading"/>
            <w:suppressLineNumbers/>
            <w:ind w:left="0" w:right="0" w:hanging="0"/>
            <w:rPr/>
          </w:pPr>
          <w:r>
            <w:rPr/>
            <w:t>Mājas lapa</w:t>
          </w:r>
        </w:p>
        <w:p>
          <w:pPr>
            <w:pStyle w:val="Tabledesmatiresniveau1"/>
            <w:rPr/>
          </w:pPr>
          <w:r>
            <w:fldChar w:fldCharType="begin"/>
          </w:r>
          <w:r>
            <w:rPr>
              <w:rStyle w:val="Sautdindex"/>
            </w:rPr>
            <w:instrText> TOC \f \o "1-3" \h</w:instrText>
          </w:r>
          <w:r>
            <w:rPr>
              <w:rStyle w:val="Sautdindex"/>
            </w:rPr>
            <w:fldChar w:fldCharType="separate"/>
          </w:r>
          <w:hyperlink w:anchor="__RefHeading___Toc297349_1346298689">
            <w:r>
              <w:rPr>
                <w:rStyle w:val="Sautdindex"/>
              </w:rPr>
              <w:t>II B Panels nationaux : France</w:t>
              <w:tab/>
              <w:t>192</w:t>
            </w:r>
          </w:hyperlink>
        </w:p>
        <w:p>
          <w:pPr>
            <w:pStyle w:val="Tabledesmatiresniveau2"/>
            <w:tabs>
              <w:tab w:val="right" w:pos="9638" w:leader="dot"/>
            </w:tabs>
            <w:rPr/>
          </w:pPr>
          <w:hyperlink w:anchor="__RefHeading___Toc300448_1346298689">
            <w:r>
              <w:rPr>
                <w:rStyle w:val="Sautdindex"/>
              </w:rPr>
              <w:t>Introduction</w:t>
              <w:tab/>
              <w:t>194</w:t>
            </w:r>
          </w:hyperlink>
        </w:p>
        <w:p>
          <w:pPr>
            <w:pStyle w:val="Tabledesmatiresniveau2"/>
            <w:tabs>
              <w:tab w:val="right" w:pos="9638" w:leader="dot"/>
            </w:tabs>
            <w:rPr/>
          </w:pPr>
          <w:hyperlink w:anchor="__RefHeading___Toc300450_1346298689">
            <w:r>
              <w:rPr>
                <w:rStyle w:val="Sautdindex"/>
              </w:rPr>
              <w:t>Présentation des principaux résultats</w:t>
              <w:tab/>
              <w:t>197</w:t>
            </w:r>
          </w:hyperlink>
        </w:p>
        <w:p>
          <w:pPr>
            <w:pStyle w:val="Tabledesmatiresniveau2"/>
            <w:tabs>
              <w:tab w:val="right" w:pos="9638" w:leader="dot"/>
            </w:tabs>
            <w:rPr/>
          </w:pPr>
          <w:hyperlink w:anchor="__RefHeading___Toc300452_1346298689">
            <w:r>
              <w:rPr>
                <w:rStyle w:val="Sautdindex"/>
              </w:rPr>
              <w:t>Présentation des panels des conférences régionales</w:t>
              <w:tab/>
              <w:t>199</w:t>
            </w:r>
          </w:hyperlink>
        </w:p>
        <w:p>
          <w:pPr>
            <w:pStyle w:val="Tabledesmatiresniveau2"/>
            <w:tabs>
              <w:tab w:val="right" w:pos="9638" w:leader="dot"/>
            </w:tabs>
            <w:rPr/>
          </w:pPr>
          <w:hyperlink w:anchor="__RefHeading___Toc300454_1346298689">
            <w:r>
              <w:rPr>
                <w:rStyle w:val="Sautdindex"/>
              </w:rPr>
              <w:t>Engagements et partis pris méthodologiques</w:t>
              <w:tab/>
              <w:t>201</w:t>
            </w:r>
          </w:hyperlink>
        </w:p>
        <w:p>
          <w:pPr>
            <w:pStyle w:val="Tabledesmatiresniveau2"/>
            <w:tabs>
              <w:tab w:val="right" w:pos="9638" w:leader="dot"/>
            </w:tabs>
            <w:rPr/>
          </w:pPr>
          <w:hyperlink w:anchor="__RefHeading___Toc300456_1346298689">
            <w:r>
              <w:rPr>
                <w:rStyle w:val="Sautdindex"/>
              </w:rPr>
              <w:t>Première partie: présentation des résultats des conférences régionales sur l’avenir de l’Europe</w:t>
              <w:tab/>
              <w:t>207</w:t>
            </w:r>
          </w:hyperlink>
        </w:p>
        <w:p>
          <w:pPr>
            <w:pStyle w:val="Tabledesmatiresniveau2"/>
            <w:tabs>
              <w:tab w:val="right" w:pos="9638" w:leader="dot"/>
            </w:tabs>
            <w:rPr/>
          </w:pPr>
          <w:hyperlink w:anchor="__RefHeading___Toc297351_1346298689">
            <w:r>
              <w:rPr>
                <w:rStyle w:val="Sautdindex"/>
              </w:rPr>
              <w:t>Seconde partie: présentation des résultats de la consultation « Parole aux Jeunes »</w:t>
              <w:tab/>
              <w:t>218</w:t>
            </w:r>
          </w:hyperlink>
        </w:p>
        <w:p>
          <w:pPr>
            <w:pStyle w:val="Tabledesmatiresniveau2"/>
            <w:tabs>
              <w:tab w:val="right" w:pos="9638" w:leader="dot"/>
            </w:tabs>
            <w:rPr/>
          </w:pPr>
          <w:hyperlink w:anchor="__RefHeading___Toc300458_1346298689">
            <w:r>
              <w:rPr>
                <w:rStyle w:val="Sautdindex"/>
              </w:rPr>
              <w:t>Conclusion</w:t>
              <w:tab/>
              <w:t>221</w:t>
            </w:r>
          </w:hyperlink>
        </w:p>
      </w:sdtContent>
    </w:sdt>
    <w:p>
      <w:pPr>
        <w:pStyle w:val="Normal"/>
        <w:spacing w:before="57" w:after="57"/>
        <w:ind w:left="0" w:right="0" w:hanging="0"/>
        <w:rPr>
          <w:rFonts w:ascii="Arial" w:hAnsi="Arial"/>
          <w:sz w:val="22"/>
        </w:rPr>
      </w:pPr>
      <w:r>
        <w:rPr>
          <w:sz w:val="22"/>
        </w:rPr>
      </w:r>
      <w:r>
        <w:rPr>
          <w:sz w:val="22"/>
        </w:rPr>
        <w:fldChar w:fldCharType="end"/>
      </w:r>
    </w:p>
    <w:p>
      <w:pPr>
        <w:pStyle w:val="Normal"/>
        <w:rPr/>
      </w:pPr>
      <w:r>
        <w:rPr/>
      </w:r>
      <w:r>
        <w:br w:type="page"/>
      </w:r>
    </w:p>
    <w:p>
      <w:pPr>
        <w:pStyle w:val="Titre2"/>
        <w:numPr>
          <w:ilvl w:val="1"/>
          <w:numId w:val="2"/>
        </w:numPr>
        <w:rPr/>
      </w:pPr>
      <w:bookmarkStart w:id="207" w:name="__RefHeading___Toc300448_1346298689"/>
      <w:bookmarkEnd w:id="207"/>
      <w:r>
        <w:rPr/>
        <w:t xml:space="preserve">Ievads Ievads </w:t>
      </w:r>
    </w:p>
    <w:p>
      <w:pPr>
        <w:pStyle w:val="P68B1DB1Normal19"/>
        <w:widowControl w:val="false"/>
        <w:spacing w:lineRule="auto" w:line="240" w:before="156" w:after="0"/>
        <w:ind w:left="0" w:right="0" w:hanging="0"/>
        <w:jc w:val="both"/>
        <w:rPr/>
      </w:pPr>
      <w:r>
        <w:rPr/>
        <w:t xml:space="preserve">Konference par Eiropas nākotni ir bezprecedenta pilsoņu līdzdalības pasākums, kura mērķis ir apspriesties ar 27 Eiropas Savienības dalībvalstu pilsoņiem, lai viņus izvirzītu to lēmumu centrā, kas tiks pieņemti turpmākajos gados un desmitgadēs. Tāpēc ES pilsoņi tiek aicināti paust savu viedokli, ierosinot izmaiņas un konkrētus rīcības veidus, kas ļaus Eiropai izvirzīt jaunus mērķus un risināt globālās problēmas, ar kurām tā saskaras šodien. </w:t>
      </w:r>
    </w:p>
    <w:p>
      <w:pPr>
        <w:pStyle w:val="P68B1DB1Normal19"/>
        <w:widowControl w:val="false"/>
        <w:spacing w:lineRule="auto" w:line="240" w:before="156" w:after="0"/>
        <w:ind w:left="0" w:right="0" w:hanging="0"/>
        <w:jc w:val="both"/>
        <w:rPr/>
      </w:pPr>
      <w:r>
        <w:rPr/>
        <w:t xml:space="preserve">Francijas valdība atbalsta triju prezidentvalstu iniciatīvas konferencē par Eiropas nākotni, jo īpaši mudinot pilsoņus sniegt nozīmīgu ieguldījumu tiešsaistes platformā un organizēt pasākumus visā valstī. </w:t>
      </w:r>
    </w:p>
    <w:p>
      <w:pPr>
        <w:pStyle w:val="P68B1DB1Normal19"/>
        <w:widowControl w:val="false"/>
        <w:spacing w:lineRule="auto" w:line="240" w:before="156" w:after="0"/>
        <w:ind w:left="0" w:right="0" w:hanging="0"/>
        <w:jc w:val="left"/>
        <w:rPr/>
      </w:pPr>
      <w:r>
        <w:rPr/>
        <w:t xml:space="preserve">Līdztekus šīm Eiropas iniciatīvām valdība vēlējās veikt līdzdalības pasākumus valsts līmenī. </w:t>
      </w:r>
    </w:p>
    <w:p>
      <w:pPr>
        <w:pStyle w:val="P68B1DB1Normal19"/>
        <w:widowControl w:val="false"/>
        <w:spacing w:lineRule="auto" w:line="240" w:before="156" w:after="0"/>
        <w:ind w:left="0" w:right="0" w:hanging="0"/>
        <w:jc w:val="both"/>
        <w:rPr/>
      </w:pPr>
      <w:r>
        <w:rPr/>
        <w:t xml:space="preserve">Ar Saistību ar parlamentu un pilsoņu līdzdalības ministrijas (MRPCC) atbalstu un starpministriju pilsoņu līdzdalības centra (ICPC) speciālajām zināšanām Eiropas un Ārlietu ministrija (MEAE) organizēja pilsoņu mācības, kuru pamatā bija spēcīgi metodoloģiski aizspriedumi (sk. turpmāk “Metodoloģiskās saistības un neobjektivitāte”). MEAE paļāvās uz piegādātāju konsorciju, ko veidoja Roland Berger, Wavestone, Missions Publiques un Harris Interactive. Reģionu prefektūrām beidzot ir bijusi svarīga loma 18 konferenču organizēšanā visā valstī. </w:t>
      </w:r>
    </w:p>
    <w:p>
      <w:pPr>
        <w:pStyle w:val="P68B1DB1Normal19"/>
        <w:widowControl w:val="false"/>
        <w:spacing w:lineRule="auto" w:line="240" w:before="156" w:after="0"/>
        <w:ind w:left="0" w:right="0" w:hanging="0"/>
        <w:jc w:val="both"/>
        <w:rPr/>
      </w:pPr>
      <w:r>
        <w:rPr/>
        <w:t xml:space="preserve">Šīs apspriešanas ietvaros dalībniekiem tika uzdots viens jautājums: </w:t>
      </w:r>
      <w:r>
        <w:rPr>
          <w:b/>
          <w:i/>
        </w:rPr>
        <w:t>Kādas pārmaiņas jūs kā Francijas pilsoņi vēlaties Eiropā?</w:t>
      </w:r>
      <w:r>
        <w:rPr/>
        <w:t xml:space="preserve"> (Skatīt IV pielikumu “Dalības pilnvaras”). </w:t>
      </w:r>
    </w:p>
    <w:p>
      <w:pPr>
        <w:pStyle w:val="P68B1DB1Normal19"/>
        <w:widowControl w:val="false"/>
        <w:spacing w:lineRule="auto" w:line="240" w:before="156" w:after="0"/>
        <w:ind w:left="0" w:right="0" w:hanging="0"/>
        <w:jc w:val="both"/>
        <w:rPr/>
      </w:pPr>
      <w:r>
        <w:rPr/>
        <w:t xml:space="preserve">Šis valsts pasākums notika 18 reģionālās konferencēs 13 lielpilsētu reģionos un 5 Francijas ultrajūras reģionos, kas notika trīs nedēļas nogalēs 2021. gada septembrī un oktobrī, un katrā no tām piedalījās 30 līdz 50 iedzīvotāji, kas izlozēti (746). Šo 18 reģionālo paneļdiskusiju kopsavilkums tika veikts valsts konferencē, kas notika 2021. gada 15.–17. oktobrī Ekonomikas, sociālo lietu un vides padomē (EESK Parīzē) un kurā piedalījās 98 brīvprātīgi pilsoņi no reģionālo konferenču dalībniekiem. </w:t>
      </w:r>
    </w:p>
    <w:p>
      <w:pPr>
        <w:pStyle w:val="P68B1DB1Normal19"/>
        <w:widowControl w:val="false"/>
        <w:spacing w:lineRule="auto" w:line="240" w:before="156" w:after="0"/>
        <w:ind w:left="0" w:right="0" w:hanging="0"/>
        <w:jc w:val="both"/>
        <w:rPr/>
      </w:pPr>
      <w:r>
        <w:rPr/>
        <w:t xml:space="preserve">Turklāt, lai izceltu franču jauniešu vārdus pirms Eiropas Jaunatnes gada 2022. gadā, Eiropas un Ārlietu ministrija sadarbībā </w:t>
      </w:r>
      <w:r>
        <w:rPr>
          <w:i/>
        </w:rPr>
        <w:t>ar Make.org organizēja tiešsaistes apspriešanos ar nosaukumu “Speak to Youth</w:t>
      </w:r>
      <w:r>
        <w:rPr/>
        <w:t xml:space="preserve">”. Vairāk nekā 50 000 jauniešu vecumā no 15 līdz 35 gadiem izteica savas idejas un prioritātes 2035. gada Eiropai. </w:t>
      </w:r>
    </w:p>
    <w:p>
      <w:pPr>
        <w:pStyle w:val="P68B1DB1Normal19"/>
        <w:widowControl w:val="false"/>
        <w:spacing w:lineRule="auto" w:line="240" w:before="156" w:after="0"/>
        <w:ind w:left="0" w:right="0" w:hanging="0"/>
        <w:jc w:val="left"/>
        <w:rPr>
          <w:rFonts w:ascii="Times New Roman" w:hAnsi="Times New Roman"/>
          <w:color w:val="000000"/>
          <w:sz w:val="24"/>
        </w:rPr>
      </w:pPr>
      <w:r>
        <w:rPr/>
        <w:t xml:space="preserve">Šajā ziņojumā ir izklāstīti abu valdības rīkoto apspriežu galvenie rezultāti. </w:t>
      </w:r>
    </w:p>
    <w:p>
      <w:pPr>
        <w:pStyle w:val="Normal"/>
        <w:widowControl w:val="false"/>
        <w:spacing w:lineRule="auto" w:line="240" w:before="156" w:after="0"/>
        <w:ind w:left="0" w:right="0" w:hanging="0"/>
        <w:jc w:val="left"/>
        <w:rPr>
          <w:rFonts w:ascii="Times New Roman" w:hAnsi="Times New Roman"/>
          <w:color w:val="000000"/>
          <w:sz w:val="24"/>
        </w:rPr>
      </w:pPr>
      <w:r>
        <w:rPr>
          <w:rFonts w:ascii="Times New Roman" w:hAnsi="Times New Roman"/>
          <w:color w:val="000000"/>
          <w:sz w:val="24"/>
        </w:rPr>
      </w:r>
    </w:p>
    <w:p>
      <w:pPr>
        <w:pStyle w:val="P68B1DB1Normal23"/>
        <w:widowControl w:val="false"/>
        <w:spacing w:lineRule="auto" w:line="240" w:before="156" w:after="0"/>
        <w:ind w:left="0" w:right="0" w:hanging="0"/>
        <w:jc w:val="left"/>
        <w:rPr>
          <w:rFonts w:ascii="Times New Roman" w:hAnsi="Times New Roman"/>
          <w:color w:val="000000"/>
          <w:sz w:val="24"/>
          <w:u w:val="single"/>
        </w:rPr>
      </w:pPr>
      <w:r>
        <w:rPr/>
        <w:t xml:space="preserve">Konsultāciju metodika </w:t>
      </w:r>
    </w:p>
    <w:p>
      <w:pPr>
        <w:pStyle w:val="P68B1DB1Normal19"/>
        <w:widowControl w:val="false"/>
        <w:spacing w:lineRule="auto" w:line="240" w:before="156" w:after="0"/>
        <w:ind w:left="0" w:right="0" w:hanging="0"/>
        <w:jc w:val="both"/>
        <w:rPr/>
      </w:pPr>
      <w:r>
        <w:rPr/>
        <w:t xml:space="preserve">Reģionālās konferencēs iesaistīto pilsoņu pieņemšana darbā apvienoja dalībnieku atlasi pēc nejaušības principa, izlozējot viņu tālruņa numurus, un mērķorientētu profilu atlasi, lai sasniegtu paneļdiskusiju, kas pēc iespējas pārstāv katras teritorijas daudzveidību. </w:t>
      </w:r>
    </w:p>
    <w:p>
      <w:pPr>
        <w:pStyle w:val="P68B1DB1Normal19"/>
        <w:widowControl w:val="false"/>
        <w:spacing w:lineRule="auto" w:line="240" w:before="156" w:after="0"/>
        <w:ind w:left="0" w:right="0" w:hanging="0"/>
        <w:jc w:val="both"/>
        <w:rPr/>
      </w:pPr>
      <w:r>
        <w:rPr/>
        <w:t xml:space="preserve">Reģionālo paneļdiskusiju laikā dalībnieki uzstājās, mainot darba laiku grupās, katrā tabulā no 6 līdz 8 iedzīvotājiem kopā ar koordinatoru un prezentācijas laiku plenārsēdē. Pārdomu laikā piedalījās eksperti, lai atbildētu uz pilsoņu jautājumiem un izgaismotu, vienlaikus saglabājot neitralitāti. </w:t>
      </w:r>
    </w:p>
    <w:p>
      <w:pPr>
        <w:pStyle w:val="P68B1DB1Normal19"/>
        <w:widowControl w:val="false"/>
        <w:spacing w:lineRule="auto" w:line="240" w:before="156" w:after="0"/>
        <w:ind w:left="0" w:right="0" w:hanging="0"/>
        <w:jc w:val="both"/>
        <w:rPr/>
      </w:pPr>
      <w:r>
        <w:rPr/>
        <w:t xml:space="preserve">Pirmo reizi iedzīvotāji tika aicināti apspriest savu pašreizējo priekšstatu par Eiropu. Pēc tam viņi pauda </w:t>
      </w:r>
      <w:r>
        <w:rPr>
          <w:b/>
        </w:rPr>
        <w:t>vēlēšanos par 2035. gada Eiropu</w:t>
      </w:r>
      <w:r>
        <w:rPr/>
        <w:t xml:space="preserve"> kā grupu un pēc tam plenārsēdē. Šīs diskusijas ļāva noteikt 3 līdz 8 vēlmes katrā reģionā. Attiecībā uz katru no šīm vēlmēm pilsoņi formulēja </w:t>
      </w:r>
      <w:r>
        <w:rPr>
          <w:b/>
        </w:rPr>
        <w:t>izmaiņas</w:t>
      </w:r>
      <w:r>
        <w:rPr/>
        <w:t xml:space="preserve">, ko viņi uzskatīja par vajadzīgiem, lai sasniegtu vēlamo Eiropu, un pēc tam ilustrēja tās ar konkrētiem priekšlikumiem, kas jāīsteno. Šā procesa rezultātā valsts līmenī kopumā tika veiktas 515 izmaiņas un 1301 konkrēts priekšlikums. </w:t>
      </w:r>
    </w:p>
    <w:p>
      <w:pPr>
        <w:pStyle w:val="P68B1DB1Normal19"/>
        <w:widowControl w:val="false"/>
        <w:spacing w:lineRule="auto" w:line="240" w:before="156" w:after="0"/>
        <w:ind w:left="0" w:right="0" w:hanging="0"/>
        <w:jc w:val="left"/>
        <w:rPr/>
      </w:pPr>
      <w:r>
        <w:rPr/>
        <w:t xml:space="preserve">Katras reģionālās konferences rezultātā tika sagatavots reģionālais kopsavilkuma ziņojums, kas tika iesniegts visiem dalībniekiem pirms valsts konferences. </w:t>
      </w:r>
    </w:p>
    <w:p>
      <w:pPr>
        <w:pStyle w:val="P68B1DB1Normal19"/>
        <w:widowControl w:val="false"/>
        <w:spacing w:lineRule="auto" w:line="240" w:before="156" w:after="0"/>
        <w:ind w:left="0" w:right="0" w:hanging="0"/>
        <w:jc w:val="both"/>
        <w:rPr/>
      </w:pPr>
      <w:r>
        <w:rPr/>
        <w:t xml:space="preserve">Nacionālā sintēzes konference 18 reģionālo konferenču dalībnieku vidū pulcēja 98 nejauši izvēlētus iedzīvotājus. Lai nodrošinātu valstu paneļdiskusiju daudzveidību, Francijas metropoles un Reinjonas reģionālajās konferencēs iesaistīto brīvprātīgo vidū tika izlozēti 6 iedzīvotāji un 4 iedzīvotāji — ultramarīnai veltītām konferencēm, katrā reģionālajā izlozē respektējot paritāti un vecumu daudzveidību (sk. II pielikumu). </w:t>
      </w:r>
    </w:p>
    <w:p>
      <w:pPr>
        <w:pStyle w:val="Normal"/>
        <w:widowControl w:val="false"/>
        <w:spacing w:lineRule="auto" w:line="240" w:before="156" w:after="0"/>
        <w:ind w:left="0" w:right="0" w:hanging="0"/>
        <w:jc w:val="both"/>
        <w:rPr/>
      </w:pPr>
      <w:r>
        <w:rPr>
          <w:rFonts w:ascii="Times New Roman" w:hAnsi="Times New Roman"/>
          <w:color w:val="000000"/>
          <w:sz w:val="24"/>
        </w:rPr>
        <w:t>Gatavojoties nacionālajai konferencei, reģionālās konferencēs konstatētās 515 izmaiņas tika analizētas un saskaņotas, kad to pamatā esošais nodoms bija līdzīgs vai tuvu, lai veidotu 14</w:t>
      </w:r>
      <w:r>
        <w:rPr>
          <w:rFonts w:ascii="Times New Roman" w:hAnsi="Times New Roman"/>
          <w:b/>
          <w:color w:val="000000"/>
          <w:sz w:val="24"/>
        </w:rPr>
        <w:t xml:space="preserve"> </w:t>
      </w:r>
      <w:r>
        <w:rPr>
          <w:rFonts w:ascii="Times New Roman" w:hAnsi="Times New Roman"/>
          <w:color w:val="000000"/>
          <w:sz w:val="24"/>
        </w:rPr>
        <w:t>izmaiņu grupas, kas atspoguļo Eiropas kopējo vēlmi (sk. 6. daļu). Šīs 14 Eiropas vēlmes kalpoja par pamatu 98 nacionālās konferences dalībnieku darbam, kuru uzdevums bija bagātināt reģionos veikto darbu un ar divdesmit ekspertu palīdzību risināt Eiropas vēlmes, pārmaiņas un priekšlikumus, lai nonāktu pie prioritāro izmaiņu saraksta. Katra grupa beidzot izvēlējās trīs galvenās izmaiņas, par pirmo no</w:t>
      </w:r>
      <w:r>
        <w:rPr>
          <w:rFonts w:ascii="Times New Roman" w:hAnsi="Times New Roman"/>
          <w:b/>
          <w:color w:val="000000"/>
          <w:sz w:val="24"/>
        </w:rPr>
        <w:t xml:space="preserve"> </w:t>
      </w:r>
      <w:r>
        <w:rPr>
          <w:rFonts w:ascii="Times New Roman" w:hAnsi="Times New Roman"/>
          <w:color w:val="000000"/>
          <w:sz w:val="24"/>
        </w:rPr>
        <w:t xml:space="preserve">tām balsoja visi 98 iedzīvotāji, nosakot 14 prioritāro izmaiņu galīgo klasifikāciju. Kopsavilkuma ziņojums apkopo visu šīs konferences darbu. </w:t>
      </w:r>
      <w:r>
        <w:br w:type="page"/>
      </w:r>
    </w:p>
    <w:p>
      <w:pPr>
        <w:pStyle w:val="P68B1DB1Normal19"/>
        <w:spacing w:lineRule="auto" w:line="240" w:before="156" w:after="0"/>
        <w:ind w:left="0" w:right="0" w:hanging="0"/>
        <w:rPr/>
      </w:pPr>
      <w:r>
        <w:rPr/>
        <w:t xml:space="preserve">Tiešsaistes apspriešana “Parole aux Jeunes”, kas notika sadarbībā ar Make.org, notika no 2021. gada maija līdz jūlijam. Vairāk nekā 50 000 dalībnieku piedalījās un iesniedza gandrīz 3000 priekšlikumus Eiropai. Pamatojoties uz visu jauno iedzīvotāju reakciju, tika apzinātas 35 galvenās idejas, no kurām 22 tika plaši atzītas un 13 dalībnieki bija pretrunīgi (sk. 11. daļu). </w:t>
      </w:r>
    </w:p>
    <w:p>
      <w:pPr>
        <w:pStyle w:val="P68B1DB1Normal19"/>
        <w:widowControl w:val="false"/>
        <w:spacing w:lineRule="auto" w:line="240" w:before="156" w:after="0"/>
        <w:ind w:left="0" w:right="0" w:hanging="0"/>
        <w:jc w:val="left"/>
        <w:rPr/>
      </w:pPr>
      <w:r>
        <w:rPr>
          <w:u w:val="single"/>
        </w:rPr>
        <w:t>Izbraukšanas vieta un nodoklis nekavējoties</w:t>
      </w:r>
      <w:r>
        <w:rPr/>
        <w:t xml:space="preserve"> </w:t>
      </w:r>
    </w:p>
    <w:p>
      <w:pPr>
        <w:pStyle w:val="P68B1DB1Normal19"/>
        <w:widowControl w:val="false"/>
        <w:spacing w:lineRule="auto" w:line="240" w:before="156" w:after="0"/>
        <w:ind w:left="0" w:right="0" w:hanging="0"/>
        <w:jc w:val="both"/>
        <w:rPr/>
      </w:pPr>
      <w:r>
        <w:rPr/>
        <w:t xml:space="preserve">Šo ziņojumu pilsoņi 2021. gada 29. novembrī iesniegs valdībai, klātesot konferences par Eiropas nākotni plenārajā asamblejā ievēlētajiem Francijas locekļiem. Ar to iepazīstinās konferences prezidentvalstu trijotni Francijas prezidentūras laikā Eiropas Savienības Padomē (PFUE). </w:t>
      </w:r>
    </w:p>
    <w:p>
      <w:pPr>
        <w:pStyle w:val="P68B1DB1Normal19"/>
        <w:widowControl w:val="false"/>
        <w:spacing w:lineRule="auto" w:line="240" w:before="156" w:after="0"/>
        <w:ind w:left="0" w:right="0" w:hanging="0"/>
        <w:jc w:val="both"/>
        <w:rPr/>
      </w:pPr>
      <w:r>
        <w:rPr/>
        <w:t xml:space="preserve">EESK Nacionālās sintēzes konferences noslēgumā, lai attaisnotu iedzīvotāju lielās cerības, kas izriet no izlozēm, tika izveidota Pilsoņu koordinācijas komiteja, kurā bija iekļautas dalībnieku tiesības veikt turpmākus pasākumus. Šai komitejai, kuras sastāvā ir 15 locekļi — 14 reģionālo konferenču pārstāvji un konsultāciju “Parole aux Jeunes” pārstāvis — uzdevums būs informēt pilsoņus par viņu priekšlikumu nākotni. Katrā konferences plenārsēdes sanāksmē viens vai viens no Uzraudzības komitejas locekļiem piedalīsies kā Francijas pārstāvis, lai uzsvērtu šajā ziņojumā izklāstītos priekšlikumus, vienlaikus veidojot kopēju nostāju ar visiem pārstāvētajiem Eiropas pilsoņiem. </w:t>
      </w:r>
    </w:p>
    <w:p>
      <w:pPr>
        <w:pStyle w:val="P68B1DB1Normal19"/>
        <w:widowControl w:val="false"/>
        <w:spacing w:lineRule="auto" w:line="240" w:before="156" w:after="0"/>
        <w:ind w:left="0" w:right="0" w:hanging="0"/>
        <w:jc w:val="both"/>
        <w:rPr/>
      </w:pPr>
      <w:r>
        <w:rPr/>
        <w:t xml:space="preserve">Visi Francijas apspriešanas dokumenti būs publiski pieejami visiem Francijas valsts pilsoņu līdzdalības platformā: līdzdalības pilnvaras, reģionālie kopsavilkumi, valsts kopsavilkums, galvotāja ziņojums un nobeiguma ziņojums. </w:t>
      </w:r>
    </w:p>
    <w:p>
      <w:pPr>
        <w:pStyle w:val="Normal"/>
        <w:spacing w:lineRule="auto" w:line="240" w:before="156" w:after="0"/>
        <w:ind w:left="0" w:right="0" w:hanging="0"/>
        <w:rPr/>
      </w:pPr>
      <w:r>
        <w:rPr/>
      </w:r>
    </w:p>
    <w:p>
      <w:pPr>
        <w:pStyle w:val="Normal"/>
        <w:rPr/>
      </w:pPr>
      <w:r>
        <w:rPr/>
      </w:r>
      <w:r>
        <w:br w:type="page"/>
      </w:r>
    </w:p>
    <w:p>
      <w:pPr>
        <w:pStyle w:val="Titre2"/>
        <w:numPr>
          <w:ilvl w:val="1"/>
          <w:numId w:val="2"/>
        </w:numPr>
        <w:rPr/>
      </w:pPr>
      <w:bookmarkStart w:id="208" w:name="__RefHeading___Toc300450_1346298689"/>
      <w:bookmarkEnd w:id="208"/>
      <w:r>
        <mc:AlternateContent>
          <mc:Choice Requires="wps">
            <w:drawing>
              <wp:anchor behindDoc="0" distT="72390" distB="72390" distL="72390" distR="72390" simplePos="0" locked="0" layoutInCell="1" allowOverlap="1" relativeHeight="46">
                <wp:simplePos x="0" y="0"/>
                <wp:positionH relativeFrom="column">
                  <wp:posOffset>3595370</wp:posOffset>
                </wp:positionH>
                <wp:positionV relativeFrom="paragraph">
                  <wp:posOffset>108585</wp:posOffset>
                </wp:positionV>
                <wp:extent cx="2486660" cy="6927215"/>
                <wp:effectExtent l="0" t="0" r="0" b="0"/>
                <wp:wrapSquare wrapText="bothSides"/>
                <wp:docPr id="83" name="Ietvarstruktūra21"/>
                <a:graphic xmlns:a="http://schemas.openxmlformats.org/drawingml/2006/main">
                  <a:graphicData uri="http://schemas.microsoft.com/office/word/2010/wordprocessingShape">
                    <wps:wsp>
                      <wps:cNvSpPr/>
                      <wps:spPr>
                        <a:xfrm>
                          <a:off x="0" y="0"/>
                          <a:ext cx="2486160" cy="69267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Pārskats par Francijas ieguldījumu konferencē par Eiropas nākotni</w:t>
                            </w:r>
                          </w:p>
                          <w:p>
                            <w:pPr>
                              <w:pStyle w:val="Contenudecadre"/>
                              <w:rPr>
                                <w:color w:val="auto"/>
                              </w:rPr>
                            </w:pPr>
                            <w:r>
                              <w:rPr>
                                <w:color w:val="auto"/>
                              </w:rPr>
                            </w:r>
                          </w:p>
                          <w:p>
                            <w:pPr>
                              <w:pStyle w:val="Contenudecadre"/>
                              <w:rPr>
                                <w:color w:val="auto"/>
                              </w:rPr>
                            </w:pPr>
                            <w:r>
                              <w:rPr>
                                <w:color w:val="auto"/>
                              </w:rPr>
                              <w:t>Izlozē izraudzītiem pilsoņiem bija jāatbild uz jautājumu: “Kā Francijas pilsoņi, kādas pārmaiņas jūs vēlaties Eiropā?”</w:t>
                            </w:r>
                          </w:p>
                          <w:p>
                            <w:pPr>
                              <w:pStyle w:val="Contenudecadre"/>
                              <w:rPr>
                                <w:color w:val="auto"/>
                              </w:rPr>
                            </w:pPr>
                            <w:r>
                              <w:rPr>
                                <w:color w:val="auto"/>
                              </w:rPr>
                            </w:r>
                          </w:p>
                          <w:p>
                            <w:pPr>
                              <w:pStyle w:val="Contenudecadre"/>
                              <w:rPr>
                                <w:color w:val="auto"/>
                              </w:rPr>
                            </w:pPr>
                            <w:r>
                              <w:rPr>
                                <w:color w:val="auto"/>
                              </w:rPr>
                              <w:t xml:space="preserve">Galvenās 10 prioritārās izmaiņas Eiropai 2035. gadā </w:t>
                            </w:r>
                          </w:p>
                          <w:p>
                            <w:pPr>
                              <w:pStyle w:val="Contenudecadre"/>
                              <w:rPr>
                                <w:color w:val="auto"/>
                              </w:rPr>
                            </w:pPr>
                            <w:r>
                              <w:rPr>
                                <w:color w:val="auto"/>
                              </w:rPr>
                            </w:r>
                          </w:p>
                          <w:p>
                            <w:pPr>
                              <w:pStyle w:val="Contenudecadre"/>
                              <w:rPr>
                                <w:color w:val="auto"/>
                              </w:rPr>
                            </w:pPr>
                            <w:r>
                              <w:rPr>
                                <w:color w:val="auto"/>
                              </w:rPr>
                              <w:t xml:space="preserve">1. Attīstīt </w:t>
                            </w:r>
                            <w:r>
                              <w:rPr>
                                <w:b/>
                                <w:color w:val="auto"/>
                              </w:rPr>
                              <w:t>enerģijas sobriety</w:t>
                            </w:r>
                            <w:r>
                              <w:rPr>
                                <w:color w:val="auto"/>
                              </w:rPr>
                              <w:t xml:space="preserve"> patērēt mazāk, apturot lieko</w:t>
                            </w:r>
                          </w:p>
                          <w:p>
                            <w:pPr>
                              <w:pStyle w:val="Contenudecadre"/>
                              <w:rPr>
                                <w:b w:val="false"/>
                                <w:b w:val="false"/>
                                <w:color w:val="auto"/>
                              </w:rPr>
                            </w:pPr>
                            <w:r>
                              <w:rPr>
                                <w:b w:val="false"/>
                                <w:color w:val="auto"/>
                              </w:rPr>
                            </w:r>
                          </w:p>
                          <w:p>
                            <w:pPr>
                              <w:pStyle w:val="Contenudecadre"/>
                              <w:rPr>
                                <w:color w:val="auto"/>
                              </w:rPr>
                            </w:pPr>
                            <w:r>
                              <w:rPr>
                                <w:color w:val="auto"/>
                              </w:rPr>
                              <w:t>2. Eiropas Savienības</w:t>
                            </w:r>
                            <w:r>
                              <w:rPr>
                                <w:b/>
                                <w:color w:val="auto"/>
                              </w:rPr>
                              <w:t>kopējās aizsardzības un drošības</w:t>
                            </w:r>
                            <w:r>
                              <w:rPr>
                                <w:color w:val="auto"/>
                              </w:rPr>
                              <w:t>stiprināšana</w:t>
                            </w:r>
                          </w:p>
                          <w:p>
                            <w:pPr>
                              <w:pStyle w:val="Contenudecadre"/>
                              <w:rPr>
                                <w:b w:val="false"/>
                                <w:b w:val="false"/>
                                <w:color w:val="auto"/>
                              </w:rPr>
                            </w:pPr>
                            <w:r>
                              <w:rPr>
                                <w:b w:val="false"/>
                                <w:color w:val="auto"/>
                              </w:rPr>
                            </w:r>
                          </w:p>
                          <w:p>
                            <w:pPr>
                              <w:pStyle w:val="Contenudecadre"/>
                              <w:rPr>
                                <w:color w:val="auto"/>
                              </w:rPr>
                            </w:pPr>
                            <w:r>
                              <w:rPr>
                                <w:color w:val="auto"/>
                              </w:rPr>
                              <w:t xml:space="preserve">3. Veicināt </w:t>
                            </w:r>
                            <w:r>
                              <w:rPr>
                                <w:b/>
                                <w:color w:val="auto"/>
                              </w:rPr>
                              <w:t>kolektīvos ekonomiskos rādītājus</w:t>
                            </w:r>
                            <w:r>
                              <w:rPr>
                                <w:color w:val="auto"/>
                              </w:rPr>
                              <w:t>, izmantojot autonomu, konkurētspējīgu un vērtīgu ES rūpniecību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Iespēju nodrošināšana iedzīvotājiem</w:t>
                            </w:r>
                            <w:r>
                              <w:rPr>
                                <w:color w:val="auto"/>
                              </w:rPr>
                              <w:t xml:space="preserve"> vairākos līmeņos: līdzdalība, lēmums, kontrole</w:t>
                            </w:r>
                          </w:p>
                          <w:p>
                            <w:pPr>
                              <w:pStyle w:val="Contenudecadre"/>
                              <w:rPr>
                                <w:b w:val="false"/>
                                <w:b w:val="false"/>
                                <w:color w:val="auto"/>
                              </w:rPr>
                            </w:pPr>
                            <w:r>
                              <w:rPr>
                                <w:b w:val="false"/>
                                <w:color w:val="auto"/>
                              </w:rPr>
                            </w:r>
                          </w:p>
                          <w:p>
                            <w:pPr>
                              <w:pStyle w:val="Contenudecadre"/>
                              <w:rPr>
                                <w:color w:val="auto"/>
                              </w:rPr>
                            </w:pPr>
                            <w:r>
                              <w:rPr>
                                <w:color w:val="auto"/>
                              </w:rPr>
                              <w:t xml:space="preserve">5. Virzība uz </w:t>
                            </w:r>
                            <w:r>
                              <w:rPr>
                                <w:b/>
                                <w:color w:val="auto"/>
                              </w:rPr>
                              <w:t>Eiropas valstu federāciju</w:t>
                            </w:r>
                            <w:r>
                              <w:rPr>
                                <w:color w:val="auto"/>
                              </w:rPr>
                              <w:t xml:space="preserve"> ar spēcīgām kompetencēm kopīgu interešu jomās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Piedāvāt </w:t>
                            </w:r>
                            <w:r>
                              <w:rPr>
                                <w:b/>
                                <w:color w:val="auto"/>
                              </w:rPr>
                              <w:t>apmaiņas programmas</w:t>
                            </w:r>
                            <w:r>
                              <w:rPr>
                                <w:color w:val="auto"/>
                              </w:rPr>
                              <w:t>visa mūža garumā</w:t>
                            </w:r>
                          </w:p>
                        </w:txbxContent>
                      </wps:txbx>
                      <wps:bodyPr lIns="54000" rIns="54000" tIns="54000" bIns="54000">
                        <a:noAutofit/>
                      </wps:bodyPr>
                    </wps:wsp>
                  </a:graphicData>
                </a:graphic>
              </wp:anchor>
            </w:drawing>
          </mc:Choice>
          <mc:Fallback>
            <w:pict>
              <v:rect id="shape_0" ID="Ietvarstruktūra21" fillcolor="white" stroked="t" style="position:absolute;margin-left:283.1pt;margin-top:8.55pt;width:195.7pt;height:545.35pt">
                <w10:wrap type="square"/>
                <v:fill o:detectmouseclick="t" type="solid" color2="black"/>
                <v:stroke color="black" weight="720" joinstyle="round" endcap="flat"/>
                <v:textbox>
                  <w:txbxContent>
                    <w:p>
                      <w:pPr>
                        <w:pStyle w:val="Contenudecadre"/>
                        <w:spacing w:before="57" w:after="57"/>
                        <w:rPr>
                          <w:color w:val="auto"/>
                        </w:rPr>
                      </w:pPr>
                      <w:r>
                        <w:rPr>
                          <w:color w:val="auto"/>
                        </w:rPr>
                        <w:t>Pārskats par Francijas ieguldījumu konferencē par Eiropas nākotni</w:t>
                      </w:r>
                    </w:p>
                    <w:p>
                      <w:pPr>
                        <w:pStyle w:val="Contenudecadre"/>
                        <w:rPr>
                          <w:color w:val="auto"/>
                        </w:rPr>
                      </w:pPr>
                      <w:r>
                        <w:rPr>
                          <w:color w:val="auto"/>
                        </w:rPr>
                      </w:r>
                    </w:p>
                    <w:p>
                      <w:pPr>
                        <w:pStyle w:val="Contenudecadre"/>
                        <w:rPr>
                          <w:color w:val="auto"/>
                        </w:rPr>
                      </w:pPr>
                      <w:r>
                        <w:rPr>
                          <w:color w:val="auto"/>
                        </w:rPr>
                        <w:t>Izlozē izraudzītiem pilsoņiem bija jāatbild uz jautājumu: “Kā Francijas pilsoņi, kādas pārmaiņas jūs vēlaties Eiropā?”</w:t>
                      </w:r>
                    </w:p>
                    <w:p>
                      <w:pPr>
                        <w:pStyle w:val="Contenudecadre"/>
                        <w:rPr>
                          <w:color w:val="auto"/>
                        </w:rPr>
                      </w:pPr>
                      <w:r>
                        <w:rPr>
                          <w:color w:val="auto"/>
                        </w:rPr>
                      </w:r>
                    </w:p>
                    <w:p>
                      <w:pPr>
                        <w:pStyle w:val="Contenudecadre"/>
                        <w:rPr>
                          <w:color w:val="auto"/>
                        </w:rPr>
                      </w:pPr>
                      <w:r>
                        <w:rPr>
                          <w:color w:val="auto"/>
                        </w:rPr>
                        <w:t xml:space="preserve">Galvenās 10 prioritārās izmaiņas Eiropai 2035. gadā </w:t>
                      </w:r>
                    </w:p>
                    <w:p>
                      <w:pPr>
                        <w:pStyle w:val="Contenudecadre"/>
                        <w:rPr>
                          <w:color w:val="auto"/>
                        </w:rPr>
                      </w:pPr>
                      <w:r>
                        <w:rPr>
                          <w:color w:val="auto"/>
                        </w:rPr>
                      </w:r>
                    </w:p>
                    <w:p>
                      <w:pPr>
                        <w:pStyle w:val="Contenudecadre"/>
                        <w:rPr>
                          <w:color w:val="auto"/>
                        </w:rPr>
                      </w:pPr>
                      <w:r>
                        <w:rPr>
                          <w:color w:val="auto"/>
                        </w:rPr>
                        <w:t xml:space="preserve">1. Attīstīt </w:t>
                      </w:r>
                      <w:r>
                        <w:rPr>
                          <w:b/>
                          <w:color w:val="auto"/>
                        </w:rPr>
                        <w:t>enerģijas sobriety</w:t>
                      </w:r>
                      <w:r>
                        <w:rPr>
                          <w:color w:val="auto"/>
                        </w:rPr>
                        <w:t xml:space="preserve"> patērēt mazāk, apturot lieko</w:t>
                      </w:r>
                    </w:p>
                    <w:p>
                      <w:pPr>
                        <w:pStyle w:val="Contenudecadre"/>
                        <w:rPr>
                          <w:b w:val="false"/>
                          <w:b w:val="false"/>
                          <w:color w:val="auto"/>
                        </w:rPr>
                      </w:pPr>
                      <w:r>
                        <w:rPr>
                          <w:b w:val="false"/>
                          <w:color w:val="auto"/>
                        </w:rPr>
                      </w:r>
                    </w:p>
                    <w:p>
                      <w:pPr>
                        <w:pStyle w:val="Contenudecadre"/>
                        <w:rPr>
                          <w:color w:val="auto"/>
                        </w:rPr>
                      </w:pPr>
                      <w:r>
                        <w:rPr>
                          <w:color w:val="auto"/>
                        </w:rPr>
                        <w:t>2. Eiropas Savienības</w:t>
                      </w:r>
                      <w:r>
                        <w:rPr>
                          <w:b/>
                          <w:color w:val="auto"/>
                        </w:rPr>
                        <w:t>kopējās aizsardzības un drošības</w:t>
                      </w:r>
                      <w:r>
                        <w:rPr>
                          <w:color w:val="auto"/>
                        </w:rPr>
                        <w:t>stiprināšana</w:t>
                      </w:r>
                    </w:p>
                    <w:p>
                      <w:pPr>
                        <w:pStyle w:val="Contenudecadre"/>
                        <w:rPr>
                          <w:b w:val="false"/>
                          <w:b w:val="false"/>
                          <w:color w:val="auto"/>
                        </w:rPr>
                      </w:pPr>
                      <w:r>
                        <w:rPr>
                          <w:b w:val="false"/>
                          <w:color w:val="auto"/>
                        </w:rPr>
                      </w:r>
                    </w:p>
                    <w:p>
                      <w:pPr>
                        <w:pStyle w:val="Contenudecadre"/>
                        <w:rPr>
                          <w:color w:val="auto"/>
                        </w:rPr>
                      </w:pPr>
                      <w:r>
                        <w:rPr>
                          <w:color w:val="auto"/>
                        </w:rPr>
                        <w:t xml:space="preserve">3. Veicināt </w:t>
                      </w:r>
                      <w:r>
                        <w:rPr>
                          <w:b/>
                          <w:color w:val="auto"/>
                        </w:rPr>
                        <w:t>kolektīvos ekonomiskos rādītājus</w:t>
                      </w:r>
                      <w:r>
                        <w:rPr>
                          <w:color w:val="auto"/>
                        </w:rPr>
                        <w:t>, izmantojot autonomu, konkurētspējīgu un vērtīgu ES rūpniecību</w:t>
                      </w:r>
                    </w:p>
                    <w:p>
                      <w:pPr>
                        <w:pStyle w:val="Contenudecadre"/>
                        <w:rPr>
                          <w:b w:val="false"/>
                          <w:b w:val="false"/>
                          <w:color w:val="auto"/>
                        </w:rPr>
                      </w:pPr>
                      <w:r>
                        <w:rPr>
                          <w:b w:val="false"/>
                          <w:color w:val="auto"/>
                        </w:rPr>
                      </w:r>
                    </w:p>
                    <w:p>
                      <w:pPr>
                        <w:pStyle w:val="Contenudecadre"/>
                        <w:rPr>
                          <w:color w:val="auto"/>
                        </w:rPr>
                      </w:pPr>
                      <w:r>
                        <w:rPr>
                          <w:color w:val="auto"/>
                        </w:rPr>
                        <w:t xml:space="preserve">4. </w:t>
                      </w:r>
                      <w:r>
                        <w:rPr>
                          <w:b/>
                          <w:color w:val="auto"/>
                        </w:rPr>
                        <w:t>Iespēju nodrošināšana iedzīvotājiem</w:t>
                      </w:r>
                      <w:r>
                        <w:rPr>
                          <w:color w:val="auto"/>
                        </w:rPr>
                        <w:t xml:space="preserve"> vairākos līmeņos: līdzdalība, lēmums, kontrole</w:t>
                      </w:r>
                    </w:p>
                    <w:p>
                      <w:pPr>
                        <w:pStyle w:val="Contenudecadre"/>
                        <w:rPr>
                          <w:b w:val="false"/>
                          <w:b w:val="false"/>
                          <w:color w:val="auto"/>
                        </w:rPr>
                      </w:pPr>
                      <w:r>
                        <w:rPr>
                          <w:b w:val="false"/>
                          <w:color w:val="auto"/>
                        </w:rPr>
                      </w:r>
                    </w:p>
                    <w:p>
                      <w:pPr>
                        <w:pStyle w:val="Contenudecadre"/>
                        <w:rPr>
                          <w:color w:val="auto"/>
                        </w:rPr>
                      </w:pPr>
                      <w:r>
                        <w:rPr>
                          <w:color w:val="auto"/>
                        </w:rPr>
                        <w:t xml:space="preserve">5. Virzība uz </w:t>
                      </w:r>
                      <w:r>
                        <w:rPr>
                          <w:b/>
                          <w:color w:val="auto"/>
                        </w:rPr>
                        <w:t>Eiropas valstu federāciju</w:t>
                      </w:r>
                      <w:r>
                        <w:rPr>
                          <w:color w:val="auto"/>
                        </w:rPr>
                        <w:t xml:space="preserve"> ar spēcīgām kompetencēm kopīgu interešu jomās</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6. Piedāvāt </w:t>
                      </w:r>
                      <w:r>
                        <w:rPr>
                          <w:b/>
                          <w:color w:val="auto"/>
                        </w:rPr>
                        <w:t>apmaiņas programmas</w:t>
                      </w:r>
                      <w:r>
                        <w:rPr>
                          <w:color w:val="auto"/>
                        </w:rPr>
                        <w:t>visa mūža garumā</w:t>
                      </w:r>
                    </w:p>
                  </w:txbxContent>
                </v:textbox>
              </v:rect>
            </w:pict>
          </mc:Fallback>
        </mc:AlternateContent>
      </w:r>
      <w:r>
        <w:rPr/>
        <w:t>Galveno rezultātu izklāsts</w:t>
      </w:r>
    </w:p>
    <w:p>
      <w:pPr>
        <w:pStyle w:val="P68B1DB1Normal24"/>
        <w:rPr>
          <w:b w:val="false"/>
          <w:b w:val="false"/>
          <w:sz w:val="22"/>
        </w:rPr>
      </w:pPr>
      <w:r>
        <w:rPr/>
        <w:t xml:space="preserve"> </w:t>
      </w:r>
      <w:r>
        <w:rPr/>
        <w:t>(oriģināls bija ilustrācijas veidā)</w:t>
      </w:r>
    </w:p>
    <w:p>
      <w:pPr>
        <w:pStyle w:val="Normal"/>
        <w:rPr/>
      </w:pPr>
      <w:r>
        <w:rPr/>
        <w:drawing>
          <wp:anchor behindDoc="0" distT="0" distB="0" distL="0" distR="0" simplePos="0" locked="0" layoutInCell="1" allowOverlap="1" relativeHeight="44">
            <wp:simplePos x="0" y="0"/>
            <wp:positionH relativeFrom="column">
              <wp:posOffset>39370</wp:posOffset>
            </wp:positionH>
            <wp:positionV relativeFrom="paragraph">
              <wp:posOffset>95250</wp:posOffset>
            </wp:positionV>
            <wp:extent cx="3488690" cy="5027930"/>
            <wp:effectExtent l="0" t="0" r="0" b="0"/>
            <wp:wrapSquare wrapText="largest"/>
            <wp:docPr id="85" name="Fotoattēls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otoattēls39" descr=""/>
                    <pic:cNvPicPr>
                      <a:picLocks noChangeAspect="1" noChangeArrowheads="1"/>
                    </pic:cNvPicPr>
                  </pic:nvPicPr>
                  <pic:blipFill>
                    <a:blip r:embed="rId93"/>
                    <a:stretch>
                      <a:fillRect/>
                    </a:stretch>
                  </pic:blipFill>
                  <pic:spPr bwMode="auto">
                    <a:xfrm>
                      <a:off x="0" y="0"/>
                      <a:ext cx="3488690" cy="502793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t>Avots: Izmaiņas, kas ieguva visvairāk balsu Nacionālajā konferencē par Eiropas nākotni (2021. gada 15.–17. oktobris)</w:t>
      </w:r>
      <w:r>
        <w:br w:type="page"/>
      </w:r>
    </w:p>
    <w:p>
      <w:pPr>
        <w:pStyle w:val="Normal"/>
        <w:rPr/>
      </w:pPr>
      <w:r>
        <w:rPr/>
        <w:drawing>
          <wp:anchor behindDoc="0" distT="0" distB="0" distL="0" distR="0" simplePos="0" locked="0" layoutInCell="1" allowOverlap="1" relativeHeight="47">
            <wp:simplePos x="0" y="0"/>
            <wp:positionH relativeFrom="column">
              <wp:posOffset>-7620</wp:posOffset>
            </wp:positionH>
            <wp:positionV relativeFrom="paragraph">
              <wp:posOffset>635</wp:posOffset>
            </wp:positionV>
            <wp:extent cx="3395345" cy="4848225"/>
            <wp:effectExtent l="0" t="0" r="0" b="0"/>
            <wp:wrapSquare wrapText="largest"/>
            <wp:docPr id="86" name="Fotoattēls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otoattēls40" descr=""/>
                    <pic:cNvPicPr>
                      <a:picLocks noChangeAspect="1" noChangeArrowheads="1"/>
                    </pic:cNvPicPr>
                  </pic:nvPicPr>
                  <pic:blipFill>
                    <a:blip r:embed="rId94"/>
                    <a:stretch>
                      <a:fillRect/>
                    </a:stretch>
                  </pic:blipFill>
                  <pic:spPr bwMode="auto">
                    <a:xfrm>
                      <a:off x="0" y="0"/>
                      <a:ext cx="3395345" cy="4848225"/>
                    </a:xfrm>
                    <a:prstGeom prst="rect">
                      <a:avLst/>
                    </a:prstGeom>
                  </pic:spPr>
                </pic:pic>
              </a:graphicData>
            </a:graphic>
          </wp:anchor>
        </w:drawing>
      </w:r>
      <w:r>
        <w:br w:type="page"/>
      </w:r>
    </w:p>
    <w:p>
      <w:pPr>
        <w:pStyle w:val="Normal"/>
        <w:spacing w:before="7556" w:after="57"/>
        <w:rPr/>
      </w:pPr>
      <w:r>
        <w:rPr/>
        <mc:AlternateContent>
          <mc:Choice Requires="wps">
            <w:drawing>
              <wp:anchor behindDoc="0" distT="72390" distB="72390" distL="72390" distR="72390" simplePos="0" locked="0" layoutInCell="1" allowOverlap="1" relativeHeight="42">
                <wp:simplePos x="0" y="0"/>
                <wp:positionH relativeFrom="column">
                  <wp:posOffset>118745</wp:posOffset>
                </wp:positionH>
                <wp:positionV relativeFrom="paragraph">
                  <wp:posOffset>5038090</wp:posOffset>
                </wp:positionV>
                <wp:extent cx="5934710" cy="1648460"/>
                <wp:effectExtent l="0" t="0" r="0" b="0"/>
                <wp:wrapSquare wrapText="bothSides"/>
                <wp:docPr id="87" name="Ietvarstruktūra41"/>
                <a:graphic xmlns:a="http://schemas.openxmlformats.org/drawingml/2006/main">
                  <a:graphicData uri="http://schemas.microsoft.com/office/word/2010/wordprocessingShape">
                    <wps:wsp>
                      <wps:cNvSpPr/>
                      <wps:spPr>
                        <a:xfrm>
                          <a:off x="0" y="0"/>
                          <a:ext cx="5934240" cy="164772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Tiešsaistes konsultācija “Vārdi jauniešiem”</w:t>
                            </w:r>
                          </w:p>
                          <w:p>
                            <w:pPr>
                              <w:pStyle w:val="Contenudecadre"/>
                              <w:rPr>
                                <w:color w:val="auto"/>
                              </w:rPr>
                            </w:pPr>
                            <w:r>
                              <w:rPr>
                                <w:color w:val="auto"/>
                              </w:rPr>
                              <w:t>2021. gada 9. maijā Eiropas lietu valsts sekretārs uzsāka apspriešanos “vārds jauniešiem”, ko Make.org veica no 2021. gada maija līdz jūlijam.</w:t>
                            </w:r>
                          </w:p>
                          <w:p>
                            <w:pPr>
                              <w:pStyle w:val="Contenudecadre"/>
                              <w:rPr>
                                <w:color w:val="auto"/>
                              </w:rPr>
                            </w:pPr>
                            <w:r>
                              <w:rPr>
                                <w:color w:val="auto"/>
                              </w:rPr>
                              <w:t>50 000 jauniešu vecumā no 15 līdz 30 gadiem atbildēja uz jautājumu: “Kādas ir jūsu prioritātes rītdienas Eiropai?” — iesniegti 2918 priekšlikumi.</w:t>
                            </w:r>
                          </w:p>
                          <w:p>
                            <w:pPr>
                              <w:pStyle w:val="Contenudecadre"/>
                              <w:spacing w:before="57" w:after="57"/>
                              <w:rPr>
                                <w:color w:val="auto"/>
                              </w:rPr>
                            </w:pPr>
                            <w:r>
                              <w:rPr>
                                <w:color w:val="auto"/>
                              </w:rPr>
                              <w:t>Idejas, ko šajā tiešsaistes apspriešanā atbalstīja Francijas jaunieši, ir daļa no pilsoņu ieguldījuma konferencē par Eiropas nākotni (sīkāku informāciju sk. šā ziņojuma 2. daļā).</w:t>
                            </w:r>
                          </w:p>
                        </w:txbxContent>
                      </wps:txbx>
                      <wps:bodyPr lIns="54000" rIns="54000" tIns="54000" bIns="54000">
                        <a:noAutofit/>
                      </wps:bodyPr>
                    </wps:wsp>
                  </a:graphicData>
                </a:graphic>
              </wp:anchor>
            </w:drawing>
          </mc:Choice>
          <mc:Fallback>
            <w:pict>
              <v:rect id="shape_0" ID="Ietvarstruktūra41" fillcolor="white" stroked="t" style="position:absolute;margin-left:9.35pt;margin-top:396.7pt;width:467.2pt;height:129.7pt">
                <w10:wrap type="square"/>
                <v:fill o:detectmouseclick="t" type="solid" color2="black"/>
                <v:stroke color="black" weight="720" joinstyle="round" endcap="flat"/>
                <v:textbox>
                  <w:txbxContent>
                    <w:p>
                      <w:pPr>
                        <w:pStyle w:val="Contenudecadre"/>
                        <w:spacing w:before="57" w:after="57"/>
                        <w:rPr>
                          <w:color w:val="auto"/>
                        </w:rPr>
                      </w:pPr>
                      <w:r>
                        <w:rPr>
                          <w:color w:val="auto"/>
                        </w:rPr>
                        <w:t>Tiešsaistes konsultācija “Vārdi jauniešiem”</w:t>
                      </w:r>
                    </w:p>
                    <w:p>
                      <w:pPr>
                        <w:pStyle w:val="Contenudecadre"/>
                        <w:rPr>
                          <w:color w:val="auto"/>
                        </w:rPr>
                      </w:pPr>
                      <w:r>
                        <w:rPr>
                          <w:color w:val="auto"/>
                        </w:rPr>
                        <w:t>2021. gada 9. maijā Eiropas lietu valsts sekretārs uzsāka apspriešanos “vārds jauniešiem”, ko Make.org veica no 2021. gada maija līdz jūlijam.</w:t>
                      </w:r>
                    </w:p>
                    <w:p>
                      <w:pPr>
                        <w:pStyle w:val="Contenudecadre"/>
                        <w:rPr>
                          <w:color w:val="auto"/>
                        </w:rPr>
                      </w:pPr>
                      <w:r>
                        <w:rPr>
                          <w:color w:val="auto"/>
                        </w:rPr>
                        <w:t>50 000 jauniešu vecumā no 15 līdz 30 gadiem atbildēja uz jautājumu: “Kādas ir jūsu prioritātes rītdienas Eiropai?” — iesniegti 2918 priekšlikumi.</w:t>
                      </w:r>
                    </w:p>
                    <w:p>
                      <w:pPr>
                        <w:pStyle w:val="Contenudecadre"/>
                        <w:spacing w:before="57" w:after="57"/>
                        <w:rPr>
                          <w:color w:val="auto"/>
                        </w:rPr>
                      </w:pPr>
                      <w:r>
                        <w:rPr>
                          <w:color w:val="auto"/>
                        </w:rPr>
                        <w:t>Idejas, ko šajā tiešsaistes apspriešanā atbalstīja Francijas jaunieši, ir daļa no pilsoņu ieguldījuma konferencē par Eiropas nākotni (sīkāku informāciju sk. šā ziņojuma 2. daļā).</w:t>
                      </w:r>
                    </w:p>
                  </w:txbxContent>
                </v:textbox>
              </v:rect>
            </w:pict>
          </mc:Fallback>
        </mc:AlternateContent>
        <mc:AlternateContent>
          <mc:Choice Requires="wps">
            <w:drawing>
              <wp:anchor behindDoc="0" distT="72390" distB="72390" distL="72390" distR="72390" simplePos="0" locked="0" layoutInCell="1" allowOverlap="1" relativeHeight="45">
                <wp:simplePos x="0" y="0"/>
                <wp:positionH relativeFrom="column">
                  <wp:posOffset>3481070</wp:posOffset>
                </wp:positionH>
                <wp:positionV relativeFrom="paragraph">
                  <wp:posOffset>94615</wp:posOffset>
                </wp:positionV>
                <wp:extent cx="2610485" cy="3150870"/>
                <wp:effectExtent l="0" t="0" r="0" b="0"/>
                <wp:wrapSquare wrapText="bothSides"/>
                <wp:docPr id="89" name="Ietvarstruktūra31"/>
                <a:graphic xmlns:a="http://schemas.openxmlformats.org/drawingml/2006/main">
                  <a:graphicData uri="http://schemas.microsoft.com/office/word/2010/wordprocessingShape">
                    <wps:wsp>
                      <wps:cNvSpPr/>
                      <wps:spPr>
                        <a:xfrm>
                          <a:off x="0" y="0"/>
                          <a:ext cx="2610000" cy="3150360"/>
                        </a:xfrm>
                        <a:prstGeom prst="rect">
                          <a:avLst/>
                        </a:prstGeom>
                        <a:solidFill>
                          <a:srgbClr val="ffffff"/>
                        </a:solidFill>
                        <a:ln w="720">
                          <a:solidFill>
                            <a:srgbClr val="000000"/>
                          </a:solidFill>
                          <a:round/>
                        </a:ln>
                      </wps:spPr>
                      <wps:style>
                        <a:lnRef idx="0"/>
                        <a:fillRef idx="0"/>
                        <a:effectRef idx="0"/>
                        <a:fontRef idx="minor"/>
                      </wps:style>
                      <wps:txbx>
                        <w:txbxContent>
                          <w:p>
                            <w:pPr>
                              <w:pStyle w:val="Contenudecadre"/>
                              <w:spacing w:before="57" w:after="57"/>
                              <w:rPr>
                                <w:color w:val="auto"/>
                              </w:rPr>
                            </w:pPr>
                            <w:r>
                              <w:rPr>
                                <w:color w:val="auto"/>
                              </w:rPr>
                              <w:t xml:space="preserve">7. Eiropas kultūru kopīgošana, </w:t>
                            </w:r>
                            <w:r>
                              <w:rPr>
                                <w:b/>
                                <w:color w:val="auto"/>
                              </w:rPr>
                              <w:t>apvienojot pasākumus un pasākumus</w:t>
                            </w:r>
                          </w:p>
                          <w:p>
                            <w:pPr>
                              <w:pStyle w:val="Contenudecadre"/>
                              <w:rPr>
                                <w:b w:val="false"/>
                                <w:b w:val="false"/>
                                <w:color w:val="auto"/>
                              </w:rPr>
                            </w:pPr>
                            <w:r>
                              <w:rPr>
                                <w:b w:val="false"/>
                                <w:color w:val="auto"/>
                              </w:rPr>
                            </w:r>
                          </w:p>
                          <w:p>
                            <w:pPr>
                              <w:pStyle w:val="Contenudecadre"/>
                              <w:rPr>
                                <w:color w:val="auto"/>
                              </w:rPr>
                            </w:pPr>
                            <w:r>
                              <w:rPr>
                                <w:color w:val="auto"/>
                              </w:rPr>
                              <w:t xml:space="preserve">8.Harmonizēt </w:t>
                            </w:r>
                            <w:r>
                              <w:rPr>
                                <w:b/>
                                <w:color w:val="auto"/>
                              </w:rPr>
                              <w:t>veselību</w:t>
                            </w:r>
                            <w:r>
                              <w:rPr>
                                <w:color w:val="auto"/>
                              </w:rPr>
                              <w:t xml:space="preserve"> un padarīt to pieejamu visiem eiropiešiem, izmantojot kopēju veselības politiku</w:t>
                            </w:r>
                          </w:p>
                          <w:p>
                            <w:pPr>
                              <w:pStyle w:val="Contenudecadre"/>
                              <w:rPr>
                                <w:b w:val="false"/>
                                <w:b w:val="false"/>
                                <w:color w:val="auto"/>
                              </w:rPr>
                            </w:pPr>
                            <w:r>
                              <w:rPr>
                                <w:b w:val="false"/>
                                <w:color w:val="auto"/>
                              </w:rPr>
                            </w:r>
                          </w:p>
                          <w:p>
                            <w:pPr>
                              <w:pStyle w:val="Contenudecadre"/>
                              <w:rPr>
                                <w:color w:val="auto"/>
                              </w:rPr>
                            </w:pPr>
                            <w:r>
                              <w:rPr>
                                <w:color w:val="auto"/>
                              </w:rPr>
                              <w:t xml:space="preserve">9. Izstrādāt un vadīt </w:t>
                            </w:r>
                            <w:r>
                              <w:rPr>
                                <w:b/>
                                <w:color w:val="auto"/>
                              </w:rPr>
                              <w:t>stratēģiskus kanālus</w:t>
                            </w:r>
                            <w:r>
                              <w:rPr>
                                <w:color w:val="auto"/>
                              </w:rPr>
                              <w:t xml:space="preserve"> Eiropas līmenī, lai nodrošinātu mūsu suverenitāti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Uzlabot </w:t>
                            </w:r>
                            <w:r>
                              <w:rPr>
                                <w:b/>
                                <w:color w:val="auto"/>
                              </w:rPr>
                              <w:t>vides un ekosistēmu aizsardzību</w:t>
                            </w:r>
                            <w:r>
                              <w:rPr>
                                <w:color w:val="auto"/>
                              </w:rPr>
                              <w:t xml:space="preserve"> un izveidot </w:t>
                            </w:r>
                            <w:r>
                              <w:rPr>
                                <w:b/>
                                <w:color w:val="auto"/>
                              </w:rPr>
                              <w:t>aizsargājamas teritorijas</w:t>
                            </w:r>
                            <w:r>
                              <w:rPr>
                                <w:color w:val="auto"/>
                              </w:rPr>
                              <w:t xml:space="preserve"> pilsētu, piepilsētu un lauku teritoriju centrā</w:t>
                            </w:r>
                          </w:p>
                        </w:txbxContent>
                      </wps:txbx>
                      <wps:bodyPr lIns="54000" rIns="54000" tIns="54000" bIns="54000">
                        <a:noAutofit/>
                      </wps:bodyPr>
                    </wps:wsp>
                  </a:graphicData>
                </a:graphic>
              </wp:anchor>
            </w:drawing>
          </mc:Choice>
          <mc:Fallback>
            <w:pict>
              <v:rect id="shape_0" ID="Ietvarstruktūra31" fillcolor="white" stroked="t" style="position:absolute;margin-left:274.1pt;margin-top:7.45pt;width:205.45pt;height:248pt">
                <w10:wrap type="square"/>
                <v:fill o:detectmouseclick="t" type="solid" color2="black"/>
                <v:stroke color="black" weight="720" joinstyle="round" endcap="flat"/>
                <v:textbox>
                  <w:txbxContent>
                    <w:p>
                      <w:pPr>
                        <w:pStyle w:val="Contenudecadre"/>
                        <w:spacing w:before="57" w:after="57"/>
                        <w:rPr>
                          <w:color w:val="auto"/>
                        </w:rPr>
                      </w:pPr>
                      <w:r>
                        <w:rPr>
                          <w:color w:val="auto"/>
                        </w:rPr>
                        <w:t xml:space="preserve">7. Eiropas kultūru kopīgošana, </w:t>
                      </w:r>
                      <w:r>
                        <w:rPr>
                          <w:b/>
                          <w:color w:val="auto"/>
                        </w:rPr>
                        <w:t>apvienojot pasākumus un pasākumus</w:t>
                      </w:r>
                    </w:p>
                    <w:p>
                      <w:pPr>
                        <w:pStyle w:val="Contenudecadre"/>
                        <w:rPr>
                          <w:b w:val="false"/>
                          <w:b w:val="false"/>
                          <w:color w:val="auto"/>
                        </w:rPr>
                      </w:pPr>
                      <w:r>
                        <w:rPr>
                          <w:b w:val="false"/>
                          <w:color w:val="auto"/>
                        </w:rPr>
                      </w:r>
                    </w:p>
                    <w:p>
                      <w:pPr>
                        <w:pStyle w:val="Contenudecadre"/>
                        <w:rPr>
                          <w:color w:val="auto"/>
                        </w:rPr>
                      </w:pPr>
                      <w:r>
                        <w:rPr>
                          <w:color w:val="auto"/>
                        </w:rPr>
                        <w:t xml:space="preserve">8.Harmonizēt </w:t>
                      </w:r>
                      <w:r>
                        <w:rPr>
                          <w:b/>
                          <w:color w:val="auto"/>
                        </w:rPr>
                        <w:t>veselību</w:t>
                      </w:r>
                      <w:r>
                        <w:rPr>
                          <w:color w:val="auto"/>
                        </w:rPr>
                        <w:t xml:space="preserve"> un padarīt to pieejamu visiem eiropiešiem, izmantojot kopēju veselības politiku</w:t>
                      </w:r>
                    </w:p>
                    <w:p>
                      <w:pPr>
                        <w:pStyle w:val="Contenudecadre"/>
                        <w:rPr>
                          <w:b w:val="false"/>
                          <w:b w:val="false"/>
                          <w:color w:val="auto"/>
                        </w:rPr>
                      </w:pPr>
                      <w:r>
                        <w:rPr>
                          <w:b w:val="false"/>
                          <w:color w:val="auto"/>
                        </w:rPr>
                      </w:r>
                    </w:p>
                    <w:p>
                      <w:pPr>
                        <w:pStyle w:val="Contenudecadre"/>
                        <w:rPr>
                          <w:color w:val="auto"/>
                        </w:rPr>
                      </w:pPr>
                      <w:r>
                        <w:rPr>
                          <w:color w:val="auto"/>
                        </w:rPr>
                        <w:t xml:space="preserve">9. Izstrādāt un vadīt </w:t>
                      </w:r>
                      <w:r>
                        <w:rPr>
                          <w:b/>
                          <w:color w:val="auto"/>
                        </w:rPr>
                        <w:t>stratēģiskus kanālus</w:t>
                      </w:r>
                      <w:r>
                        <w:rPr>
                          <w:color w:val="auto"/>
                        </w:rPr>
                        <w:t xml:space="preserve"> Eiropas līmenī, lai nodrošinātu mūsu suverenitāti</w:t>
                      </w:r>
                    </w:p>
                    <w:p>
                      <w:pPr>
                        <w:pStyle w:val="Contenudecadre"/>
                        <w:rPr>
                          <w:b w:val="false"/>
                          <w:b w:val="false"/>
                          <w:color w:val="auto"/>
                        </w:rPr>
                      </w:pPr>
                      <w:r>
                        <w:rPr>
                          <w:b w:val="false"/>
                          <w:color w:val="auto"/>
                        </w:rPr>
                      </w:r>
                    </w:p>
                    <w:p>
                      <w:pPr>
                        <w:pStyle w:val="Contenudecadre"/>
                        <w:spacing w:before="57" w:after="57"/>
                        <w:rPr>
                          <w:color w:val="auto"/>
                        </w:rPr>
                      </w:pPr>
                      <w:r>
                        <w:rPr>
                          <w:color w:val="auto"/>
                        </w:rPr>
                        <w:t xml:space="preserve">10. Uzlabot </w:t>
                      </w:r>
                      <w:r>
                        <w:rPr>
                          <w:b/>
                          <w:color w:val="auto"/>
                        </w:rPr>
                        <w:t>vides un ekosistēmu aizsardzību</w:t>
                      </w:r>
                      <w:r>
                        <w:rPr>
                          <w:color w:val="auto"/>
                        </w:rPr>
                        <w:t xml:space="preserve"> un izveidot </w:t>
                      </w:r>
                      <w:r>
                        <w:rPr>
                          <w:b/>
                          <w:color w:val="auto"/>
                        </w:rPr>
                        <w:t>aizsargājamas teritorijas</w:t>
                      </w:r>
                      <w:r>
                        <w:rPr>
                          <w:color w:val="auto"/>
                        </w:rPr>
                        <w:t xml:space="preserve"> pilsētu, piepilsētu un lauku teritoriju centrā</w:t>
                      </w:r>
                    </w:p>
                  </w:txbxContent>
                </v:textbox>
              </v:rect>
            </w:pict>
          </mc:Fallback>
        </mc:AlternateContent>
      </w:r>
    </w:p>
    <w:p>
      <w:pPr>
        <w:pStyle w:val="Titre2"/>
        <w:numPr>
          <w:ilvl w:val="1"/>
          <w:numId w:val="2"/>
        </w:numPr>
        <w:rPr/>
      </w:pPr>
      <w:bookmarkStart w:id="209" w:name="__RefHeading___Toc300452_1346298689"/>
      <w:bookmarkEnd w:id="209"/>
      <w:r>
        <w:rPr/>
        <w:t>Iepazīstināšana ar reģionālo konferenču paneļdiskusijām</w:t>
      </w:r>
    </w:p>
    <w:p>
      <w:pPr>
        <w:pStyle w:val="Normal"/>
        <w:rPr/>
      </w:pPr>
      <w:r>
        <w:rPr/>
        <mc:AlternateContent>
          <mc:Choice Requires="wpg">
            <w:drawing>
              <wp:anchor behindDoc="0" distT="0" distB="0" distL="0" distR="0" simplePos="0" locked="0" layoutInCell="1" allowOverlap="1" relativeHeight="50">
                <wp:simplePos x="0" y="0"/>
                <wp:positionH relativeFrom="column">
                  <wp:posOffset>635</wp:posOffset>
                </wp:positionH>
                <wp:positionV relativeFrom="paragraph">
                  <wp:posOffset>25400</wp:posOffset>
                </wp:positionV>
                <wp:extent cx="5971540" cy="8288020"/>
                <wp:effectExtent l="0" t="0" r="0" b="0"/>
                <wp:wrapNone/>
                <wp:docPr id="91" name="1. Forma"/>
                <a:graphic xmlns:a="http://schemas.openxmlformats.org/drawingml/2006/main">
                  <a:graphicData uri="http://schemas.microsoft.com/office/word/2010/wordprocessingGroup">
                    <wpg:wgp>
                      <wpg:cNvGrpSpPr/>
                      <wpg:grpSpPr>
                        <a:xfrm>
                          <a:off x="0" y="0"/>
                          <a:ext cx="5970960" cy="8287560"/>
                        </a:xfrm>
                      </wpg:grpSpPr>
                      <pic:pic xmlns:pic="http://schemas.openxmlformats.org/drawingml/2006/picture">
                        <pic:nvPicPr>
                          <pic:cNvPr id="0" name="" descr=""/>
                          <pic:cNvPicPr/>
                        </pic:nvPicPr>
                        <pic:blipFill>
                          <a:blip r:embed="rId95"/>
                          <a:stretch/>
                        </pic:blipFill>
                        <pic:spPr>
                          <a:xfrm>
                            <a:off x="93960" y="771480"/>
                            <a:ext cx="5877000" cy="7515720"/>
                          </a:xfrm>
                          <a:prstGeom prst="rect">
                            <a:avLst/>
                          </a:prstGeom>
                          <a:ln>
                            <a:noFill/>
                          </a:ln>
                        </pic:spPr>
                      </pic:pic>
                      <wps:wsp>
                        <wps:cNvSpPr/>
                        <wps:spPr>
                          <a:xfrm>
                            <a:off x="144720" y="0"/>
                            <a:ext cx="5650200" cy="12585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Daudzveidīgs 746 pilsoņu paneļdiskusija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Pārskats par 18 reģionālo konferenču dalībniekiem</w:t>
                              </w:r>
                            </w:p>
                          </w:txbxContent>
                        </wps:txbx>
                        <wps:bodyPr lIns="90000" rIns="90000" tIns="45000" bIns="45000">
                          <a:noAutofit/>
                        </wps:bodyPr>
                      </wps:wsp>
                      <wps:wsp>
                        <wps:cNvSpPr/>
                        <wps:spPr>
                          <a:xfrm>
                            <a:off x="0" y="6246360"/>
                            <a:ext cx="2611800" cy="2040840"/>
                          </a:xfrm>
                          <a:prstGeom prst="rect">
                            <a:avLst/>
                          </a:prstGeom>
                          <a:noFill/>
                          <a:ln>
                            <a:noFill/>
                          </a:ln>
                        </wps:spPr>
                        <wps:style>
                          <a:lnRef idx="0"/>
                          <a:fillRef idx="0"/>
                          <a:effectRef idx="0"/>
                          <a:fontRef idx="minor"/>
                        </wps:style>
                        <wps:txb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Zemnieki lauksaimnieki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Amatnieki — Tirgotāji — Vadītāji uzņēmumiem</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Augstākā līmeņa vadītāji — liberālās profesijas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Starpprofesiju veidi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Darba ņēmēji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Darba ņēmēji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Pensionāri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Citi neaktīvie</w:t>
                              </w:r>
                            </w:p>
                          </w:txbxContent>
                        </wps:txbx>
                        <wps:bodyPr lIns="90000" rIns="90000" tIns="45000" bIns="45000">
                          <a:noAutofit/>
                        </wps:bodyPr>
                      </wps:wsp>
                    </wpg:wgp>
                  </a:graphicData>
                </a:graphic>
              </wp:anchor>
            </w:drawing>
          </mc:Choice>
          <mc:Fallback>
            <w:pict>
              <v:group id="shape_0" alt="1. Forma" style="position:absolute;margin-left:0.05pt;margin-top:2pt;width:470.15pt;height:652.55pt" coordorigin="1,40" coordsize="9403,13051">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style="position:absolute;left:149;top:1255;width:9254;height:11835" type="shapetype_75">
                  <v:imagedata r:id="rId95" o:detectmouseclick="t"/>
                  <w10:wrap type="none"/>
                  <v:stroke color="#3465a4" joinstyle="round" endcap="flat"/>
                </v:shape>
                <v:rect id="shape_0" stroked="f" style="position:absolute;left:229;top:40;width:8897;height:198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Daudzveidīgs 746 pilsoņu paneļdiskusija</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Pārskats par 18 reģionālo konferenču dalībniekiem</w:t>
                        </w:r>
                      </w:p>
                    </w:txbxContent>
                  </v:textbox>
                  <w10:wrap type="square"/>
                  <v:fill o:detectmouseclick="t" on="false"/>
                  <v:stroke color="#3465a4" joinstyle="round" endcap="flat"/>
                </v:rect>
                <v:rect id="shape_0" stroked="f" style="position:absolute;left:1;top:9877;width:4112;height:3213">
                  <v:textbox>
                    <w:txbxContent>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Zemnieki lauksaimnieki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Amatnieki — Tirgotāji — Vadītāji uzņēmumiem</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Augstākā līmeņa vadītāji — liberālās profesijas</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Starpprofesiju veidi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Darba ņēmēji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Darba ņēmēji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Pensionāri</w:t>
                        </w:r>
                      </w:p>
                      <w:p>
                        <w:pPr>
                          <w:spacing w:before="113" w:after="113"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Citi neaktīvie</w:t>
                        </w:r>
                      </w:p>
                    </w:txbxContent>
                  </v:textbox>
                  <w10:wrap type="square"/>
                  <v:fill o:detectmouseclick="t" on="false"/>
                  <v:stroke color="#3465a4" joinstyle="round" endcap="flat"/>
                </v:rect>
              </v:group>
            </w:pict>
          </mc:Fallback>
        </mc:AlternateContent>
      </w:r>
    </w:p>
    <w:p>
      <w:pPr>
        <w:pStyle w:val="Normal"/>
        <w:rPr/>
      </w:pPr>
      <w:r>
        <w:rPr/>
      </w:r>
    </w:p>
    <w:p>
      <w:pPr>
        <w:pStyle w:val="Normal"/>
        <w:rPr/>
      </w:pPr>
      <w:r>
        <w:rPr/>
      </w:r>
      <w:r>
        <w:br w:type="page"/>
      </w:r>
    </w:p>
    <w:p>
      <w:pPr>
        <w:pStyle w:val="Normal"/>
        <w:rPr/>
      </w:pPr>
      <w:r>
        <w:rPr/>
        <mc:AlternateContent>
          <mc:Choice Requires="wpg">
            <w:drawing>
              <wp:anchor behindDoc="0" distT="0" distB="0" distL="0" distR="0" simplePos="0" locked="0" layoutInCell="1" allowOverlap="1" relativeHeight="51">
                <wp:simplePos x="0" y="0"/>
                <wp:positionH relativeFrom="column">
                  <wp:posOffset>0</wp:posOffset>
                </wp:positionH>
                <wp:positionV relativeFrom="paragraph">
                  <wp:posOffset>36195</wp:posOffset>
                </wp:positionV>
                <wp:extent cx="5873750" cy="8265160"/>
                <wp:effectExtent l="0" t="0" r="0" b="0"/>
                <wp:wrapNone/>
                <wp:docPr id="92" name="2. veidlapa"/>
                <a:graphic xmlns:a="http://schemas.openxmlformats.org/drawingml/2006/main">
                  <a:graphicData uri="http://schemas.microsoft.com/office/word/2010/wordprocessingGroup">
                    <wpg:wgp>
                      <wpg:cNvGrpSpPr/>
                      <wpg:grpSpPr>
                        <a:xfrm>
                          <a:off x="0" y="0"/>
                          <a:ext cx="5873040" cy="8264520"/>
                        </a:xfrm>
                      </wpg:grpSpPr>
                      <pic:pic xmlns:pic="http://schemas.openxmlformats.org/drawingml/2006/picture">
                        <pic:nvPicPr>
                          <pic:cNvPr id="1" name="" descr=""/>
                          <pic:cNvPicPr/>
                        </pic:nvPicPr>
                        <pic:blipFill>
                          <a:blip r:embed="rId96"/>
                          <a:stretch/>
                        </pic:blipFill>
                        <pic:spPr>
                          <a:xfrm>
                            <a:off x="720" y="1012680"/>
                            <a:ext cx="5872320" cy="7251840"/>
                          </a:xfrm>
                          <a:prstGeom prst="rect">
                            <a:avLst/>
                          </a:prstGeom>
                          <a:ln>
                            <a:noFill/>
                          </a:ln>
                        </pic:spPr>
                      </pic:pic>
                      <wps:wsp>
                        <wps:cNvSpPr/>
                        <wps:spPr>
                          <a:xfrm>
                            <a:off x="0" y="0"/>
                            <a:ext cx="5873040" cy="1581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Konferences par Eiropas nākotni visā Francijā</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reģionālās konferences, 13 — metropolē un 5 ārzemēs</w:t>
                              </w:r>
                            </w:p>
                          </w:txbxContent>
                        </wps:txbx>
                        <wps:bodyPr lIns="90000" rIns="90000" tIns="45000" bIns="45000">
                          <a:noAutofit/>
                        </wps:bodyPr>
                      </wps:wsp>
                    </wpg:wgp>
                  </a:graphicData>
                </a:graphic>
              </wp:anchor>
            </w:drawing>
          </mc:Choice>
          <mc:Fallback>
            <w:pict>
              <v:group id="shape_0" alt="2. veidlapa" style="position:absolute;margin-left:0pt;margin-top:2.85pt;width:462.45pt;height:650.75pt" coordorigin="0,57" coordsize="9249,13015">
                <v:shape id="shape_0" stroked="f" style="position:absolute;left:1;top:1652;width:9247;height:11419" type="shapetype_75">
                  <v:imagedata r:id="rId96" o:detectmouseclick="t"/>
                  <w10:wrap type="none"/>
                  <v:stroke color="#3465a4" joinstyle="round" endcap="flat"/>
                </v:shape>
                <v:rect id="shape_0" stroked="f" style="position:absolute;left:0;top:57;width:9248;height:248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Konferences par Eiropas nākotni visā Francijā</w:t>
                        </w:r>
                      </w:p>
                      <w:p>
                        <w:pPr>
                          <w:spacing w:before="0" w:after="0" w:lineRule="auto" w:line="240"/>
                          <w:ind w:hanging="0"/>
                          <w:jc w:val="left"/>
                          <w:rPr/>
                        </w:pPr>
                        <w:r>
                          <w:rPr>
                            <w:sz w:val="24"/>
                            <w:rFonts w:ascii="Times New Roman" w:hAnsi="Times New Roman"/>
                            <w:color w:val="auto"/>
                          </w:rPr>
                        </w:r>
                      </w:p>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 reģionālās konferences, 13 — metropolē un 5 ārzemēs</w:t>
                        </w:r>
                      </w:p>
                    </w:txbxContent>
                  </v:textbox>
                  <w10:wrap type="square"/>
                  <v:fill o:detectmouseclick="t" on="false"/>
                  <v:stroke color="#3465a4" joinstyle="round" endcap="flat"/>
                </v:rect>
              </v:group>
            </w:pict>
          </mc:Fallback>
        </mc:AlternateContent>
      </w:r>
    </w:p>
    <w:p>
      <w:pPr>
        <w:pStyle w:val="Normal"/>
        <w:rPr/>
      </w:pPr>
      <w:r>
        <w:rPr/>
      </w:r>
      <w:r>
        <w:br w:type="page"/>
      </w:r>
    </w:p>
    <w:p>
      <w:pPr>
        <w:pStyle w:val="Titre2"/>
        <w:numPr>
          <w:ilvl w:val="1"/>
          <w:numId w:val="2"/>
        </w:numPr>
        <w:spacing w:before="13366" w:after="120"/>
        <w:rPr/>
      </w:pPr>
      <w:bookmarkStart w:id="210" w:name="__RefHeading___Toc300454_1346298689"/>
      <w:bookmarkEnd w:id="210"/>
      <w:r>
        <mc:AlternateContent>
          <mc:Choice Requires="wpg">
            <w:drawing>
              <wp:anchor behindDoc="0" distT="0" distB="0" distL="0" distR="0" simplePos="0" locked="0" layoutInCell="1" allowOverlap="1" relativeHeight="69">
                <wp:simplePos x="0" y="0"/>
                <wp:positionH relativeFrom="column">
                  <wp:posOffset>175895</wp:posOffset>
                </wp:positionH>
                <wp:positionV relativeFrom="paragraph">
                  <wp:posOffset>450215</wp:posOffset>
                </wp:positionV>
                <wp:extent cx="5782945" cy="8488045"/>
                <wp:effectExtent l="0" t="0" r="0" b="0"/>
                <wp:wrapTopAndBottom/>
                <wp:docPr id="93" name="3. Forma"/>
                <a:graphic xmlns:a="http://schemas.openxmlformats.org/drawingml/2006/main">
                  <a:graphicData uri="http://schemas.microsoft.com/office/word/2010/wordprocessingGroup">
                    <wpg:wgp>
                      <wpg:cNvGrpSpPr/>
                      <wpg:grpSpPr>
                        <a:xfrm>
                          <a:off x="0" y="0"/>
                          <a:ext cx="5782320" cy="8487360"/>
                        </a:xfrm>
                      </wpg:grpSpPr>
                      <pic:pic xmlns:pic="http://schemas.openxmlformats.org/drawingml/2006/picture">
                        <pic:nvPicPr>
                          <pic:cNvPr id="2" name="" descr=""/>
                          <pic:cNvPicPr/>
                        </pic:nvPicPr>
                        <pic:blipFill>
                          <a:blip r:embed="rId97"/>
                          <a:stretch/>
                        </pic:blipFill>
                        <pic:spPr>
                          <a:xfrm>
                            <a:off x="0" y="0"/>
                            <a:ext cx="5782320" cy="8487360"/>
                          </a:xfrm>
                          <a:prstGeom prst="rect">
                            <a:avLst/>
                          </a:prstGeom>
                          <a:ln>
                            <a:noFill/>
                          </a:ln>
                        </pic:spPr>
                      </pic:pic>
                      <wps:wsp>
                        <wps:cNvSpPr/>
                        <wps:spPr>
                          <a:xfrm>
                            <a:off x="1104840" y="337320"/>
                            <a:ext cx="3712680" cy="4107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Valsts saistības</w:t>
                              </w:r>
                            </w:p>
                          </w:txbxContent>
                        </wps:txbx>
                        <wps:bodyPr lIns="90000" rIns="90000" tIns="45000" bIns="45000">
                          <a:noAutofit/>
                        </wps:bodyPr>
                      </wps:wsp>
                      <wps:wsp>
                        <wps:cNvSpPr/>
                        <wps:spPr>
                          <a:xfrm>
                            <a:off x="768960" y="12409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Pārredzamība</w:t>
                              </w:r>
                            </w:p>
                          </w:txbxContent>
                        </wps:txbx>
                        <wps:bodyPr lIns="90000" rIns="90000" tIns="45000" bIns="45000">
                          <a:noAutofit/>
                        </wps:bodyPr>
                      </wps:wsp>
                      <wps:wsp>
                        <wps:cNvSpPr/>
                        <wps:spPr>
                          <a:xfrm>
                            <a:off x="3957480" y="1253520"/>
                            <a:ext cx="1095480" cy="49896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Pienākums nekavējoties</w:t>
                              </w:r>
                            </w:p>
                          </w:txbxContent>
                        </wps:txbx>
                        <wps:bodyPr lIns="90000" rIns="90000" tIns="45000" bIns="45000">
                          <a:noAutofit/>
                        </wps:bodyPr>
                      </wps:wsp>
                      <wps:wsp>
                        <wps:cNvSpPr/>
                        <wps:spPr>
                          <a:xfrm>
                            <a:off x="2369160" y="1265040"/>
                            <a:ext cx="1094760" cy="29448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Neitralitāte</w:t>
                              </w:r>
                            </w:p>
                          </w:txbxContent>
                        </wps:txbx>
                        <wps:bodyPr lIns="90000" rIns="90000" tIns="45000" bIns="45000">
                          <a:noAutofit/>
                        </wps:bodyPr>
                      </wps:wsp>
                      <wps:wsp>
                        <wps:cNvSpPr/>
                        <wps:spPr>
                          <a:xfrm>
                            <a:off x="210240" y="2037240"/>
                            <a:ext cx="449568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Metodoloģiski aizspriedumi</w:t>
                              </w:r>
                            </w:p>
                          </w:txbxContent>
                        </wps:txbx>
                        <wps:bodyPr lIns="90000" rIns="90000" tIns="45000" bIns="45000">
                          <a:noAutofit/>
                        </wps:bodyPr>
                      </wps:wsp>
                      <pic:pic xmlns:pic="http://schemas.openxmlformats.org/drawingml/2006/picture">
                        <pic:nvPicPr>
                          <pic:cNvPr id="3" name="" descr=""/>
                          <pic:cNvPicPr/>
                        </pic:nvPicPr>
                        <pic:blipFill>
                          <a:blip r:embed="rId98"/>
                          <a:stretch/>
                        </pic:blipFill>
                        <pic:spPr>
                          <a:xfrm>
                            <a:off x="1105560" y="2401560"/>
                            <a:ext cx="4354200" cy="5891040"/>
                          </a:xfrm>
                          <a:prstGeom prst="rect">
                            <a:avLst/>
                          </a:prstGeom>
                          <a:ln>
                            <a:noFill/>
                          </a:ln>
                        </pic:spPr>
                      </pic:pic>
                    </wpg:wgp>
                  </a:graphicData>
                </a:graphic>
              </wp:anchor>
            </w:drawing>
          </mc:Choice>
          <mc:Fallback>
            <w:pict>
              <v:group id="shape_0" alt="3. Forma" style="position:absolute;margin-left:13.85pt;margin-top:35.45pt;width:455.3pt;height:668.3pt" coordorigin="277,709" coordsize="9106,13366">
                <v:shape id="shape_0" stroked="f" style="position:absolute;left:277;top:709;width:9105;height:13365" type="shapetype_75">
                  <v:imagedata r:id="rId97" o:detectmouseclick="t"/>
                  <w10:wrap type="none"/>
                  <v:stroke color="#3465a4" joinstyle="round" endcap="flat"/>
                </v:shape>
                <v:rect id="shape_0" stroked="f" style="position:absolute;left:2017;top:1240;width:5846;height:646">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Valsts saistības</w:t>
                        </w:r>
                      </w:p>
                    </w:txbxContent>
                  </v:textbox>
                  <w10:wrap type="square"/>
                  <v:fill o:detectmouseclick="t" on="false"/>
                  <v:stroke color="#3465a4" joinstyle="round" endcap="flat"/>
                </v:rect>
                <v:rect id="shape_0" stroked="f" style="position:absolute;left:1488;top:2663;width:1724;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Pārredzamība</w:t>
                        </w:r>
                      </w:p>
                    </w:txbxContent>
                  </v:textbox>
                  <w10:wrap type="square"/>
                  <v:fill o:detectmouseclick="t" on="false"/>
                  <v:stroke color="#3465a4" joinstyle="round" endcap="flat"/>
                </v:rect>
                <v:rect id="shape_0" stroked="f" style="position:absolute;left:6509;top:2683;width:1724;height:785">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Pienākums nekavējoties</w:t>
                        </w:r>
                      </w:p>
                    </w:txbxContent>
                  </v:textbox>
                  <w10:wrap type="square"/>
                  <v:fill o:detectmouseclick="t" on="false"/>
                  <v:stroke color="#3465a4" joinstyle="round" endcap="flat"/>
                </v:rect>
                <v:rect id="shape_0" stroked="f" style="position:absolute;left:4008;top:2701;width:1723;height:463">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Neitralitāte</w:t>
                        </w:r>
                      </w:p>
                    </w:txbxContent>
                  </v:textbox>
                  <w10:wrap type="square"/>
                  <v:fill o:detectmouseclick="t" on="false"/>
                  <v:stroke color="#3465a4" joinstyle="round" endcap="flat"/>
                </v:rect>
                <v:rect id="shape_0" stroked="f" style="position:absolute;left:608;top:3917;width:7079;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Metodoloģiski aizspriedumi</w:t>
                        </w:r>
                      </w:p>
                    </w:txbxContent>
                  </v:textbox>
                  <w10:wrap type="square"/>
                  <v:fill o:detectmouseclick="t" on="false"/>
                  <v:stroke color="#3465a4" joinstyle="round" endcap="flat"/>
                </v:rect>
                <v:shape id="shape_0" stroked="f" style="position:absolute;left:2018;top:4491;width:6856;height:9276" type="shapetype_75">
                  <v:imagedata r:id="rId98" o:detectmouseclick="t"/>
                  <w10:wrap type="none"/>
                  <v:stroke color="#3465a4" joinstyle="round" endcap="flat"/>
                </v:shape>
              </v:group>
            </w:pict>
          </mc:Fallback>
        </mc:AlternateContent>
      </w:r>
      <w:r>
        <w:rPr/>
        <w:t xml:space="preserve">Metodoloģiskās saistības un neobjektivitāte </w:t>
      </w:r>
    </w:p>
    <w:p>
      <w:pPr>
        <w:pStyle w:val="Normal"/>
        <w:rPr/>
      </w:pPr>
      <w:r>
        <w:rPr/>
      </w:r>
    </w:p>
    <w:p>
      <w:pPr>
        <w:pStyle w:val="Normal"/>
        <w:rPr/>
      </w:pPr>
      <w:r>
        <w:rPr/>
      </w:r>
    </w:p>
    <w:p>
      <w:pPr>
        <w:pStyle w:val="P68B1DB1Normal32"/>
        <w:spacing w:lineRule="auto" w:line="240" w:before="0" w:after="0"/>
        <w:ind w:left="0" w:right="0" w:hanging="0"/>
        <w:rPr/>
      </w:pPr>
      <w:r>
        <w:rPr>
          <w:rFonts w:ascii="Times New Roman" w:hAnsi="Times New Roman"/>
        </w:rPr>
        <w:t>a.</w:t>
      </w:r>
      <w:r>
        <w:rPr/>
        <w:t xml:space="preserve"> </w:t>
      </w:r>
      <w:r>
        <w:rPr>
          <w:rFonts w:ascii="Times New Roman" w:hAnsi="Times New Roman"/>
        </w:rPr>
        <w:t xml:space="preserve">Valsts saistības līdzdalības demokrātijas jomā </w:t>
      </w:r>
    </w:p>
    <w:p>
      <w:pPr>
        <w:pStyle w:val="P68B1DB1Normal19"/>
        <w:widowControl w:val="false"/>
        <w:spacing w:lineRule="auto" w:line="240" w:before="0" w:after="0"/>
        <w:ind w:left="0" w:right="0" w:hanging="0"/>
        <w:jc w:val="left"/>
        <w:rPr/>
      </w:pPr>
      <w:r>
        <w:rPr/>
        <w:t>Konferences par Eiropas nākotni Francijas daļa ir daļa no valsts saistībām attiecībā uz līdzdalības demokrātiju, kuru pamatā ir trīs principi:</w:t>
      </w:r>
      <w:r>
        <w:rPr>
          <w:b/>
        </w:rPr>
        <w:t xml:space="preserve"> pārredzamība, neitralitāte un pienākums nekavējoties</w:t>
      </w:r>
      <w:r>
        <w:rPr/>
        <w:t xml:space="preserve">. </w:t>
      </w:r>
    </w:p>
    <w:p>
      <w:pPr>
        <w:pStyle w:val="P68B1DB1Normal19"/>
        <w:widowControl w:val="false"/>
        <w:spacing w:lineRule="auto" w:line="240" w:before="0" w:after="0"/>
        <w:ind w:left="0" w:right="0" w:hanging="0"/>
        <w:jc w:val="both"/>
        <w:rPr/>
      </w:pPr>
      <w:r>
        <w:rPr/>
        <w:t xml:space="preserve">Līdzdalības pieeja uzliek organizatoram pienākumu ievērot stingru metodiku. Pilsoņu līdzdalības metodei ir jāļauj pilsoņiem piedalīties vislabākajos iespējamos apstākļos un brīvi un pamatoti paust savu viedokli.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Pārredzamība </w:t>
      </w:r>
    </w:p>
    <w:p>
      <w:pPr>
        <w:pStyle w:val="P68B1DB1Normal19"/>
        <w:widowControl w:val="false"/>
        <w:spacing w:lineRule="auto" w:line="240" w:before="0" w:after="0"/>
        <w:ind w:left="0" w:right="0" w:hanging="0"/>
        <w:jc w:val="left"/>
        <w:rPr/>
      </w:pPr>
      <w:r>
        <w:rPr/>
        <w:t xml:space="preserve">Konferences organizēšanas grupa ir apņēmusies darīt visu informāciju par apspriešanos pieejamu iedzīvotājiem: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Ietvaru, kādā notiek apspriešanās; •</w:t>
      </w:r>
      <w:r>
        <w:rPr/>
        <w:t xml:space="preserve"> </w:t>
      </w:r>
      <w:r>
        <w:rPr>
          <w:rFonts w:ascii="Times New Roman" w:hAnsi="Times New Roman"/>
        </w:rPr>
        <w:t xml:space="preserve">Saistības pret pilsoņiem;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Apspriešanās mērķi; </w:t>
      </w:r>
    </w:p>
    <w:p>
      <w:pPr>
        <w:pStyle w:val="P68B1DB1Normal34"/>
        <w:widowControl w:val="false"/>
        <w:spacing w:lineRule="auto" w:line="240" w:before="0" w:after="0"/>
        <w:ind w:left="0" w:right="0" w:hanging="0"/>
        <w:jc w:val="left"/>
        <w:rPr/>
      </w:pPr>
      <w:r>
        <w:rPr>
          <w:rFonts w:ascii="Times New Roman" w:hAnsi="Times New Roman"/>
        </w:rPr>
        <w:t>•</w:t>
      </w:r>
      <w:r>
        <w:rPr/>
        <w:t xml:space="preserve"> </w:t>
      </w:r>
      <w:r>
        <w:rPr>
          <w:rFonts w:ascii="Times New Roman" w:hAnsi="Times New Roman"/>
        </w:rPr>
        <w:t xml:space="preserve">Apspriešanas rezultāti. </w:t>
      </w:r>
    </w:p>
    <w:p>
      <w:pPr>
        <w:pStyle w:val="Normal"/>
        <w:widowControl w:val="false"/>
        <w:spacing w:lineRule="auto" w:line="240" w:before="0" w:after="0"/>
        <w:ind w:left="0" w:right="0" w:hanging="0"/>
        <w:jc w:val="both"/>
        <w:rPr/>
      </w:pPr>
      <w:r>
        <w:rPr>
          <w:rFonts w:ascii="Times New Roman" w:hAnsi="Times New Roman"/>
          <w:color w:val="000000"/>
          <w:sz w:val="24"/>
        </w:rPr>
        <w:t>Tādējādi tika izstrādāta Konferences par Eiropas nākotni metodoloģija ar pastāvīgu mērķi nodrošināt pārredzamību iedzīvotājiem. Tika skaidri noteikta metode, kā pieņemt darbā pēc nejaušības principa atlasītus pilsoņus, metodoloģiskus aizspriedumus un attieksmi pret pilsoņu runu. Konferences beigās dalībnieki pa e-pastu saņēma arī savas reģionālās konferences kopsavilkumu. Turklāt visi darba un izceļošanas dokumenti tiks publiskoti shēmas beigās valsts pilsoņu līdzdalības platformā</w:t>
      </w:r>
      <w:r>
        <w:rPr>
          <w:rStyle w:val="Ancredenotedebasdepage"/>
          <w:rStyle w:val="Ancredenotedebasdepage"/>
          <w:rFonts w:ascii="Times New Roman" w:hAnsi="Times New Roman"/>
          <w:color w:val="000000"/>
          <w:sz w:val="16"/>
        </w:rPr>
        <w:footnoteReference w:id="14"/>
      </w:r>
      <w:r>
        <w:rPr>
          <w:rFonts w:ascii="Times New Roman" w:hAnsi="Times New Roman"/>
          <w:color w:val="000000"/>
          <w:sz w:val="24"/>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Normal"/>
        <w:spacing w:lineRule="auto" w:line="240" w:before="0" w:after="0"/>
        <w:ind w:left="0" w:right="0" w:hanging="0"/>
        <w:rPr/>
      </w:pPr>
      <w:r>
        <w:rPr/>
      </w:r>
      <w:r>
        <w:br w:type="page"/>
      </w:r>
    </w:p>
    <w:p>
      <w:pPr>
        <w:pStyle w:val="P68B1DB1Normal33"/>
        <w:spacing w:lineRule="auto" w:line="240" w:before="0" w:after="0"/>
        <w:ind w:left="0" w:right="0" w:hanging="0"/>
        <w:rPr>
          <w:rFonts w:ascii="Times New Roman" w:hAnsi="Times New Roman"/>
          <w:b/>
          <w:b/>
          <w:color w:val="000000"/>
          <w:sz w:val="24"/>
        </w:rPr>
      </w:pPr>
      <w:r>
        <w:rPr/>
        <w:t xml:space="preserve">Neitralitāte </w:t>
      </w:r>
    </w:p>
    <w:p>
      <w:pPr>
        <w:pStyle w:val="P68B1DB1Normal19"/>
        <w:widowControl w:val="false"/>
        <w:spacing w:lineRule="auto" w:line="240" w:before="0" w:after="0"/>
        <w:ind w:left="0" w:right="0" w:hanging="0"/>
        <w:jc w:val="both"/>
        <w:rPr/>
      </w:pPr>
      <w:r>
        <w:rPr/>
        <w:t xml:space="preserve">Apspriešanās laikā organizētājai grupai ir jānodrošina, ka tā paliek neitrāla attiecībā uz apmaiņas veicināšanu, kā arī rezultātu kopsavilkumu sagatavošanu. Shēmas ieinteresētajām personām — koordinatoriem, koordinatoriem, ekspertiem — nevajadzētu paust savu viedokli vai censties virzīt debates subjektīvi. </w:t>
      </w:r>
    </w:p>
    <w:p>
      <w:pPr>
        <w:pStyle w:val="P68B1DB1Normal19"/>
        <w:widowControl w:val="false"/>
        <w:spacing w:lineRule="auto" w:line="240" w:before="0" w:after="0"/>
        <w:ind w:left="0" w:right="0" w:hanging="0"/>
        <w:jc w:val="both"/>
        <w:rPr/>
      </w:pPr>
      <w:r>
        <w:rPr/>
        <w:t xml:space="preserve">Neitralitātes mērķis tika sasniegts visos apspriešanas posmos, jo īpaši nodrošinot objektīvu dalībnieku atlasi, pilnīgu brīvību debatēs un to, ka sponsoram vai ieinteresētajām personām nav ietekmes uz pilsoņu runu. Šī neitralitātes prasība ir izpaudusies kā objektīvs un pārredzams dalībnieku darbā pieņemšanas process, saskaņoti metodoloģiski aizspriedumi (apgrieztās zināšanas, debašu tematiskās struktūras trūkums) un īpaša uzmanība pievērsta dažādu runātāju (veicinātāju, koordinatoru, ekspertu) amatam. Visbeidzot, organizētāja komanda pārliecinājās, ka novērtē visus vārdus, nevis filtrē pilsoņu priekšlikumus. </w:t>
      </w:r>
    </w:p>
    <w:p>
      <w:pPr>
        <w:pStyle w:val="P68B1DB1Normal19"/>
        <w:widowControl w:val="false"/>
        <w:spacing w:lineRule="auto" w:line="240" w:before="0" w:after="0"/>
        <w:ind w:left="0" w:right="0" w:hanging="0"/>
        <w:jc w:val="both"/>
        <w:rPr/>
      </w:pPr>
      <w:r>
        <w:rPr>
          <w:b/>
        </w:rPr>
        <w:t>Trīs galvotāju kolēģija</w:t>
      </w:r>
      <w:r>
        <w:rPr/>
        <w:t xml:space="preserve">, ko iecēluši Nacionālās asamblejas, Eiropas Parlamenta un valdības priekšsēdētāji, ir arī nodrošinājusi, ka tiek pausti un ņemti vērā visi viedokļi. </w:t>
      </w:r>
    </w:p>
    <w:p>
      <w:pPr>
        <w:pStyle w:val="P68B1DB1Normal33"/>
        <w:widowControl w:val="false"/>
        <w:spacing w:lineRule="auto" w:line="240" w:before="0" w:after="0"/>
        <w:ind w:left="0" w:right="0" w:hanging="0"/>
        <w:jc w:val="left"/>
        <w:rPr>
          <w:rFonts w:ascii="Times New Roman" w:hAnsi="Times New Roman"/>
          <w:b/>
          <w:b/>
          <w:color w:val="000000"/>
          <w:sz w:val="24"/>
        </w:rPr>
      </w:pPr>
      <w:r>
        <w:rPr/>
        <w:t xml:space="preserve">Pienākums nekavējoties </w:t>
      </w:r>
    </w:p>
    <w:p>
      <w:pPr>
        <w:pStyle w:val="P68B1DB1Normal19"/>
        <w:widowControl w:val="false"/>
        <w:spacing w:lineRule="auto" w:line="240" w:before="0" w:after="0"/>
        <w:ind w:left="0" w:right="0" w:hanging="0"/>
        <w:jc w:val="both"/>
        <w:rPr/>
      </w:pPr>
      <w:r>
        <w:rPr/>
        <w:t xml:space="preserve">Pilsoņiem neatkarīgi no tā, vai viņi ir piedalījušies apspriešanā, ir tiesības saņemt informāciju par to, kas ir izvēlēts par viņu priekšlikumiem un no tiem izrietošajiem atzinumiem, un kādu iemeslu dēļ. To sauc par </w:t>
      </w:r>
      <w:r>
        <w:rPr>
          <w:b/>
        </w:rPr>
        <w:t>pienākumu nekavējoties</w:t>
      </w:r>
      <w:r>
        <w:rPr/>
        <w:t xml:space="preserve">. </w:t>
      </w:r>
    </w:p>
    <w:p>
      <w:pPr>
        <w:pStyle w:val="P68B1DB1Normal19"/>
        <w:widowControl w:val="false"/>
        <w:spacing w:lineRule="auto" w:line="240" w:before="0" w:after="0"/>
        <w:ind w:left="0" w:right="0" w:hanging="0"/>
        <w:jc w:val="left"/>
        <w:rPr>
          <w:rFonts w:ascii="Times New Roman" w:hAnsi="Times New Roman"/>
          <w:color w:val="000000"/>
          <w:sz w:val="24"/>
        </w:rPr>
      </w:pPr>
      <w:r>
        <w:rPr/>
        <w:t xml:space="preserve"> </w:t>
      </w:r>
    </w:p>
    <w:p>
      <w:pPr>
        <w:pStyle w:val="P68B1DB1Normal19"/>
        <w:spacing w:lineRule="auto" w:line="240" w:before="0" w:after="0"/>
        <w:ind w:left="0" w:right="0" w:hanging="0"/>
        <w:jc w:val="both"/>
        <w:rPr/>
      </w:pPr>
      <w:r>
        <w:rPr/>
        <w:t xml:space="preserve">Starpdepartamentu centrs pilsoņu līdzdalībai (ICPC) un Publiskās pārveides starpdepartamentu direktorāts (DITP) to definē kā publiskā lēmumu pieņēmēja apņemšanos sniegt iedzīvotājiem skaidru un salasāmu atbildi uz apspriešanas rezultātiem. Konkrēti, pārraudzības pienākums ir atgriezties pie pilsoņiem, lai viņiem izskaidrotu, kā tiek ņemts vērā viņu ieguldījums un kā tas ietekmē lēmumu pieņemšanu un administrācijas praksi. </w:t>
      </w:r>
    </w:p>
    <w:p>
      <w:pPr>
        <w:pStyle w:val="Normal"/>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19"/>
        <w:widowControl w:val="false"/>
        <w:spacing w:lineRule="auto" w:line="240" w:before="0" w:after="0"/>
        <w:ind w:left="0" w:right="0" w:hanging="0"/>
        <w:jc w:val="both"/>
        <w:rPr/>
      </w:pPr>
      <w:r>
        <w:rPr/>
        <w:t xml:space="preserve">Valdība uzņēmās šo pienākumu kā turpinājumu konferencei par Eiropas nākotni un paziņoja par vērienīgu turpmāko pasākumu mehānismu pēc valsts konferences, kas aprakstīta šā ziņojuma nākamajā daļā (sk. “metodoloģiskās </w:t>
      </w:r>
      <w:r>
        <w:rPr>
          <w:i/>
        </w:rPr>
        <w:t>puses”</w:t>
      </w:r>
      <w:r>
        <w:rPr/>
        <w:t xml:space="preserve">).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3"/>
        <w:spacing w:lineRule="auto" w:line="240" w:before="0" w:after="0"/>
        <w:ind w:left="0" w:right="0" w:hanging="0"/>
        <w:jc w:val="both"/>
        <w:rPr>
          <w:rFonts w:ascii="Times New Roman" w:hAnsi="Times New Roman"/>
          <w:b/>
          <w:b/>
          <w:color w:val="000000"/>
          <w:sz w:val="24"/>
        </w:rPr>
      </w:pPr>
      <w:r>
        <w:rPr/>
        <w:t xml:space="preserve">B. Metodoloģiskās partijas </w:t>
      </w:r>
    </w:p>
    <w:p>
      <w:pPr>
        <w:pStyle w:val="P68B1DB1Normal19"/>
        <w:widowControl w:val="false"/>
        <w:spacing w:lineRule="auto" w:line="240" w:before="0" w:after="0"/>
        <w:ind w:left="0" w:right="0" w:hanging="0"/>
        <w:jc w:val="both"/>
        <w:rPr/>
      </w:pPr>
      <w:r>
        <w:rPr/>
        <w:t xml:space="preserve">Šīs trīs valsts saistības tika atspoguļotas apspriežu metodoloģijā </w:t>
      </w:r>
      <w:r>
        <w:rPr>
          <w:b/>
        </w:rPr>
        <w:t>septiņu spēcīgu metodoloģisku aizspriedumu</w:t>
      </w:r>
      <w:r>
        <w:rPr/>
        <w:t xml:space="preserve"> veidā. </w:t>
      </w:r>
    </w:p>
    <w:p>
      <w:pPr>
        <w:pStyle w:val="Normal"/>
        <w:widowControl w:val="false"/>
        <w:spacing w:lineRule="auto" w:line="240" w:before="0" w:after="0"/>
        <w:ind w:left="0" w:right="0" w:hanging="0"/>
        <w:jc w:val="both"/>
        <w:rPr>
          <w:rFonts w:ascii="Times New Roman" w:hAnsi="Times New Roman"/>
          <w:color w:val="000000"/>
          <w:sz w:val="24"/>
        </w:rPr>
      </w:pPr>
      <w:r>
        <w:rPr>
          <w:rFonts w:ascii="Times New Roman" w:hAnsi="Times New Roman"/>
          <w:color w:val="000000"/>
          <w:sz w:val="24"/>
        </w:rPr>
      </w:r>
    </w:p>
    <w:p>
      <w:pPr>
        <w:pStyle w:val="P68B1DB1Normal35"/>
        <w:widowControl w:val="false"/>
        <w:spacing w:lineRule="auto" w:line="240" w:before="0" w:after="0"/>
        <w:ind w:left="0" w:right="0" w:hanging="0"/>
        <w:jc w:val="both"/>
        <w:rPr/>
      </w:pPr>
      <w:r>
        <w:rPr>
          <w:rFonts w:ascii="Times New Roman" w:hAnsi="Times New Roman"/>
        </w:rPr>
        <w:t>1.</w:t>
      </w:r>
      <w:r>
        <w:rPr/>
        <w:t xml:space="preserve"> </w:t>
      </w:r>
      <w:r>
        <w:rPr>
          <w:rFonts w:ascii="Times New Roman" w:hAnsi="Times New Roman"/>
        </w:rPr>
        <w:t>Teritorializācija un tuvums</w:t>
      </w:r>
    </w:p>
    <w:p>
      <w:pPr>
        <w:pStyle w:val="P68B1DB1Normal24"/>
        <w:widowControl w:val="false"/>
        <w:spacing w:lineRule="auto" w:line="240" w:before="0" w:after="0"/>
        <w:ind w:left="0" w:right="0" w:hanging="0"/>
        <w:jc w:val="both"/>
        <w:rPr/>
      </w:pPr>
      <w:r>
        <w:rPr/>
        <w:t xml:space="preserve">Konferences par Eiropas nākotni valsts komponents bija 18 reģionālās konferences 13 lielpilsētu reģionos un 5 Francijas ultrajūras reģionos, kam sekoja valsts konference Parīzē. Izvēloties organizēt paneļdiskusijus vietējā līmenī, tika </w:t>
      </w:r>
      <w:r>
        <w:rPr>
          <w:b/>
        </w:rPr>
        <w:t>pausta vēlme pēc iespējas tuvināties iedzīvotājiem</w:t>
      </w:r>
      <w:r>
        <w:rPr/>
        <w:t xml:space="preserve">. Šī neobjektivitāte arī bagātināja apspriešanos, parādot konsensa un nesaskaņas starp teritorijām dažādos jautājumos.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2.</w:t>
      </w:r>
      <w:r>
        <w:rPr/>
        <w:t xml:space="preserve"> </w:t>
      </w:r>
      <w:r>
        <w:rPr>
          <w:rFonts w:ascii="Times New Roman" w:hAnsi="Times New Roman"/>
        </w:rPr>
        <w:t>Iedzīvotāju profilu daudzveidība un izlozes izmantošana</w:t>
      </w:r>
    </w:p>
    <w:p>
      <w:pPr>
        <w:pStyle w:val="P68B1DB1Normal24"/>
        <w:widowControl w:val="false"/>
        <w:spacing w:lineRule="auto" w:line="240" w:before="0" w:after="0"/>
        <w:ind w:left="0" w:right="0" w:hanging="0"/>
        <w:jc w:val="both"/>
        <w:rPr/>
      </w:pPr>
      <w:r>
        <w:rPr/>
        <w:t xml:space="preserve">Pirms šā procesa tika izvirzīts mērķis pieņemt darbā 50 pilsoņus katrā reģionālajā konferencē, izņemot Martinikas, Majotas, Gvadelupas un Gajānas ultramarīnas konferences ar 30 līdz 40 pilsoņiem un Grand Est konferenci, kurā piedalījās arī 5 Vācijas pilsoņi no trim pierobežas Landers. </w:t>
      </w:r>
      <w:r>
        <w:rPr>
          <w:b/>
        </w:rPr>
        <w:t>Nejauša tālruņa</w:t>
      </w:r>
      <w:r>
        <w:rPr/>
        <w:t xml:space="preserve"> numuru ģenerēšana ļāva piesaistīt daudz iedzīvotāju, kas uzaicināti piedalīties reģionālajās konferencēs. </w:t>
      </w:r>
    </w:p>
    <w:p>
      <w:pPr>
        <w:pStyle w:val="P68B1DB1Normal24"/>
        <w:widowControl w:val="false"/>
        <w:spacing w:lineRule="auto" w:line="240" w:before="0" w:after="0"/>
        <w:ind w:left="0" w:right="0" w:hanging="0"/>
        <w:jc w:val="both"/>
        <w:rPr/>
      </w:pPr>
      <w:r>
        <w:rPr/>
        <w:t xml:space="preserve">Lai varētu pretendēt uz izlozi, izlozē iesaistītajiem pilsoņiem bija jābūt vecākiem par 18 gadiem un jābūt Francijas vai pastāvīgajiem iedzīvotājiem, kuri atrodas pastāvīgā situācijā. Katrai reģionālajai pilsoņu grupai bija </w:t>
      </w:r>
      <w:r>
        <w:rPr>
          <w:b/>
        </w:rPr>
        <w:t>jāpārstāv reģionālo iedzīvotāju daudzveidība</w:t>
      </w:r>
      <w:r>
        <w:rPr/>
        <w:t xml:space="preserve">un jāapvieno dažādi </w:t>
      </w:r>
      <w:r>
        <w:rPr>
          <w:b/>
        </w:rPr>
        <w:t>viedokļi par Eiropu</w:t>
      </w:r>
      <w:r>
        <w:rPr/>
        <w:t xml:space="preserve">. Precīza metodika pieņemšanai darbā, izlozējot izlozes, ir izklāstīta II pielikumā. </w:t>
      </w:r>
    </w:p>
    <w:p>
      <w:pPr>
        <w:pStyle w:val="Normal"/>
        <w:widowControl w:val="false"/>
        <w:spacing w:lineRule="auto" w:line="240" w:before="0" w:after="0"/>
        <w:ind w:left="0" w:right="0" w:hanging="0"/>
        <w:jc w:val="both"/>
        <w:rPr>
          <w:rFonts w:ascii="Times New Roman" w:hAnsi="Times New Roman"/>
          <w:color w:val="000000"/>
          <w:sz w:val="22"/>
        </w:rPr>
      </w:pPr>
      <w:r>
        <w:rPr>
          <w:rFonts w:ascii="Times New Roman" w:hAnsi="Times New Roman"/>
          <w:color w:val="000000"/>
          <w:sz w:val="22"/>
        </w:rPr>
      </w:r>
    </w:p>
    <w:p>
      <w:pPr>
        <w:pStyle w:val="P68B1DB1Normal35"/>
        <w:widowControl w:val="false"/>
        <w:spacing w:lineRule="auto" w:line="240" w:before="0" w:after="0"/>
        <w:ind w:left="0" w:right="0" w:hanging="0"/>
        <w:jc w:val="both"/>
        <w:rPr/>
      </w:pPr>
      <w:r>
        <w:rPr>
          <w:rFonts w:ascii="Times New Roman" w:hAnsi="Times New Roman"/>
        </w:rPr>
        <w:t>3.</w:t>
      </w:r>
      <w:r>
        <w:rPr/>
        <w:t xml:space="preserve"> </w:t>
      </w:r>
      <w:r>
        <w:rPr>
          <w:rFonts w:ascii="Times New Roman" w:hAnsi="Times New Roman"/>
        </w:rPr>
        <w:t>Pieejas pārredzamība</w:t>
      </w:r>
    </w:p>
    <w:p>
      <w:pPr>
        <w:pStyle w:val="P68B1DB1Normal24"/>
        <w:widowControl w:val="false"/>
        <w:spacing w:lineRule="auto" w:line="240" w:before="0" w:after="0"/>
        <w:ind w:left="0" w:right="0" w:hanging="0"/>
        <w:jc w:val="both"/>
        <w:rPr/>
      </w:pPr>
      <w:r>
        <w:rPr>
          <w:b/>
        </w:rPr>
        <w:t>Trīs galvotāju kolēģija</w:t>
      </w:r>
      <w:r>
        <w:rPr/>
        <w:t xml:space="preserve">, ko iecēlis valsts sekretārs Eiropas lietās, Nacionālās asamblejas priekšsēdētājs un Eiropas Parlamenta priekšsēdētājs, sekoja visam procesam, lai nodrošinātu tās neitralitāti un regularitāti. Jo īpaši galvotāji ir: uzraudzīja lozējot atlasīto pilsoņu darbā pieņemšanas patiesumu, sniedza ieteikumus ekspertu atlasei un nodrošināja, ka debates ir labi organizētas. Procedūras beigās galvotāji publiskos savu viedokli par apspriešanos. Šis dokuments tiks publicēts valsts pilsoņu līdzdalības platformā. </w:t>
      </w:r>
    </w:p>
    <w:p>
      <w:pPr>
        <w:pStyle w:val="P68B1DB1Normal24"/>
        <w:widowControl w:val="false"/>
        <w:spacing w:lineRule="auto" w:line="240" w:before="0" w:after="0"/>
        <w:ind w:left="0" w:right="0" w:hanging="0"/>
        <w:jc w:val="both"/>
        <w:rPr/>
      </w:pPr>
      <w:r>
        <w:rPr/>
        <w:t xml:space="preserve">Tiks publicēta arī platformā, kas paredzēta valsts pilsoņu līdzdalībai: astoņpadsmit reģionālo konferenču kopsavilkumi, visu reģionālajās konferencēs pausto izmaiņu kopsavilkums, nacionālās konferences kopsavilkums un, visbeidzot, valdībai iesniegtais galīgais ziņojums. </w:t>
      </w:r>
    </w:p>
    <w:p>
      <w:pPr>
        <w:pStyle w:val="P68B1DB1Normal19"/>
        <w:widowControl w:val="false"/>
        <w:spacing w:lineRule="auto" w:line="240" w:before="0" w:after="0"/>
        <w:ind w:left="0" w:right="0" w:hanging="0"/>
        <w:jc w:val="both"/>
        <w:rPr>
          <w:rFonts w:ascii="Times New Roman" w:hAnsi="Times New Roman"/>
          <w:color w:val="000000"/>
          <w:sz w:val="24"/>
        </w:rPr>
      </w:pPr>
      <w:r>
        <w:rPr/>
        <w:t xml:space="preserve"> </w:t>
      </w:r>
    </w:p>
    <w:p>
      <w:pPr>
        <w:pStyle w:val="P68B1DB1Normal35"/>
        <w:spacing w:lineRule="auto" w:line="240" w:before="0" w:after="0"/>
        <w:ind w:left="0" w:right="0" w:hanging="0"/>
        <w:jc w:val="both"/>
        <w:rPr/>
      </w:pPr>
      <w:r>
        <w:rPr>
          <w:rFonts w:ascii="Times New Roman" w:hAnsi="Times New Roman"/>
        </w:rPr>
        <w:t>4.</w:t>
      </w:r>
      <w:r>
        <w:rPr/>
        <w:t xml:space="preserve"> </w:t>
      </w:r>
      <w:r>
        <w:rPr>
          <w:rFonts w:ascii="Times New Roman" w:hAnsi="Times New Roman"/>
        </w:rPr>
        <w:t>Atklātas debates bez uzspiestas tēmas</w:t>
      </w:r>
    </w:p>
    <w:p>
      <w:pPr>
        <w:pStyle w:val="P68B1DB1Normal24"/>
        <w:widowControl w:val="false"/>
        <w:spacing w:lineRule="auto" w:line="240" w:before="215" w:after="0"/>
        <w:ind w:left="1" w:right="0" w:hanging="0"/>
        <w:jc w:val="left"/>
        <w:rPr/>
      </w:pPr>
      <w:r>
        <w:rPr/>
        <w:t xml:space="preserve">Saistībā ar šo apspriešanos valsts līmenī tika formulēts viens jautājums iesaistīto pilsoņu uzmanībai: “ </w:t>
      </w:r>
      <w:r>
        <w:rPr>
          <w:i/>
        </w:rPr>
        <w:t>Kā Francijas pilsoņi, kādas pārmaiņas jūs vēlaties Eiropā?</w:t>
      </w:r>
      <w:r>
        <w:rPr/>
        <w:t xml:space="preserve">”. </w:t>
      </w:r>
    </w:p>
    <w:p>
      <w:pPr>
        <w:pStyle w:val="P68B1DB1Normal24"/>
        <w:widowControl w:val="false"/>
        <w:spacing w:lineRule="auto" w:line="240" w:before="235" w:after="0"/>
        <w:ind w:left="1" w:right="0" w:hanging="0"/>
        <w:jc w:val="both"/>
        <w:rPr/>
      </w:pPr>
      <w:r>
        <w:rPr/>
        <w:t xml:space="preserve">Pateicoties ieviestajai un ieviestajai metodikai, iedzīvotāji varēja pašiem noteikt vēlamo izmaiņu darba kārtību, to neierobežojot ar konkrētu tēmu vai iepriekšēju normatīvu struktūru. </w:t>
      </w:r>
    </w:p>
    <w:p>
      <w:pPr>
        <w:pStyle w:val="Normal"/>
        <w:widowControl w:val="false"/>
        <w:spacing w:lineRule="auto" w:line="240" w:before="233" w:after="0"/>
        <w:ind w:left="1" w:right="1" w:hanging="0"/>
        <w:jc w:val="both"/>
        <w:rPr/>
      </w:pPr>
      <w:r>
        <w:rPr>
          <w:rFonts w:ascii="Times New Roman" w:hAnsi="Times New Roman"/>
          <w:color w:val="000000"/>
        </w:rPr>
        <w:t>Mērķis bija ļaut reģionālo konferenču iedzīvotājiem baudīt pilnīgu brīvību jautājumos, kurus viņi vēlas risināt. Tādējādi Eiropas un Ārlietu ministrija Konferences par Eiropas nākotni valsts daļā ir izvēlējusies izstrādāt papildinošu pieeju Eiropas mācībām, kuras pamatā ir deviņas tēmas: klimata pārmaiņas un vide; veselība; spēcīgāka ekonomika, sociālais taisnīgums un nodarbinātība; ES pasaulē; vērtības un tiesības, tiesiskums, drošība; digitālā pārveide; Eiropas demokrātija; migrācija; izglītība, kultūra, jaunatne un sports; citas idejas</w:t>
      </w:r>
      <w:r>
        <w:rPr>
          <w:rStyle w:val="Ancredenotedebasdepage"/>
          <w:rStyle w:val="Ancredenotedebasdepage"/>
          <w:rFonts w:ascii="Times New Roman" w:hAnsi="Times New Roman"/>
          <w:color w:val="000000"/>
          <w:sz w:val="14"/>
        </w:rPr>
        <w:footnoteReference w:id="15"/>
      </w:r>
      <w:r>
        <w:rPr>
          <w:rFonts w:ascii="Times New Roman" w:hAnsi="Times New Roman"/>
          <w:color w:val="000000"/>
        </w:rPr>
        <w:t xml:space="preserve">. </w:t>
      </w:r>
    </w:p>
    <w:p>
      <w:pPr>
        <w:pStyle w:val="P68B1DB1Normal24"/>
        <w:widowControl w:val="false"/>
        <w:spacing w:lineRule="auto" w:line="240" w:before="235" w:after="0"/>
        <w:ind w:left="0" w:right="2" w:hanging="0"/>
        <w:jc w:val="left"/>
        <w:rPr/>
      </w:pPr>
      <w:r>
        <w:rPr/>
        <w:t xml:space="preserve">Tādējādi reģionālo konferenču apmaiņas tēmas definēja paši pilsoņi, nevis pasākuma sponsors. </w:t>
      </w:r>
    </w:p>
    <w:p>
      <w:pPr>
        <w:pStyle w:val="P68B1DB1Normal35"/>
        <w:widowControl w:val="false"/>
        <w:spacing w:lineRule="exact" w:line="379" w:before="352" w:after="0"/>
        <w:ind w:left="358" w:right="0" w:hanging="0"/>
        <w:jc w:val="left"/>
        <w:rPr/>
      </w:pPr>
      <w:r>
        <w:rPr>
          <w:rFonts w:ascii="Times New Roman" w:hAnsi="Times New Roman"/>
        </w:rPr>
        <w:t>5.</w:t>
      </w:r>
      <w:r>
        <w:rPr/>
        <w:t xml:space="preserve"> </w:t>
      </w:r>
      <w:r>
        <w:rPr>
          <w:rFonts w:ascii="Times New Roman" w:hAnsi="Times New Roman"/>
        </w:rPr>
        <w:t>Apgrieztās zināšanas</w:t>
      </w:r>
    </w:p>
    <w:p>
      <w:pPr>
        <w:pStyle w:val="P68B1DB1Normal24"/>
        <w:widowControl w:val="false"/>
        <w:spacing w:lineRule="auto" w:line="240" w:before="218" w:after="0"/>
        <w:ind w:left="1" w:right="0" w:hanging="0"/>
        <w:jc w:val="left"/>
        <w:rPr/>
      </w:pPr>
      <w:r>
        <w:rPr/>
        <w:t xml:space="preserve">Lai pēc iespējas mazāk ietekmētu Eiropas vēlmju apzināšanas procesa dalībniekus, tika izvēlēts </w:t>
      </w:r>
      <w:r>
        <w:rPr>
          <w:b/>
        </w:rPr>
        <w:t>nevis sniegt iepriekšēju informāciju vai speciālās zināšanas (piemēram</w:t>
      </w:r>
      <w:r>
        <w:rPr/>
        <w:t xml:space="preserve">, par pašreizējo Eiropas Savienības projektu, tās kompetenci vai iestāžu darbību), bet gan sākt ar pašu pilsoņu jautājumiem. Šī metodoloģiskā neobjektivitāte ir balstīta uz “ </w:t>
      </w:r>
      <w:r>
        <w:rPr>
          <w:i/>
        </w:rPr>
        <w:t>apgrieztās pieredzes</w:t>
      </w:r>
      <w:r>
        <w:rPr/>
        <w:t xml:space="preserve">” principu, saskaņā ar kuru </w:t>
      </w:r>
      <w:r>
        <w:rPr>
          <w:b/>
        </w:rPr>
        <w:t>kolektīvās pārdomas</w:t>
      </w:r>
      <w:r>
        <w:rPr/>
        <w:t xml:space="preserve"> tiek veidotas, pamatojoties uz iedzīvotāju pieredzi un viedokļiem, kuri pēc tam apšauba ekspertus, lai atbalstītu viņu diskusijas un konsolidētu savas darba hipotēzes. </w:t>
      </w:r>
    </w:p>
    <w:p>
      <w:pPr>
        <w:pStyle w:val="P68B1DB1Normal24"/>
        <w:widowControl w:val="false"/>
        <w:spacing w:lineRule="auto" w:line="240" w:before="232" w:after="0"/>
        <w:ind w:left="0" w:right="0" w:hanging="0"/>
        <w:jc w:val="both"/>
        <w:rPr/>
      </w:pPr>
      <w:r>
        <w:rPr/>
        <w:t xml:space="preserve">Lai sasniegtu šo mērķi, dažādos reģionos (vidēji trijos) tika mobilizēti </w:t>
      </w:r>
      <w:r>
        <w:rPr>
          <w:b/>
        </w:rPr>
        <w:t>eksperti</w:t>
      </w:r>
      <w:r>
        <w:rPr/>
        <w:t xml:space="preserve">, jo īpaši no akadēmiskajām aprindām un Europe Direct informācijas centriem attiecīgajās teritorijās. Viņi bija klāt sestdien un svētdien, lai atbildētu uz pilsoņu jautājumiem, uzstājoties tikai pēc viņu pieprasījuma. Faktu </w:t>
      </w:r>
      <w:r>
        <w:rPr>
          <w:b/>
        </w:rPr>
        <w:t>pārbaudītāji</w:t>
      </w:r>
      <w:r>
        <w:rPr/>
        <w:t xml:space="preserve"> bija arī sasniedzami</w:t>
      </w:r>
      <w:r>
        <w:rPr>
          <w:i/>
        </w:rPr>
        <w:t>,</w:t>
      </w:r>
      <w:r>
        <w:rPr/>
        <w:t xml:space="preserve">lai ātri pārbaudītu iedzīvotāju uzdotos faktiskos jautājumus. </w:t>
      </w:r>
    </w:p>
    <w:p>
      <w:pPr>
        <w:pStyle w:val="P68B1DB1Normal24"/>
        <w:widowControl w:val="false"/>
        <w:spacing w:lineRule="auto" w:line="240" w:before="235" w:after="0"/>
        <w:ind w:left="0" w:right="1" w:hanging="0"/>
        <w:jc w:val="both"/>
        <w:rPr/>
      </w:pPr>
      <w:r>
        <w:rPr/>
        <w:t xml:space="preserve">EESK Nacionālajā sintēzes konferencē darba grupās piedalījās 19 augsta līmeņa eksperti no akadēmiskajām aprindām, ideju laboratorijām un diplomātiskā korpusa. Šie eksperti pavadīja grupu visu nedēļas nogali, ļaujot viņiem padziļināt reģionos izteiktās pārmaiņas. </w:t>
      </w:r>
    </w:p>
    <w:p>
      <w:pPr>
        <w:pStyle w:val="Normal"/>
        <w:spacing w:lineRule="auto" w:line="240" w:before="0" w:after="0"/>
        <w:ind w:left="0" w:right="0" w:hanging="0"/>
        <w:jc w:val="both"/>
        <w:rPr/>
      </w:pPr>
      <w:r>
        <w:rPr/>
      </w:r>
    </w:p>
    <w:p>
      <w:pPr>
        <w:pStyle w:val="P68B1DB1Normal35"/>
        <w:spacing w:lineRule="auto" w:line="240" w:before="0" w:after="0"/>
        <w:ind w:left="0" w:right="0" w:hanging="0"/>
        <w:jc w:val="both"/>
        <w:rPr/>
      </w:pPr>
      <w:r>
        <w:rPr>
          <w:rFonts w:ascii="Times New Roman" w:hAnsi="Times New Roman"/>
        </w:rPr>
        <w:t>6.</w:t>
      </w:r>
      <w:r>
        <w:rPr/>
        <w:t xml:space="preserve"> </w:t>
      </w:r>
      <w:r>
        <w:rPr>
          <w:rFonts w:ascii="Times New Roman" w:hAnsi="Times New Roman"/>
        </w:rPr>
        <w:t>Koleģialitāte un Agile pārvaldība</w:t>
      </w:r>
    </w:p>
    <w:p>
      <w:pPr>
        <w:pStyle w:val="P68B1DB1Normal24"/>
        <w:widowControl w:val="false"/>
        <w:spacing w:lineRule="auto" w:line="240" w:before="212" w:after="0"/>
        <w:ind w:left="0" w:right="0" w:hanging="0"/>
        <w:jc w:val="left"/>
        <w:rPr/>
      </w:pPr>
      <w:r>
        <w:rPr/>
        <w:t xml:space="preserve">Visu procesu </w:t>
      </w:r>
      <w:r>
        <w:rPr>
          <w:b/>
        </w:rPr>
        <w:t>kopīgi veidoja</w:t>
      </w:r>
      <w:r>
        <w:rPr/>
        <w:t xml:space="preserve"> Eiropas un Ārlietu ministrija (MEAE). </w:t>
      </w:r>
    </w:p>
    <w:p>
      <w:pPr>
        <w:pStyle w:val="P68B1DB1Normal24"/>
        <w:widowControl w:val="false"/>
        <w:spacing w:lineRule="auto" w:line="240"/>
        <w:ind w:left="0" w:right="4" w:hanging="0"/>
        <w:jc w:val="both"/>
        <w:rPr/>
      </w:pPr>
      <w:r>
        <w:rPr/>
        <w:t xml:space="preserve">ar Sabiedriskās pārveides starpministriju direktorāta (DITP) un Parlamentāro attiecību un pilsoņu līdzdalības ministrijas (MRPC) Starpministriju pilsoņu līdzdalības centra (ICPC) līdzdalības stratēģijas atbalstu. Shēmu īstenoja piegādātāju konsorcijs, kas sastāvēja no Roland Berger, Wavestone, Missions Publiques un Harris Interactive procesa vadīšanai, konferenču aktivizēšanai, iedzīvotāju sagatavošanai un ziņojumu un kopsavilkumu sagatavošanai sadarbībā ar reģionālajām prefektūrām reģionālo konferenču vietējai organizēšanai. </w:t>
      </w:r>
    </w:p>
    <w:p>
      <w:pPr>
        <w:pStyle w:val="P68B1DB1Normal24"/>
        <w:widowControl w:val="false"/>
        <w:spacing w:lineRule="auto" w:line="240" w:before="232" w:after="0"/>
        <w:ind w:left="0" w:right="4" w:hanging="0"/>
        <w:jc w:val="left"/>
        <w:rPr/>
      </w:pPr>
      <w:r>
        <w:rPr>
          <w:b/>
        </w:rPr>
        <w:t>Īpaša pārvaldība</w:t>
      </w:r>
      <w:r>
        <w:rPr/>
        <w:t xml:space="preserve"> ir izveidota, izmantojot projekta grupu, kuru vada MEAE un kura apvieno CPIC, MRPC un piegādātāju konsorciju. </w:t>
      </w:r>
    </w:p>
    <w:p>
      <w:pPr>
        <w:pStyle w:val="P68B1DB1Normal35"/>
        <w:widowControl w:val="false"/>
        <w:spacing w:lineRule="auto" w:line="240" w:before="354" w:after="0"/>
        <w:ind w:left="358" w:right="0" w:hanging="0"/>
        <w:jc w:val="left"/>
        <w:rPr/>
      </w:pPr>
      <w:r>
        <w:rPr>
          <w:rFonts w:ascii="Times New Roman" w:hAnsi="Times New Roman"/>
        </w:rPr>
        <w:t>7.</w:t>
      </w:r>
      <w:r>
        <w:rPr/>
        <w:t xml:space="preserve"> </w:t>
      </w:r>
      <w:r>
        <w:rPr>
          <w:rFonts w:ascii="Times New Roman" w:hAnsi="Times New Roman"/>
        </w:rPr>
        <w:t>Pienākums veikt turpmākus pasākumus un sasaisti ar Eiropas mācībām</w:t>
      </w:r>
    </w:p>
    <w:p>
      <w:pPr>
        <w:pStyle w:val="P68B1DB1Normal19"/>
        <w:widowControl w:val="false"/>
        <w:spacing w:lineRule="auto" w:line="240" w:before="211" w:after="0"/>
        <w:ind w:left="0" w:right="0" w:hanging="0"/>
        <w:jc w:val="left"/>
        <w:rPr/>
      </w:pPr>
      <w:r>
        <w:rPr/>
        <w:t xml:space="preserve">Saistībā ar valsts konferenci tika paziņoti vairāki </w:t>
      </w:r>
      <w:r>
        <w:rPr>
          <w:b/>
        </w:rPr>
        <w:t>Francijas iestāžu turpmākie pasākumi</w:t>
      </w:r>
      <w:r>
        <w:rPr/>
        <w:t xml:space="preserve"> pēc konferences par Eiropas nākotni īstenošanas: </w:t>
      </w:r>
    </w:p>
    <w:p>
      <w:pPr>
        <w:pStyle w:val="P68B1DB1Normal34"/>
        <w:widowControl w:val="false"/>
        <w:spacing w:lineRule="auto" w:line="240" w:before="333" w:after="0"/>
        <w:ind w:left="720" w:right="0" w:hanging="359"/>
        <w:jc w:val="both"/>
        <w:rPr/>
      </w:pPr>
      <w:r>
        <w:rPr>
          <w:rFonts w:ascii="Calibri" w:hAnsi="Calibri"/>
        </w:rPr>
        <w:t>—</w:t>
      </w:r>
      <w:r>
        <w:rPr/>
        <w:t xml:space="preserve"> </w:t>
      </w:r>
      <w:r>
        <w:rPr>
          <w:rFonts w:ascii="Times New Roman" w:hAnsi="Times New Roman"/>
          <w:b/>
        </w:rPr>
        <w:t>Darīt pieejamu visu informāciju</w:t>
      </w:r>
      <w:r>
        <w:rPr>
          <w:rFonts w:ascii="Times New Roman" w:hAnsi="Times New Roman"/>
        </w:rPr>
        <w:t xml:space="preserve"> par pieeju, šo dokumentu, kā arī reģionālo un nacionālo konferenču kopsavilkuma ziņojumus pārredzamā un pieejamā veidā visiem par jauno platformu pilsoņu līdzdalībai, kas tika uzsākta saistībā ar atgriešanos pie valdības; </w:t>
      </w:r>
    </w:p>
    <w:p>
      <w:pPr>
        <w:pStyle w:val="P68B1DB1Normal34"/>
        <w:widowControl w:val="false"/>
        <w:spacing w:lineRule="auto" w:line="240" w:before="90" w:after="0"/>
        <w:ind w:left="360" w:right="0" w:hanging="0"/>
        <w:jc w:val="left"/>
        <w:rPr/>
      </w:pPr>
      <w:r>
        <w:rPr>
          <w:rFonts w:ascii="Calibri" w:hAnsi="Calibri"/>
        </w:rPr>
        <w:t>Pasākuma</w:t>
      </w:r>
      <w:r>
        <w:rPr/>
        <w:t xml:space="preserve"> </w:t>
      </w:r>
      <w:r>
        <w:rPr>
          <w:rFonts w:ascii="Times New Roman" w:hAnsi="Times New Roman"/>
        </w:rPr>
        <w:t xml:space="preserve">organizēšana, </w:t>
      </w:r>
      <w:r>
        <w:rPr>
          <w:rFonts w:ascii="Times New Roman" w:hAnsi="Times New Roman"/>
          <w:b/>
        </w:rPr>
        <w:t>lai 2021. gada novembrī pie valdības atgrieztu</w:t>
      </w:r>
      <w:r>
        <w:rPr>
          <w:rFonts w:ascii="Times New Roman" w:hAnsi="Times New Roman"/>
        </w:rPr>
        <w:t xml:space="preserve"> konferences par Eiropas nākotni valsts komponenta galīgo ziņojumu; </w:t>
      </w:r>
    </w:p>
    <w:p>
      <w:pPr>
        <w:pStyle w:val="P68B1DB1Normal34"/>
        <w:widowControl w:val="false"/>
        <w:spacing w:lineRule="auto" w:line="240" w:before="90" w:after="0"/>
        <w:ind w:left="720" w:right="0" w:hanging="359"/>
        <w:jc w:val="both"/>
        <w:rPr/>
      </w:pPr>
      <w:r>
        <w:rPr>
          <w:rFonts w:ascii="Calibri" w:hAnsi="Calibri"/>
        </w:rPr>
        <w:t>—</w:t>
      </w:r>
      <w:r>
        <w:rPr/>
        <w:t xml:space="preserve"> </w:t>
      </w:r>
      <w:r>
        <w:rPr>
          <w:rFonts w:ascii="Times New Roman" w:hAnsi="Times New Roman"/>
          <w:b/>
        </w:rPr>
        <w:t xml:space="preserve">Pilsoņu uzraudzības komitejas </w:t>
      </w:r>
      <w:r>
        <w:rPr>
          <w:rFonts w:ascii="Times New Roman" w:hAnsi="Times New Roman"/>
        </w:rPr>
        <w:t>izveide, lai</w:t>
      </w:r>
      <w:r>
        <w:rPr>
          <w:rFonts w:ascii="Times New Roman" w:hAnsi="Times New Roman"/>
          <w:b/>
        </w:rPr>
        <w:t xml:space="preserve"> nodrošinātu, ka procesa iznākums atbilst iesniegtajiem priekšlikumiem. Šīs komitejas sastāvā būs 15 iedzīvotāji, tostarp 14 reģionālo konferenču dalībnieki un viens dalībnieks no apspriešanās “Words </w:t>
      </w:r>
      <w:r>
        <w:rPr>
          <w:rFonts w:ascii="Times New Roman" w:hAnsi="Times New Roman"/>
          <w:i/>
        </w:rPr>
        <w:t>to Youth”</w:t>
      </w:r>
      <w:r>
        <w:rPr>
          <w:rFonts w:ascii="Times New Roman" w:hAnsi="Times New Roman"/>
          <w:b/>
        </w:rPr>
        <w:t xml:space="preserve">; </w:t>
      </w:r>
    </w:p>
    <w:p>
      <w:pPr>
        <w:pStyle w:val="P68B1DB1Normal34"/>
        <w:widowControl w:val="false"/>
        <w:spacing w:lineRule="auto" w:line="240" w:before="95" w:after="0"/>
        <w:ind w:left="360" w:right="0" w:hanging="0"/>
        <w:jc w:val="left"/>
        <w:rPr/>
      </w:pPr>
      <w:r>
        <w:rPr>
          <w:rFonts w:ascii="Calibri" w:hAnsi="Calibri"/>
        </w:rPr>
        <w:t>Francijas</w:t>
      </w:r>
      <w:r>
        <w:rPr/>
        <w:t xml:space="preserve"> </w:t>
      </w:r>
      <w:r>
        <w:rPr>
          <w:rFonts w:ascii="Times New Roman" w:hAnsi="Times New Roman"/>
          <w:b/>
        </w:rPr>
        <w:t>ieguldījums konferencē par Eiropas nākotni 2022. gada</w:t>
      </w:r>
      <w:r>
        <w:rPr>
          <w:rFonts w:ascii="Times New Roman" w:hAnsi="Times New Roman"/>
        </w:rPr>
        <w:t xml:space="preserve"> janvārī Eiropas iestādēm</w:t>
      </w:r>
      <w:r>
        <w:rPr>
          <w:rFonts w:ascii="Times New Roman" w:hAnsi="Times New Roman"/>
          <w:b/>
        </w:rPr>
        <w:t xml:space="preserve">; </w:t>
      </w:r>
    </w:p>
    <w:p>
      <w:pPr>
        <w:pStyle w:val="P68B1DB1Normal19"/>
        <w:widowControl w:val="false"/>
        <w:spacing w:lineRule="auto" w:line="240" w:before="87" w:after="0"/>
        <w:ind w:left="0" w:right="0" w:hanging="0"/>
        <w:jc w:val="left"/>
        <w:rPr/>
      </w:pPr>
      <w:r>
        <w:rPr/>
        <w:t xml:space="preserve">Francijas pilsoņu priekšlikumi tiks nodoti dalībvalstu un Eiropas iestāžu kolektīvam pārdomām. Kā valsts, kas 2022. gada pirmajā pusē būs Eiropas Savienības Padomes prezidentvalsts, Francijas ziņā būs paust savu iedzīvotāju viedokli, vienlaikus strādājot pie kopējas nostājas definēšanas kontinenta mērogā. </w:t>
      </w:r>
    </w:p>
    <w:p>
      <w:pPr>
        <w:pStyle w:val="Normal"/>
        <w:widowControl w:val="false"/>
        <w:spacing w:lineRule="exact" w:line="498" w:before="85" w:after="0"/>
        <w:ind w:left="0" w:right="0" w:hanging="0"/>
        <w:jc w:val="left"/>
        <w:rPr>
          <w:rFonts w:ascii="Times New Roman" w:hAnsi="Times New Roman"/>
          <w:b/>
          <w:b/>
          <w:color w:val="000000"/>
          <w:sz w:val="30"/>
        </w:rPr>
      </w:pPr>
      <w:r>
        <w:rPr>
          <w:rFonts w:ascii="Times New Roman" w:hAnsi="Times New Roman"/>
          <w:b/>
          <w:color w:val="000000"/>
          <w:sz w:val="30"/>
        </w:rPr>
      </w:r>
      <w:r>
        <w:br w:type="page"/>
      </w:r>
    </w:p>
    <w:p>
      <w:pPr>
        <w:pStyle w:val="P68B1DB1Titre236"/>
        <w:numPr>
          <w:ilvl w:val="0"/>
          <w:numId w:val="2"/>
        </w:numPr>
        <w:rPr/>
      </w:pPr>
      <w:bookmarkStart w:id="211" w:name="__RefHeading___Toc300456_1346298689"/>
      <w:bookmarkEnd w:id="211"/>
      <w:r>
        <w:rPr/>
        <w:t xml:space="preserve">Pirmā daļa: iepazīstināšana ar reģionālo konferenču par Eiropas nākotni rezultātiem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153" w:after="0"/>
        <w:ind w:left="506" w:right="29" w:hanging="0"/>
        <w:jc w:val="both"/>
        <w:rPr/>
      </w:pPr>
      <w:r>
        <w:rPr/>
        <w:t xml:space="preserve">Katrā no 18 reģionālajām konferencēm iedzīvotāji izteica savas vēlmes attiecībā uz 2035. gada Eiropu individuāli un pēc tam kā grupu. Katrā reģionā izveidojās no 3 līdz 8 vēlmju grupām, kā rezultātā </w:t>
      </w:r>
      <w:r>
        <w:rPr>
          <w:b/>
        </w:rPr>
        <w:t>visā Francijā kopumā bija vēlama 101 Eiropa</w:t>
      </w:r>
      <w:r>
        <w:rPr/>
        <w:t xml:space="preserve">. Pēc tam iedzīvotāji formulēja izmaiņas, kuras viņi uzskatīja par vajadzīgām, lai sasniegtu vēlamo Eiropu, un pēc tam ilustrēja tās ar konkrētiem pasākumiem. Šis process kopumā radīja </w:t>
      </w:r>
      <w:r>
        <w:rPr>
          <w:b/>
        </w:rPr>
        <w:t>515 izmaiņas</w:t>
      </w:r>
      <w:r>
        <w:rPr/>
        <w:t xml:space="preserve"> un 1301 </w:t>
      </w:r>
      <w:r>
        <w:rPr>
          <w:b/>
        </w:rPr>
        <w:t xml:space="preserve">konkrētu rīcību visā </w:t>
      </w:r>
      <w:r>
        <w:rPr/>
        <w:t xml:space="preserve">Francijā. </w:t>
      </w:r>
    </w:p>
    <w:p>
      <w:pPr>
        <w:pStyle w:val="P68B1DB1Normal19"/>
        <w:widowControl w:val="false"/>
        <w:pBdr>
          <w:top w:val="single" w:sz="2" w:space="1" w:color="000001"/>
          <w:left w:val="single" w:sz="2" w:space="1" w:color="000001"/>
          <w:bottom w:val="single" w:sz="2" w:space="1" w:color="000001"/>
          <w:right w:val="single" w:sz="2" w:space="1" w:color="000001"/>
        </w:pBdr>
        <w:spacing w:lineRule="auto" w:line="240" w:before="375" w:after="0"/>
        <w:ind w:left="506" w:right="29" w:hanging="0"/>
        <w:jc w:val="both"/>
        <w:rPr/>
      </w:pPr>
      <w:r>
        <w:rPr/>
        <w:t>Nedēļās, kas atdalīja reģionālās konferences un nacionālo konferenci, projekta komanda veica 515 izmaiņas saskaņotās grupās. Visas izmaiņas, kas izteiktas reģionos, tika pakļautas leksikoloģiskai analīzei un tuvas, kad to pamatā esošais nodoms šķita līdzīgs vai tuvs, lai izveidotu valstu konferences darba grupas ar kopīgu vēlmi Eiropai. Visbeidzot</w:t>
      </w:r>
      <w:r>
        <w:rPr>
          <w:b/>
        </w:rPr>
        <w:t>, reģionos konstatētās izmaiņas tika sagrupētas 14 atšķirīgās Eiropas vēlēšanās</w:t>
      </w:r>
      <w:r>
        <w:rPr/>
        <w:t xml:space="preserve">. </w:t>
      </w:r>
    </w:p>
    <w:p>
      <w:pPr>
        <w:pStyle w:val="Normal"/>
        <w:rPr/>
      </w:pPr>
      <w:r>
        <w:rPr/>
        <mc:AlternateContent>
          <mc:Choice Requires="wpg">
            <w:drawing>
              <wp:anchor behindDoc="0" distT="0" distB="0" distL="0" distR="0" simplePos="0" locked="0" layoutInCell="1" allowOverlap="1" relativeHeight="52">
                <wp:simplePos x="0" y="0"/>
                <wp:positionH relativeFrom="column">
                  <wp:posOffset>436880</wp:posOffset>
                </wp:positionH>
                <wp:positionV relativeFrom="paragraph">
                  <wp:posOffset>92075</wp:posOffset>
                </wp:positionV>
                <wp:extent cx="5765800" cy="1319530"/>
                <wp:effectExtent l="0" t="0" r="0" b="0"/>
                <wp:wrapTopAndBottom/>
                <wp:docPr id="94" name="Forma11"/>
                <a:graphic xmlns:a="http://schemas.openxmlformats.org/drawingml/2006/main">
                  <a:graphicData uri="http://schemas.microsoft.com/office/word/2010/wordprocessingGroup">
                    <wpg:wgp>
                      <wpg:cNvGrpSpPr/>
                      <wpg:grpSpPr>
                        <a:xfrm>
                          <a:off x="0" y="0"/>
                          <a:ext cx="5765040" cy="1319040"/>
                        </a:xfrm>
                      </wpg:grpSpPr>
                      <pic:pic xmlns:pic="http://schemas.openxmlformats.org/drawingml/2006/picture">
                        <pic:nvPicPr>
                          <pic:cNvPr id="4" name="" descr=""/>
                          <pic:cNvPicPr/>
                        </pic:nvPicPr>
                        <pic:blipFill>
                          <a:blip r:embed="rId99"/>
                          <a:stretch/>
                        </pic:blipFill>
                        <pic:spPr>
                          <a:xfrm>
                            <a:off x="0" y="0"/>
                            <a:ext cx="5765040" cy="1077480"/>
                          </a:xfrm>
                          <a:prstGeom prst="rect">
                            <a:avLst/>
                          </a:prstGeom>
                          <a:ln>
                            <a:noFill/>
                          </a:ln>
                        </pic:spPr>
                      </pic:pic>
                      <wps:wsp>
                        <wps:cNvSpPr/>
                        <wps:spPr>
                          <a:xfrm>
                            <a:off x="1058040" y="195120"/>
                            <a:ext cx="1094040" cy="875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Vēlmes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Eiropai 2035</w:t>
                              </w:r>
                            </w:p>
                          </w:txbxContent>
                        </wps:txbx>
                        <wps:bodyPr lIns="90000" rIns="90000" tIns="45000" bIns="45000">
                          <a:noAutofit/>
                        </wps:bodyPr>
                      </wps:wsp>
                      <wps:wsp>
                        <wps:cNvSpPr/>
                        <wps:spPr>
                          <a:xfrm>
                            <a:off x="2309040" y="195120"/>
                            <a:ext cx="145404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Izmaiņas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lai sasniegtu šo vēlamo Eiropu</w:t>
                              </w:r>
                            </w:p>
                          </w:txbxContent>
                        </wps:txbx>
                        <wps:bodyPr lIns="90000" rIns="90000" tIns="45000" bIns="45000">
                          <a:noAutofit/>
                        </wps:bodyPr>
                      </wps:wsp>
                      <wps:wsp>
                        <wps:cNvSpPr/>
                        <wps:spPr>
                          <a:xfrm>
                            <a:off x="3931920" y="79200"/>
                            <a:ext cx="1743120" cy="11239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Konkrēti priekšlikumi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šo izmaiņu īstenošanai</w:t>
                              </w:r>
                            </w:p>
                          </w:txbxContent>
                        </wps:txbx>
                        <wps:bodyPr lIns="90000" rIns="90000" tIns="45000" bIns="45000">
                          <a:noAutofit/>
                        </wps:bodyPr>
                      </wps:wsp>
                    </wpg:wgp>
                  </a:graphicData>
                </a:graphic>
              </wp:anchor>
            </w:drawing>
          </mc:Choice>
          <mc:Fallback>
            <w:pict>
              <v:group id="shape_0" alt="Forma11" style="position:absolute;margin-left:34.4pt;margin-top:7.25pt;width:453.95pt;height:103.85pt" coordorigin="688,145" coordsize="9079,2077">
                <v:shape id="shape_0" stroked="f" style="position:absolute;left:688;top:145;width:9078;height:1696" type="shapetype_75">
                  <v:imagedata r:id="rId99" o:detectmouseclick="t"/>
                  <w10:wrap type="none"/>
                  <v:stroke color="#3465a4" joinstyle="round" endcap="flat"/>
                </v:shape>
                <v:rect id="shape_0" stroked="f" style="position:absolute;left:2354;top:452;width:1722;height:1377">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Vēlmes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Eiropai 2035</w:t>
                        </w:r>
                      </w:p>
                    </w:txbxContent>
                  </v:textbox>
                  <w10:wrap type="square"/>
                  <v:fill o:detectmouseclick="t" on="false"/>
                  <v:stroke color="#3465a4" joinstyle="round" endcap="flat"/>
                </v:rect>
                <v:rect id="shape_0" stroked="f" style="position:absolute;left:4325;top:452;width:2289;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Izmaiņas</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lai sasniegtu šo vēlamo Eiropu</w:t>
                        </w:r>
                      </w:p>
                    </w:txbxContent>
                  </v:textbox>
                  <w10:wrap type="square"/>
                  <v:fill o:detectmouseclick="t" on="false"/>
                  <v:stroke color="#3465a4" joinstyle="round" endcap="flat"/>
                </v:rect>
                <v:rect id="shape_0" stroked="f" style="position:absolute;left:6880;top:270;width:2744;height:1769">
                  <v:textbox>
                    <w:txbxContent>
                      <w:p>
                        <w:pPr>
                          <w:spacing w:before="0" w:after="0" w:lineRule="auto" w:line="240"/>
                          <w:ind w:hanging="0"/>
                          <w:jc w:val="left"/>
                          <w:rPr/>
                        </w:pPr>
                        <w:r>
                          <w:rPr>
                            <w:sz w:val="24"/>
                            <w:b/>
                            <w:u w:val="none"/>
                            <w:dstrike w:val="false"/>
                            <w:strike w:val="false"/>
                            <w:i w:val="false"/>
                            <w:vertAlign w:val="baseline"/>
                            <w:position w:val="0"/>
                            <w:spacing w:val="0"/>
                            <w:szCs w:val="24"/>
                            <w:bCs/>
                            <w:iCs w:val="false"/>
                            <w:smallCaps w:val="false"/>
                            <w:caps w:val="false"/>
                            <w:rFonts w:ascii="Times New Roman" w:hAnsi="Times New Roman"/>
                            <w:color w:val="auto"/>
                          </w:rPr>
                          <w:t xml:space="preserve">Konkrēti priekšlikumi </w:t>
                        </w:r>
                        <w:r>
                          <w:rPr>
                            <w:sz w:val="24"/>
                            <w:u w:val="none"/>
                            <w:dstrike w:val="false"/>
                            <w:strike w:val="false"/>
                            <w:i w:val="false"/>
                            <w:vertAlign w:val="baseline"/>
                            <w:position w:val="0"/>
                            <w:spacing w:val="0"/>
                            <w:szCs w:val="24"/>
                            <w:iCs w:val="false"/>
                            <w:smallCaps w:val="false"/>
                            <w:caps w:val="false"/>
                            <w:b w:val="false"/>
                            <w:bCs w:val="false"/>
                            <w:rFonts w:ascii="Times New Roman" w:hAnsi="Times New Roman"/>
                            <w:color w:val="auto"/>
                          </w:rPr>
                          <w:t xml:space="preserve"> šo izmaiņu īstenošanai</w:t>
                        </w:r>
                      </w:p>
                    </w:txbxContent>
                  </v:textbox>
                  <w10:wrap type="square"/>
                  <v:fill o:detectmouseclick="t" on="false"/>
                  <v:stroke color="#3465a4" joinstyle="round" endcap="flat"/>
                </v:rect>
              </v:group>
            </w:pict>
          </mc:Fallback>
        </mc:AlternateConten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Jautājums pilsoņiem</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Kāda ir jūsu vēlme attiecībā uz 2035. gada Eiropu?</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Kādas izmaiņas ir vajadzīgas, lai sasniegtu šo vēlamo Eiropu?</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ind w:left="0" w:right="0" w:hanging="0"/>
              <w:rPr/>
            </w:pPr>
            <w:r>
              <w:rPr/>
              <w:t>Kādus konkrētus priekšlikumus jūs ierosinātu, lai īstenotu šīs izmaiņas?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t>Reģionālo konferenču rezultāti</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101 vēlējums</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515 izmaiņas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1301 konkrēts priekšlikums</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ind w:left="0" w:right="0" w:hanging="0"/>
              <w:rPr/>
            </w:pPr>
            <w:r>
              <w:rPr/>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Pasūtot 515 reģionālās izmaiņas 14 konsekventās organizācijas komandas vēlēšanās</w:t>
            </w:r>
          </w:p>
        </w:tc>
        <w:tc>
          <w:tcPr>
            <w:tcW w:w="4819"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Dalībnieku grupēšana, prioritāšu noteikšana un sīka informācija par izmaiņām nacionālās konferences laikā</w:t>
            </w:r>
          </w:p>
        </w:tc>
      </w:tr>
      <w:tr>
        <w:trPr/>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Valsts konferences rezultāti</w:t>
            </w:r>
          </w:p>
        </w:tc>
        <w:tc>
          <w:tcPr>
            <w:tcW w:w="2409"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14 vēlmes</w:t>
            </w:r>
          </w:p>
        </w:tc>
        <w:tc>
          <w:tcPr>
            <w:tcW w:w="2410" w:type="dxa"/>
            <w:tcBorders>
              <w:left w:val="single" w:sz="4" w:space="0" w:color="000001"/>
              <w:bottom w:val="single" w:sz="4" w:space="0" w:color="000001"/>
              <w:insideH w:val="single" w:sz="4" w:space="0" w:color="000001"/>
            </w:tcBorders>
            <w:shd w:fill="EEEEEE" w:val="clear"/>
          </w:tcPr>
          <w:p>
            <w:pPr>
              <w:pStyle w:val="Normal"/>
              <w:spacing w:before="57" w:after="57"/>
              <w:ind w:left="0" w:right="0" w:hanging="0"/>
              <w:rPr/>
            </w:pPr>
            <w:r>
              <w:rPr/>
              <w:t>80 izmaiņas</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EEEEEE" w:val="clear"/>
          </w:tcPr>
          <w:p>
            <w:pPr>
              <w:pStyle w:val="Normal"/>
              <w:spacing w:before="57" w:after="57"/>
              <w:ind w:left="0" w:right="0" w:hanging="0"/>
              <w:rPr/>
            </w:pPr>
            <w:r>
              <w:rPr/>
              <w:t>Galvenie īstenošanas posmi un panākumu kritēriji katrai izmaiņai</w:t>
            </w:r>
          </w:p>
        </w:tc>
      </w:tr>
    </w:tbl>
    <w:p>
      <w:pPr>
        <w:pStyle w:val="Normal"/>
        <w:rPr/>
      </w:pPr>
      <w:r>
        <w:rPr/>
      </w:r>
      <w:r>
        <w:br w:type="page"/>
      </w:r>
    </w:p>
    <w:p>
      <w:pPr>
        <w:pStyle w:val="P68B1DB1Normal33"/>
        <w:spacing w:lineRule="auto" w:line="240"/>
        <w:rPr>
          <w:rFonts w:ascii="Times New Roman" w:hAnsi="Times New Roman"/>
          <w:b/>
          <w:b/>
          <w:color w:val="000000"/>
          <w:sz w:val="24"/>
        </w:rPr>
      </w:pPr>
      <w:r>
        <w:rPr/>
        <w:t xml:space="preserve">a. Eiropas 14 vēlmju vērtējums </w:t>
      </w:r>
    </w:p>
    <w:p>
      <w:pPr>
        <w:pStyle w:val="P68B1DB1Normal19"/>
        <w:widowControl w:val="false"/>
        <w:spacing w:lineRule="auto" w:line="240" w:before="322" w:after="0"/>
        <w:ind w:left="0" w:right="0" w:hanging="0"/>
        <w:jc w:val="left"/>
        <w:rPr>
          <w:rFonts w:ascii="Times New Roman" w:hAnsi="Times New Roman"/>
          <w:color w:val="000000"/>
          <w:sz w:val="24"/>
        </w:rPr>
      </w:pPr>
      <w:r>
        <w:rPr/>
        <w:t xml:space="preserve">Katras reģionālās konferences beigās iedzīvotāji balsoja, lai paustu atbalstu izmaiņām, ko noteikušas dažādas darba grupas. </w:t>
      </w:r>
    </w:p>
    <w:p>
      <w:pPr>
        <w:pStyle w:val="Normal"/>
        <w:widowControl w:val="false"/>
        <w:spacing w:lineRule="auto" w:line="240" w:before="332" w:after="0"/>
        <w:ind w:left="0" w:right="0" w:hanging="0"/>
        <w:jc w:val="both"/>
        <w:rPr/>
      </w:pPr>
      <w:r>
        <mc:AlternateContent>
          <mc:Choice Requires="wps">
            <w:drawing>
              <wp:anchor behindDoc="0" distT="0" distB="0" distL="0" distR="0" simplePos="0" locked="0" layoutInCell="1" allowOverlap="1" relativeHeight="8">
                <wp:simplePos x="0" y="0"/>
                <wp:positionH relativeFrom="column">
                  <wp:posOffset>635</wp:posOffset>
                </wp:positionH>
                <wp:positionV relativeFrom="paragraph">
                  <wp:posOffset>1340485</wp:posOffset>
                </wp:positionV>
                <wp:extent cx="5111750" cy="6269990"/>
                <wp:effectExtent l="0" t="0" r="0" b="0"/>
                <wp:wrapTopAndBottom/>
                <wp:docPr id="95" name="Ietvarstruktūra51"/>
                <a:graphic xmlns:a="http://schemas.openxmlformats.org/drawingml/2006/main">
                  <a:graphicData uri="http://schemas.microsoft.com/office/word/2010/wordprocessingShape">
                    <wps:wsp>
                      <wps:cNvSpPr/>
                      <wps:spPr>
                        <a:xfrm>
                          <a:off x="0" y="0"/>
                          <a:ext cx="5111280" cy="6269400"/>
                        </a:xfrm>
                        <a:prstGeom prst="rect">
                          <a:avLst/>
                        </a:prstGeom>
                        <a:solidFill>
                          <a:srgbClr val="ffffff"/>
                        </a:solidFill>
                        <a:ln>
                          <a:noFill/>
                        </a:ln>
                      </wps:spPr>
                      <wps:style>
                        <a:lnRef idx="0"/>
                        <a:fillRef idx="0"/>
                        <a:effectRef idx="0"/>
                        <a:fontRef idx="minor"/>
                      </wps:style>
                      <wps:txbx>
                        <w:txbxContent>
                          <w:p>
                            <w:pPr>
                              <w:pStyle w:val="Lgende"/>
                              <w:suppressLineNumbers/>
                              <w:spacing w:before="120" w:after="120"/>
                              <w:rPr>
                                <w:color w:val="auto"/>
                              </w:rPr>
                            </w:pPr>
                            <w:r>
                              <w:rPr>
                                <w:color w:val="auto"/>
                              </w:rPr>
                              <w:t xml:space="preserve">Eiropas vēlmju vērtējums pēc popularitātes līmeņa </w:t>
                            </w:r>
                          </w:p>
                        </w:txbxContent>
                      </wps:txbx>
                      <wps:bodyPr lIns="0" rIns="0" tIns="0" bIns="0">
                        <a:noAutofit/>
                      </wps:bodyPr>
                    </wps:wsp>
                  </a:graphicData>
                </a:graphic>
              </wp:anchor>
            </w:drawing>
          </mc:Choice>
          <mc:Fallback>
            <w:pict>
              <v:rect id="shape_0" ID="Ietvarstruktūra51" fillcolor="white" stroked="f" style="position:absolute;margin-left:0.05pt;margin-top:105.55pt;width:402.4pt;height:493.6pt">
                <w10:wrap type="square"/>
                <v:fill o:detectmouseclick="t" type="solid" color2="black"/>
                <v:stroke color="#3465a4" joinstyle="round" endcap="flat"/>
                <v:textbox>
                  <w:txbxContent>
                    <w:p>
                      <w:pPr>
                        <w:pStyle w:val="Lgende"/>
                        <w:suppressLineNumbers/>
                        <w:spacing w:before="120" w:after="120"/>
                        <w:rPr>
                          <w:color w:val="auto"/>
                        </w:rPr>
                      </w:pPr>
                      <w:r>
                        <w:rPr>
                          <w:color w:val="auto"/>
                        </w:rPr>
                        <w:t xml:space="preserve">Eiropas vēlmju vērtējums pēc popularitātes līmeņa </w:t>
                      </w:r>
                    </w:p>
                  </w:txbxContent>
                </v:textbox>
              </v:rect>
            </w:pict>
          </mc:Fallback>
        </mc:AlternateContent>
      </w:r>
      <w:r>
        <w:rPr>
          <w:rFonts w:ascii="Times New Roman" w:hAnsi="Times New Roman"/>
          <w:color w:val="000000"/>
          <w:sz w:val="24"/>
        </w:rPr>
        <w:t xml:space="preserve">Pamatojoties uz grupām, kas veiktas pirms nacionālās sintēzes konferences, ir iespējams noteikt — pateicoties balsojumiem par izmaiņām katrā reģionā — Eiropas vēlmes, kas ir vispopulārākās iedzīvotāju vidū. Tādējādi vēlmes “ </w:t>
      </w:r>
      <w:r>
        <w:rPr>
          <w:rFonts w:ascii="Times New Roman" w:hAnsi="Times New Roman"/>
          <w:i/>
          <w:color w:val="000000"/>
          <w:sz w:val="24"/>
        </w:rPr>
        <w:t>Eiropa, kas izglītību izvirza priekšplānā”</w:t>
      </w:r>
      <w:r>
        <w:rPr>
          <w:rFonts w:ascii="Times New Roman" w:hAnsi="Times New Roman"/>
          <w:color w:val="000000"/>
          <w:sz w:val="24"/>
        </w:rPr>
        <w:t xml:space="preserve"> un “ </w:t>
      </w:r>
      <w:r>
        <w:rPr>
          <w:rFonts w:ascii="Times New Roman" w:hAnsi="Times New Roman"/>
          <w:i/>
          <w:color w:val="000000"/>
          <w:sz w:val="24"/>
        </w:rPr>
        <w:t>ciešāka un pieejama Eiropa</w:t>
      </w:r>
      <w:r>
        <w:rPr>
          <w:rFonts w:ascii="Times New Roman" w:hAnsi="Times New Roman"/>
          <w:color w:val="000000"/>
          <w:sz w:val="24"/>
        </w:rPr>
        <w:t>”</w:t>
      </w:r>
      <w:r>
        <w:rPr>
          <w:rFonts w:ascii="Times New Roman" w:hAnsi="Times New Roman"/>
          <w:i/>
          <w:color w:val="000000"/>
          <w:sz w:val="24"/>
        </w:rPr>
        <w:t xml:space="preserve"> </w:t>
      </w:r>
      <w:r>
        <w:rPr>
          <w:rFonts w:ascii="Times New Roman" w:hAnsi="Times New Roman"/>
          <w:color w:val="000000"/>
          <w:sz w:val="24"/>
        </w:rPr>
        <w:t xml:space="preserve">ir plaši novērtētas, un izmaiņas reģionālajās konferencēs atbalstīja vidēji 56 % iedzīvotāju. </w:t>
      </w:r>
    </w:p>
    <w:p>
      <w:pPr>
        <w:pStyle w:val="Normal"/>
        <w:rPr/>
      </w:pPr>
      <w:r>
        <w:rPr/>
        <mc:AlternateContent>
          <mc:Choice Requires="wpg">
            <w:drawing>
              <wp:anchor behindDoc="0" distT="0" distB="0" distL="0" distR="0" simplePos="0" locked="0" layoutInCell="1" allowOverlap="1" relativeHeight="53">
                <wp:simplePos x="0" y="0"/>
                <wp:positionH relativeFrom="column">
                  <wp:posOffset>273050</wp:posOffset>
                </wp:positionH>
                <wp:positionV relativeFrom="paragraph">
                  <wp:posOffset>506095</wp:posOffset>
                </wp:positionV>
                <wp:extent cx="4505960" cy="6283960"/>
                <wp:effectExtent l="0" t="0" r="0" b="0"/>
                <wp:wrapTopAndBottom/>
                <wp:docPr id="97" name="Forma4"/>
                <a:graphic xmlns:a="http://schemas.openxmlformats.org/drawingml/2006/main">
                  <a:graphicData uri="http://schemas.microsoft.com/office/word/2010/wordprocessingGroup">
                    <wpg:wgp>
                      <wpg:cNvGrpSpPr/>
                      <wpg:grpSpPr>
                        <a:xfrm>
                          <a:off x="0" y="0"/>
                          <a:ext cx="4505400" cy="6283440"/>
                        </a:xfrm>
                      </wpg:grpSpPr>
                      <pic:pic xmlns:pic="http://schemas.openxmlformats.org/drawingml/2006/picture">
                        <pic:nvPicPr>
                          <pic:cNvPr id="5" name="" descr=""/>
                          <pic:cNvPicPr/>
                        </pic:nvPicPr>
                        <pic:blipFill>
                          <a:blip r:embed="rId100"/>
                          <a:stretch/>
                        </pic:blipFill>
                        <pic:spPr>
                          <a:xfrm>
                            <a:off x="2270160" y="590400"/>
                            <a:ext cx="1982520" cy="5692680"/>
                          </a:xfrm>
                          <a:prstGeom prst="rect">
                            <a:avLst/>
                          </a:prstGeom>
                          <a:ln>
                            <a:noFill/>
                          </a:ln>
                        </pic:spPr>
                      </pic:pic>
                      <wps:wsp>
                        <wps:cNvSpPr/>
                        <wps:spPr>
                          <a:xfrm>
                            <a:off x="1151280" y="0"/>
                            <a:ext cx="3354120" cy="498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Kādas izmaiņas jūs vēlētos ieviest?</w:t>
                              </w:r>
                            </w:p>
                          </w:txbxContent>
                        </wps:txbx>
                        <wps:bodyPr lIns="90000" rIns="90000" tIns="45000" bIns="45000">
                          <a:noAutofit/>
                        </wps:bodyPr>
                      </wps:wsp>
                      <wps:wsp>
                        <wps:cNvSpPr/>
                        <wps:spPr>
                          <a:xfrm>
                            <a:off x="0" y="7383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Eiropa, kas izglītību izvirza priekšplānā</w:t>
                              </w:r>
                            </w:p>
                          </w:txbxContent>
                        </wps:txbx>
                        <wps:bodyPr lIns="90000" rIns="90000" tIns="45000" bIns="45000">
                          <a:noAutofit/>
                        </wps:bodyPr>
                      </wps:wsp>
                      <wps:wsp>
                        <wps:cNvSpPr/>
                        <wps:spPr>
                          <a:xfrm>
                            <a:off x="0" y="10796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Tuvāka un pieejama Eiropa</w:t>
                              </w:r>
                            </w:p>
                          </w:txbxContent>
                        </wps:txbx>
                        <wps:bodyPr lIns="90000" rIns="90000" tIns="45000" bIns="45000">
                          <a:noAutofit/>
                        </wps:bodyPr>
                      </wps:wsp>
                      <wps:wsp>
                        <wps:cNvSpPr/>
                        <wps:spPr>
                          <a:xfrm>
                            <a:off x="0" y="154800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Eiropa ar kopīgām kultūrām un identitātēm</w:t>
                              </w:r>
                            </w:p>
                          </w:txbxContent>
                        </wps:txbx>
                        <wps:bodyPr lIns="90000" rIns="90000" tIns="45000" bIns="45000">
                          <a:noAutofit/>
                        </wps:bodyPr>
                      </wps:wsp>
                      <wps:wsp>
                        <wps:cNvSpPr/>
                        <wps:spPr>
                          <a:xfrm>
                            <a:off x="0" y="194868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Eiropa, kas apņēmusies risināt klimata un vides problēmas</w:t>
                              </w:r>
                            </w:p>
                          </w:txbxContent>
                        </wps:txbx>
                        <wps:bodyPr lIns="90000" rIns="90000" tIns="45000" bIns="45000">
                          <a:noAutofit/>
                        </wps:bodyPr>
                      </wps:wsp>
                      <wps:wsp>
                        <wps:cNvSpPr/>
                        <wps:spPr>
                          <a:xfrm>
                            <a:off x="0" y="232776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Vienotāka Eiropa</w:t>
                              </w:r>
                            </w:p>
                          </w:txbxContent>
                        </wps:txbx>
                        <wps:bodyPr lIns="90000" rIns="90000" tIns="45000" bIns="45000">
                          <a:noAutofit/>
                        </wps:bodyPr>
                      </wps:wsp>
                      <wps:wsp>
                        <wps:cNvSpPr/>
                        <wps:spPr>
                          <a:xfrm>
                            <a:off x="0" y="263088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Solidaritāte Eiropa, kas aizsargā</w:t>
                              </w:r>
                            </w:p>
                          </w:txbxContent>
                        </wps:txbx>
                        <wps:bodyPr lIns="90000" rIns="90000" tIns="45000" bIns="45000">
                          <a:noAutofit/>
                        </wps:bodyPr>
                      </wps:wsp>
                      <wps:wsp>
                        <wps:cNvSpPr/>
                        <wps:spPr>
                          <a:xfrm>
                            <a:off x="0" y="30348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Eiropa, kas garantē pamattiesību ievērošanu</w:t>
                              </w:r>
                            </w:p>
                          </w:txbxContent>
                        </wps:txbx>
                        <wps:bodyPr lIns="90000" rIns="90000" tIns="45000" bIns="45000">
                          <a:noAutofit/>
                        </wps:bodyPr>
                      </wps:wsp>
                      <wps:wsp>
                        <wps:cNvSpPr/>
                        <wps:spPr>
                          <a:xfrm>
                            <a:off x="0" y="346824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Konkurētspējīga un inovatīva Eiropa</w:t>
                              </w:r>
                            </w:p>
                          </w:txbxContent>
                        </wps:txbx>
                        <wps:bodyPr lIns="90000" rIns="90000" tIns="45000" bIns="45000">
                          <a:noAutofit/>
                        </wps:bodyPr>
                      </wps:wsp>
                      <wps:wsp>
                        <wps:cNvSpPr/>
                        <wps:spPr>
                          <a:xfrm>
                            <a:off x="0" y="391284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Eiropa, kas veicina ilgtspējīgu attīstību</w:t>
                              </w:r>
                            </w:p>
                          </w:txbxContent>
                        </wps:txbx>
                        <wps:bodyPr lIns="90000" rIns="90000" tIns="45000" bIns="45000">
                          <a:noAutofit/>
                        </wps:bodyPr>
                      </wps:wsp>
                      <wps:wsp>
                        <wps:cNvSpPr/>
                        <wps:spPr>
                          <a:xfrm>
                            <a:off x="0" y="4245120"/>
                            <a:ext cx="2217600" cy="2444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Demokrātiskāka Eiropa</w:t>
                              </w:r>
                            </w:p>
                          </w:txbxContent>
                        </wps:txbx>
                        <wps:bodyPr lIns="90000" rIns="90000" tIns="45000" bIns="45000">
                          <a:noAutofit/>
                        </wps:bodyPr>
                      </wps:wsp>
                      <wps:wsp>
                        <wps:cNvSpPr/>
                        <wps:spPr>
                          <a:xfrm>
                            <a:off x="0" y="4566960"/>
                            <a:ext cx="2217600" cy="353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Eiropa ar efektīvāku pārvaldību</w:t>
                              </w:r>
                            </w:p>
                          </w:txbxContent>
                        </wps:txbx>
                        <wps:bodyPr lIns="90000" rIns="90000" tIns="45000" bIns="45000">
                          <a:noAutofit/>
                        </wps:bodyPr>
                      </wps:wsp>
                      <wps:wsp>
                        <wps:cNvSpPr/>
                        <wps:spPr>
                          <a:xfrm>
                            <a:off x="0" y="5103360"/>
                            <a:ext cx="2217600" cy="2217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Eiropa, kas aizstāv savas intereses</w:t>
                              </w:r>
                            </w:p>
                          </w:txbxContent>
                        </wps:txbx>
                        <wps:bodyPr lIns="90000" rIns="90000" tIns="45000" bIns="45000">
                          <a:noAutofit/>
                        </wps:bodyPr>
                      </wps:wsp>
                      <wps:wsp>
                        <wps:cNvSpPr/>
                        <wps:spPr>
                          <a:xfrm>
                            <a:off x="0" y="552276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Spēcīga Eiropa pasaulē</w:t>
                              </w:r>
                            </w:p>
                          </w:txbxContent>
                        </wps:txbx>
                        <wps:bodyPr lIns="90000" rIns="90000" tIns="45000" bIns="45000">
                          <a:noAutofit/>
                        </wps:bodyPr>
                      </wps:wsp>
                      <wps:wsp>
                        <wps:cNvSpPr/>
                        <wps:spPr>
                          <a:xfrm>
                            <a:off x="0" y="5877000"/>
                            <a:ext cx="221760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Eiropa, kurā dominē katras valsts intereses</w:t>
                              </w:r>
                            </w:p>
                          </w:txbxContent>
                        </wps:txbx>
                        <wps:bodyPr lIns="90000" rIns="90000" tIns="45000" bIns="45000">
                          <a:noAutofit/>
                        </wps:bodyPr>
                      </wps:wsp>
                    </wpg:wgp>
                  </a:graphicData>
                </a:graphic>
              </wp:anchor>
            </w:drawing>
          </mc:Choice>
          <mc:Fallback>
            <w:pict>
              <v:group id="shape_0" alt="Forma4" style="position:absolute;margin-left:21.5pt;margin-top:39.85pt;width:354.75pt;height:494.75pt" coordorigin="430,797" coordsize="7095,9895">
                <v:shape id="shape_0" stroked="f" style="position:absolute;left:4005;top:1727;width:3121;height:8964" type="shapetype_75">
                  <v:imagedata r:id="rId100" o:detectmouseclick="t"/>
                  <w10:wrap type="none"/>
                  <v:stroke color="#3465a4" joinstyle="round" endcap="flat"/>
                </v:shape>
                <v:rect id="shape_0" stroked="f" style="position:absolute;left:2243;top:797;width:5281;height:7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Kādas izmaiņas jūs vēlētos ieviest?</w:t>
                        </w:r>
                      </w:p>
                    </w:txbxContent>
                  </v:textbox>
                  <w10:wrap type="square"/>
                  <v:fill o:detectmouseclick="t" on="false"/>
                  <v:stroke color="#3465a4" joinstyle="round" endcap="flat"/>
                </v:rect>
                <v:rect id="shape_0" stroked="f" style="position:absolute;left:430;top:1960;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 Eiropa, kas izglītību izvirza priekšplānā</w:t>
                        </w:r>
                      </w:p>
                    </w:txbxContent>
                  </v:textbox>
                  <w10:wrap type="square"/>
                  <v:fill o:detectmouseclick="t" on="false"/>
                  <v:stroke color="#3465a4" joinstyle="round" endcap="flat"/>
                </v:rect>
                <v:rect id="shape_0" stroked="f" style="position:absolute;left:430;top:2497;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 Tuvāka un pieejama Eiropa</w:t>
                        </w:r>
                      </w:p>
                    </w:txbxContent>
                  </v:textbox>
                  <w10:wrap type="square"/>
                  <v:fill o:detectmouseclick="t" on="false"/>
                  <v:stroke color="#3465a4" joinstyle="round" endcap="flat"/>
                </v:rect>
                <v:rect id="shape_0" stroked="f" style="position:absolute;left:430;top:3235;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Eiropa ar kopīgām kultūrām un identitātēm</w:t>
                        </w:r>
                      </w:p>
                    </w:txbxContent>
                  </v:textbox>
                  <w10:wrap type="square"/>
                  <v:fill o:detectmouseclick="t" on="false"/>
                  <v:stroke color="#3465a4" joinstyle="round" endcap="flat"/>
                </v:rect>
                <v:rect id="shape_0" stroked="f" style="position:absolute;left:430;top:386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4. Eiropa, kas apņēmusies risināt klimata un vides problēmas</w:t>
                        </w:r>
                      </w:p>
                    </w:txbxContent>
                  </v:textbox>
                  <w10:wrap type="square"/>
                  <v:fill o:detectmouseclick="t" on="false"/>
                  <v:stroke color="#3465a4" joinstyle="round" endcap="flat"/>
                </v:rect>
                <v:rect id="shape_0" stroked="f" style="position:absolute;left:430;top:4463;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5. Vienotāka Eiropa</w:t>
                        </w:r>
                      </w:p>
                    </w:txbxContent>
                  </v:textbox>
                  <w10:wrap type="square"/>
                  <v:fill o:detectmouseclick="t" on="false"/>
                  <v:stroke color="#3465a4" joinstyle="round" endcap="flat"/>
                </v:rect>
                <v:rect id="shape_0" stroked="f" style="position:absolute;left:430;top:4940;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 Solidaritāte Eiropa, kas aizsargā</w:t>
                        </w:r>
                      </w:p>
                    </w:txbxContent>
                  </v:textbox>
                  <w10:wrap type="square"/>
                  <v:fill o:detectmouseclick="t" on="false"/>
                  <v:stroke color="#3465a4" joinstyle="round" endcap="flat"/>
                </v:rect>
                <v:rect id="shape_0" stroked="f" style="position:absolute;left:430;top:5576;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7. Eiropa, kas garantē pamattiesību ievērošanu</w:t>
                        </w:r>
                      </w:p>
                    </w:txbxContent>
                  </v:textbox>
                  <w10:wrap type="square"/>
                  <v:fill o:detectmouseclick="t" on="false"/>
                  <v:stroke color="#3465a4" joinstyle="round" endcap="flat"/>
                </v:rect>
                <v:rect id="shape_0" stroked="f" style="position:absolute;left:430;top:6259;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8. Konkurētspējīga un inovatīva Eiropa</w:t>
                        </w:r>
                      </w:p>
                    </w:txbxContent>
                  </v:textbox>
                  <w10:wrap type="square"/>
                  <v:fill o:detectmouseclick="t" on="false"/>
                  <v:stroke color="#3465a4" joinstyle="round" endcap="flat"/>
                </v:rect>
                <v:rect id="shape_0" stroked="f" style="position:absolute;left:430;top:6959;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9. Eiropa, kas veicina ilgtspējīgu attīstību</w:t>
                        </w:r>
                      </w:p>
                    </w:txbxContent>
                  </v:textbox>
                  <w10:wrap type="square"/>
                  <v:fill o:detectmouseclick="t" on="false"/>
                  <v:stroke color="#3465a4" joinstyle="round" endcap="flat"/>
                </v:rect>
                <v:rect id="shape_0" stroked="f" style="position:absolute;left:430;top:7482;width:3491;height:3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10. Demokrātiskāka Eiropa</w:t>
                        </w:r>
                      </w:p>
                    </w:txbxContent>
                  </v:textbox>
                  <w10:wrap type="square"/>
                  <v:fill o:detectmouseclick="t" on="false"/>
                  <v:stroke color="#3465a4" joinstyle="round" endcap="flat"/>
                </v:rect>
                <v:rect id="shape_0" stroked="f" style="position:absolute;left:430;top:7989;width:3491;height:556">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11. Eiropa ar efektīvāku pārvaldību</w:t>
                        </w:r>
                      </w:p>
                    </w:txbxContent>
                  </v:textbox>
                  <w10:wrap type="square"/>
                  <v:fill o:detectmouseclick="t" on="false"/>
                  <v:stroke color="#3465a4" joinstyle="round" endcap="flat"/>
                </v:rect>
                <v:rect id="shape_0" stroked="f" style="position:absolute;left:430;top:8834;width:3491;height:34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12. Eiropa, kas aizstāv savas intereses</w:t>
                        </w:r>
                      </w:p>
                    </w:txbxContent>
                  </v:textbox>
                  <w10:wrap type="square"/>
                  <v:fill o:detectmouseclick="t" on="false"/>
                  <v:stroke color="#3465a4" joinstyle="round" endcap="flat"/>
                </v:rect>
                <v:rect id="shape_0" stroked="f" style="position:absolute;left:430;top:9494;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13. Spēcīga Eiropa pasaulē</w:t>
                        </w:r>
                      </w:p>
                    </w:txbxContent>
                  </v:textbox>
                  <w10:wrap type="square"/>
                  <v:fill o:detectmouseclick="t" on="false"/>
                  <v:stroke color="#3465a4" joinstyle="round" endcap="flat"/>
                </v:rect>
                <v:rect id="shape_0" stroked="f" style="position:absolute;left:430;top:10052;width:3491;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14. Eiropa, kurā dominē katras valsts intereses</w:t>
                        </w:r>
                      </w:p>
                    </w:txbxContent>
                  </v:textbox>
                  <w10:wrap type="square"/>
                  <v:fill o:detectmouseclick="t" on="false"/>
                  <v:stroke color="#3465a4" joinstyle="round" endcap="flat"/>
                </v:rect>
              </v:group>
            </w:pict>
          </mc:Fallback>
        </mc:AlternateContent>
      </w:r>
      <w:r>
        <w:br w:type="page"/>
      </w:r>
    </w:p>
    <w:p>
      <w:pPr>
        <w:pStyle w:val="P68B1DB1Normal33"/>
        <w:rPr>
          <w:rFonts w:ascii="Times New Roman" w:hAnsi="Times New Roman"/>
          <w:b/>
          <w:b/>
          <w:color w:val="000000"/>
          <w:sz w:val="24"/>
        </w:rPr>
      </w:pPr>
      <w:r>
        <w:rPr/>
        <w:t xml:space="preserve">B. Iepazīstināšana ar 14 prioritārajām izmaiņām, kas izriet no nacionālās konferences </w:t>
      </w:r>
    </w:p>
    <w:p>
      <w:pPr>
        <w:pStyle w:val="P68B1DB1Normal19"/>
        <w:widowControl w:val="false"/>
        <w:spacing w:lineRule="exact" w:line="388" w:before="322" w:after="0"/>
        <w:ind w:left="0" w:right="0" w:hanging="0"/>
        <w:jc w:val="left"/>
        <w:rPr/>
      </w:pPr>
      <w:r>
        <w:rPr/>
        <w:t xml:space="preserve">Nacionālās sintēzes konferencē 100 dalībnieki strādāja vienā no 14 izveidotajām vēlmju grupām. Darba beigās katra grupa, kas izraudzīta, lai pārstāvētu savu vēlmi Eiropai </w:t>
      </w:r>
      <w:r>
        <w:rPr>
          <w:b/>
        </w:rPr>
        <w:t>ieviest prioritāru izmaiņu, kas jāievieš līdz 2035. gadam</w:t>
      </w:r>
      <w:r>
        <w:rPr/>
        <w:t xml:space="preserve">. Pēc tam šīs 14 prioritārās izmaiņas tika ierosinātas 100 pilsoņu balsošanai valsts konferences pēdējā dienā. Šā balsojuma rezultāti ir izklāstīti turpmāk, dilstošā secībā atkarībā no balsu skaita, kas iegūts par katru izmaiņu. </w:t>
      </w:r>
    </w:p>
    <w:p>
      <w:pPr>
        <w:pStyle w:val="P68B1DB1Normal19"/>
        <w:widowControl w:val="false"/>
        <w:spacing w:lineRule="exact" w:line="413" w:before="332" w:after="0"/>
        <w:ind w:left="0" w:right="708" w:hanging="0"/>
        <w:jc w:val="left"/>
        <w:rPr/>
      </w:pPr>
      <w:r>
        <w:rPr/>
        <w:t xml:space="preserve">Izmaiņas, kas ieguva visvairāk balsu no 100 valsts konferences pilsoņiem, ir “ </w:t>
      </w:r>
      <w:r>
        <w:rPr>
          <w:i/>
        </w:rPr>
        <w:t>Attīstīt enerģiju tiklab patērēt mazāk, apturot liekos”</w:t>
      </w:r>
      <w:r>
        <w:rPr/>
        <w:t xml:space="preserve">. </w:t>
      </w:r>
    </w:p>
    <w:p>
      <w:pPr>
        <w:pStyle w:val="P68B1DB1Normal39"/>
        <w:widowControl w:val="false"/>
        <w:spacing w:lineRule="exact" w:line="199" w:before="42" w:after="0"/>
        <w:ind w:left="0" w:right="0" w:hanging="0"/>
        <w:jc w:val="left"/>
        <w:rPr>
          <w:rFonts w:ascii="Times New Roman" w:hAnsi="Times New Roman"/>
          <w:b/>
          <w:b/>
          <w:color w:val="000000"/>
          <w:sz w:val="12"/>
        </w:rPr>
      </w:pPr>
      <w:r>
        <w:rPr/>
        <w:t xml:space="preserve"> </w:t>
      </w:r>
    </w:p>
    <w:p>
      <w:pPr>
        <w:pStyle w:val="P68B1DB1Normal40"/>
        <w:widowControl w:val="false"/>
        <w:spacing w:lineRule="auto" w:line="240"/>
        <w:ind w:left="208" w:right="0" w:hanging="0"/>
        <w:jc w:val="left"/>
        <w:rPr/>
      </w:pPr>
      <w:r>
        <w:rPr>
          <w:b/>
          <w:sz w:val="34"/>
        </w:rPr>
        <w:t xml:space="preserve">14 </w:t>
      </w:r>
      <w:r>
        <w:rPr>
          <w:sz w:val="30"/>
        </w:rPr>
        <w:t>galvenās izmaiņas Eiropā 2035. gadā</w:t>
      </w:r>
    </w:p>
    <w:p>
      <w:pPr>
        <w:pStyle w:val="P68B1DB1Normal41"/>
        <w:widowControl w:val="false"/>
        <w:spacing w:lineRule="auto" w:line="240" w:before="202" w:after="0"/>
        <w:ind w:left="336" w:right="0" w:hanging="0"/>
        <w:jc w:val="left"/>
        <w:rPr/>
      </w:pPr>
      <w:r>
        <w:rPr>
          <w:color w:val="FFFFFF"/>
        </w:rPr>
        <w:t>1</w:t>
      </w:r>
      <w:r>
        <w:rPr>
          <w:color w:val="000000"/>
        </w:rPr>
        <w:t>(1)</w:t>
      </w:r>
      <w:r>
        <w:rPr>
          <w:color w:val="FFFFFF"/>
        </w:rPr>
        <w:t xml:space="preserve"> </w:t>
      </w:r>
      <w:r>
        <w:rPr>
          <w:color w:val="000000"/>
        </w:rPr>
        <w:t>Attīstīt enerģiju, lai patērētu mazāk no liekā</w:t>
      </w:r>
    </w:p>
    <w:p>
      <w:pPr>
        <w:pStyle w:val="P68B1DB1Normal41"/>
        <w:widowControl w:val="false"/>
        <w:spacing w:lineRule="auto" w:line="240" w:before="193" w:after="0"/>
        <w:ind w:left="324" w:right="0" w:hanging="0"/>
        <w:jc w:val="left"/>
        <w:rPr/>
      </w:pPr>
      <w:r>
        <w:rPr>
          <w:color w:val="FFFFFF"/>
        </w:rPr>
        <w:t>2</w:t>
      </w:r>
      <w:r>
        <w:rPr>
          <w:color w:val="000000"/>
        </w:rPr>
        <w:t>(2)</w:t>
      </w:r>
      <w:r>
        <w:rPr>
          <w:color w:val="FFFFFF"/>
        </w:rPr>
        <w:t xml:space="preserve"> </w:t>
      </w:r>
      <w:r>
        <w:rPr>
          <w:color w:val="000000"/>
        </w:rPr>
        <w:t>Eiropas Savienības kopējās aizsardzības un drošības stiprināšana</w:t>
      </w:r>
    </w:p>
    <w:p>
      <w:pPr>
        <w:pStyle w:val="P68B1DB1Normal41"/>
        <w:widowControl w:val="false"/>
        <w:spacing w:lineRule="auto" w:line="240" w:before="193" w:after="0"/>
        <w:ind w:left="324" w:right="0" w:hanging="0"/>
        <w:jc w:val="left"/>
        <w:rPr/>
      </w:pPr>
      <w:r>
        <w:rPr>
          <w:color w:val="FFFFFF"/>
        </w:rPr>
        <w:t>3</w:t>
      </w:r>
      <w:r>
        <w:rPr>
          <w:color w:val="000000"/>
        </w:rPr>
        <w:t>(3)</w:t>
      </w:r>
      <w:r>
        <w:rPr>
          <w:color w:val="FFFFFF"/>
        </w:rPr>
        <w:t xml:space="preserve"> </w:t>
      </w:r>
      <w:r>
        <w:rPr>
          <w:color w:val="000000"/>
        </w:rPr>
        <w:t>Veicināt Eiropas Savienības kolektīvos ekonomiskos rādītājus, izmantojot autonomu, konkurētspējīgu un vērtīgu rūpniecību</w:t>
      </w:r>
    </w:p>
    <w:p>
      <w:pPr>
        <w:pStyle w:val="P68B1DB1Normal41"/>
        <w:widowControl w:val="false"/>
        <w:spacing w:lineRule="auto" w:line="240" w:before="136" w:after="0"/>
        <w:ind w:left="324" w:right="0" w:hanging="0"/>
        <w:jc w:val="left"/>
        <w:rPr/>
      </w:pPr>
      <w:r>
        <w:rPr>
          <w:color w:val="FFFFFF"/>
        </w:rPr>
        <w:t>4</w:t>
      </w:r>
      <w:r>
        <w:rPr>
          <w:color w:val="000000"/>
        </w:rPr>
        <w:t>(4)</w:t>
      </w:r>
      <w:r>
        <w:rPr>
          <w:color w:val="FFFFFF"/>
        </w:rPr>
        <w:t xml:space="preserve"> Iedzīvotāju varas </w:t>
      </w:r>
      <w:r>
        <w:rPr>
          <w:color w:val="000000"/>
        </w:rPr>
        <w:t>izveide vairākos līmeņos: līdzdalība, lēmums, kontrole</w:t>
      </w:r>
    </w:p>
    <w:p>
      <w:pPr>
        <w:pStyle w:val="P68B1DB1Normal41"/>
        <w:widowControl w:val="false"/>
        <w:spacing w:lineRule="auto" w:line="240" w:before="193" w:after="0"/>
        <w:ind w:left="324" w:right="695" w:hanging="0"/>
        <w:jc w:val="left"/>
        <w:rPr/>
      </w:pPr>
      <w:r>
        <w:rPr>
          <w:color w:val="FFFFFF"/>
        </w:rPr>
        <w:t>5</w:t>
      </w:r>
      <w:r>
        <w:rPr>
          <w:color w:val="000000"/>
        </w:rPr>
        <w:t>(5)</w:t>
      </w:r>
      <w:r>
        <w:rPr>
          <w:color w:val="FFFFFF"/>
        </w:rPr>
        <w:t xml:space="preserve"> </w:t>
      </w:r>
      <w:r>
        <w:rPr>
          <w:color w:val="000000"/>
        </w:rPr>
        <w:t>Doties uz Eiropas valstu federāciju ar spēcīgām kompetencēm kopīgu interešu jomās</w:t>
      </w:r>
    </w:p>
    <w:p>
      <w:pPr>
        <w:pStyle w:val="P68B1DB1Normal41"/>
        <w:widowControl w:val="false"/>
        <w:spacing w:lineRule="auto" w:line="240" w:before="136" w:after="0"/>
        <w:ind w:left="324" w:right="0" w:hanging="0"/>
        <w:jc w:val="left"/>
        <w:rPr/>
      </w:pPr>
      <w:r>
        <w:rPr>
          <w:color w:val="000000"/>
        </w:rPr>
        <w:t>6 (6)</w:t>
      </w:r>
      <w:r>
        <w:rPr>
          <w:color w:val="FFFFFF"/>
        </w:rPr>
        <w:t xml:space="preserve"> </w:t>
      </w:r>
      <w:r>
        <w:rPr>
          <w:color w:val="000000"/>
        </w:rPr>
        <w:t>Mūža apmaiņas programmu ierosināšana</w:t>
      </w:r>
    </w:p>
    <w:p>
      <w:pPr>
        <w:pStyle w:val="P68B1DB1Normal41"/>
        <w:widowControl w:val="false"/>
        <w:spacing w:lineRule="auto" w:line="240" w:before="193" w:after="0"/>
        <w:ind w:left="324" w:right="0" w:hanging="0"/>
        <w:jc w:val="left"/>
        <w:rPr/>
      </w:pPr>
      <w:r>
        <w:rPr>
          <w:color w:val="FFFFFF"/>
        </w:rPr>
        <w:t>7</w:t>
      </w:r>
      <w:r>
        <w:rPr>
          <w:color w:val="000000"/>
        </w:rPr>
        <w:t>(7)</w:t>
      </w:r>
      <w:r>
        <w:rPr>
          <w:color w:val="FFFFFF"/>
        </w:rPr>
        <w:t xml:space="preserve"> </w:t>
      </w:r>
      <w:r>
        <w:rPr>
          <w:color w:val="000000"/>
        </w:rPr>
        <w:t>Eiropas kultūru koplietošana, apvienojot pasākumus un pasākumus</w:t>
      </w:r>
    </w:p>
    <w:p>
      <w:pPr>
        <w:pStyle w:val="P68B1DB1Normal41"/>
        <w:widowControl w:val="false"/>
        <w:spacing w:lineRule="auto" w:line="240" w:before="353" w:after="0"/>
        <w:ind w:left="324" w:right="0" w:hanging="0"/>
        <w:jc w:val="left"/>
        <w:rPr/>
      </w:pPr>
      <w:r>
        <w:rPr>
          <w:color w:val="FFFFFF"/>
        </w:rPr>
        <w:t>8</w:t>
      </w:r>
      <w:r>
        <w:rPr>
          <w:color w:val="000000"/>
        </w:rPr>
        <w:t>(8)</w:t>
      </w:r>
      <w:r>
        <w:rPr>
          <w:color w:val="FFFFFF"/>
        </w:rPr>
        <w:t xml:space="preserve"> </w:t>
      </w:r>
      <w:r>
        <w:rPr>
          <w:color w:val="000000"/>
        </w:rPr>
        <w:t>Veselības harmonizēšana un tās pieejamības nodrošināšana visiem eiropiešiem, izmantojot kopēju veselības politiku</w:t>
      </w:r>
    </w:p>
    <w:p>
      <w:pPr>
        <w:pStyle w:val="P68B1DB1Normal41"/>
        <w:widowControl w:val="false"/>
        <w:spacing w:lineRule="auto" w:line="240" w:before="193" w:after="0"/>
        <w:ind w:left="324" w:right="0" w:hanging="0"/>
        <w:jc w:val="left"/>
        <w:rPr/>
      </w:pPr>
      <w:r>
        <w:rPr>
          <w:color w:val="FFFFFF"/>
        </w:rPr>
        <w:t>9</w:t>
      </w:r>
      <w:r>
        <w:rPr>
          <w:color w:val="000000"/>
        </w:rPr>
        <w:t>(9)</w:t>
      </w:r>
      <w:r>
        <w:rPr>
          <w:color w:val="FFFFFF"/>
        </w:rPr>
        <w:t xml:space="preserve"> </w:t>
      </w:r>
      <w:r>
        <w:rPr>
          <w:color w:val="000000"/>
        </w:rPr>
        <w:t>Stratēģisku kanālu izstrāde un izmēģināšana Eiropas līmenī, lai nodrošinātu mūsu suverenitāti</w:t>
      </w:r>
    </w:p>
    <w:p>
      <w:pPr>
        <w:pStyle w:val="P68B1DB1Normal41"/>
        <w:widowControl w:val="false"/>
        <w:spacing w:lineRule="auto" w:line="240" w:before="193" w:after="0"/>
        <w:ind w:left="324" w:right="0" w:hanging="0"/>
        <w:jc w:val="left"/>
        <w:rPr/>
      </w:pPr>
      <w:r>
        <w:rPr>
          <w:color w:val="FFFFFF"/>
        </w:rPr>
        <w:t>10</w:t>
      </w:r>
      <w:r>
        <w:rPr>
          <w:color w:val="000000"/>
        </w:rPr>
        <w:t>(10)Uzlabot vides un ekosistēmu aizsardzību un izveidot aizsargājamas teritorijas pilsētu, piepilsētu un lauku teritoriju centrā</w:t>
      </w:r>
    </w:p>
    <w:p>
      <w:pPr>
        <w:pStyle w:val="P68B1DB1Normal41"/>
        <w:widowControl w:val="false"/>
        <w:spacing w:lineRule="auto" w:line="240" w:before="136" w:after="0"/>
        <w:ind w:left="295" w:right="0" w:hanging="0"/>
        <w:jc w:val="left"/>
        <w:rPr/>
      </w:pPr>
      <w:r>
        <w:rPr>
          <w:color w:val="FFFFFF"/>
        </w:rPr>
        <w:t>11</w:t>
      </w:r>
      <w:r>
        <w:rPr>
          <w:color w:val="000000"/>
        </w:rPr>
        <w:t>(11)</w:t>
      </w:r>
      <w:r>
        <w:rPr>
          <w:color w:val="FFFFFF"/>
        </w:rPr>
        <w:t xml:space="preserve"> </w:t>
      </w:r>
      <w:r>
        <w:rPr>
          <w:color w:val="000000"/>
        </w:rPr>
        <w:t>Eiropas releju izveide teritorijās, lai uzklausītu un konsultētu pilsoņus</w:t>
      </w:r>
    </w:p>
    <w:p>
      <w:pPr>
        <w:pStyle w:val="P68B1DB1Normal41"/>
        <w:widowControl w:val="false"/>
        <w:spacing w:lineRule="auto" w:line="240" w:before="193" w:after="0"/>
        <w:ind w:left="283" w:right="643" w:hanging="0"/>
        <w:jc w:val="left"/>
        <w:rPr/>
      </w:pPr>
      <w:r>
        <w:rPr>
          <w:color w:val="000000"/>
        </w:rPr>
        <w:t>12 ( 12)Vienot Eiropas Parlamenta ievēlēšanas veidu divdesmit septiņās valstīs un uzlabot pilsoņu tuvumu, aizstājot pašreizējo balsojumu ar vienreizēju balsojumu reģionālā līmenī</w:t>
      </w:r>
    </w:p>
    <w:p>
      <w:pPr>
        <w:pStyle w:val="P68B1DB1Normal41"/>
        <w:widowControl w:val="false"/>
        <w:spacing w:lineRule="auto" w:line="240" w:before="136" w:after="0"/>
        <w:ind w:left="283" w:right="164" w:hanging="0"/>
        <w:jc w:val="left"/>
        <w:rPr/>
      </w:pPr>
      <w:r>
        <w:rPr>
          <w:color w:val="FFFFFF"/>
        </w:rPr>
        <w:t>13</w:t>
      </w:r>
      <w:r>
        <w:rPr>
          <w:color w:val="000000"/>
        </w:rPr>
        <w:t>(13)</w:t>
      </w:r>
      <w:r>
        <w:rPr>
          <w:color w:val="FFFFFF"/>
        </w:rPr>
        <w:t xml:space="preserve"> </w:t>
      </w:r>
      <w:r>
        <w:rPr>
          <w:color w:val="000000"/>
        </w:rPr>
        <w:t>Kopējās politikas definēšana, lai uzlabotu migrantu (tostarp neatbilstīgo migrantu) uzņemšanu un sociālo un profesionālo integrāciju</w:t>
      </w:r>
    </w:p>
    <w:p>
      <w:pPr>
        <w:pStyle w:val="P68B1DB1Normal41"/>
        <w:widowControl w:val="false"/>
        <w:spacing w:lineRule="auto" w:line="240" w:before="136" w:after="0"/>
        <w:ind w:left="283" w:right="700" w:hanging="0"/>
        <w:jc w:val="left"/>
        <w:rPr/>
      </w:pPr>
      <w:r>
        <w:rPr>
          <w:color w:val="FFFFFF"/>
        </w:rPr>
        <w:t>14</w:t>
      </w:r>
      <w:r>
        <w:rPr>
          <w:color w:val="000000"/>
        </w:rPr>
        <w:t>(14)</w:t>
      </w:r>
      <w:r>
        <w:rPr>
          <w:color w:val="FFFFFF"/>
        </w:rPr>
        <w:t xml:space="preserve"> </w:t>
      </w:r>
      <w:r>
        <w:rPr>
          <w:color w:val="000000"/>
        </w:rPr>
        <w:t>Lai saglabātu dažādu Eiropas reģionu īpatnības (pārtikas marķējumus, amatniecisko ražošanu, tradīcijas), lai izvairītos no vienota dzīvesveida un nodrošinātu produktu izsekojamību un kvalitāti</w:t>
      </w:r>
    </w:p>
    <w:p>
      <w:pPr>
        <w:pStyle w:val="Normal"/>
        <w:spacing w:lineRule="auto" w:line="240"/>
        <w:rPr/>
      </w:pPr>
      <w:r>
        <w:rPr/>
      </w:r>
    </w:p>
    <w:p>
      <w:pPr>
        <w:pStyle w:val="Normal"/>
        <w:rPr/>
      </w:pPr>
      <w:r>
        <w:rPr/>
        <w:t xml:space="preserve">Attiecībā uz katru prioritāro izmaiņu attiecīgās grupas iedzīvotāji sniedza izmaiņu definīciju, ierosināja konkrētus pasākumus, kas jāīsteno to īstenošanai, un norādīja veiksmes kritērijus līdz 2035. gadam. </w:t>
      </w:r>
    </w:p>
    <w:p>
      <w:pPr>
        <w:pStyle w:val="Normal"/>
        <w:rPr/>
      </w:pPr>
      <w:r>
        <w:rPr/>
      </w:r>
      <w:r>
        <w:br w:type="page"/>
      </w:r>
    </w:p>
    <w:p>
      <w:pPr>
        <w:pStyle w:val="P68B1DB1Normal42"/>
        <w:widowControl w:val="false"/>
        <w:spacing w:lineRule="auto" w:line="240" w:before="237" w:after="0"/>
        <w:ind w:left="0" w:right="0" w:hanging="0"/>
        <w:jc w:val="left"/>
        <w:rPr/>
      </w:pPr>
      <w:r>
        <w:rPr/>
        <w:t xml:space="preserve">Izmaiņas 1 — Attīstīt enerģiju, lai patērētu mazāk, apturot lieko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Eiropa, kas apņēmusies risināt klimata un vides problēmas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6" w:after="0"/>
        <w:ind w:left="0" w:right="0" w:hanging="0"/>
        <w:jc w:val="left"/>
        <w:rPr/>
      </w:pPr>
      <w:r>
        <w:rPr>
          <w:i/>
          <w:color w:val="000000"/>
        </w:rPr>
        <w:t>Atslēgvārdi: Atjaunojamo energoresursu attīstība, enerģijas patēriņa samazināšanās</w:t>
      </w:r>
      <w:r>
        <w:rPr>
          <w:b/>
          <w:color w:val="273375"/>
        </w:rPr>
        <w:t xml:space="preserve"> </w:t>
      </w:r>
    </w:p>
    <w:p>
      <w:pPr>
        <w:pStyle w:val="P68B1DB1Normal19"/>
        <w:widowControl w:val="false"/>
        <w:spacing w:lineRule="auto" w:line="240" w:before="248" w:after="0"/>
        <w:ind w:left="0" w:right="9" w:hanging="0"/>
        <w:jc w:val="both"/>
        <w:rPr/>
      </w:pPr>
      <w:r>
        <w:rPr/>
        <w:t xml:space="preserve">Šo izmaiņu mērķis ir veicināt enerģijas patēriņa samazināšanu Eiropā un atjaunojamās enerģijas attīstību. Tās prioritātes noteikšana, ko veic iedzīvotāji, atspoguļo viņu vēlmi iesaistīt Eiropu un tās iedzīvotājus </w:t>
      </w:r>
      <w:r>
        <w:rPr>
          <w:b/>
        </w:rPr>
        <w:t>apņēmīgā</w:t>
      </w:r>
      <w:r>
        <w:rPr/>
        <w:t xml:space="preserve"> pieejā klimata un vides problēmu risināšanai.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237" w:after="0"/>
        <w:ind w:left="0" w:right="9" w:hanging="0"/>
        <w:jc w:val="both"/>
        <w:rPr/>
      </w:pPr>
      <w:r>
        <w:rPr/>
        <w:t xml:space="preserve">Šīs izmaiņas atspoguļo </w:t>
      </w:r>
      <w:r>
        <w:rPr>
          <w:b/>
        </w:rPr>
        <w:t>vērienīgu pētniecības programmu</w:t>
      </w:r>
      <w:r>
        <w:rPr/>
        <w:t xml:space="preserve"> izstrāde atjaunojamo energoresursu jomā un </w:t>
      </w:r>
      <w:r>
        <w:rPr>
          <w:b/>
        </w:rPr>
        <w:t>Eiropas investīciju fondu</w:t>
      </w:r>
      <w:r>
        <w:rPr/>
        <w:t xml:space="preserve"> izmantošana, tieši piedaloties nozares uzņēmumos. </w:t>
      </w:r>
    </w:p>
    <w:p>
      <w:pPr>
        <w:pStyle w:val="P68B1DB1Normal19"/>
        <w:widowControl w:val="false"/>
        <w:spacing w:lineRule="auto" w:line="240" w:before="326" w:after="0"/>
        <w:ind w:left="0" w:right="9" w:hanging="0"/>
        <w:jc w:val="both"/>
        <w:rPr/>
      </w:pPr>
      <w:r>
        <w:rPr/>
        <w:t xml:space="preserve">Iedzīvotājiem šīs izmaiņas būtu veiksmīgas, ja tiktu ieviesti </w:t>
      </w:r>
      <w:r>
        <w:rPr>
          <w:b/>
        </w:rPr>
        <w:t>saistoši enerģijas patēriņa mērķi</w:t>
      </w:r>
      <w:r>
        <w:rPr/>
        <w:t xml:space="preserve"> un</w:t>
      </w:r>
      <w:r>
        <w:rPr>
          <w:b/>
        </w:rPr>
        <w:t>galvenie rādītāji, kas liecina par neskaidrību, piemēram</w:t>
      </w:r>
      <w:r>
        <w:rPr/>
        <w:t xml:space="preserve">, Eiropas automobiļu parka samazināšanās vai gaļas patēriņš. Mērķis ir arī sekmīgi noteikt </w:t>
      </w:r>
      <w:r>
        <w:rPr>
          <w:b/>
        </w:rPr>
        <w:t>patēriņa kvotas pa nozarēm</w:t>
      </w:r>
      <w:r>
        <w:rPr/>
        <w:t xml:space="preserve">, ņemot vērā uzņēmumu patēriņa svārstības un ievērojot to datu konfidencialitāti. </w:t>
      </w:r>
    </w:p>
    <w:p>
      <w:pPr>
        <w:pStyle w:val="Normal"/>
        <w:spacing w:lineRule="auto" w:line="240"/>
        <w:rPr/>
      </w:pPr>
      <w:r>
        <w:rPr/>
      </w:r>
    </w:p>
    <w:p>
      <w:pPr>
        <w:pStyle w:val="P68B1DB1Normal42"/>
        <w:spacing w:lineRule="auto" w:line="240"/>
        <w:rPr/>
      </w:pPr>
      <w:r>
        <w:rPr/>
        <w:t xml:space="preserve">Izmaiņas Nr. 2 — Eiropas Savienības kopējās aizsardzības un drošības stiprināšana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Spēcīga Eiropa pasaulē </w:t>
      </w:r>
    </w:p>
    <w:p>
      <w:pPr>
        <w:pStyle w:val="P68B1DB1Normal33"/>
        <w:widowControl w:val="false"/>
        <w:spacing w:lineRule="auto" w:line="240" w:before="321"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8" w:after="0"/>
        <w:ind w:left="0" w:right="0" w:hanging="0"/>
        <w:jc w:val="left"/>
        <w:rPr/>
      </w:pPr>
      <w:r>
        <w:rPr>
          <w:i/>
          <w:color w:val="000000"/>
        </w:rPr>
        <w:t>Atslēgvārdi: Eiropas armija, stratēģiskā autonomija</w:t>
      </w:r>
      <w:r>
        <w:rPr>
          <w:b/>
          <w:color w:val="273375"/>
        </w:rPr>
        <w:t xml:space="preserve"> </w:t>
      </w:r>
    </w:p>
    <w:p>
      <w:pPr>
        <w:pStyle w:val="P68B1DB1Normal19"/>
        <w:widowControl w:val="false"/>
        <w:spacing w:lineRule="auto" w:line="240" w:before="201" w:after="0"/>
        <w:ind w:left="0" w:right="10" w:hanging="0"/>
        <w:jc w:val="left"/>
        <w:rPr/>
      </w:pPr>
      <w:r>
        <w:rPr/>
        <w:t>Šīs izmaiņas atbilst iedzīvotāju vienbalsīgajai gribai panākt</w:t>
      </w:r>
      <w:r>
        <w:rPr>
          <w:b/>
        </w:rPr>
        <w:t>autonomiju</w:t>
      </w:r>
      <w:r>
        <w:rPr/>
        <w:t xml:space="preserve"> aizsardzības un drošības jomā Eiropā, lai nebūtu atkarīga no ārvalstu varas.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198" w:after="0"/>
        <w:ind w:left="0" w:right="10" w:hanging="0"/>
        <w:jc w:val="left"/>
        <w:rPr/>
      </w:pPr>
      <w:r>
        <w:rPr/>
        <w:t>Šo pārmaiņu panākumi, pirmkārt un galvenokārt, novestu pie</w:t>
      </w:r>
      <w:r>
        <w:rPr>
          <w:b/>
        </w:rPr>
        <w:t xml:space="preserve"> Eiropas aizsardzības un drošības komisāra</w:t>
      </w:r>
      <w:r>
        <w:rPr/>
        <w:t xml:space="preserve"> iecelšanas. </w:t>
      </w:r>
    </w:p>
    <w:p>
      <w:pPr>
        <w:pStyle w:val="P68B1DB1Normal19"/>
        <w:widowControl w:val="false"/>
        <w:spacing w:lineRule="auto" w:line="240" w:before="203" w:after="0"/>
        <w:ind w:left="0" w:right="10" w:hanging="0"/>
        <w:jc w:val="both"/>
        <w:rPr/>
      </w:pPr>
      <w:r>
        <w:rPr/>
        <w:t>Aizsardzības jautājumos</w:t>
      </w:r>
      <w:r>
        <w:rPr>
          <w:b/>
        </w:rPr>
        <w:t xml:space="preserve"> pastāvīgas, reaģējošas un projicējamas armijas izveide</w:t>
      </w:r>
      <w:r>
        <w:rPr/>
        <w:t xml:space="preserve"> visā pasaulē ļautu Eiropai aizsargāt savas robežas un vajadzības gadījumā iejaukties pēc trešo valstu pieprasījuma. </w:t>
      </w:r>
    </w:p>
    <w:p>
      <w:pPr>
        <w:pStyle w:val="P68B1DB1Normal19"/>
        <w:widowControl w:val="false"/>
        <w:spacing w:lineRule="auto" w:line="240" w:before="206" w:after="0"/>
        <w:ind w:left="0" w:right="10" w:hanging="0"/>
        <w:jc w:val="both"/>
        <w:rPr/>
      </w:pPr>
      <w:r>
        <w:rPr/>
        <w:t xml:space="preserve">Attiecībā uz drošību Eiropai tās iedzīvotāju skatījumā būtu jāgarantē </w:t>
      </w:r>
      <w:r>
        <w:rPr>
          <w:b/>
        </w:rPr>
        <w:t>piegāžu</w:t>
      </w:r>
      <w:r>
        <w:rPr/>
        <w:t xml:space="preserve"> drošība un jāaizsargā </w:t>
      </w:r>
      <w:r>
        <w:rPr>
          <w:b/>
        </w:rPr>
        <w:t>stratēģiskā pētniecība</w:t>
      </w:r>
      <w:r>
        <w:rPr/>
        <w:t xml:space="preserve"> tādās prioritārās nozarēs kā kosmoss, kiberdrošība, medicīnas nozare un vide. </w:t>
      </w:r>
      <w:r>
        <w:rPr>
          <w:b/>
        </w:rPr>
        <w:t>Ārējo robežu labākai aizsardzībai</w:t>
      </w:r>
      <w:r>
        <w:rPr/>
        <w:t xml:space="preserve"> būtu arī jāpalīdz apturēt nelegālo imigrāciju un cilvēku tirdzniecību. </w:t>
      </w:r>
    </w:p>
    <w:p>
      <w:pPr>
        <w:pStyle w:val="Normal"/>
        <w:spacing w:lineRule="auto" w:line="240"/>
        <w:rPr/>
      </w:pPr>
      <w:r>
        <w:rPr/>
      </w:r>
    </w:p>
    <w:p>
      <w:pPr>
        <w:pStyle w:val="P68B1DB1Normal42"/>
        <w:spacing w:lineRule="auto" w:line="240"/>
        <w:rPr/>
      </w:pPr>
      <w:r>
        <w:rPr/>
        <w:t xml:space="preserve">Izmaiņas Nr. 3 — kolektīvās ekonomiskās darbības veicināšana, izmantojot autonomu, konkurētspējīgu un vērtīgu nozari, ko veic Eiropas Savienība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Eiropa, kas aizstāv savas intereses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 nozīmē šīs izmaiņas? </w:t>
      </w:r>
    </w:p>
    <w:p>
      <w:pPr>
        <w:pStyle w:val="P68B1DB1Normal44"/>
        <w:widowControl w:val="false"/>
        <w:spacing w:lineRule="auto" w:line="240" w:before="84" w:after="0"/>
        <w:ind w:left="0" w:right="10" w:hanging="0"/>
        <w:jc w:val="left"/>
        <w:rPr>
          <w:rFonts w:ascii="Times New Roman" w:hAnsi="Times New Roman"/>
          <w:i/>
          <w:i/>
          <w:color w:val="000000"/>
          <w:sz w:val="24"/>
        </w:rPr>
      </w:pPr>
      <w:r>
        <w:rPr/>
        <w:t xml:space="preserve">Atslēgvārdi: </w:t>
      </w:r>
    </w:p>
    <w:p>
      <w:pPr>
        <w:pStyle w:val="P68B1DB1Normal7"/>
        <w:widowControl w:val="false"/>
        <w:spacing w:lineRule="auto" w:line="240"/>
        <w:ind w:left="0" w:right="10" w:hanging="0"/>
        <w:jc w:val="left"/>
        <w:rPr/>
      </w:pPr>
      <w:r>
        <w:rPr>
          <w:i/>
          <w:color w:val="000000"/>
        </w:rPr>
        <w:t>Eiropas priekšroka, zinātības aizsardzība, Eiropas čempionu attīstība</w:t>
      </w:r>
      <w:r>
        <w:rPr>
          <w:b/>
          <w:color w:val="273375"/>
        </w:rPr>
        <w:t xml:space="preserve"> </w:t>
      </w:r>
    </w:p>
    <w:p>
      <w:pPr>
        <w:pStyle w:val="P68B1DB1Normal19"/>
        <w:widowControl w:val="false"/>
        <w:spacing w:lineRule="auto" w:line="240" w:before="321" w:after="0"/>
        <w:ind w:left="0" w:right="10" w:hanging="0"/>
        <w:jc w:val="both"/>
        <w:rPr/>
      </w:pPr>
      <w:r>
        <w:rPr/>
        <w:t xml:space="preserve">Šo izmaiņu mērķis ir sasniegt trīs mērķus: stiprināt </w:t>
      </w:r>
      <w:r>
        <w:rPr>
          <w:b/>
        </w:rPr>
        <w:t>“</w:t>
      </w:r>
      <w:r>
        <w:rPr/>
        <w:t xml:space="preserve"> </w:t>
      </w:r>
      <w:r>
        <w:rPr>
          <w:b/>
        </w:rPr>
        <w:t>Eiropas priekšrocību”</w:t>
      </w:r>
      <w:r>
        <w:rPr/>
        <w:t xml:space="preserve"> politiku Savienībā, garantēt </w:t>
      </w:r>
      <w:r>
        <w:rPr>
          <w:b/>
        </w:rPr>
        <w:t>pirmās nepieciešamības preču un zinātības aizsardzību</w:t>
      </w:r>
      <w:r>
        <w:rPr/>
        <w:t xml:space="preserve"> un radīt </w:t>
      </w:r>
      <w:r>
        <w:rPr>
          <w:b/>
        </w:rPr>
        <w:t>“Eiropas čempionus”.</w:t>
      </w:r>
      <w:r>
        <w:rPr/>
        <w:t xml:space="preserve">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316" w:after="0"/>
        <w:ind w:left="0" w:right="10" w:hanging="0"/>
        <w:jc w:val="both"/>
        <w:rPr/>
      </w:pPr>
      <w:r>
        <w:rPr/>
        <w:t xml:space="preserve">Lai sasniegtu šos mērķus, vispirms ir jāīsteno </w:t>
      </w:r>
      <w:r>
        <w:rPr>
          <w:b/>
        </w:rPr>
        <w:t>“Eiropas preferenču” politika</w:t>
      </w:r>
      <w:r>
        <w:rPr/>
        <w:t xml:space="preserve"> saistībā ar konkursiem un jāievieš </w:t>
      </w:r>
      <w:r>
        <w:rPr>
          <w:b/>
        </w:rPr>
        <w:t>oglekļa dioksīda nodoklis</w:t>
      </w:r>
      <w:r>
        <w:rPr/>
        <w:t xml:space="preserve"> importam. </w:t>
      </w:r>
    </w:p>
    <w:p>
      <w:pPr>
        <w:pStyle w:val="P68B1DB1Normal19"/>
        <w:widowControl w:val="false"/>
        <w:spacing w:lineRule="auto" w:line="240" w:before="332" w:after="0"/>
        <w:ind w:left="0" w:right="10" w:hanging="0"/>
        <w:jc w:val="left"/>
        <w:rPr/>
      </w:pPr>
      <w:r>
        <w:rPr/>
        <w:t xml:space="preserve">Zinātības aizsardzība palielinātu ārvalstu atpirkšanas un ieguldījumu kontroli, kā arī </w:t>
      </w:r>
      <w:r>
        <w:rPr>
          <w:b/>
        </w:rPr>
        <w:t>pārcelšanas</w:t>
      </w:r>
      <w:r>
        <w:rPr/>
        <w:t xml:space="preserve"> atbalsta attīstību. </w:t>
      </w:r>
    </w:p>
    <w:p>
      <w:pPr>
        <w:pStyle w:val="P68B1DB1Normal19"/>
        <w:widowControl w:val="false"/>
        <w:spacing w:lineRule="auto" w:line="240" w:before="323" w:after="0"/>
        <w:ind w:left="0" w:right="10" w:hanging="0"/>
        <w:jc w:val="both"/>
        <w:rPr/>
      </w:pPr>
      <w:r>
        <w:rPr/>
        <w:t xml:space="preserve">Visbeidzot, “Eiropas čempionu” izveide ietver Eiropas </w:t>
      </w:r>
      <w:r>
        <w:rPr>
          <w:b/>
        </w:rPr>
        <w:t>rūpniecības apvienību veicināšanu</w:t>
      </w:r>
      <w:r>
        <w:rPr/>
        <w:t xml:space="preserve"> stratēģiskās nozarēs un publisko riska kapitāla ieguldījumu veicināšanu. </w:t>
      </w:r>
    </w:p>
    <w:p>
      <w:pPr>
        <w:pStyle w:val="P68B1DB1Normal45"/>
        <w:widowControl w:val="false"/>
        <w:spacing w:lineRule="auto" w:line="240" w:before="333" w:after="0"/>
        <w:ind w:left="0" w:right="13" w:hanging="0"/>
        <w:jc w:val="both"/>
        <w:rPr>
          <w:sz w:val="20"/>
        </w:rPr>
      </w:pPr>
      <w:r>
        <w:rPr/>
        <w:t xml:space="preserve">Šo pārmaiņu panākumi iedzīvotājiem ir īstenojušies, veidojot Eiropas rūpniecības alianses galvenajās nozarēs, palielinot uzņēmumu pārvietošanas skaitu un uzlabojot tirdzniecības bilanci.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Izmaiņas Nr. 4 — Iedzīvotāju varas palielināšana vairākos līmeņos: līdzdalība, lēmums, kontrole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Demokrātiskāka Eiropa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84" w:after="0"/>
        <w:ind w:left="0" w:right="10" w:hanging="0"/>
        <w:jc w:val="left"/>
        <w:rPr/>
      </w:pPr>
      <w:r>
        <w:rPr>
          <w:i/>
          <w:color w:val="000000"/>
        </w:rPr>
        <w:t>Atslēgvārdi: vēlētāju aktivitātes pieaugums, Eiropas apmierinātības barometrs, apspriešanās ar iedzīvotājiem vispārināšana</w:t>
      </w:r>
      <w:r>
        <w:rPr>
          <w:b/>
          <w:color w:val="273375"/>
        </w:rPr>
        <w:t xml:space="preserve"> </w:t>
      </w:r>
    </w:p>
    <w:p>
      <w:pPr>
        <w:pStyle w:val="P68B1DB1Normal19"/>
        <w:widowControl w:val="false"/>
        <w:spacing w:lineRule="auto" w:line="240" w:before="324" w:after="0"/>
        <w:ind w:left="0" w:right="10" w:hanging="0"/>
        <w:jc w:val="both"/>
        <w:rPr/>
      </w:pPr>
      <w:r>
        <w:rPr/>
        <w:t xml:space="preserve">Līdz ar šīm pārmaiņām iedzīvotāji ierosina izstrādāt “ </w:t>
      </w:r>
      <w:r>
        <w:rPr>
          <w:i/>
        </w:rPr>
        <w:t xml:space="preserve">pilnīgu pilsoņu pieredzi”  </w:t>
      </w:r>
      <w:r>
        <w:rPr/>
        <w:t xml:space="preserve">eiropiešiem, palielinot </w:t>
      </w:r>
      <w:r>
        <w:rPr>
          <w:b/>
        </w:rPr>
        <w:t>viņu līdzdalību</w:t>
      </w:r>
      <w:r>
        <w:rPr/>
        <w:t xml:space="preserve"> visos lēmumu pieņemšanas procesa posmos. Tas atspoguļo iedzīvotāju vēlmi </w:t>
      </w:r>
      <w:r>
        <w:rPr>
          <w:b/>
        </w:rPr>
        <w:t>paust savu viedokli</w:t>
      </w:r>
      <w:r>
        <w:rPr/>
        <w:t xml:space="preserve"> un ietekmēt valsts politiku, kas ietekmē viņu ikdienas dzīvi.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Kādi ir galvenie soļi un panākumu kritēriji? </w:t>
      </w:r>
    </w:p>
    <w:p>
      <w:pPr>
        <w:pStyle w:val="P68B1DB1Normal24"/>
        <w:widowControl w:val="false"/>
        <w:spacing w:lineRule="auto" w:line="240" w:before="323" w:after="0"/>
        <w:ind w:left="0" w:right="13" w:hanging="0"/>
        <w:jc w:val="both"/>
        <w:rPr/>
      </w:pPr>
      <w:r>
        <w:rPr/>
        <w:t>Tas galvenokārt ir paredzēts pilsoņiem, lai izstrādātu un uzturētu pilsoņu līdzdalības iniciatīvas</w:t>
      </w:r>
      <w:r>
        <w:rPr>
          <w:b/>
        </w:rPr>
        <w:t xml:space="preserve">. </w:t>
      </w:r>
      <w:r>
        <w:rPr/>
        <w:t xml:space="preserve">Šajā nolūkā varētu īstenot vairākas sviras: </w:t>
      </w:r>
      <w:r>
        <w:rPr>
          <w:b/>
        </w:rPr>
        <w:t>pastāvīgas konsultatīvās palātas</w:t>
      </w:r>
      <w:r>
        <w:rPr/>
        <w:t xml:space="preserve"> izveide, </w:t>
      </w:r>
      <w:r>
        <w:rPr>
          <w:b/>
        </w:rPr>
        <w:t>pilsoņu varas reģistrēšana</w:t>
      </w:r>
      <w:r>
        <w:rPr/>
        <w:t xml:space="preserve"> Eiropas līgumos vai </w:t>
      </w:r>
      <w:r>
        <w:rPr>
          <w:b/>
        </w:rPr>
        <w:t>marķējuma</w:t>
      </w:r>
      <w:r>
        <w:rPr/>
        <w:t xml:space="preserve"> izveide, kas apliecina tiesību aktus, par kuriem notikusi apspriešanās ar pilsoņiem. </w:t>
      </w:r>
    </w:p>
    <w:p>
      <w:pPr>
        <w:pStyle w:val="P68B1DB1Normal19"/>
        <w:widowControl w:val="false"/>
        <w:spacing w:lineRule="auto" w:line="240" w:before="230" w:after="0"/>
        <w:ind w:left="0" w:right="10" w:hanging="0"/>
        <w:jc w:val="both"/>
        <w:rPr/>
      </w:pPr>
      <w:r>
        <w:rPr/>
        <w:t xml:space="preserve">Šo pārmaiņu panākumus apliecinātu tādu rādītāju pieaugums kā </w:t>
      </w:r>
      <w:r>
        <w:rPr>
          <w:b/>
        </w:rPr>
        <w:t>dalība vēlēšanās, EiropasSavienībā paustā interese</w:t>
      </w:r>
      <w:r>
        <w:rPr/>
        <w:t xml:space="preserve"> un </w:t>
      </w:r>
      <w:r>
        <w:rPr>
          <w:b/>
        </w:rPr>
        <w:t>uzticība</w:t>
      </w:r>
      <w:r>
        <w:rPr/>
        <w:t xml:space="preserve">, kā </w:t>
      </w:r>
      <w:r>
        <w:rPr>
          <w:b/>
        </w:rPr>
        <w:t>arī Eiropas tīmekļa vietņu apmeklēšana</w:t>
      </w:r>
      <w:r>
        <w:rPr/>
        <w:t xml:space="preserve">. To lēmumu skaita pieaugums, kas pieņemti pēc apspriešanās ar iedzīvotājiem, un </w:t>
      </w:r>
      <w:r>
        <w:rPr>
          <w:b/>
        </w:rPr>
        <w:t>Eiropas pilsoņu iniciatīvu (EPI</w:t>
      </w:r>
      <w:r>
        <w:rPr/>
        <w:t xml:space="preserve">) plašāka izmantošana arī tiek uzskatīta par panākumu rādītāju.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Izmaiņas Nr. 5 — Virzība uz Eiropas valstu federāciju ar spēcīgām kompetencēm kopīgu interešu jomās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Vienotāka Eiropa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6" w:after="0"/>
        <w:ind w:left="0" w:right="0" w:hanging="0"/>
        <w:jc w:val="left"/>
        <w:rPr/>
      </w:pPr>
      <w:r>
        <w:rPr>
          <w:i/>
          <w:color w:val="000000"/>
        </w:rPr>
        <w:t>Atslēgvārdi: institucionālā apvienošana, jaunievēlētā priekšsēdētāja, ES kompetenču stiprināšana</w:t>
      </w:r>
      <w:r>
        <w:rPr>
          <w:b/>
          <w:color w:val="273375"/>
        </w:rPr>
        <w:t xml:space="preserve"> </w:t>
      </w:r>
    </w:p>
    <w:p>
      <w:pPr>
        <w:pStyle w:val="P68B1DB1Normal19"/>
        <w:widowControl w:val="false"/>
        <w:spacing w:lineRule="auto" w:line="240" w:before="244" w:after="0"/>
        <w:ind w:left="0" w:right="10" w:hanging="0"/>
        <w:jc w:val="both"/>
        <w:rPr/>
      </w:pPr>
      <w:r>
        <w:rPr/>
        <w:t>Šīs izmaiņas atspoguļo iedzīvotāju vēlmi</w:t>
      </w:r>
      <w:r>
        <w:rPr>
          <w:b/>
        </w:rPr>
        <w:t>apvienot</w:t>
      </w:r>
      <w:r>
        <w:rPr/>
        <w:t xml:space="preserve"> Eiropas politiskās iestādes. Parādītais modelis ir valstu federācijas modelis, kura mērķis ir </w:t>
      </w:r>
      <w:r>
        <w:rPr>
          <w:b/>
        </w:rPr>
        <w:t>stiprināt Eiropas Savienības dalīto vai ekskluzīvo kompetenci</w:t>
      </w:r>
      <w:r>
        <w:rPr/>
        <w:t xml:space="preserve">, tomēr nevirzoties uz federālu valsti.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Kādi ir galvenie atskaites punkti un panākumu kritēriji? </w:t>
      </w:r>
    </w:p>
    <w:p>
      <w:pPr>
        <w:pStyle w:val="P68B1DB1Normal19"/>
        <w:widowControl w:val="false"/>
        <w:spacing w:lineRule="auto" w:line="240" w:before="239" w:after="0"/>
        <w:ind w:left="0" w:right="10" w:hanging="0"/>
        <w:jc w:val="both"/>
        <w:rPr/>
      </w:pPr>
      <w:r>
        <w:rPr/>
        <w:t xml:space="preserve">Iekšēji šīs pārmaiņas varētu ietvert </w:t>
      </w:r>
      <w:r>
        <w:rPr>
          <w:b/>
        </w:rPr>
        <w:t>pilsoņu līdzdalības</w:t>
      </w:r>
      <w:r>
        <w:rPr/>
        <w:t xml:space="preserve"> attīstību, Eiropas </w:t>
      </w:r>
      <w:r>
        <w:rPr>
          <w:b/>
        </w:rPr>
        <w:t>ministriju izveidi dalībvalstīs</w:t>
      </w:r>
      <w:r>
        <w:rPr/>
        <w:t xml:space="preserve"> un ilgākā termiņā Eiropas Komisijas</w:t>
      </w:r>
      <w:r>
        <w:rPr>
          <w:b/>
        </w:rPr>
        <w:t xml:space="preserve">priekšsēdētāja </w:t>
      </w:r>
      <w:r>
        <w:rPr/>
        <w:t xml:space="preserve"> </w:t>
      </w:r>
      <w:r>
        <w:rPr>
          <w:b/>
        </w:rPr>
        <w:t>ievēlēšanu vispārējās vēlēšanās</w:t>
      </w:r>
      <w:r>
        <w:rPr/>
        <w:t xml:space="preserve">. </w:t>
      </w:r>
    </w:p>
    <w:p>
      <w:pPr>
        <w:pStyle w:val="P68B1DB1Normal19"/>
        <w:widowControl w:val="false"/>
        <w:spacing w:lineRule="auto" w:line="240" w:before="327" w:after="0"/>
        <w:ind w:left="0" w:right="10" w:hanging="0"/>
        <w:jc w:val="left"/>
        <w:rPr/>
      </w:pPr>
      <w:r>
        <w:rPr/>
        <w:t xml:space="preserve">Ārēji Eiropas viedokļa stiprināšana ārvalstīs tiktu pārvērsta par </w:t>
      </w:r>
      <w:r>
        <w:rPr>
          <w:b/>
        </w:rPr>
        <w:t xml:space="preserve">iemiesojumu, </w:t>
      </w:r>
      <w:r>
        <w:rPr/>
        <w:t>izmantojot</w:t>
      </w:r>
      <w:r>
        <w:rPr>
          <w:b/>
        </w:rPr>
        <w:t xml:space="preserve"> unikālu Eiropas pārstāvi</w:t>
      </w:r>
      <w:r>
        <w:rPr/>
        <w:t xml:space="preserve"> starptautiskajā arēnā. </w:t>
      </w:r>
    </w:p>
    <w:p>
      <w:pPr>
        <w:pStyle w:val="P68B1DB1Normal24"/>
        <w:widowControl w:val="false"/>
        <w:spacing w:lineRule="auto" w:line="240" w:before="324" w:after="0"/>
        <w:ind w:left="0" w:right="15" w:hanging="0"/>
        <w:jc w:val="left"/>
        <w:rPr/>
      </w:pPr>
      <w:r>
        <w:rPr/>
        <w:t xml:space="preserve">Šī valstu federācija gūtu labumu arī no palielināta </w:t>
      </w:r>
      <w:r>
        <w:rPr>
          <w:b/>
        </w:rPr>
        <w:t>Eiropas budžeta</w:t>
      </w:r>
      <w:r>
        <w:rPr/>
        <w:t xml:space="preserve">, ar mērķi sasniegt 10 % no IKP (salīdzinājumā ar 2 % pašlaik). </w:t>
      </w:r>
    </w:p>
    <w:p>
      <w:pPr>
        <w:pStyle w:val="Normal"/>
        <w:widowControl w:val="false"/>
        <w:spacing w:lineRule="auto" w:line="240" w:before="153"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42"/>
        <w:spacing w:lineRule="auto" w:line="240"/>
        <w:rPr>
          <w:rFonts w:ascii="Times New Roman" w:hAnsi="Times New Roman"/>
          <w:b/>
          <w:b/>
          <w:color w:val="000000"/>
          <w:sz w:val="28"/>
        </w:rPr>
      </w:pPr>
      <w:r>
        <w:rPr/>
        <w:t xml:space="preserve">Izmaiņas 6 — Mūža apmaiņas programmu ierosināšana </w:t>
      </w:r>
    </w:p>
    <w:p>
      <w:pPr>
        <w:pStyle w:val="P68B1DB1Normal43"/>
        <w:widowControl w:val="false"/>
        <w:spacing w:lineRule="auto" w:line="240" w:before="349" w:after="0"/>
        <w:ind w:left="0" w:right="0" w:hanging="0"/>
        <w:jc w:val="left"/>
        <w:rPr>
          <w:rFonts w:ascii="Times New Roman" w:hAnsi="Times New Roman"/>
          <w:b/>
          <w:b/>
          <w:i/>
          <w:i/>
          <w:color w:val="808080"/>
          <w:sz w:val="24"/>
        </w:rPr>
      </w:pPr>
      <w:r>
        <w:rPr/>
        <w:t xml:space="preserve">Asociētās Eiropas vēlme: Eiropa, kas izglītību izvirza priekšplānā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Ko nozīmē šīs izmaiņas?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Atslēgvārdi: skolu apmaiņa, Erasmus </w:t>
      </w:r>
    </w:p>
    <w:p>
      <w:pPr>
        <w:pStyle w:val="P68B1DB1Normal19"/>
        <w:widowControl w:val="false"/>
        <w:spacing w:lineRule="auto" w:line="240" w:before="330" w:after="0"/>
        <w:ind w:left="0" w:right="0" w:hanging="0"/>
        <w:jc w:val="both"/>
        <w:rPr/>
      </w:pPr>
      <w:r>
        <w:rPr/>
        <w:t xml:space="preserve">Plaši atzīts, ka šīs pārmaiņas atspoguļo to, cik svarīgas iedzīvotājiem ir tikšanās un pieredze ārvalstīs, jo tās ir spēcīgs Eiropas noskaņojums. Mērķis ir </w:t>
      </w:r>
      <w:r>
        <w:rPr>
          <w:i/>
        </w:rPr>
        <w:t xml:space="preserve">“no akadēmiskām zināšanām pāriet uz </w:t>
      </w:r>
      <w:r>
        <w:rPr>
          <w:b/>
          <w:i/>
        </w:rPr>
        <w:t>dzīvotu, pieredzējušu un jutīgu pieeju</w:t>
      </w:r>
      <w:r>
        <w:rPr>
          <w:i/>
        </w:rPr>
        <w:t>Eiropai”</w:t>
      </w:r>
      <w:r>
        <w:rPr/>
        <w:t xml:space="preserve">un izprast izglītību plašākā nozīmē kā </w:t>
      </w:r>
      <w:r>
        <w:rPr>
          <w:b/>
        </w:rPr>
        <w:t xml:space="preserve">mūžizglītību. </w:t>
      </w:r>
    </w:p>
    <w:p>
      <w:pPr>
        <w:pStyle w:val="P68B1DB1Normal33"/>
        <w:widowControl w:val="false"/>
        <w:spacing w:lineRule="auto" w:line="240" w:before="323" w:after="0"/>
        <w:ind w:left="0" w:right="0" w:hanging="0"/>
        <w:jc w:val="left"/>
        <w:rPr>
          <w:rFonts w:ascii="Times New Roman" w:hAnsi="Times New Roman"/>
          <w:b/>
          <w:b/>
          <w:color w:val="000000"/>
          <w:sz w:val="24"/>
        </w:rPr>
      </w:pPr>
      <w:r>
        <w:rPr/>
        <w:t xml:space="preserve">Kādi ir galvenie soļi un panākumu kritēriji? </w:t>
      </w:r>
    </w:p>
    <w:p>
      <w:pPr>
        <w:pStyle w:val="P68B1DB1Normal24"/>
        <w:widowControl w:val="false"/>
        <w:spacing w:lineRule="auto" w:line="240" w:before="317" w:after="0"/>
        <w:ind w:left="0" w:right="4" w:hanging="0"/>
        <w:jc w:val="both"/>
        <w:rPr/>
      </w:pPr>
      <w:r>
        <w:rPr/>
        <w:t xml:space="preserve">Šādu pārmaiņu panākumi galvenokārt ir saistīti ar </w:t>
      </w:r>
      <w:r>
        <w:rPr>
          <w:b/>
        </w:rPr>
        <w:t>paplašināta mobilitātes piedāvājuma</w:t>
      </w:r>
      <w:r>
        <w:rPr/>
        <w:t xml:space="preserve"> ieviešanu, tostarp skolu apmaiņu, mērķsadarbību, ceļošanu un profesionālo mobilitāti. Iedzīvotājiem šim piedāvājumam jābūt pieejamam visiem, jo īpaši tiem, kam ir maz resursu vai invaliditātes. Piemēram, programma “Erasmus” varētu aptvert visus eiropiešus bez vecuma vai resursu ierobežojumiem. Šīs programmas ir jāuzskata par </w:t>
      </w:r>
      <w:r>
        <w:rPr>
          <w:b/>
        </w:rPr>
        <w:t>daudzveidīgām, iekļaujošām</w:t>
      </w:r>
      <w:r>
        <w:rPr>
          <w:b/>
          <w:sz w:val="20"/>
        </w:rPr>
        <w:t xml:space="preserve"> </w:t>
      </w:r>
      <w:r>
        <w:rPr>
          <w:b/>
        </w:rPr>
        <w:t>un pieejamām</w:t>
      </w:r>
      <w:r>
        <w:rPr/>
        <w:t xml:space="preserve"> ar vienkāršotām administratīvām procedūrām. </w:t>
      </w:r>
    </w:p>
    <w:p>
      <w:pPr>
        <w:pStyle w:val="P68B1DB1Normal24"/>
        <w:widowControl w:val="false"/>
        <w:spacing w:lineRule="auto" w:line="240" w:before="232" w:after="0"/>
        <w:ind w:left="0" w:right="3" w:hanging="0"/>
        <w:jc w:val="both"/>
        <w:rPr/>
      </w:pPr>
      <w:r>
        <w:rPr/>
        <w:t xml:space="preserve">Papildus mobilitātei tika minēts arī tas, cik svarīgi ir </w:t>
      </w:r>
      <w:r>
        <w:rPr>
          <w:b/>
        </w:rPr>
        <w:t>veidot saikni starp izglītības sistēmām</w:t>
      </w:r>
      <w:r>
        <w:rPr/>
        <w:t xml:space="preserve"> (diplomu līdzvērtība u. c.) un palielināt Eiropas pievilcību, lai izvairītos no talantu aizplūšanas ārvalstīs.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Izmaiņas Nr. 7 — Eiropas kultūru koplietošana, apvienojot pasākumus un pasākumus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Eiropa ar kopīgām kultūrām un identitātēm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Ko nozīmē šīs izmaiņas? </w:t>
      </w:r>
    </w:p>
    <w:p>
      <w:pPr>
        <w:pStyle w:val="P68B1DB1Normal44"/>
        <w:widowControl w:val="false"/>
        <w:spacing w:lineRule="auto" w:line="240" w:before="206" w:after="0"/>
        <w:ind w:left="0" w:right="0" w:hanging="0"/>
        <w:jc w:val="left"/>
        <w:rPr>
          <w:rFonts w:ascii="Times New Roman" w:hAnsi="Times New Roman"/>
          <w:i/>
          <w:i/>
          <w:color w:val="000000"/>
          <w:sz w:val="24"/>
        </w:rPr>
      </w:pPr>
      <w:r>
        <w:rPr/>
        <w:t xml:space="preserve">Atslēgvārdi: Eiropas svētki, Eiropas publiskā brīvdiena, Pasaules Eiropas izstāde </w:t>
      </w:r>
    </w:p>
    <w:p>
      <w:pPr>
        <w:pStyle w:val="P68B1DB1Normal19"/>
        <w:widowControl w:val="false"/>
        <w:spacing w:lineRule="auto" w:line="240" w:before="246" w:after="0"/>
        <w:ind w:left="0" w:right="10" w:hanging="0"/>
        <w:jc w:val="left"/>
        <w:rPr/>
      </w:pPr>
      <w:r>
        <w:rPr/>
        <w:t xml:space="preserve">Šo pārmaiņu mērķis ir </w:t>
      </w:r>
      <w:r>
        <w:rPr>
          <w:b/>
        </w:rPr>
        <w:t>radīt un dzīvot Eiropas garu</w:t>
      </w:r>
      <w:r>
        <w:rPr/>
        <w:t xml:space="preserve">, izmantojot kopīgu pieredzi, pasākumus un svētku pasākumus.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239" w:after="0"/>
        <w:ind w:left="0" w:right="10" w:hanging="0"/>
        <w:jc w:val="both"/>
        <w:rPr/>
      </w:pPr>
      <w:r>
        <w:rPr/>
        <w:t xml:space="preserve">Pilsoņu iedomātie notikumi ir paredzēti, lai būtu </w:t>
      </w:r>
      <w:r>
        <w:rPr>
          <w:b/>
        </w:rPr>
        <w:t>jautri, vienojoši un populāri</w:t>
      </w:r>
      <w:r>
        <w:rPr/>
        <w:t xml:space="preserve">, lai dalītos ar vislielāko skaitu. Lai to panāktu, tām būtu jāiesaista </w:t>
      </w:r>
      <w:r>
        <w:rPr>
          <w:b/>
        </w:rPr>
        <w:t>visas auditorijas</w:t>
      </w:r>
      <w:r>
        <w:rPr/>
        <w:t xml:space="preserve"> (tostarp bērni, skolu auditorija, jaunieši un Erasmus studenti), un tām būtu jānotiek </w:t>
      </w:r>
      <w:r>
        <w:rPr>
          <w:b/>
        </w:rPr>
        <w:t>dažādās vietās</w:t>
      </w:r>
      <w:r>
        <w:rPr/>
        <w:t xml:space="preserve"> (pensiju namos, skolās, valsts pārvaldes iestādēs, cietumos u. c.). </w:t>
      </w:r>
    </w:p>
    <w:p>
      <w:pPr>
        <w:pStyle w:val="P68B1DB1Normal24"/>
        <w:widowControl w:val="false"/>
        <w:spacing w:lineRule="auto" w:line="240" w:before="327" w:after="0"/>
        <w:ind w:left="0" w:right="13" w:hanging="0"/>
        <w:jc w:val="both"/>
        <w:rPr/>
      </w:pPr>
      <w:r>
        <w:rPr/>
        <w:t xml:space="preserve">Jo īpaši tika paredzēti divi pasākumi, lai apvienotu eiropiešus: </w:t>
      </w:r>
      <w:r>
        <w:rPr>
          <w:b/>
        </w:rPr>
        <w:t>vispārēja Eiropas izstāde</w:t>
      </w:r>
      <w:r>
        <w:rPr/>
        <w:t xml:space="preserve">, kas ļautu pārstāvēt visas dalībvalstis, un 9. maija </w:t>
      </w:r>
      <w:r>
        <w:rPr>
          <w:b/>
        </w:rPr>
        <w:t>Eiropas dienas pārstrādāta redakcija</w:t>
      </w:r>
      <w:r>
        <w:rPr/>
        <w:t xml:space="preserve">, kurā jo īpaši būtu paredzēts izglītojošs pasākums, </w:t>
      </w:r>
      <w:r>
        <w:rPr>
          <w:i/>
        </w:rPr>
        <w:t>lai “neaizmirstu mieru, kas saistīts ar Eiropu un tās vērtībām</w:t>
      </w:r>
      <w:r>
        <w:rPr/>
        <w:t xml:space="preserve">”. Tajā pašā laikā Eiropas pārstāvji savās skolās varētu tikties ar kontinenta skolēniem, lai jau no agrīna vecuma stiprinātu Eiropas tuvumu un izpratni par Eiropu. </w:t>
      </w:r>
    </w:p>
    <w:p>
      <w:pPr>
        <w:pStyle w:val="P68B1DB1Normal19"/>
        <w:widowControl w:val="false"/>
        <w:spacing w:lineRule="auto" w:line="240" w:before="112" w:after="0"/>
        <w:ind w:left="0" w:right="0" w:hanging="0"/>
        <w:jc w:val="left"/>
        <w:rPr>
          <w:rFonts w:ascii="Times New Roman" w:hAnsi="Times New Roman"/>
          <w:color w:val="000000"/>
          <w:sz w:val="24"/>
        </w:rPr>
      </w:pPr>
      <w:r>
        <w:rPr/>
        <w:t xml:space="preserve"> </w:t>
      </w:r>
    </w:p>
    <w:p>
      <w:pPr>
        <w:pStyle w:val="P68B1DB1Normal42"/>
        <w:spacing w:lineRule="auto" w:line="240"/>
        <w:rPr/>
      </w:pPr>
      <w:r>
        <w:rPr/>
        <w:t xml:space="preserve">Izmaiņas Nr. 8 — veselības harmonizēšana un tās pieejamības nodrošināšana visiem eiropiešiem, izmantojot kopēju veselības politiku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Solidaritāte Eiropa, kas aizsargā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86" w:after="0"/>
        <w:ind w:left="0" w:right="10" w:hanging="0"/>
        <w:jc w:val="left"/>
        <w:rPr/>
      </w:pPr>
      <w:r>
        <w:rPr>
          <w:i/>
          <w:color w:val="000000"/>
        </w:rPr>
        <w:t>Atslēgvārdi: vispārēja veselības apdrošināšana, aprūpes saskaņošana, veselība kā pamattiesības</w:t>
      </w:r>
      <w:r>
        <w:rPr>
          <w:b/>
          <w:color w:val="273375"/>
        </w:rPr>
        <w:t xml:space="preserve"> </w:t>
      </w:r>
    </w:p>
    <w:p>
      <w:pPr>
        <w:pStyle w:val="P68B1DB1Normal19"/>
        <w:widowControl w:val="false"/>
        <w:spacing w:lineRule="auto" w:line="240" w:before="248" w:after="0"/>
        <w:ind w:left="0" w:right="10" w:hanging="0"/>
        <w:jc w:val="both"/>
        <w:rPr/>
      </w:pPr>
      <w:r>
        <w:rPr/>
        <w:t xml:space="preserve">Lai visiem eiropiešiem garantētu piekļuvi veselības aprūpei un reaģētu uz </w:t>
      </w:r>
      <w:r>
        <w:rPr>
          <w:i/>
        </w:rPr>
        <w:t>“aizsardzības un solidaritātes vajadzību</w:t>
      </w:r>
      <w:r>
        <w:rPr/>
        <w:t xml:space="preserve">”, vienprātīgi tika ierosināta </w:t>
      </w:r>
      <w:r>
        <w:rPr>
          <w:b/>
        </w:rPr>
        <w:t>pārvalstiska veselības aprūpes sistēma</w:t>
      </w:r>
      <w:r>
        <w:rPr/>
        <w:t xml:space="preserve">. Tā balstīsies uz taisnīgu finansējumu starp dalībvalstīm un balstīsies uz labākajām ES sistēmām. Šādas pārmaiņas atspoguļo iedzīvotāju vēlmi panākt, lai Eiropa uzņemtos aktīvāku lomu iedzīvotāju aizsardzībā, jo īpaši veselības jomā, kur līdz šim rīcība tiek uzskatīta par pārāk biedējošu.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239" w:after="0"/>
        <w:ind w:left="0" w:right="10" w:hanging="0"/>
        <w:jc w:val="both"/>
        <w:rPr/>
      </w:pPr>
      <w:r>
        <w:rPr/>
        <w:t xml:space="preserve">Lai īstenotu šīs izmaiņas, vairākums </w:t>
      </w:r>
      <w:r>
        <w:rPr>
          <w:b/>
        </w:rPr>
        <w:t>apstiprināja Eiropas vispārējā sociālā nodrošinājuma</w:t>
      </w:r>
      <w:r>
        <w:rPr/>
        <w:t xml:space="preserve"> principu. Tomēr nevarēja pieņemt lēmumu par šīs sistēmas īstenošanas kārtību. Lai gan daži apgalvo</w:t>
      </w:r>
      <w:r>
        <w:rPr>
          <w:i/>
        </w:rPr>
        <w:t xml:space="preserve">, ka “datu centralizācija ļauj [Eiropas] veselības aprūpes darbiniekiem piekļūt visai pacienta slimības vēsturei”, </w:t>
      </w:r>
      <w:r>
        <w:rPr/>
        <w:t xml:space="preserve">citi uzskata, ka šis pasākums </w:t>
      </w:r>
      <w:r>
        <w:rPr>
          <w:i/>
        </w:rPr>
        <w:t>ir “papildu brīvības atņemšana un kontroles sistēma”.</w:t>
      </w:r>
      <w:r>
        <w:rPr/>
        <w:t xml:space="preserve"> </w:t>
      </w:r>
    </w:p>
    <w:p>
      <w:pPr>
        <w:pStyle w:val="P68B1DB1Normal24"/>
        <w:widowControl w:val="false"/>
        <w:spacing w:lineRule="auto" w:line="240" w:before="329" w:after="0"/>
        <w:ind w:left="0" w:right="14" w:hanging="0"/>
        <w:jc w:val="both"/>
        <w:rPr/>
      </w:pPr>
      <w:r>
        <w:rPr>
          <w:b/>
        </w:rPr>
        <w:t xml:space="preserve">Regulējuma prasību pārredzamība un saskaņošana visā </w:t>
      </w:r>
      <w:r>
        <w:rPr/>
        <w:t xml:space="preserve">kontinentā, kā arī </w:t>
      </w:r>
      <w:r>
        <w:rPr>
          <w:b/>
        </w:rPr>
        <w:t>Eiropas veselības plāns tomēr ir</w:t>
      </w:r>
      <w:r>
        <w:rPr/>
        <w:t xml:space="preserve"> noteikti kā priekšnosacījumi jebkādai būtiskai pārveidei. </w:t>
      </w:r>
    </w:p>
    <w:p>
      <w:pPr>
        <w:pStyle w:val="P68B1DB1Normal19"/>
        <w:spacing w:lineRule="auto" w:line="240"/>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left"/>
        <w:rPr/>
      </w:pPr>
      <w:r>
        <w:rPr/>
        <w:t xml:space="preserve">Izmaiņas Nr. 9 — izstrādāt un vadīt stratēģiskus kanālus Eiropas līmenī, lai nodrošinātu mūsu suverenitāti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Konkurētspējīga un inovatīva Eiropa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86" w:after="0"/>
        <w:ind w:left="0" w:right="9" w:hanging="0"/>
        <w:jc w:val="left"/>
        <w:rPr/>
      </w:pPr>
      <w:r>
        <w:rPr>
          <w:i/>
          <w:color w:val="000000"/>
        </w:rPr>
        <w:t>Atslēgvārdi: Eiropas čempionu attīstība, ārvalstu ieguldījumu kontrole, digitālā autonomija un enerģētika</w:t>
      </w:r>
      <w:r>
        <w:rPr>
          <w:b/>
          <w:color w:val="273375"/>
        </w:rPr>
        <w:t xml:space="preserve"> </w:t>
      </w:r>
    </w:p>
    <w:p>
      <w:pPr>
        <w:pStyle w:val="P68B1DB1Normal19"/>
        <w:widowControl w:val="false"/>
        <w:spacing w:lineRule="auto" w:line="240" w:before="248" w:after="0"/>
        <w:ind w:left="0" w:right="9" w:hanging="0"/>
        <w:jc w:val="both"/>
        <w:rPr/>
      </w:pPr>
      <w:r>
        <w:rPr/>
        <w:t xml:space="preserve">Tādu stratēģisku nozaru kā veselība, pārtika, enerģētika, digitālās tehnoloģijas, aizsardzība, transports un jauni materiāli izmēģinājuma projekti Eiropas līmenī atbilst iedzīvotāju apzinātajai </w:t>
      </w:r>
      <w:r>
        <w:rPr>
          <w:b/>
        </w:rPr>
        <w:t>suverenitātei</w:t>
      </w:r>
      <w:r>
        <w:rPr/>
        <w:t>. Tas ierobežotu konkurenci starp Eiropas uzņēmumiem, veicinātu</w:t>
      </w:r>
      <w:r>
        <w:rPr>
          <w:b/>
        </w:rPr>
        <w:t>kontinenta līderu rašanos</w:t>
      </w:r>
      <w:r>
        <w:rPr/>
        <w:t xml:space="preserve"> un reindustrializētu </w:t>
      </w:r>
      <w:r>
        <w:rPr>
          <w:b/>
        </w:rPr>
        <w:t>Eiropu</w:t>
      </w:r>
      <w:r>
        <w:rPr/>
        <w:t xml:space="preserve">, izmantojot Eiropas priekšrocības.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237" w:after="0"/>
        <w:ind w:left="0" w:right="9" w:hanging="0"/>
        <w:jc w:val="both"/>
        <w:rPr/>
      </w:pPr>
      <w:r>
        <w:rPr/>
        <w:t xml:space="preserve">Lai panāktu šo suverenitāti, </w:t>
      </w:r>
      <w:r>
        <w:rPr>
          <w:b/>
        </w:rPr>
        <w:t>Eiropas iestādei</w:t>
      </w:r>
      <w:r>
        <w:rPr/>
        <w:t xml:space="preserve"> varētu uzdot vadīt šīs nozares, izsniedzot atļaujas iepirkt Eiropas uzņēmumus no ārvalstu konkurentiem un nodrošinot, ka importētie produkti atbilst tādiem pašiem standartiem kā ES produkcija. Vidējā termiņā</w:t>
      </w:r>
      <w:r>
        <w:rPr>
          <w:b/>
        </w:rPr>
        <w:t xml:space="preserve"> 30 % līdz 50 %</w:t>
      </w:r>
      <w:r>
        <w:rPr/>
        <w:t xml:space="preserve"> no Eiropas patēriņa šajās stratēģiskajās nozarēs būtu </w:t>
      </w:r>
      <w:r>
        <w:rPr>
          <w:b/>
        </w:rPr>
        <w:t>jāražo kontinentā</w:t>
      </w:r>
      <w:r>
        <w:rPr/>
        <w:t xml:space="preserve"> un ilgtermiņā līdz </w:t>
      </w:r>
      <w:r>
        <w:rPr>
          <w:b/>
        </w:rPr>
        <w:t>70 %</w:t>
      </w:r>
      <w:r>
        <w:rPr/>
        <w:t>. Atbilstība šiem kritērijiem nodrošinātu Eiropas rūpniecības modeļa pašpietiekamību un</w:t>
      </w:r>
      <w:r>
        <w:rPr>
          <w:b/>
        </w:rPr>
        <w:t>ietekmi</w:t>
      </w:r>
      <w:r>
        <w:rPr/>
        <w:t xml:space="preserve"> </w:t>
      </w:r>
      <w:r>
        <w:rPr>
          <w:b/>
        </w:rPr>
        <w:t xml:space="preserve"> </w:t>
      </w:r>
      <w:r>
        <w:rPr/>
        <w:t>un pat</w:t>
      </w:r>
      <w:r>
        <w:rPr>
          <w:b/>
        </w:rPr>
        <w:t>eksportu</w:t>
      </w:r>
      <w:r>
        <w:rPr/>
        <w:t xml:space="preserve">. </w:t>
      </w:r>
    </w:p>
    <w:p>
      <w:pPr>
        <w:pStyle w:val="Normal"/>
        <w:spacing w:lineRule="auto" w:line="240"/>
        <w:rPr/>
      </w:pPr>
      <w:r>
        <w:rPr/>
      </w:r>
    </w:p>
    <w:p>
      <w:pPr>
        <w:pStyle w:val="P68B1DB1Normal42"/>
        <w:spacing w:lineRule="auto" w:line="240"/>
        <w:rPr/>
      </w:pPr>
      <w:r>
        <w:rPr/>
        <w:t xml:space="preserve">Izmaiņas Nr. 10 — vides un ekosistēmu aizsardzības uzlabošana un aizsargājamo teritoriju izveide pilsētu, piepilsētu un lauku teritoriju centrā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Eiropa, kas veicina ilgtspējīgu attīstību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8" w:after="0"/>
        <w:ind w:left="0" w:right="0" w:hanging="0"/>
        <w:jc w:val="left"/>
        <w:rPr/>
      </w:pPr>
      <w:r>
        <w:rPr>
          <w:i/>
          <w:color w:val="000000"/>
        </w:rPr>
        <w:t>Atslēgvārdi: videi draudzīgāka urbanizācija, augsnes cieņa un aizsardzība</w:t>
      </w:r>
      <w:r>
        <w:rPr>
          <w:b/>
          <w:color w:val="273375"/>
        </w:rPr>
        <w:t xml:space="preserve"> </w:t>
      </w:r>
    </w:p>
    <w:p>
      <w:pPr>
        <w:pStyle w:val="P68B1DB1Normal19"/>
        <w:widowControl w:val="false"/>
        <w:spacing w:lineRule="auto" w:line="240" w:before="321" w:after="0"/>
        <w:ind w:left="0" w:right="9" w:hanging="0"/>
        <w:jc w:val="both"/>
        <w:rPr/>
      </w:pPr>
      <w:r>
        <w:rPr/>
        <w:t xml:space="preserve">Mērķis ir </w:t>
      </w:r>
      <w:r>
        <w:rPr>
          <w:b/>
        </w:rPr>
        <w:t>ierobežot urbanizācijas negatīvo ietekmi uz augsni</w:t>
      </w:r>
      <w:r>
        <w:rPr/>
        <w:t xml:space="preserve">. Spēcīgas darbības </w:t>
      </w:r>
      <w:r>
        <w:rPr>
          <w:b/>
        </w:rPr>
        <w:t>ierobežotu ar augsnes destrukciju saistītas katastrofas</w:t>
      </w:r>
      <w:r>
        <w:rPr/>
        <w:t>, piemēram, zemes nogruvumus</w:t>
      </w:r>
      <w:r>
        <w:rPr>
          <w:b/>
        </w:rPr>
        <w:t>, un uzlabotu dzīves kvalitāti pilsētu teritorijās</w:t>
      </w:r>
      <w:r>
        <w:rPr/>
        <w:t xml:space="preserve">, jo īpaši stādot kokus. </w:t>
      </w:r>
    </w:p>
    <w:p>
      <w:pPr>
        <w:pStyle w:val="P68B1DB1Normal33"/>
        <w:widowControl w:val="false"/>
        <w:spacing w:lineRule="auto" w:line="240" w:before="330"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318" w:after="0"/>
        <w:ind w:left="0" w:right="9" w:hanging="0"/>
        <w:jc w:val="both"/>
        <w:rPr/>
      </w:pPr>
      <w:r>
        <w:rPr/>
        <w:t xml:space="preserve">Tika ierosināts rīkoties divos līmeņos: pirmkārt, </w:t>
      </w:r>
      <w:r>
        <w:rPr>
          <w:b/>
        </w:rPr>
        <w:t>mainīt tendenci attiecībā uz jaunām konstrukcijām</w:t>
      </w:r>
      <w:r>
        <w:rPr/>
        <w:t xml:space="preserve">, lai samazinātu augsnes sablīvēšanās ātrumu, un, otrkārt, </w:t>
      </w:r>
      <w:r>
        <w:rPr>
          <w:b/>
        </w:rPr>
        <w:t>veicināt augsnes atjaunošanu</w:t>
      </w:r>
      <w:r>
        <w:rPr/>
        <w:t xml:space="preserve">, “atgriežoties </w:t>
      </w:r>
      <w:r>
        <w:rPr>
          <w:i/>
        </w:rPr>
        <w:t>pie dabas, kas tai pieder</w:t>
      </w:r>
      <w:r>
        <w:rPr/>
        <w:t xml:space="preserve">”. </w:t>
      </w:r>
    </w:p>
    <w:p>
      <w:pPr>
        <w:pStyle w:val="Normal"/>
        <w:spacing w:lineRule="auto" w:line="240"/>
        <w:rPr/>
      </w:pPr>
      <w:r>
        <w:rPr/>
      </w:r>
    </w:p>
    <w:p>
      <w:pPr>
        <w:pStyle w:val="P68B1DB1Normal42"/>
        <w:spacing w:lineRule="auto" w:line="240"/>
        <w:rPr/>
      </w:pPr>
      <w:r>
        <w:rPr/>
        <w:t xml:space="preserve">Izmaiņas Nr. 11 — Eiropas releju izveide teritorijās, lai uzklausītu un konsultētu iedzīvotājus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Tuvāka un pieejama Eiropa </w:t>
      </w:r>
    </w:p>
    <w:p>
      <w:pPr>
        <w:pStyle w:val="P68B1DB1Normal33"/>
        <w:widowControl w:val="false"/>
        <w:spacing w:lineRule="auto" w:line="240" w:before="326" w:after="0"/>
        <w:ind w:left="0" w:right="0" w:hanging="0"/>
        <w:jc w:val="left"/>
        <w:rPr>
          <w:rFonts w:ascii="Times New Roman" w:hAnsi="Times New Roman"/>
          <w:b/>
          <w:b/>
          <w:color w:val="000000"/>
          <w:sz w:val="24"/>
        </w:rPr>
      </w:pPr>
      <w:r>
        <w:rPr/>
        <w:t xml:space="preserve">Ko nozīmē šīs izmaiņas? </w:t>
      </w:r>
    </w:p>
    <w:p>
      <w:pPr>
        <w:pStyle w:val="P68B1DB1Normal44"/>
        <w:widowControl w:val="false"/>
        <w:spacing w:lineRule="auto" w:line="240" w:before="326" w:after="0"/>
        <w:ind w:left="0" w:right="0" w:hanging="0"/>
        <w:jc w:val="left"/>
        <w:rPr>
          <w:rFonts w:ascii="Times New Roman" w:hAnsi="Times New Roman"/>
          <w:i/>
          <w:i/>
          <w:color w:val="000000"/>
          <w:sz w:val="24"/>
        </w:rPr>
      </w:pPr>
      <w:r>
        <w:rPr/>
        <w:t xml:space="preserve">Atslēgvārdi: Eiropas mājas, vietējā līmeņa Eiropas iedzīvotāji, labāka piekļuve informācijai </w:t>
      </w:r>
    </w:p>
    <w:p>
      <w:pPr>
        <w:pStyle w:val="P68B1DB1Normal19"/>
        <w:widowControl w:val="false"/>
        <w:spacing w:lineRule="auto" w:line="240" w:before="326" w:after="0"/>
        <w:ind w:left="0" w:right="11" w:hanging="0"/>
        <w:jc w:val="both"/>
        <w:rPr/>
      </w:pPr>
      <w:r>
        <w:rPr/>
        <w:t xml:space="preserve">Šo pārmaiņu mērķis ir sniegt konkrētas atbildes uz </w:t>
      </w:r>
      <w:r>
        <w:rPr>
          <w:b/>
        </w:rPr>
        <w:t>to, ka Eiropas Savienība</w:t>
      </w:r>
      <w:r>
        <w:rPr/>
        <w:t xml:space="preserve"> ikdienā nav iemiesota, un strādāt pie tā, lai tuvinātu Eiropu un tās pilsoņus. </w:t>
      </w:r>
    </w:p>
    <w:p>
      <w:pPr>
        <w:pStyle w:val="P68B1DB1Normal33"/>
        <w:widowControl w:val="false"/>
        <w:spacing w:lineRule="auto" w:line="240" w:before="333" w:after="0"/>
        <w:ind w:left="0" w:right="0" w:hanging="0"/>
        <w:jc w:val="left"/>
        <w:rPr>
          <w:rFonts w:ascii="Times New Roman" w:hAnsi="Times New Roman"/>
          <w:b/>
          <w:b/>
          <w:color w:val="000000"/>
          <w:sz w:val="24"/>
        </w:rPr>
      </w:pPr>
      <w:r>
        <w:rPr/>
        <w:t xml:space="preserve">Kādi ir galvenie soļi un panākumu kritēriji? </w:t>
      </w:r>
    </w:p>
    <w:p>
      <w:pPr>
        <w:pStyle w:val="P68B1DB1Normal24"/>
        <w:widowControl w:val="false"/>
        <w:spacing w:lineRule="auto" w:line="240" w:before="317" w:after="0"/>
        <w:ind w:left="0" w:right="14" w:hanging="0"/>
        <w:jc w:val="both"/>
        <w:rPr/>
      </w:pPr>
      <w:r>
        <w:rPr/>
        <w:t xml:space="preserve">Lai novērstu šo attālumu starp ES un iedzīvotājiem, katrā </w:t>
      </w:r>
      <w:r>
        <w:rPr>
          <w:b/>
        </w:rPr>
        <w:t>pašvaldībā varētu iecelt speciālistu</w:t>
      </w:r>
      <w:r>
        <w:rPr/>
        <w:t xml:space="preserve"> referentu, kura uzdevums būtu uzklausīt un konsultēt iedzīvotājus. Šajā ziņojumā sniegtā informācija varētu būt sociāli ekonomiska, jo īpaši par piekļuvi Eiropas vai informatīvajam atbalstam, piemēram, par lobistu lomu. Sniegtā informācija būtu paredzēta gan plašai sabiedrībai, gan profesionāļiem, jo īpaši, lai konsultētu MVU un palīdzētu projektu vadītājiem piekļūt ES līdzekļiem. Ilgtermiņā šīs pārmaiņas varētu novest pie </w:t>
      </w:r>
      <w:r>
        <w:rPr>
          <w:b/>
        </w:rPr>
        <w:t>Eiropai paredzētu vietu radīšanas, kas būtu</w:t>
      </w:r>
      <w:r>
        <w:rPr/>
        <w:t xml:space="preserve"> līdzīgas esošajām Eiropas ēkām, bet pašvaldību līmenī, kas ļautu izveidot labu teritoriālo tīklu. </w:t>
      </w:r>
    </w:p>
    <w:p>
      <w:pPr>
        <w:pStyle w:val="P68B1DB1Normal24"/>
        <w:widowControl w:val="false"/>
        <w:spacing w:lineRule="auto" w:line="240" w:before="235" w:after="0"/>
        <w:ind w:left="0" w:right="15" w:hanging="0"/>
        <w:jc w:val="both"/>
        <w:rPr/>
      </w:pPr>
      <w:r>
        <w:rPr/>
        <w:t xml:space="preserve">Šo pārmaiņu panākumi būtu pilnīgi, ja ikviens iedzīvotājs zinātu “ </w:t>
      </w:r>
      <w:r>
        <w:rPr>
          <w:i/>
        </w:rPr>
        <w:t>kā acīmredzamu</w:t>
      </w:r>
      <w:r>
        <w:rPr/>
        <w:t xml:space="preserve">” šīs atsauces esamību un šo Eiropai atvēlēto resursu vietu, kas nodrošinātu resursus, klausīšanos, informāciju un padomus. </w:t>
      </w:r>
    </w:p>
    <w:p>
      <w:pPr>
        <w:pStyle w:val="P68B1DB1Normal19"/>
        <w:widowControl w:val="false"/>
        <w:spacing w:lineRule="auto" w:line="240" w:before="153" w:after="0"/>
        <w:ind w:left="0" w:right="0" w:hanging="0"/>
        <w:jc w:val="left"/>
        <w:rPr>
          <w:rFonts w:ascii="Times New Roman" w:hAnsi="Times New Roman"/>
          <w:color w:val="000000"/>
          <w:sz w:val="24"/>
        </w:rPr>
      </w:pPr>
      <w:r>
        <w:rPr/>
        <w:t xml:space="preserve"> </w:t>
      </w:r>
    </w:p>
    <w:p>
      <w:pPr>
        <w:pStyle w:val="P68B1DB1Normal42"/>
        <w:widowControl w:val="false"/>
        <w:spacing w:lineRule="auto" w:line="240" w:before="237" w:after="0"/>
        <w:ind w:left="0" w:right="0" w:hanging="0"/>
        <w:jc w:val="both"/>
        <w:rPr/>
      </w:pPr>
      <w:r>
        <w:rPr/>
        <w:t xml:space="preserve">Grozījums Nr. 12 — vienādot Eiropas Parlamenta vēlēšanu režīmu 27 valstīm un uzlabot iedzīvotāju tuvumu, aizstājot pašreizējo balsojumu ar vienreizēju balsojumu reģionālā līmenī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Eiropa ar efektīvāku pārvaldību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6" w:after="0"/>
        <w:ind w:left="0" w:right="0" w:hanging="0"/>
        <w:jc w:val="left"/>
        <w:rPr/>
      </w:pPr>
      <w:r>
        <w:rPr>
          <w:i/>
          <w:color w:val="000000"/>
        </w:rPr>
        <w:t>Atslēgvārdi: institucionālās pārmaiņas, kam seko pilsoņi, kas veic darbības visā pilnvaru laikā</w:t>
      </w:r>
      <w:r>
        <w:rPr>
          <w:b/>
          <w:color w:val="273375"/>
        </w:rPr>
        <w:t xml:space="preserve"> </w:t>
      </w:r>
    </w:p>
    <w:p>
      <w:pPr>
        <w:pStyle w:val="P68B1DB1Normal19"/>
        <w:widowControl w:val="false"/>
        <w:spacing w:lineRule="auto" w:line="240" w:before="275" w:after="0"/>
        <w:ind w:left="0" w:right="10" w:hanging="0"/>
        <w:jc w:val="both"/>
        <w:rPr/>
      </w:pPr>
      <w:r>
        <w:rPr/>
        <w:t xml:space="preserve">Šīs izmaiņas atspoguļo pilsoņu vēlmi stiprināt viņu </w:t>
      </w:r>
      <w:r>
        <w:rPr>
          <w:b/>
        </w:rPr>
        <w:t>tuvumu ievēlētajām</w:t>
      </w:r>
      <w:r>
        <w:rPr/>
        <w:t xml:space="preserve"> amatpersonām un sekot viņu rīcībai visā pilnvaru laikā. Tā ir atbilde uz plaši izplatīto novērojumu par pilsoņu bažu nepārtulkošanu konkrētās darbībās, ko veic Eiropas Parlamenta ievēlētie pārstāvji. </w:t>
      </w:r>
    </w:p>
    <w:p>
      <w:pPr>
        <w:pStyle w:val="P68B1DB1Normal33"/>
        <w:widowControl w:val="false"/>
        <w:spacing w:lineRule="auto" w:line="240" w:before="381"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316" w:after="0"/>
        <w:ind w:left="0" w:right="10" w:hanging="0"/>
        <w:jc w:val="both"/>
        <w:rPr/>
      </w:pPr>
      <w:r>
        <w:rPr/>
        <w:t xml:space="preserve">Vēlēšanu veida maiņa ietvertu </w:t>
      </w:r>
      <w:r>
        <w:rPr>
          <w:b/>
        </w:rPr>
        <w:t>balsošanas sistēmas apvienošanu</w:t>
      </w:r>
      <w:r>
        <w:rPr/>
        <w:t xml:space="preserve"> Eiropas līmenī un pāreju no valstu vēlēšanu apgabaliem uz reģionāliem vēlēšanu apgabaliem, kas ir iespējami līdz 2035. gadam. </w:t>
      </w:r>
    </w:p>
    <w:p>
      <w:pPr>
        <w:pStyle w:val="Normal"/>
        <w:spacing w:lineRule="auto" w:line="240"/>
        <w:rPr/>
      </w:pPr>
      <w:r>
        <w:rPr/>
      </w:r>
    </w:p>
    <w:p>
      <w:pPr>
        <w:pStyle w:val="P68B1DB1Normal42"/>
        <w:spacing w:lineRule="auto" w:line="240"/>
        <w:rPr/>
      </w:pPr>
      <w:r>
        <w:rPr/>
        <w:t xml:space="preserve">Izmaiņas Nr. 13 — kopējas politikas definēšana, lai uzlabotu migrantu (tostarp neatbilstīgo migrantu) uzņemšanu un sociālo un profesionālo integrāciju </w:t>
      </w:r>
    </w:p>
    <w:p>
      <w:pPr>
        <w:pStyle w:val="P68B1DB1Normal43"/>
        <w:widowControl w:val="false"/>
        <w:spacing w:lineRule="auto" w:line="240" w:before="347" w:after="0"/>
        <w:ind w:left="0" w:right="0" w:hanging="0"/>
        <w:jc w:val="left"/>
        <w:rPr>
          <w:rFonts w:ascii="Times New Roman" w:hAnsi="Times New Roman"/>
          <w:b/>
          <w:b/>
          <w:i/>
          <w:i/>
          <w:color w:val="808080"/>
          <w:sz w:val="24"/>
        </w:rPr>
      </w:pPr>
      <w:r>
        <w:rPr/>
        <w:t xml:space="preserve">Asociētās Eiropas vēlme: Eiropa, kas garantē pamattiesību ievērošanu </w:t>
      </w:r>
    </w:p>
    <w:p>
      <w:pPr>
        <w:pStyle w:val="P68B1DB1Normal33"/>
        <w:widowControl w:val="false"/>
        <w:spacing w:lineRule="auto" w:line="240" w:before="328" w:after="0"/>
        <w:ind w:left="0" w:right="0"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6" w:after="0"/>
        <w:ind w:left="0" w:right="0" w:hanging="0"/>
        <w:jc w:val="left"/>
        <w:rPr/>
      </w:pPr>
      <w:r>
        <w:rPr>
          <w:i/>
          <w:color w:val="000000"/>
        </w:rPr>
        <w:t>Atslēgvārdi: Eiropas Migrācijas birojs, kas nodrošina pienācīgu uzņemšanu visā Eiropā</w:t>
      </w:r>
      <w:r>
        <w:rPr>
          <w:b/>
          <w:color w:val="273375"/>
        </w:rPr>
        <w:t xml:space="preserve"> </w:t>
      </w:r>
    </w:p>
    <w:p>
      <w:pPr>
        <w:pStyle w:val="P68B1DB1Normal19"/>
        <w:widowControl w:val="false"/>
        <w:spacing w:lineRule="auto" w:line="240" w:before="248" w:after="0"/>
        <w:ind w:left="0" w:right="10" w:hanging="0"/>
        <w:jc w:val="both"/>
        <w:rPr/>
      </w:pPr>
      <w:r>
        <w:rPr/>
        <w:t xml:space="preserve">Šo izmaiņu mērķis ir uzlabot migrantu uzņemšanu Eiropas Savienībā, kas ir problēma, kuru iedzīvotāji vienprātīgi atzina par </w:t>
      </w:r>
      <w:r>
        <w:rPr>
          <w:b/>
        </w:rPr>
        <w:t>ārkārtas</w:t>
      </w:r>
      <w:r>
        <w:rPr/>
        <w:t xml:space="preserve"> situāciju. Pārtraucot pašreizējo situāciju, </w:t>
      </w:r>
      <w:r>
        <w:rPr>
          <w:b/>
        </w:rPr>
        <w:t>kopējas, saskaņotas un solidāras imigrācijas politikas izveide,</w:t>
      </w:r>
      <w:r>
        <w:rPr/>
        <w:t xml:space="preserve"> šķiet, ir galvenais miera virzītājspēks.</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243" w:after="0"/>
        <w:ind w:left="0" w:right="10" w:hanging="0"/>
        <w:jc w:val="left"/>
        <w:rPr/>
      </w:pPr>
      <w:r>
        <w:rPr/>
        <w:t xml:space="preserve">Šādu pārmaiņu panākumu rezultātā pakāpeniski tiktu īstenota kopēja migrantu uzņemšanas politika. </w:t>
      </w:r>
    </w:p>
    <w:p>
      <w:pPr>
        <w:pStyle w:val="P68B1DB1Normal19"/>
        <w:widowControl w:val="false"/>
        <w:spacing w:lineRule="auto" w:line="240" w:before="326" w:after="0"/>
        <w:ind w:left="0" w:right="10" w:hanging="0"/>
        <w:jc w:val="both"/>
        <w:rPr/>
      </w:pPr>
      <w:r>
        <w:rPr>
          <w:b/>
        </w:rPr>
        <w:t>Pilsoņu iniciatīvai</w:t>
      </w:r>
      <w:r>
        <w:rPr/>
        <w:t xml:space="preserve"> būtu jānodod šis jautājums Komisijai un jāļauj vidējā termiņā pieņemt </w:t>
      </w:r>
      <w:r>
        <w:rPr>
          <w:b/>
        </w:rPr>
        <w:t>kopēju standartu</w:t>
      </w:r>
      <w:r>
        <w:rPr/>
        <w:t xml:space="preserve">, kas nosaka sistēmu migrantu uzņemšanai un sociālajai integrācijai. Ilgtermiņā šis standarts tiktu atbalstīts, izveidojot </w:t>
      </w:r>
      <w:r>
        <w:rPr>
          <w:b/>
        </w:rPr>
        <w:t>specializētu Eiropas imigrācijas biroju</w:t>
      </w:r>
      <w:r>
        <w:rPr/>
        <w:t xml:space="preserve"> un atzīstot migrācijas politiku par Eiropas Savienības kompetenci. </w:t>
      </w:r>
    </w:p>
    <w:p>
      <w:pPr>
        <w:pStyle w:val="Normal"/>
        <w:spacing w:lineRule="auto" w:line="240"/>
        <w:rPr/>
      </w:pPr>
      <w:r>
        <w:rPr/>
      </w:r>
    </w:p>
    <w:p>
      <w:pPr>
        <w:pStyle w:val="P68B1DB1Normal42"/>
        <w:spacing w:lineRule="auto" w:line="240"/>
        <w:rPr/>
      </w:pPr>
      <w:r>
        <w:rPr/>
        <w:t xml:space="preserve">Izmaiņas Nr. 14 — dažādu Eiropas reģionu īpatnību saglabāšana (pārtikas produktu marķējums, nerūpnieciskā ražošana, tradīcijas), lai izvairītos no vienota dzīvesveida un nodrošinātu produktu izsekojamību un kvalitāti </w:t>
      </w:r>
    </w:p>
    <w:p>
      <w:pPr>
        <w:pStyle w:val="P68B1DB1Normal43"/>
        <w:widowControl w:val="false"/>
        <w:spacing w:lineRule="auto" w:line="240" w:before="347" w:after="0"/>
        <w:ind w:left="0" w:right="912" w:hanging="0"/>
        <w:jc w:val="left"/>
        <w:rPr/>
      </w:pPr>
      <w:r>
        <w:rPr/>
        <w:t xml:space="preserve">Asociētās Eiropas vēlme: Eiropa, kurā dominē katras valsts intereses </w:t>
      </w:r>
    </w:p>
    <w:p>
      <w:pPr>
        <w:pStyle w:val="P68B1DB1Normal33"/>
        <w:widowControl w:val="false"/>
        <w:spacing w:lineRule="auto" w:line="240" w:before="347" w:after="0"/>
        <w:ind w:left="0" w:right="912" w:hanging="0"/>
        <w:jc w:val="left"/>
        <w:rPr>
          <w:rFonts w:ascii="Times New Roman" w:hAnsi="Times New Roman"/>
          <w:b/>
          <w:b/>
          <w:color w:val="000000"/>
          <w:sz w:val="24"/>
        </w:rPr>
      </w:pPr>
      <w:r>
        <w:rPr/>
        <w:t xml:space="preserve">Ko nozīmē šīs izmaiņas? </w:t>
      </w:r>
    </w:p>
    <w:p>
      <w:pPr>
        <w:pStyle w:val="P68B1DB1Normal7"/>
        <w:widowControl w:val="false"/>
        <w:spacing w:lineRule="auto" w:line="240" w:before="76" w:after="0"/>
        <w:ind w:left="0" w:right="0" w:hanging="0"/>
        <w:jc w:val="left"/>
        <w:rPr/>
      </w:pPr>
      <w:r>
        <w:rPr>
          <w:i/>
          <w:color w:val="000000"/>
        </w:rPr>
        <w:t>Atslēgvārdi: Eiropas marķējumi, novērtējot kultūru un tradīciju daudzveidību</w:t>
      </w:r>
      <w:r>
        <w:rPr>
          <w:b/>
          <w:color w:val="273375"/>
        </w:rPr>
        <w:t xml:space="preserve"> </w:t>
      </w:r>
    </w:p>
    <w:p>
      <w:pPr>
        <w:pStyle w:val="P68B1DB1Normal19"/>
        <w:widowControl w:val="false"/>
        <w:spacing w:lineRule="auto" w:line="240" w:before="323" w:after="0"/>
        <w:ind w:left="0" w:right="10" w:hanging="0"/>
        <w:jc w:val="both"/>
        <w:rPr/>
      </w:pPr>
      <w:r>
        <w:rPr/>
        <w:t xml:space="preserve">Šo pārmaiņu mērķis ir saglabāt </w:t>
      </w:r>
      <w:r>
        <w:rPr>
          <w:b/>
        </w:rPr>
        <w:t>Eiropas tradīciju un produkcijas daudzveidību</w:t>
      </w:r>
      <w:r>
        <w:rPr/>
        <w:t xml:space="preserve"> un</w:t>
      </w:r>
      <w:r>
        <w:rPr>
          <w:b/>
        </w:rPr>
        <w:t>izvairīties no dzīvesveida standartizācijas</w:t>
      </w:r>
      <w:r>
        <w:rPr/>
        <w:t>, ko bieži dēvē par Eiropas Savienības kritiku.</w:t>
      </w:r>
      <w:r>
        <w:rPr>
          <w:b/>
        </w:rPr>
        <w:t xml:space="preserve"> </w:t>
      </w:r>
    </w:p>
    <w:p>
      <w:pPr>
        <w:pStyle w:val="P68B1DB1Normal33"/>
        <w:widowControl w:val="false"/>
        <w:spacing w:lineRule="auto" w:line="240" w:before="325" w:after="0"/>
        <w:ind w:left="0" w:right="0" w:hanging="0"/>
        <w:jc w:val="left"/>
        <w:rPr>
          <w:rFonts w:ascii="Times New Roman" w:hAnsi="Times New Roman"/>
          <w:b/>
          <w:b/>
          <w:color w:val="000000"/>
          <w:sz w:val="24"/>
        </w:rPr>
      </w:pPr>
      <w:r>
        <w:rPr/>
        <w:t xml:space="preserve">Kādi ir galvenie soļi un panākumu kritēriji? </w:t>
      </w:r>
    </w:p>
    <w:p>
      <w:pPr>
        <w:pStyle w:val="P68B1DB1Normal19"/>
        <w:widowControl w:val="false"/>
        <w:spacing w:lineRule="auto" w:line="240" w:before="322" w:after="0"/>
        <w:ind w:left="0" w:right="10" w:hanging="0"/>
        <w:jc w:val="both"/>
        <w:rPr/>
      </w:pPr>
      <w:r>
        <w:rPr/>
        <w:t xml:space="preserve">Iedzīvotājiem galvenais mērķis ir padarīt pieejamāku esošo datubāzi, kurā uzskaitīti dažādi </w:t>
      </w:r>
      <w:r>
        <w:rPr>
          <w:b/>
        </w:rPr>
        <w:t>Eiropas un valstu marķējumi</w:t>
      </w:r>
      <w:r>
        <w:rPr/>
        <w:t xml:space="preserve">. Lai to izdarītu, tiek ierosināts izveidot “ </w:t>
      </w:r>
      <w:r>
        <w:rPr>
          <w:i/>
        </w:rPr>
        <w:t>trīs klikšķu”</w:t>
      </w:r>
      <w:r>
        <w:rPr/>
        <w:t xml:space="preserve"> tīmekļa vietni: vienu klikšķi, lai piekļūtu vietnei, otru, lai parādītu Eiropas Savienības reģionu karti, un otru, lai parādītu katra reģiona marķējumu aprakstu. </w:t>
      </w:r>
    </w:p>
    <w:p>
      <w:pPr>
        <w:pStyle w:val="Normal"/>
        <w:widowControl w:val="false"/>
        <w:spacing w:lineRule="auto" w:line="240" w:before="327" w:after="0"/>
        <w:ind w:left="0" w:right="14" w:hanging="0"/>
        <w:jc w:val="left"/>
        <w:rPr/>
      </w:pPr>
      <w:r>
        <w:rPr>
          <w:rFonts w:ascii="Times New Roman" w:hAnsi="Times New Roman"/>
          <w:color w:val="000000"/>
        </w:rPr>
        <w:t xml:space="preserve">Šo pārmaiņu panākumi izpaustos kā uzlabota </w:t>
      </w:r>
      <w:r>
        <w:rPr>
          <w:rFonts w:ascii="Times New Roman" w:hAnsi="Times New Roman"/>
          <w:b/>
          <w:color w:val="000000"/>
        </w:rPr>
        <w:t>komunikācija</w:t>
      </w:r>
      <w:r>
        <w:rPr>
          <w:rFonts w:ascii="Times New Roman" w:hAnsi="Times New Roman"/>
          <w:color w:val="000000"/>
        </w:rPr>
        <w:t xml:space="preserve"> par esošajiem sasniegumiem, kā rezultātā iedzīvotāji labāk </w:t>
      </w:r>
      <w:r>
        <w:rPr>
          <w:rFonts w:ascii="Times New Roman" w:hAnsi="Times New Roman"/>
          <w:b/>
          <w:color w:val="000000"/>
        </w:rPr>
        <w:t>izprastu</w:t>
      </w:r>
      <w:r>
        <w:rPr>
          <w:rFonts w:ascii="Times New Roman" w:hAnsi="Times New Roman"/>
          <w:color w:val="000000"/>
        </w:rPr>
        <w:t xml:space="preserve"> Eiropas kultūru daudzveidību.</w:t>
      </w:r>
      <w:r>
        <w:rPr>
          <w:rFonts w:ascii="Times New Roman" w:hAnsi="Times New Roman"/>
          <w:b/>
          <w:color w:val="273375"/>
        </w:rPr>
        <w:t xml:space="preserve"> </w:t>
      </w:r>
      <w:r>
        <w:br w:type="page"/>
      </w:r>
    </w:p>
    <w:p>
      <w:pPr>
        <w:pStyle w:val="Titre2"/>
        <w:numPr>
          <w:ilvl w:val="1"/>
          <w:numId w:val="2"/>
        </w:numPr>
        <w:rPr/>
      </w:pPr>
      <w:bookmarkStart w:id="212" w:name="__RefHeading___Toc297351_1346298689"/>
      <w:bookmarkEnd w:id="212"/>
      <w:r>
        <w:rPr/>
        <w:t>Otrā daļa: iepazīstināšana ar apspriešanās “Words to Youth” rezultātiem</w:t>
      </w:r>
      <w:r>
        <w:rPr>
          <w:rFonts w:ascii="Times New Roman" w:hAnsi="Times New Roman"/>
          <w:color w:val="000070"/>
          <w:sz w:val="30"/>
        </w:rPr>
        <w:t xml:space="preserve"> </w:t>
      </w:r>
    </w:p>
    <w:p>
      <w:pPr>
        <w:pStyle w:val="P68B1DB1Normal46"/>
        <w:widowControl w:val="false"/>
        <w:spacing w:lineRule="auto" w:line="240" w:before="34" w:after="0"/>
        <w:ind w:left="0" w:right="0" w:hanging="0"/>
        <w:jc w:val="center"/>
        <w:rPr>
          <w:rFonts w:ascii="Times New Roman" w:hAnsi="Times New Roman"/>
          <w:b/>
          <w:b/>
          <w:color w:val="F79646"/>
          <w:sz w:val="24"/>
        </w:rPr>
      </w:pPr>
      <w:r>
        <w:rPr/>
        <w:t xml:space="preserve">Apspriešanas datumi </w:t>
      </w:r>
    </w:p>
    <w:p>
      <w:pPr>
        <w:pStyle w:val="P68B1DB1Normal19"/>
        <w:widowControl w:val="false"/>
        <w:spacing w:lineRule="auto" w:line="240" w:before="34" w:after="0"/>
        <w:ind w:left="0" w:right="0" w:hanging="0"/>
        <w:jc w:val="center"/>
        <w:rPr/>
      </w:pPr>
      <w:r>
        <w:rPr/>
        <w:t>no 09/05/2021 līdz 18/07/2021</w:t>
      </w:r>
      <w:r>
        <w:rPr>
          <w:b/>
        </w:rPr>
        <w:t xml:space="preserve"> </w:t>
      </w:r>
    </w:p>
    <w:p>
      <w:pPr>
        <w:pStyle w:val="P68B1DB1Normal47"/>
        <w:widowControl w:val="false"/>
        <w:spacing w:lineRule="auto" w:line="240" w:before="102" w:after="0"/>
        <w:ind w:left="0" w:right="0" w:hanging="0"/>
        <w:jc w:val="center"/>
        <w:rPr>
          <w:rFonts w:ascii="Times New Roman" w:hAnsi="Times New Roman"/>
          <w:b/>
          <w:b/>
          <w:color w:val="1F497D"/>
          <w:sz w:val="12"/>
        </w:rPr>
      </w:pPr>
      <w:r>
        <w:rPr/>
        <w:t xml:space="preserve"> </w:t>
      </w:r>
    </w:p>
    <w:p>
      <w:pPr>
        <w:pStyle w:val="P68B1DB1Normal48"/>
        <w:widowControl w:val="false"/>
        <w:spacing w:lineRule="auto" w:line="240" w:before="26" w:after="0"/>
        <w:ind w:left="0" w:right="0" w:hanging="0"/>
        <w:jc w:val="center"/>
        <w:rPr/>
      </w:pPr>
      <w:r>
        <w:rPr>
          <w:b/>
        </w:rPr>
        <w:t>Dalības rādītāji</w:t>
      </w:r>
      <w:r>
        <w:rPr/>
        <w:t xml:space="preserve"> </w:t>
      </w:r>
    </w:p>
    <w:p>
      <w:pPr>
        <w:pStyle w:val="P68B1DB1Normal19"/>
        <w:widowControl w:val="false"/>
        <w:spacing w:lineRule="auto" w:line="240" w:before="26" w:after="0"/>
        <w:ind w:left="0" w:right="0" w:hanging="0"/>
        <w:jc w:val="center"/>
        <w:rPr>
          <w:rFonts w:ascii="Times New Roman" w:hAnsi="Times New Roman"/>
          <w:color w:val="000000"/>
          <w:sz w:val="24"/>
        </w:rPr>
      </w:pPr>
      <w:r>
        <w:rPr/>
        <w:t xml:space="preserve">50 008 dalībnieki </w:t>
      </w:r>
    </w:p>
    <w:p>
      <w:pPr>
        <w:pStyle w:val="P68B1DB1Normal19"/>
        <w:widowControl w:val="false"/>
        <w:spacing w:lineRule="auto" w:line="240" w:before="92" w:after="0"/>
        <w:ind w:left="0" w:right="0" w:hanging="0"/>
        <w:jc w:val="center"/>
        <w:rPr>
          <w:rFonts w:ascii="Times New Roman" w:hAnsi="Times New Roman"/>
          <w:color w:val="000000"/>
          <w:sz w:val="24"/>
        </w:rPr>
      </w:pPr>
      <w:r>
        <w:rPr/>
        <w:t xml:space="preserve">2918 priekšlikumi </w:t>
      </w:r>
    </w:p>
    <w:p>
      <w:pPr>
        <w:pStyle w:val="P68B1DB1Normal19"/>
        <w:widowControl w:val="false"/>
        <w:spacing w:lineRule="auto" w:line="240" w:before="90" w:after="0"/>
        <w:ind w:left="0" w:right="0" w:hanging="0"/>
        <w:jc w:val="center"/>
        <w:rPr>
          <w:rFonts w:ascii="Times New Roman" w:hAnsi="Times New Roman"/>
          <w:color w:val="000000"/>
          <w:sz w:val="24"/>
        </w:rPr>
      </w:pPr>
      <w:r>
        <w:rPr/>
        <w:t xml:space="preserve">338 330 balsis </w:t>
      </w:r>
    </w:p>
    <w:p>
      <w:pPr>
        <w:pStyle w:val="P68B1DB1Normal49"/>
        <w:widowControl w:val="false"/>
        <w:spacing w:lineRule="auto" w:line="240" w:before="106" w:after="0"/>
        <w:ind w:left="4819" w:right="0" w:hanging="0"/>
        <w:jc w:val="left"/>
        <w:rPr>
          <w:rFonts w:ascii="Times New Roman" w:hAnsi="Times New Roman"/>
          <w:color w:val="000000"/>
          <w:sz w:val="12"/>
        </w:rPr>
      </w:pPr>
      <w:r>
        <w:rPr/>
        <w:t xml:space="preserve"> </w:t>
      </w:r>
    </w:p>
    <w:p>
      <w:pPr>
        <w:pStyle w:val="P68B1DB1Normal50"/>
        <w:widowControl w:val="false"/>
        <w:spacing w:lineRule="auto" w:line="240" w:before="30" w:after="0"/>
        <w:ind w:left="0" w:right="28" w:hanging="0"/>
        <w:jc w:val="both"/>
        <w:rPr/>
      </w:pPr>
      <w:r>
        <w:rPr/>
        <w:t xml:space="preserve">Apspriešanās “Walk to Youth” tika uzsākta pēc Eiropas lietu valsts sekretariāta iniciatīvas. Šī apspriešana notiek saistībā ar konferenci par Eiropas nākotni, kas ir Eiropas iestāžu vadīts bezprecedenta līdzdalības demokrātijas pasākums, kura mērķis ir dot iespēju visiem Eiropas pilsoņiem paust savu viedokli par to, ko viņi sagaida no Eiropas Savienības. Apspriešanās laikā gūtās atziņas tiks izmantotas darbā, ko veic konference par Eiropas nākotni un Eiropas Savienības Padomes Francijas prezidentūra. </w:t>
      </w:r>
    </w:p>
    <w:p>
      <w:pPr>
        <w:pStyle w:val="P68B1DB1Normal51"/>
        <w:widowControl w:val="false"/>
        <w:spacing w:lineRule="auto" w:line="240" w:before="210" w:after="0"/>
        <w:ind w:left="0" w:right="0" w:hanging="0"/>
        <w:jc w:val="left"/>
        <w:rPr>
          <w:rFonts w:ascii="Times New Roman" w:hAnsi="Times New Roman"/>
          <w:b/>
          <w:b/>
          <w:color w:val="222222"/>
          <w:sz w:val="24"/>
        </w:rPr>
      </w:pPr>
      <w:r>
        <w:rPr/>
        <w:t xml:space="preserve">4 galvenās nodarbības </w:t>
      </w:r>
    </w:p>
    <w:p>
      <w:pPr>
        <w:pStyle w:val="P68B1DB1Normal34"/>
        <w:widowControl w:val="false"/>
        <w:spacing w:lineRule="auto" w:line="240" w:before="78" w:after="0"/>
        <w:ind w:left="360" w:right="0" w:hanging="0"/>
        <w:jc w:val="left"/>
        <w:rPr/>
      </w:pPr>
      <w:r>
        <w:rPr>
          <w:rFonts w:ascii="Times New Roman" w:hAnsi="Times New Roman"/>
        </w:rPr>
        <w:t>1.</w:t>
      </w:r>
      <w:r>
        <w:rPr/>
        <w:t xml:space="preserve"> </w:t>
      </w:r>
      <w:r>
        <w:rPr>
          <w:rFonts w:ascii="Times New Roman" w:hAnsi="Times New Roman"/>
        </w:rPr>
        <w:t>Jauniešu masveida mobilizācija: apspriešanā</w:t>
      </w:r>
      <w:r>
        <w:rPr>
          <w:rFonts w:ascii="Times New Roman" w:hAnsi="Times New Roman"/>
          <w:b/>
        </w:rPr>
        <w:t xml:space="preserve"> piedalījās vairāk nekā 50 000 Francijas jauno pilsoņu </w:t>
      </w:r>
      <w:r>
        <w:rPr>
          <w:rFonts w:ascii="Times New Roman" w:hAnsi="Times New Roman"/>
        </w:rPr>
        <w:t xml:space="preserve">visās teritorijās. </w:t>
      </w:r>
    </w:p>
    <w:p>
      <w:pPr>
        <w:pStyle w:val="P68B1DB1Normal34"/>
        <w:widowControl w:val="false"/>
        <w:spacing w:lineRule="auto" w:line="240" w:before="86" w:after="0"/>
        <w:ind w:left="360" w:right="0" w:hanging="0"/>
        <w:jc w:val="left"/>
        <w:rPr/>
      </w:pPr>
      <w:r>
        <w:rPr>
          <w:rFonts w:ascii="Times New Roman" w:hAnsi="Times New Roman"/>
        </w:rPr>
        <w:t>2.</w:t>
      </w:r>
      <w:r>
        <w:rPr/>
        <w:t xml:space="preserve"> </w:t>
      </w:r>
      <w:r>
        <w:rPr>
          <w:rFonts w:ascii="Times New Roman" w:hAnsi="Times New Roman"/>
        </w:rPr>
        <w:t xml:space="preserve"> Vissvarīgākais konsenss </w:t>
      </w:r>
      <w:r>
        <w:rPr>
          <w:rFonts w:ascii="Times New Roman" w:hAnsi="Times New Roman"/>
          <w:b/>
        </w:rPr>
        <w:t>attiecas uz Eiropas politiku cīņai pret klimata pārmaiņām, ražošanas pārvietošanu  uz Eiropu, Eiropas demokrātijas atjaunošanu, ES nozīmi pasaulē (ekonomika, pētniecība, cilvēktiesības, diplomātija).</w:t>
      </w:r>
    </w:p>
    <w:p>
      <w:pPr>
        <w:pStyle w:val="Normal"/>
        <w:spacing w:lineRule="auto" w:line="240"/>
        <w:rPr>
          <w:rFonts w:ascii="Times New Roman" w:hAnsi="Times New Roman"/>
          <w:color w:val="000000"/>
          <w:sz w:val="24"/>
        </w:rPr>
      </w:pPr>
      <w:r>
        <w:rPr>
          <w:rFonts w:ascii="Times New Roman" w:hAnsi="Times New Roman"/>
          <w:color w:val="000000"/>
          <w:sz w:val="24"/>
        </w:rPr>
      </w:r>
    </w:p>
    <w:p>
      <w:pPr>
        <w:pStyle w:val="P68B1DB1Normal34"/>
        <w:widowControl w:val="false"/>
        <w:spacing w:lineRule="auto" w:line="240" w:before="88" w:after="0"/>
        <w:ind w:left="360" w:right="0" w:hanging="0"/>
        <w:jc w:val="left"/>
        <w:rPr/>
      </w:pPr>
      <w:r>
        <w:rPr>
          <w:rFonts w:ascii="Times New Roman" w:hAnsi="Times New Roman"/>
        </w:rPr>
        <w:t>3.</w:t>
      </w:r>
      <w:r>
        <w:rPr/>
        <w:t xml:space="preserve"> </w:t>
      </w:r>
      <w:r>
        <w:rPr>
          <w:rFonts w:ascii="Times New Roman" w:hAnsi="Times New Roman"/>
          <w:b/>
        </w:rPr>
        <w:t>Ideja par spēcīgāku un vienotāku Eiropu tiek apspriesta kopumā, panākot</w:t>
      </w:r>
      <w:r>
        <w:rPr>
          <w:rFonts w:ascii="Times New Roman" w:hAnsi="Times New Roman"/>
        </w:rPr>
        <w:t xml:space="preserve"> vienprātību vairākos jautājumos: </w:t>
      </w:r>
    </w:p>
    <w:p>
      <w:pPr>
        <w:pStyle w:val="P68B1DB1Normal34"/>
        <w:widowControl w:val="false"/>
        <w:spacing w:lineRule="auto" w:line="240" w:before="92" w:after="0"/>
        <w:ind w:left="360" w:right="0" w:hanging="0"/>
        <w:jc w:val="left"/>
        <w:rPr/>
      </w:pPr>
      <w:r>
        <w:rPr>
          <w:rFonts w:ascii="Times New Roman" w:hAnsi="Times New Roman"/>
        </w:rPr>
        <w:t>—</w:t>
      </w:r>
      <w:r>
        <w:rPr/>
        <w:t xml:space="preserve"> </w:t>
      </w:r>
      <w:r>
        <w:rPr>
          <w:rFonts w:ascii="Times New Roman" w:hAnsi="Times New Roman"/>
        </w:rPr>
        <w:t xml:space="preserve">Spēcīgāka Eiropa ekonomiski (jo īpaši izmantojot pārvietošanu), lai tiktu galā ar Ķīnu vai Amerikas Savienotajām Valstīm </w:t>
      </w:r>
    </w:p>
    <w:p>
      <w:pPr>
        <w:pStyle w:val="P68B1DB1Normal34"/>
        <w:widowControl w:val="false"/>
        <w:spacing w:lineRule="auto" w:line="240" w:before="92" w:after="0"/>
        <w:ind w:left="360" w:right="0" w:hanging="0"/>
        <w:jc w:val="left"/>
        <w:rPr/>
      </w:pPr>
      <w:r>
        <w:rPr>
          <w:rFonts w:ascii="Times New Roman" w:hAnsi="Times New Roman"/>
        </w:rPr>
        <w:t>Diplomātiskā</w:t>
      </w:r>
      <w:r>
        <w:rPr/>
        <w:t xml:space="preserve"> </w:t>
      </w:r>
      <w:r>
        <w:rPr>
          <w:rFonts w:ascii="Times New Roman" w:hAnsi="Times New Roman"/>
        </w:rPr>
        <w:t xml:space="preserve">Eiropa, kas starptautiskajā arēnā sver vairāk </w:t>
      </w:r>
    </w:p>
    <w:p>
      <w:pPr>
        <w:pStyle w:val="P68B1DB1Normal34"/>
        <w:widowControl w:val="false"/>
        <w:spacing w:lineRule="auto" w:line="240" w:before="85" w:after="0"/>
        <w:ind w:left="360" w:right="1483" w:hanging="0"/>
        <w:jc w:val="left"/>
        <w:rPr/>
      </w:pPr>
      <w:r>
        <w:rPr>
          <w:rFonts w:ascii="Times New Roman" w:hAnsi="Times New Roman"/>
        </w:rPr>
        <w:t>Eiropas</w:t>
      </w:r>
      <w:r>
        <w:rPr/>
        <w:t xml:space="preserve"> </w:t>
      </w:r>
      <w:r>
        <w:rPr>
          <w:rFonts w:ascii="Times New Roman" w:hAnsi="Times New Roman"/>
        </w:rPr>
        <w:t>līdere cīņā pret klimata pārmaiņām pasaulē</w:t>
      </w:r>
    </w:p>
    <w:p>
      <w:pPr>
        <w:pStyle w:val="P68B1DB1Normal34"/>
        <w:widowControl w:val="false"/>
        <w:spacing w:lineRule="auto" w:line="240" w:before="85" w:after="0"/>
        <w:ind w:left="360" w:right="1483" w:hanging="0"/>
        <w:jc w:val="left"/>
        <w:rPr/>
      </w:pPr>
      <w:r>
        <w:rPr>
          <w:rFonts w:ascii="Times New Roman" w:hAnsi="Times New Roman"/>
        </w:rPr>
        <w:t>—</w:t>
      </w:r>
      <w:r>
        <w:rPr/>
        <w:t xml:space="preserve"> </w:t>
      </w:r>
      <w:r>
        <w:rPr>
          <w:rFonts w:ascii="Times New Roman" w:hAnsi="Times New Roman"/>
        </w:rPr>
        <w:t xml:space="preserve">Eiropa, ko sapulcina tās jaunieši </w:t>
      </w:r>
    </w:p>
    <w:p>
      <w:pPr>
        <w:pStyle w:val="P68B1DB1Normal34"/>
        <w:widowControl w:val="false"/>
        <w:spacing w:lineRule="auto" w:line="240" w:before="85" w:after="0"/>
        <w:ind w:left="360" w:right="0" w:hanging="0"/>
        <w:jc w:val="left"/>
        <w:rPr/>
      </w:pPr>
      <w:r>
        <w:rPr>
          <w:rFonts w:ascii="Times New Roman" w:hAnsi="Times New Roman"/>
        </w:rPr>
        <w:t>Vienota</w:t>
      </w:r>
      <w:r>
        <w:rPr/>
        <w:t xml:space="preserve"> </w:t>
      </w:r>
      <w:r>
        <w:rPr>
          <w:rFonts w:ascii="Times New Roman" w:hAnsi="Times New Roman"/>
        </w:rPr>
        <w:t xml:space="preserve">Eiropa pētniecībā un inovācijā </w:t>
      </w:r>
    </w:p>
    <w:p>
      <w:pPr>
        <w:pStyle w:val="P68B1DB1Normal19"/>
        <w:widowControl w:val="false"/>
        <w:spacing w:lineRule="auto" w:line="240" w:before="88" w:after="0"/>
        <w:ind w:left="720" w:right="0" w:hanging="0"/>
        <w:jc w:val="left"/>
        <w:rPr>
          <w:rFonts w:ascii="Times New Roman" w:hAnsi="Times New Roman"/>
          <w:color w:val="000000"/>
          <w:sz w:val="24"/>
        </w:rPr>
      </w:pPr>
      <w:r>
        <w:rPr/>
        <w:t xml:space="preserve"> </w:t>
      </w:r>
    </w:p>
    <w:p>
      <w:pPr>
        <w:pStyle w:val="P68B1DB1Normal34"/>
        <w:widowControl w:val="false"/>
        <w:spacing w:lineRule="auto" w:line="240" w:before="86" w:after="0"/>
        <w:ind w:left="360" w:right="1128" w:hanging="0"/>
        <w:jc w:val="left"/>
        <w:rPr/>
      </w:pPr>
      <w:r>
        <w:rPr>
          <w:rFonts w:ascii="Times New Roman" w:hAnsi="Times New Roman"/>
        </w:rPr>
        <w:t>4.</w:t>
      </w:r>
      <w:r>
        <w:rPr/>
        <w:t xml:space="preserve"> </w:t>
      </w:r>
      <w:r>
        <w:rPr>
          <w:rFonts w:ascii="Times New Roman" w:hAnsi="Times New Roman"/>
          <w:b/>
        </w:rPr>
        <w:t>Jaunieši atzinīgi novērtēja arī četras idejas,</w:t>
      </w:r>
      <w:r>
        <w:rPr>
          <w:rFonts w:ascii="Times New Roman" w:hAnsi="Times New Roman"/>
        </w:rPr>
        <w:t xml:space="preserve"> kas papildina</w:t>
      </w:r>
      <w:r>
        <w:rPr>
          <w:rFonts w:ascii="Times New Roman" w:hAnsi="Times New Roman"/>
          <w:b/>
        </w:rPr>
        <w:t xml:space="preserve">pilsoņu paneļdiskusiju idejas: </w:t>
      </w:r>
    </w:p>
    <w:p>
      <w:pPr>
        <w:pStyle w:val="P68B1DB1Normal34"/>
        <w:widowControl w:val="false"/>
        <w:spacing w:lineRule="auto" w:line="240" w:before="90" w:after="0"/>
        <w:ind w:left="360" w:right="0" w:hanging="0"/>
        <w:jc w:val="left"/>
        <w:rPr/>
      </w:pPr>
      <w:r>
        <w:rPr>
          <w:rFonts w:ascii="Times New Roman" w:hAnsi="Times New Roman"/>
        </w:rPr>
        <w:t>—</w:t>
      </w:r>
      <w:r>
        <w:rPr/>
        <w:t xml:space="preserve"> </w:t>
      </w:r>
      <w:r>
        <w:rPr>
          <w:rFonts w:ascii="Times New Roman" w:hAnsi="Times New Roman"/>
        </w:rPr>
        <w:t xml:space="preserve">Ekoloģiski un sociāli atbildīga Eiropas ekonomika </w:t>
      </w:r>
    </w:p>
    <w:p>
      <w:pPr>
        <w:pStyle w:val="P68B1DB1Normal34"/>
        <w:widowControl w:val="false"/>
        <w:spacing w:lineRule="auto" w:line="240" w:before="88" w:after="0"/>
        <w:ind w:left="360" w:right="0" w:hanging="0"/>
        <w:jc w:val="left"/>
        <w:rPr/>
      </w:pPr>
      <w:r>
        <w:rPr>
          <w:rFonts w:ascii="Times New Roman" w:hAnsi="Times New Roman"/>
        </w:rPr>
        <w:t>-</w:t>
      </w:r>
      <w:r>
        <w:rPr/>
        <w:t xml:space="preserve"> </w:t>
      </w:r>
      <w:r>
        <w:rPr>
          <w:rFonts w:ascii="Times New Roman" w:hAnsi="Times New Roman"/>
        </w:rPr>
        <w:t xml:space="preserve">Eiropa, kas ģeogrāfiski vairāk savienota ar dzelzceļu </w:t>
      </w:r>
    </w:p>
    <w:p>
      <w:pPr>
        <w:pStyle w:val="P68B1DB1Normal34"/>
        <w:widowControl w:val="false"/>
        <w:spacing w:lineRule="auto" w:line="240" w:before="85" w:after="0"/>
        <w:ind w:left="360" w:right="0" w:hanging="0"/>
        <w:jc w:val="left"/>
        <w:rPr/>
      </w:pPr>
      <w:r>
        <w:rPr>
          <w:rFonts w:ascii="Times New Roman" w:hAnsi="Times New Roman"/>
        </w:rPr>
        <w:t>—</w:t>
      </w:r>
      <w:r>
        <w:rPr/>
        <w:t xml:space="preserve"> </w:t>
      </w:r>
      <w:r>
        <w:rPr>
          <w:rFonts w:ascii="Times New Roman" w:hAnsi="Times New Roman"/>
        </w:rPr>
        <w:t xml:space="preserve">Fiskāli taisnīgāka Eiropa </w:t>
      </w:r>
    </w:p>
    <w:p>
      <w:pPr>
        <w:pStyle w:val="P68B1DB1Normal34"/>
        <w:widowControl w:val="false"/>
        <w:spacing w:lineRule="auto" w:line="240" w:before="88" w:after="0"/>
        <w:ind w:left="360" w:right="0" w:hanging="0"/>
        <w:jc w:val="left"/>
        <w:rPr/>
      </w:pPr>
      <w:r>
        <w:rPr>
          <w:rFonts w:ascii="Times New Roman" w:hAnsi="Times New Roman"/>
        </w:rPr>
        <w:t xml:space="preserve">Eiropas Savienībasstingra rīcība, atbalstot sieviešu tiesības </w:t>
      </w:r>
    </w:p>
    <w:p>
      <w:pPr>
        <w:pStyle w:val="Normal"/>
        <w:widowControl w:val="false"/>
        <w:spacing w:lineRule="auto" w:line="240" w:before="85"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33"/>
        <w:widowControl w:val="false"/>
        <w:spacing w:lineRule="auto" w:line="240" w:before="85" w:after="0"/>
        <w:ind w:left="0" w:right="0" w:hanging="0"/>
        <w:jc w:val="left"/>
        <w:rPr/>
      </w:pPr>
      <w:r>
        <w:rPr/>
        <w:t xml:space="preserve">Konferences par Eiropas nākotni 9 tēmās izplatās 22 populāras idejas un 13 pretrunīgas idejas. </w:t>
      </w:r>
    </w:p>
    <w:p>
      <w:pPr>
        <w:pStyle w:val="P68B1DB1Normal19"/>
        <w:widowControl w:val="false"/>
        <w:spacing w:lineRule="auto" w:line="240" w:before="80" w:after="0"/>
        <w:ind w:left="0" w:right="0" w:hanging="0"/>
        <w:jc w:val="left"/>
        <w:rPr>
          <w:rFonts w:ascii="Times New Roman" w:hAnsi="Times New Roman"/>
          <w:color w:val="000000"/>
          <w:sz w:val="24"/>
        </w:rPr>
      </w:pPr>
      <w:r>
        <w:rPr/>
        <w:t xml:space="preserve"> </w:t>
      </w:r>
    </w:p>
    <w:p>
      <w:pPr>
        <w:pStyle w:val="P68B1DB1Normal52"/>
        <w:widowControl w:val="false"/>
        <w:spacing w:lineRule="auto" w:line="240" w:before="96" w:after="0"/>
        <w:ind w:left="0" w:right="0" w:hanging="0"/>
        <w:jc w:val="both"/>
        <w:rPr/>
      </w:pPr>
      <w:r>
        <w:rPr>
          <w:color w:val="38761D"/>
        </w:rPr>
        <w:t>Atzīto ideju pamatā</w:t>
      </w:r>
      <w:r>
        <w:rPr>
          <w:color w:val="000000"/>
        </w:rPr>
        <w:t xml:space="preserve"> ir priekšlikumi, kurus galvenokārt atbalstīja apspriešanas dalībnieki. Atzītie priekšlikumi ir priekšlikumi, kas piesaista vislielāko atbalstu, un tie izmanto vidēji </w:t>
      </w:r>
      <w:r>
        <w:rPr>
          <w:b/>
          <w:color w:val="000000"/>
        </w:rPr>
        <w:t>79 % no “balsojuma par”</w:t>
      </w:r>
      <w:r>
        <w:rPr>
          <w:color w:val="000000"/>
        </w:rPr>
        <w:t xml:space="preserve">. </w:t>
      </w:r>
    </w:p>
    <w:p>
      <w:pPr>
        <w:pStyle w:val="P68B1DB1Normal44"/>
        <w:widowControl w:val="false"/>
        <w:spacing w:lineRule="auto" w:line="240" w:before="94" w:after="0"/>
        <w:ind w:left="0" w:right="0" w:hanging="0"/>
        <w:jc w:val="left"/>
        <w:rPr>
          <w:rFonts w:ascii="Times New Roman" w:hAnsi="Times New Roman"/>
          <w:i/>
          <w:i/>
          <w:color w:val="000000"/>
          <w:sz w:val="24"/>
        </w:rPr>
      </w:pPr>
      <w:r>
        <w:rPr/>
        <w:t xml:space="preserve"> </w:t>
      </w:r>
    </w:p>
    <w:p>
      <w:pPr>
        <w:pStyle w:val="P68B1DB1Normal52"/>
        <w:widowControl w:val="false"/>
        <w:spacing w:lineRule="auto" w:line="240" w:before="96" w:after="0"/>
        <w:ind w:left="0" w:right="0" w:hanging="0"/>
        <w:jc w:val="both"/>
        <w:rPr/>
      </w:pPr>
      <w:r>
        <w:rPr>
          <w:color w:val="FF9900"/>
        </w:rPr>
        <w:t>Pretrunīgo ideju pamatā</w:t>
      </w:r>
      <w:r>
        <w:rPr>
          <w:color w:val="000000"/>
        </w:rPr>
        <w:t xml:space="preserve"> ir priekšlikumi, kurus visvairāk apsprieda apspriešanas dalībnieki, nodrošinot līdzsvaru starp balsojumiem “par” un “pret”. Pretrunīgie priekšlikumi ir visvairāk apspriestie apspriešanas priekšlikumi, izmantojot vidēji </w:t>
      </w:r>
      <w:r>
        <w:rPr>
          <w:b/>
          <w:color w:val="000000"/>
        </w:rPr>
        <w:t>40 % “balsojumu par”</w:t>
      </w:r>
      <w:r>
        <w:rPr>
          <w:color w:val="000000"/>
        </w:rPr>
        <w:t xml:space="preserve">, </w:t>
      </w:r>
      <w:r>
        <w:rPr>
          <w:b/>
          <w:color w:val="000000"/>
        </w:rPr>
        <w:t>38 % “balsojumu pret”</w:t>
      </w:r>
      <w:r>
        <w:rPr>
          <w:color w:val="000000"/>
        </w:rPr>
        <w:t xml:space="preserve">. </w:t>
      </w:r>
    </w:p>
    <w:p>
      <w:pPr>
        <w:pStyle w:val="P68B1DB1Normal44"/>
        <w:widowControl w:val="false"/>
        <w:spacing w:lineRule="auto" w:line="240" w:before="96" w:after="0"/>
        <w:ind w:left="0" w:right="0" w:hanging="0"/>
        <w:jc w:val="left"/>
        <w:rPr>
          <w:rFonts w:ascii="Times New Roman" w:hAnsi="Times New Roman"/>
          <w:i/>
          <w:i/>
          <w:color w:val="000000"/>
          <w:sz w:val="24"/>
        </w:rPr>
      </w:pPr>
      <w:r>
        <w:rPr/>
        <w:t xml:space="preserve"> </w:t>
      </w:r>
    </w:p>
    <w:p>
      <w:pPr>
        <w:pStyle w:val="Normal"/>
        <w:widowControl w:val="false"/>
        <w:spacing w:lineRule="auto" w:line="240" w:before="90" w:after="0"/>
        <w:ind w:left="0" w:right="0" w:hanging="0"/>
        <w:jc w:val="both"/>
        <w:rPr/>
      </w:pPr>
      <w:r>
        <w:rPr>
          <w:rFonts w:ascii="Times New Roman" w:hAnsi="Times New Roman"/>
          <w:color w:val="000000"/>
          <w:sz w:val="24"/>
        </w:rPr>
        <w:t xml:space="preserve">Šo priekšlikumu analīzē tika apzinātas 22 atzītas idejas un 13 pretrunīgas idejas. Šīs 22 atzītās idejas un 13 pretrunīgās idejas tika sadalītas 9 asīs, kas atbilst konferences par Eiropas nākotni galvenajām tēmām. </w:t>
      </w:r>
      <w:r>
        <w:br w:type="page"/>
      </w:r>
    </w:p>
    <w:p>
      <w:pPr>
        <w:pStyle w:val="Normal"/>
        <w:widowControl w:val="false"/>
        <w:spacing w:lineRule="auto" w:line="240" w:before="85" w:after="0"/>
        <w:ind w:left="0" w:right="0" w:hanging="0"/>
        <w:jc w:val="left"/>
        <w:rPr/>
      </w:pPr>
      <w:r>
        <w:rPr/>
        <w:t>Atzīto un pretrunīgo ideju sintēze</w:t>
      </w:r>
      <w:r>
        <w:rPr>
          <w:rFonts w:ascii="Times New Roman" w:hAnsi="Times New Roman"/>
          <w:color w:val="000000"/>
          <w:sz w:val="24"/>
        </w:rPr>
        <w:t xml:space="preserve"> </w:t>
      </w:r>
    </w:p>
    <w:tbl>
      <w:tblPr>
        <w:tblW w:w="9638" w:type="dxa"/>
        <w:jc w:val="left"/>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top w:w="55" w:type="dxa"/>
          <w:left w:w="50" w:type="dxa"/>
          <w:bottom w:w="55" w:type="dxa"/>
          <w:right w:w="55" w:type="dxa"/>
        </w:tblCellMar>
      </w:tblPr>
      <w:tblGrid>
        <w:gridCol w:w="2409"/>
        <w:gridCol w:w="803"/>
        <w:gridCol w:w="1606"/>
        <w:gridCol w:w="1607"/>
        <w:gridCol w:w="803"/>
        <w:gridCol w:w="2409"/>
      </w:tblGrid>
      <w:tr>
        <w:trPr/>
        <w:tc>
          <w:tcPr>
            <w:tcW w:w="9637" w:type="dxa"/>
            <w:gridSpan w:val="6"/>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3"/>
              <w:spacing w:before="57" w:after="57"/>
              <w:jc w:val="center"/>
              <w:rPr>
                <w:color w:val="FFFFFF"/>
                <w:sz w:val="18"/>
                <w:highlight w:val="darkCyan"/>
              </w:rPr>
            </w:pPr>
            <w:r>
              <w:rPr/>
              <w:t>Klimata pārmaiņas un vide</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Spēcīgākas Eiropas ekoloģiskās politikasieviešana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Virzība uz ilgtspējīgāku lauksaimniecību</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Stingrāka rīcība bioloģiskās daudzveidības aizsardzības jomā</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Dzelzceļa transporta attīstība Eiropas Savienībā</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Paātrināt enerģētikas pārkārtošanu</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Iepakojuma ierobežošana un atkritumu apsaimniekošanas uzlabošana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Informētības palielināšana par vidi</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Ekoatbildīgu būvniecības procesu</w:t>
            </w:r>
            <w:r>
              <w:rPr>
                <w:rFonts w:eastAsia="Wingdings" w:cs="Wingdings" w:ascii="Wingdings" w:hAnsi="Wingdings"/>
              </w:rPr>
              <w:t xml:space="preserve"> </w:t>
            </w:r>
            <w:r>
              <w:rPr/>
              <w:t>veicināšana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Lielāki ieguldījumi kodolenerģijā</w:t>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5"/>
              <w:spacing w:before="57" w:after="57"/>
              <w:jc w:val="center"/>
              <w:rPr>
                <w:color w:val="FFFFFF"/>
                <w:sz w:val="18"/>
                <w:highlight w:val="darkCyan"/>
              </w:rPr>
            </w:pPr>
            <w:r>
              <w:rPr/>
              <w:t>Eiropas demokrātija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Labāk informēt par ES lomu un darbu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Eiropas Savienības demokrātiskās darbībasmaiņa</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rFonts w:eastAsia="Wingdings" w:cs="Wingdings" w:ascii="Wingdings" w:hAnsi="Wingdings"/>
              </w:rPr>
              <w:t xml:space="preserve"> </w:t>
            </w:r>
            <w:r>
              <w:rPr/>
              <w:t>Cīņa pret dezinformāciju</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Padarīt Eiropu par federāciju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Atstāt lielāku autonomiju dalībvalstīm</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Spēcīgākas Eiropas izpildvaras veidošana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Nodrošināt jauniešiem vietu Eiropas iestādēs</w:t>
            </w:r>
          </w:p>
        </w:tc>
        <w:tc>
          <w:tcPr>
            <w:tcW w:w="3213"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sz w:val="18"/>
              </w:rPr>
            </w:pPr>
            <w:r>
              <w:rPr>
                <w:sz w:val="18"/>
              </w:rPr>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sz w:val="18"/>
              </w:rPr>
            </w:pPr>
            <w:r>
              <w:rPr>
                <w:sz w:val="18"/>
              </w:rPr>
            </w:r>
          </w:p>
        </w:tc>
      </w:tr>
      <w:tr>
        <w:trPr/>
        <w:tc>
          <w:tcPr>
            <w:tcW w:w="9637" w:type="dxa"/>
            <w:gridSpan w:val="6"/>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6"/>
              <w:spacing w:before="57" w:after="57"/>
              <w:jc w:val="center"/>
              <w:rPr>
                <w:color w:val="FFFFFF"/>
                <w:sz w:val="18"/>
                <w:highlight w:val="red"/>
              </w:rPr>
            </w:pPr>
            <w:r>
              <w:rPr/>
              <w:t>Ekonomika, sociālais taisnīgums un nodarbinātība</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Ražošanas pārvietošana uz Eiropu, lai panāktu lielāku autonomiju</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Padarīt uzņēmējdarbības praksi un tirdzniecību atbildīgāku</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Cīņa pret izvairīšanos no nodokļu maksāšanas un optimizāciju</w:t>
            </w:r>
          </w:p>
        </w:tc>
      </w:tr>
      <w:tr>
        <w:trPr/>
        <w:tc>
          <w:tcPr>
            <w:tcW w:w="3212"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Eiropas algu saskaņošana</w:t>
            </w:r>
          </w:p>
        </w:tc>
        <w:tc>
          <w:tcPr>
            <w:tcW w:w="3213"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sz w:val="18"/>
              </w:rPr>
            </w:pPr>
            <w:r>
              <w:rPr/>
              <w:t>Ar ko izveido universālus ienākumus</w:t>
            </w:r>
          </w:p>
        </w:tc>
        <w:tc>
          <w:tcPr>
            <w:tcW w:w="3212" w:type="dxa"/>
            <w:gridSpan w:val="2"/>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sz w:val="18"/>
              </w:rPr>
            </w:pPr>
            <w:r>
              <w:rPr/>
              <w:t>Eiropaspārorientēšana uz pretkapitālismu vērstu modeli</w:t>
            </w:r>
          </w:p>
        </w:tc>
      </w:tr>
      <w:tr>
        <w:trPr/>
        <w:tc>
          <w:tcPr>
            <w:tcW w:w="4818" w:type="dxa"/>
            <w:gridSpan w:val="3"/>
            <w:tcBorders>
              <w:top w:val="single" w:sz="4" w:space="0" w:color="000001"/>
              <w:left w:val="single" w:sz="4" w:space="0" w:color="000001"/>
              <w:bottom w:val="single" w:sz="4" w:space="0" w:color="000001"/>
              <w:insideH w:val="single" w:sz="4" w:space="0" w:color="000001"/>
            </w:tcBorders>
            <w:shd w:fill="auto" w:val="clear"/>
          </w:tcPr>
          <w:p>
            <w:pPr>
              <w:pStyle w:val="P68B1DB1Contenudetableau57"/>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Izglītība, kultūra, jaunatne un sports</w:t>
            </w:r>
          </w:p>
        </w:tc>
        <w:tc>
          <w:tcPr>
            <w:tcW w:w="4819" w:type="dxa"/>
            <w:gridSpan w:val="3"/>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8"/>
              <w:spacing w:before="57" w:after="57"/>
              <w:jc w:val="center"/>
              <w:rPr>
                <w:rFonts w:ascii="Arial" w:hAnsi="Arial"/>
                <w:b w:val="false"/>
                <w:b w:val="false"/>
                <w:i w:val="false"/>
                <w:i w:val="false"/>
                <w:strike w:val="false"/>
                <w:dstrike w:val="false"/>
                <w:outline w:val="false"/>
                <w:shadow w:val="false"/>
                <w:color w:val="FFFFFF"/>
                <w:sz w:val="18"/>
                <w:highlight w:val="darkMagenta"/>
                <w:u w:val="none"/>
              </w:rPr>
            </w:pPr>
            <w:r>
              <w:rPr/>
              <w:t>Digitālā pārveide</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Dot iespēju jauniešiem vairāk apmainīties ar informāciju ar citām ES valstīm</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Veicināt tādu valodu apguvi, kas nav angļu valodas</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Ieguldījumi zinātniskajā, digitālajā un vides pētniecībā</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Palielināt informētību par digitālajām tehnoloģijām un tās radītajām briesmām</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Noteikt, ka jauniešiem ir obligāti jāuzturas Eiropā</w:t>
            </w:r>
          </w:p>
        </w:tc>
        <w:tc>
          <w:tcPr>
            <w:tcW w:w="2409" w:type="dxa"/>
            <w:gridSpan w:val="2"/>
            <w:tcBorders>
              <w:left w:val="single" w:sz="4" w:space="0" w:color="000001"/>
              <w:bottom w:val="single" w:sz="4" w:space="0" w:color="000001"/>
              <w:insideH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Kriptovalūtu attīstība Eiropā</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0"/>
              <w:spacing w:before="57" w:after="57"/>
              <w:jc w:val="center"/>
              <w:rPr>
                <w:rFonts w:ascii="Arial" w:hAnsi="Arial"/>
                <w:b w:val="false"/>
                <w:b w:val="false"/>
                <w:i w:val="false"/>
                <w:i w:val="false"/>
                <w:strike w:val="false"/>
                <w:dstrike w:val="false"/>
                <w:outline w:val="false"/>
                <w:shadow w:val="false"/>
                <w:color w:val="FFFFFF"/>
                <w:sz w:val="18"/>
                <w:highlight w:val="blue"/>
                <w:u w:val="none"/>
              </w:rPr>
            </w:pPr>
            <w:r>
              <w:rPr/>
              <w:t>Vērtības un tiesības, tiesiskums, drošība</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1"/>
              <w:spacing w:before="57" w:after="57"/>
              <w:jc w:val="center"/>
              <w:rPr>
                <w:rFonts w:ascii="Arial" w:hAnsi="Arial"/>
                <w:b w:val="false"/>
                <w:b w:val="false"/>
                <w:i w:val="false"/>
                <w:i w:val="false"/>
                <w:strike w:val="false"/>
                <w:dstrike w:val="false"/>
                <w:outline w:val="false"/>
                <w:shadow w:val="false"/>
                <w:color w:val="FFFFFF"/>
                <w:sz w:val="18"/>
                <w:highlight w:val="darkBlue"/>
                <w:u w:val="none"/>
              </w:rPr>
            </w:pPr>
            <w:r>
              <w:rPr/>
              <w:t>Veselība un veselība</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Stiprināt ES rīcību, lai ievērotu cilvēktiesības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Sieviešu tiesību stiprināšana</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Ieguldījumi veselībā</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Uzlabot mūsu pārtikas produktu kvalitāti</w:t>
            </w:r>
          </w:p>
        </w:tc>
      </w:tr>
      <w:tr>
        <w:trPr/>
        <w:tc>
          <w:tcPr>
            <w:tcW w:w="4818" w:type="dxa"/>
            <w:gridSpan w:val="3"/>
            <w:tcBorders>
              <w:left w:val="single" w:sz="4" w:space="0" w:color="000001"/>
              <w:bottom w:val="single" w:sz="4" w:space="0" w:color="000001"/>
              <w:insideH w:val="single" w:sz="4" w:space="0" w:color="000001"/>
            </w:tcBorders>
            <w:shd w:fill="auto" w:val="clear"/>
          </w:tcPr>
          <w:p>
            <w:pPr>
              <w:pStyle w:val="P68B1DB1Contenudetableau62"/>
              <w:spacing w:before="57" w:after="57"/>
              <w:jc w:val="center"/>
              <w:rPr>
                <w:rFonts w:ascii="Arial" w:hAnsi="Arial"/>
                <w:b w:val="false"/>
                <w:b w:val="false"/>
                <w:i w:val="false"/>
                <w:i w:val="false"/>
                <w:strike w:val="false"/>
                <w:dstrike w:val="false"/>
                <w:outline w:val="false"/>
                <w:shadow w:val="false"/>
                <w:color w:val="FFFFFF"/>
                <w:sz w:val="18"/>
                <w:highlight w:val="cyan"/>
                <w:u w:val="none"/>
              </w:rPr>
            </w:pPr>
            <w:r>
              <w:rPr/>
              <w:t>ES pasaulē</w:t>
            </w:r>
          </w:p>
        </w:tc>
        <w:tc>
          <w:tcPr>
            <w:tcW w:w="4819" w:type="dxa"/>
            <w:gridSpan w:val="3"/>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P68B1DB1Contenudetableau63"/>
              <w:spacing w:before="57" w:after="57"/>
              <w:jc w:val="center"/>
              <w:rPr>
                <w:rFonts w:ascii="Arial" w:hAnsi="Arial"/>
                <w:b w:val="false"/>
                <w:b w:val="false"/>
                <w:i w:val="false"/>
                <w:i w:val="false"/>
                <w:strike w:val="false"/>
                <w:dstrike w:val="false"/>
                <w:outline w:val="false"/>
                <w:shadow w:val="false"/>
                <w:color w:val="FFFFFF"/>
                <w:sz w:val="18"/>
                <w:highlight w:val="red"/>
                <w:u w:val="none"/>
              </w:rPr>
            </w:pPr>
            <w:r>
              <w:rPr/>
              <w:t xml:space="preserve">Imigrācija </w:t>
            </w:r>
          </w:p>
        </w:tc>
      </w:tr>
      <w:tr>
        <w:trPr/>
        <w:tc>
          <w:tcPr>
            <w:tcW w:w="2409" w:type="dxa"/>
            <w:tcBorders>
              <w:left w:val="single" w:sz="4" w:space="0" w:color="000001"/>
              <w:bottom w:val="single" w:sz="4" w:space="0" w:color="000001"/>
              <w:insideH w:val="single" w:sz="4" w:space="0" w:color="000001"/>
            </w:tcBorders>
            <w:shd w:fill="auto" w:val="clear"/>
          </w:tcPr>
          <w:p>
            <w:pPr>
              <w:pStyle w:val="P68B1DB1Contenudetableau54"/>
              <w:spacing w:before="57" w:after="57"/>
              <w:jc w:val="center"/>
              <w:rPr>
                <w:rFonts w:ascii="Arial" w:hAnsi="Arial"/>
                <w:b w:val="false"/>
                <w:b w:val="false"/>
                <w:i w:val="false"/>
                <w:i w:val="false"/>
                <w:strike w:val="false"/>
                <w:dstrike w:val="false"/>
                <w:outline w:val="false"/>
                <w:shadow w:val="false"/>
                <w:color w:val="000000"/>
                <w:sz w:val="18"/>
                <w:u w:val="none"/>
              </w:rPr>
            </w:pPr>
            <w:r>
              <w:rPr>
                <w:color w:val="000000"/>
              </w:rPr>
              <w:t>Panākt, lai ES spētu veikt starptautiskus novērtējumus</w:t>
            </w:r>
          </w:p>
        </w:tc>
        <w:tc>
          <w:tcPr>
            <w:tcW w:w="2409"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Eiropas bruņoto spēku izveide</w:t>
            </w:r>
          </w:p>
        </w:tc>
        <w:tc>
          <w:tcPr>
            <w:tcW w:w="2410" w:type="dxa"/>
            <w:gridSpan w:val="2"/>
            <w:tcBorders>
              <w:left w:val="single" w:sz="4" w:space="0" w:color="000001"/>
              <w:bottom w:val="single" w:sz="4" w:space="0" w:color="000001"/>
              <w:insideH w:val="single" w:sz="4" w:space="0" w:color="000001"/>
            </w:tcBorders>
            <w:shd w:fill="auto" w:val="clear"/>
          </w:tcPr>
          <w:p>
            <w:pPr>
              <w:pStyle w:val="P68B1DB1Contenudetableau59"/>
              <w:spacing w:before="57" w:after="57"/>
              <w:jc w:val="center"/>
              <w:rPr>
                <w:rFonts w:ascii="Arial" w:hAnsi="Arial"/>
                <w:b w:val="false"/>
                <w:b w:val="false"/>
                <w:i w:val="false"/>
                <w:i w:val="false"/>
                <w:strike w:val="false"/>
                <w:dstrike w:val="false"/>
                <w:outline w:val="false"/>
                <w:shadow w:val="false"/>
                <w:color w:val="000000"/>
                <w:sz w:val="18"/>
                <w:u w:val="none"/>
              </w:rPr>
            </w:pPr>
            <w:r>
              <w:rPr/>
              <w:t>Imigrācijas samazināšana vai atbalstīšana Eiropā</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Contenudetableau"/>
              <w:spacing w:before="57" w:after="57"/>
              <w:jc w:val="center"/>
              <w:rPr>
                <w:rFonts w:ascii="Arial" w:hAnsi="Arial"/>
                <w:b w:val="false"/>
                <w:b w:val="false"/>
                <w:i w:val="false"/>
                <w:i w:val="false"/>
                <w:strike w:val="false"/>
                <w:dstrike w:val="false"/>
                <w:outline w:val="false"/>
                <w:shadow w:val="false"/>
                <w:color w:val="000000"/>
                <w:sz w:val="18"/>
                <w:u w:val="none"/>
              </w:rPr>
            </w:pPr>
            <w:r>
              <w:rPr>
                <w:b w:val="false"/>
                <w:i w:val="false"/>
                <w:strike w:val="false"/>
                <w:dstrike w:val="false"/>
                <w:outline w:val="false"/>
                <w:shadow w:val="false"/>
                <w:color w:val="000000"/>
                <w:sz w:val="18"/>
                <w:u w:val="none"/>
              </w:rPr>
            </w:r>
          </w:p>
        </w:tc>
      </w:tr>
    </w:tbl>
    <w:p>
      <w:pPr>
        <w:pStyle w:val="Normal"/>
        <w:spacing w:lineRule="auto" w:line="240"/>
        <w:rPr/>
      </w:pPr>
      <w:r>
        <w:rPr/>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Dominējošā ideja (&gt; 10 atzīti priekšlikumi)</w:t>
      </w:r>
    </w:p>
    <w:p>
      <w:pPr>
        <w:pStyle w:val="P68B1DB1Contenudetableau64"/>
        <w:spacing w:lineRule="auto" w:line="240"/>
        <w:jc w:val="center"/>
        <w:rPr>
          <w:rFonts w:ascii="Arial" w:hAnsi="Arial"/>
          <w:b w:val="false"/>
          <w:b w:val="false"/>
          <w:i w:val="false"/>
          <w:i w:val="false"/>
          <w:strike w:val="false"/>
          <w:dstrike w:val="false"/>
          <w:outline w:val="false"/>
          <w:shadow w:val="false"/>
          <w:color w:val="000000"/>
          <w:sz w:val="18"/>
          <w:u w:val="none"/>
        </w:rPr>
      </w:pPr>
      <w:r>
        <w:rPr>
          <w:rFonts w:eastAsia="SimSun" w:cs="Mangal" w:ascii="Times New Roman" w:hAnsi="Times New Roman"/>
        </w:rPr>
        <w:t>Vienskaitļa ideja (un 10 atzīti priekšlikumi)</w:t>
      </w:r>
    </w:p>
    <w:p>
      <w:pPr>
        <w:pStyle w:val="Contenudetableau"/>
        <w:spacing w:lineRule="auto" w:line="240"/>
        <w:jc w:val="center"/>
        <w:rPr/>
      </w:pPr>
      <w:r>
        <w:rPr>
          <w:rFonts w:eastAsia="SimSun" w:cs="Mangal" w:ascii="Times New Roman" w:hAnsi="Times New Roman"/>
          <w:color w:val="F58220"/>
          <w:sz w:val="18"/>
        </w:rPr>
        <w:t>Pretrunīga ideja (&gt; 3 pretrunīgi priekšlikumi)</w:t>
      </w:r>
      <w:r>
        <w:br w:type="page"/>
      </w:r>
    </w:p>
    <w:p>
      <w:pPr>
        <w:pStyle w:val="Titre2"/>
        <w:numPr>
          <w:ilvl w:val="1"/>
          <w:numId w:val="2"/>
        </w:numPr>
        <w:rPr/>
      </w:pPr>
      <w:bookmarkStart w:id="213" w:name="__RefHeading___Toc300458_1346298689"/>
      <w:bookmarkEnd w:id="213"/>
      <w:r>
        <w:rPr/>
        <w:t xml:space="preserve">Secinājums </w:t>
      </w:r>
    </w:p>
    <w:p>
      <w:pPr>
        <w:pStyle w:val="P68B1DB1Normal33"/>
        <w:widowControl w:val="false"/>
        <w:spacing w:lineRule="exact" w:line="399" w:before="293"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1" w:after="0"/>
        <w:ind w:left="0" w:right="0" w:hanging="0"/>
        <w:jc w:val="left"/>
        <w:rPr>
          <w:rFonts w:ascii="Times New Roman" w:hAnsi="Times New Roman"/>
          <w:b/>
          <w:b/>
          <w:color w:val="000000"/>
          <w:sz w:val="24"/>
        </w:rPr>
      </w:pPr>
      <w:r>
        <w:rPr/>
        <w:t xml:space="preserve"> </w:t>
      </w:r>
    </w:p>
    <w:p>
      <w:pPr>
        <w:pStyle w:val="P68B1DB1Normal33"/>
        <w:widowControl w:val="false"/>
        <w:spacing w:lineRule="exact" w:line="399" w:before="83" w:after="0"/>
        <w:ind w:left="0" w:right="0" w:hanging="0"/>
        <w:jc w:val="left"/>
        <w:rPr>
          <w:rFonts w:ascii="Times New Roman" w:hAnsi="Times New Roman"/>
          <w:b/>
          <w:b/>
          <w:color w:val="000000"/>
          <w:sz w:val="24"/>
        </w:rPr>
      </w:pPr>
      <w:r>
        <w:rPr/>
        <w:t xml:space="preserve"> </w:t>
      </w:r>
    </w:p>
    <w:p>
      <w:pPr>
        <w:pStyle w:val="P68B1DB1Normal65"/>
        <w:widowControl w:val="false"/>
        <w:spacing w:lineRule="exact" w:line="416" w:before="88" w:after="0"/>
        <w:ind w:left="0" w:right="0" w:hanging="0"/>
        <w:jc w:val="left"/>
        <w:rPr>
          <w:rFonts w:ascii="Times New Roman" w:hAnsi="Times New Roman"/>
          <w:b/>
          <w:b/>
          <w:i/>
          <w:i/>
          <w:color w:val="273375"/>
          <w:sz w:val="26"/>
        </w:rPr>
      </w:pPr>
      <w:r>
        <w:rPr/>
        <w:t>“</w:t>
      </w:r>
      <w:r>
        <w:rPr/>
        <w:t xml:space="preserve">Vārdā, jums, Eiropai 2035. gadā būs jābūt...”: </w:t>
      </w:r>
    </w:p>
    <w:p>
      <w:pPr>
        <w:pStyle w:val="Normal"/>
        <w:widowControl w:val="false"/>
        <w:spacing w:lineRule="exact" w:line="430" w:before="2454" w:after="0"/>
        <w:ind w:left="0" w:right="0" w:hanging="0"/>
        <w:jc w:val="center"/>
        <w:rPr/>
      </w:pPr>
      <w: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6120130" cy="1558290"/>
            <wp:effectExtent l="0" t="0" r="0" b="0"/>
            <wp:wrapSquare wrapText="largest"/>
            <wp:docPr id="98" name="Attēls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ttēls41" descr=""/>
                    <pic:cNvPicPr>
                      <a:picLocks noChangeAspect="1" noChangeArrowheads="1"/>
                    </pic:cNvPicPr>
                  </pic:nvPicPr>
                  <pic:blipFill>
                    <a:blip r:embed="rId101"/>
                    <a:stretch>
                      <a:fillRect/>
                    </a:stretch>
                  </pic:blipFill>
                  <pic:spPr bwMode="auto">
                    <a:xfrm>
                      <a:off x="0" y="0"/>
                      <a:ext cx="6120130" cy="1558290"/>
                    </a:xfrm>
                    <a:prstGeom prst="rect">
                      <a:avLst/>
                    </a:prstGeom>
                  </pic:spPr>
                </pic:pic>
              </a:graphicData>
            </a:graphic>
          </wp:anchor>
        </w:drawing>
      </w:r>
      <w:r>
        <w:rPr/>
        <w:t>V</w:t>
      </w:r>
      <w:r>
        <w:rPr/>
        <w:t>alsts konferences iedzīvotāju</w:t>
      </w:r>
      <w:r>
        <w:rPr>
          <w:rFonts w:ascii="Times New Roman" w:hAnsi="Times New Roman"/>
          <w:i/>
          <w:color w:val="632423"/>
          <w:sz w:val="24"/>
        </w:rPr>
        <w:t xml:space="preserve">atbilde uz pēdējo jautājumu: </w:t>
      </w:r>
    </w:p>
    <w:p>
      <w:pPr>
        <w:pStyle w:val="P68B1DB1Normal66"/>
        <w:widowControl w:val="false"/>
        <w:spacing w:lineRule="exact" w:line="430" w:before="95" w:after="0"/>
        <w:ind w:left="0" w:right="0" w:hanging="0"/>
        <w:jc w:val="center"/>
        <w:rPr>
          <w:rFonts w:ascii="Times New Roman" w:hAnsi="Times New Roman"/>
          <w:i/>
          <w:i/>
          <w:color w:val="632423"/>
          <w:sz w:val="24"/>
        </w:rPr>
      </w:pPr>
      <w:r>
        <w:rPr/>
        <w:t xml:space="preserve">Īsumā, jums, Eiropai 2035. gadā būs jābūt... </w:t>
      </w:r>
    </w:p>
    <w:p>
      <w:pPr>
        <w:pStyle w:val="Normal"/>
        <w:widowControl w:val="false"/>
        <w:spacing w:lineRule="exact" w:line="430" w:before="95" w:after="0"/>
        <w:ind w:left="0" w:right="0" w:hanging="0"/>
        <w:jc w:val="left"/>
        <w:rPr>
          <w:rFonts w:ascii="Times New Roman" w:hAnsi="Times New Roman"/>
          <w:b/>
          <w:b/>
          <w:i/>
          <w:i/>
          <w:color w:val="632423"/>
          <w:sz w:val="24"/>
        </w:rPr>
      </w:pPr>
      <w:r>
        <w:rPr>
          <w:rFonts w:ascii="Times New Roman" w:hAnsi="Times New Roman"/>
          <w:b/>
          <w:i/>
          <w:color w:val="632423"/>
          <w:sz w:val="24"/>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p>
      <w:pPr>
        <w:pStyle w:val="Normal"/>
        <w:spacing w:lineRule="auto" w:line="240"/>
        <w:rPr/>
      </w:pPr>
      <w:r>
        <w:rPr/>
      </w:r>
      <w:r>
        <w:br w:type="page"/>
      </w:r>
    </w:p>
    <w:p>
      <w:pPr>
        <w:pStyle w:val="Titre1"/>
        <w:numPr>
          <w:ilvl w:val="0"/>
          <w:numId w:val="2"/>
        </w:numPr>
        <w:rPr/>
      </w:pPr>
      <w:bookmarkStart w:id="214" w:name="__RefHeading___Toc297353_1346298689"/>
      <w:bookmarkEnd w:id="214"/>
      <w:r>
        <w:rPr/>
        <w:t>II C Valstu paneļdiskusiju grupas: Vācija</w:t>
      </w:r>
    </w:p>
    <w:p>
      <w:pPr>
        <w:pStyle w:val="P68B1DB1Normal67"/>
        <w:spacing w:lineRule="auto" w:line="240"/>
        <w:rPr>
          <w:rFonts w:ascii="Calibri" w:hAnsi="Calibri"/>
          <w:b/>
          <w:b/>
          <w:color w:val="000000"/>
          <w:sz w:val="36"/>
        </w:rPr>
      </w:pPr>
      <w:r>
        <w:rPr/>
        <w:t xml:space="preserve">Valstu pilsoņu paneļdiskusija par Eiropas nākotni Berlīnē </w:t>
      </w:r>
    </w:p>
    <w:p>
      <w:pPr>
        <w:pStyle w:val="P68B1DB1Normal19"/>
        <w:widowControl w:val="false"/>
        <w:spacing w:lineRule="exact" w:line="388" w:before="206" w:after="0"/>
        <w:ind w:left="3422" w:right="0" w:hanging="0"/>
        <w:jc w:val="left"/>
        <w:rPr>
          <w:rFonts w:ascii="Times New Roman" w:hAnsi="Times New Roman"/>
          <w:color w:val="000000"/>
          <w:sz w:val="24"/>
        </w:rPr>
      </w:pPr>
      <w:r>
        <w:rPr/>
        <w:t xml:space="preserve">Pilsoņu ieteikumi — </w:t>
      </w:r>
    </w:p>
    <w:p>
      <w:pPr>
        <w:pStyle w:val="P68B1DB1Normal52"/>
        <w:widowControl w:val="false"/>
        <w:spacing w:lineRule="exact" w:line="317" w:before="288" w:after="0"/>
        <w:ind w:left="276" w:right="113" w:hanging="0"/>
        <w:jc w:val="both"/>
        <w:rPr/>
      </w:pPr>
      <w:r>
        <w:rPr>
          <w:color w:val="000000"/>
        </w:rPr>
        <w:t xml:space="preserve">Vācijas pilsoņu paneļdiskusija par Eiropas nākotni notika 5., 8., 15. un 16. janvārī. Pilsoņu atlases process sekoja stratificētai nejaušai dalībnieku atlasei Eiropas pilsoņu paneļdiskusijās. Piedalīties tika uzaicināti 12 000 Vācijas pilsoņu; aptuveni 100 respondentu tika atlasīti, ņemot vērā pašreizējos Vācijas Federatīvās Republikas skaitīšanas datus, lai atspoguļotu Vācijas sabiedrības un iedzīvotāju daudzveidību kopumā. Valsts pilsoņu paneļdiskusijā dalībnieki apsprieda piecas tēmas: ES pasaulē; spēcīgāka ekonomika; klimata pārmaiņas un vide; sociālais taisnīgums; Eiropas vērtības un tiesiskums. Pēc tam viņi izstrādāja konkrētus ieteikumus par katru no šiem tematiem, kurus pieņēma galīgajā plenārsesijā 16. janvārī: </w:t>
      </w:r>
      <w:r>
        <w:rPr>
          <w:color w:val="0000FF"/>
        </w:rPr>
        <w:t>www.youtube.com/watch?v=cefqmarZXzY</w:t>
      </w:r>
    </w:p>
    <w:p>
      <w:pPr>
        <w:pStyle w:val="Normal"/>
        <w:spacing w:lineRule="auto" w:line="240"/>
        <w:rPr/>
      </w:pPr>
      <w:r>
        <w:rPr/>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Apaļā galda 1. kārta: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Ārējās tirdzniecības interešu sasaiste ar klimata politikas pasākumiem </w:t>
      </w:r>
    </w:p>
    <w:p>
      <w:pPr>
        <w:pStyle w:val="P68B1DB1Normal20"/>
        <w:widowControl w:val="false"/>
        <w:spacing w:lineRule="exact" w:line="337" w:before="192" w:after="0"/>
        <w:ind w:left="276" w:right="123" w:hanging="0"/>
        <w:jc w:val="both"/>
        <w:rPr/>
      </w:pPr>
      <w:r>
        <w:rPr/>
        <w:t xml:space="preserve">Mēs iesakām ES (jo īpaši Eiropas Komisijai) uzsākt investīciju paketi klimatam draudzīgām tehnoloģijām un inovācijām, tostarp finansēšanas programmām. Šī pasākumu pakete būtu jāfinansē, izmantojot ar klimatu saistītos ievedmuitas nodokļus, kurus īpaši ietekmētu un pārnestu kā finansiālu kompensāciju par klimata kaitējumu. Šajā sakarā dažiem produktiem tiktu ieviesta ilgtspējas novērtēšanas punktu sistēma. Skaidra ES nostāja un spēcīga un inovatīva Eiropa palīdzētu sasniegt globālos mērķus klimata jomā. Tas palīdzētu nostiprināt Eiropas Savienības kā pasaules mēroga pioniera un atbildīga modeļa lomu, kas garantē labklājību un var novest pie ilgtspējīgām pārmaiņām pasaules mērogā. Šie mērķi mums ir svarīgi, jo ES sniedz ilgtspējīgu ieguldījumu cīņā pret klimata pārmaiņām, kam ilgtermiņā varētu būt būtiska nozīme pasaules miera nostiprināšanā. </w:t>
      </w:r>
    </w:p>
    <w:p>
      <w:pPr>
        <w:pStyle w:val="Normal"/>
        <w:widowControl w:val="false"/>
        <w:spacing w:lineRule="exact" w:line="385" w:before="135" w:after="0"/>
        <w:ind w:left="0" w:right="0" w:hanging="0"/>
        <w:jc w:val="left"/>
        <w:rPr>
          <w:rFonts w:ascii="Calibri" w:hAnsi="Calibri"/>
          <w:color w:val="000000"/>
          <w:sz w:val="24"/>
        </w:rPr>
      </w:pPr>
      <w:r>
        <w:rPr>
          <w:rFonts w:ascii="Calibri" w:hAnsi="Calibri"/>
          <w:color w:val="000000"/>
          <w:sz w:val="24"/>
        </w:rPr>
      </w:r>
    </w:p>
    <w:p>
      <w:pPr>
        <w:pStyle w:val="P68B1DB1Normal44"/>
        <w:widowControl w:val="false"/>
        <w:spacing w:lineRule="exact" w:line="383"/>
        <w:ind w:left="276" w:right="0" w:hanging="0"/>
        <w:jc w:val="left"/>
        <w:rPr>
          <w:rFonts w:ascii="Times New Roman" w:hAnsi="Times New Roman"/>
          <w:i/>
          <w:i/>
          <w:color w:val="000000"/>
          <w:sz w:val="24"/>
        </w:rPr>
      </w:pPr>
      <w:r>
        <w:rPr/>
        <w:t xml:space="preserve">Apaļā galda 2. kārta: </w:t>
      </w:r>
    </w:p>
    <w:p>
      <w:pPr>
        <w:pStyle w:val="P68B1DB1Normal68"/>
        <w:widowControl w:val="false"/>
        <w:spacing w:lineRule="exact" w:line="338" w:before="321" w:after="0"/>
        <w:ind w:left="0" w:right="131" w:hanging="0"/>
        <w:jc w:val="left"/>
        <w:rPr/>
      </w:pPr>
      <w:r>
        <w:rPr/>
        <w:t xml:space="preserve">Radīt stimulus, lai īstenotu ražošanu ES, jo īpaši attiecībā uz precēm </w:t>
      </w:r>
    </w:p>
    <w:p>
      <w:pPr>
        <w:pStyle w:val="P68B1DB1Normal20"/>
        <w:widowControl w:val="false"/>
        <w:spacing w:lineRule="exact" w:line="337" w:before="208" w:after="0"/>
        <w:ind w:left="276" w:right="121" w:hanging="0"/>
        <w:jc w:val="both"/>
        <w:rPr/>
      </w:pPr>
      <w:r>
        <w:rPr/>
        <w:t xml:space="preserve">Lai atvieglotu preču ražošanu ES, mēs iesakām paātrināt un standartizēt apstiprināšanas procedūras, samazināt birokrātiju un piešķirt subsīdijas uzņēmumiem, kas pārvietojas uz ES un/vai izveido ražotnes ES. ES būtu masveidā jāveicina atjaunojamā enerģija, lai samazinātu enerģijas izmaksas. </w:t>
      </w:r>
    </w:p>
    <w:p>
      <w:pPr>
        <w:pStyle w:val="P68B1DB1Normal20"/>
        <w:widowControl w:val="false"/>
        <w:spacing w:lineRule="exact" w:line="336" w:before="216" w:after="0"/>
        <w:ind w:left="276" w:right="121" w:hanging="0"/>
        <w:jc w:val="both"/>
        <w:rPr/>
      </w:pPr>
      <w:r>
        <w:rPr/>
        <w:t xml:space="preserve">Ar šiem pasākumiem mēs vēlamies saīsināt piegādes ķēdes un padarīt tās klimatam draudzīgākas, palīdzēt stiprināt ES un radīt darbvietas, kurās tiek ievērotas cilvēktiesības. </w:t>
      </w:r>
    </w:p>
    <w:p>
      <w:pPr>
        <w:pStyle w:val="Normal"/>
        <w:widowControl w:val="false"/>
        <w:spacing w:lineRule="exact" w:line="336" w:before="219" w:after="0"/>
        <w:ind w:left="276" w:right="121" w:hanging="0"/>
        <w:jc w:val="both"/>
        <w:rPr/>
      </w:pPr>
      <w:r>
        <w:rPr>
          <w:rFonts w:ascii="Calibri" w:hAnsi="Calibri"/>
          <w:color w:val="000000"/>
          <w:sz w:val="24"/>
        </w:rPr>
        <w:t xml:space="preserve">Šie mērķi mums ir svarīgi, jo ražošanas pārvietošana uz ES padarītu ES autonomāku starptautiskā līmenī un mazāk politiski neaizsargātu. </w:t>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Apaļā galda 1. kārta: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Digi-Score — punktu sistēma spēcīgai ES mēroga digitālajai ekonomikai </w:t>
      </w:r>
    </w:p>
    <w:p>
      <w:pPr>
        <w:pStyle w:val="P68B1DB1Normal20"/>
        <w:widowControl w:val="false"/>
        <w:spacing w:lineRule="exact" w:line="337" w:before="192" w:after="0"/>
        <w:ind w:left="276" w:right="119" w:hanging="0"/>
        <w:jc w:val="both"/>
        <w:rPr/>
      </w:pPr>
      <w:r>
        <w:rPr/>
        <w:t xml:space="preserve">Mēs ierosinām izveidot publiski pieejamu digitālo informācijas paneli ar nosaukumu Digi-Score, ko pārvalda Eiropas Komisija (CNECT ĢD). Tā būtu precīza klasifikācijas sistēma, lai norādītu un salīdzinātu pašreizējo ES uzņēmumu digitālā brieduma līmeni. Ar šo priekšlikumu mēs vēlamies veicināt lielāku digitalizāciju visā Eiropā. Uzņēmumiem ar zemu digitālo rezultātu būtu tiesības uz mērķtiecīgu atbalstu, lai palīdzētu tiem panākt progresu. </w:t>
      </w:r>
    </w:p>
    <w:p>
      <w:pPr>
        <w:pStyle w:val="P68B1DB1Normal20"/>
        <w:widowControl w:val="false"/>
        <w:spacing w:lineRule="exact" w:line="338" w:before="219" w:after="0"/>
        <w:ind w:left="276" w:right="121" w:hanging="0"/>
        <w:jc w:val="both"/>
        <w:rPr/>
      </w:pPr>
      <w:r>
        <w:rPr/>
        <w:t xml:space="preserve">Šis mērķis mums ir svarīgs, jo tas palīdzētu pavērt ceļu produktivitātes, efektivitātes un pārdošanas pieaugumam, tādējādi stiprinot Eiropas kā ražošanas pamata lomu. </w:t>
      </w:r>
    </w:p>
    <w:p>
      <w:pPr>
        <w:pStyle w:val="P68B1DB1Normal20"/>
        <w:widowControl w:val="false"/>
        <w:spacing w:lineRule="exact" w:line="385" w:before="137" w:after="0"/>
        <w:ind w:left="0" w:right="0" w:hanging="0"/>
        <w:jc w:val="left"/>
        <w:rPr>
          <w:rFonts w:ascii="Calibri" w:hAnsi="Calibri"/>
          <w:color w:val="000000"/>
          <w:sz w:val="24"/>
        </w:rPr>
      </w:pPr>
      <w:r>
        <w:rPr/>
        <w:t xml:space="preserve"> </w:t>
      </w:r>
    </w:p>
    <w:p>
      <w:pPr>
        <w:pStyle w:val="P68B1DB1Normal44"/>
        <w:widowControl w:val="false"/>
        <w:spacing w:lineRule="exact" w:line="383" w:before="271" w:after="0"/>
        <w:ind w:left="276" w:right="0" w:hanging="0"/>
        <w:jc w:val="left"/>
        <w:rPr>
          <w:rFonts w:ascii="Times New Roman" w:hAnsi="Times New Roman"/>
          <w:i/>
          <w:i/>
          <w:color w:val="000000"/>
          <w:sz w:val="24"/>
        </w:rPr>
      </w:pPr>
      <w:r>
        <w:rPr/>
        <w:t xml:space="preserve">Apaļā galda 2. kārta: </w:t>
      </w:r>
    </w:p>
    <w:p>
      <w:pPr>
        <w:pStyle w:val="P68B1DB1Normal68"/>
        <w:widowControl w:val="false"/>
        <w:spacing w:lineRule="exact" w:line="400" w:before="209" w:after="0"/>
        <w:ind w:left="0" w:right="0" w:hanging="0"/>
        <w:jc w:val="left"/>
        <w:rPr>
          <w:rFonts w:ascii="Calibri" w:hAnsi="Calibri"/>
          <w:b/>
          <w:b/>
          <w:color w:val="000000"/>
          <w:sz w:val="24"/>
        </w:rPr>
      </w:pPr>
      <w:r>
        <w:rPr/>
        <w:t xml:space="preserve">Informācijas platforma zināšanu un pieredzes apmaiņai ES līmenī </w:t>
      </w:r>
    </w:p>
    <w:p>
      <w:pPr>
        <w:pStyle w:val="P68B1DB1Normal20"/>
        <w:widowControl w:val="false"/>
        <w:spacing w:lineRule="exact" w:line="337"/>
        <w:ind w:left="276" w:right="119" w:hanging="0"/>
        <w:jc w:val="both"/>
        <w:rPr/>
      </w:pPr>
      <w:r>
        <w:rPr/>
        <w:t xml:space="preserve">Mēs iesakām ES izveidot informācijas platformu zināšanu un pieredzes apmaiņai ES līmenī. Mūsu mērķis ir apmainīties ar informāciju par esošajiem transnacionālajiem izglītības un apmācības pasākumiem ES, iepazīstināt ar paraugprakses piemēriem un dot iedzīvotājiem iespēju iesniegt jaunas idejas pārrobežu apmaiņai. Turklāt varētu sniegt papildu informāciju par pieejamajiem tehnisko ekspertu forumiem (piemēram, par enerģētiku, vidi vai digitālo pārkārtošanos). </w:t>
      </w:r>
    </w:p>
    <w:p>
      <w:pPr>
        <w:pStyle w:val="P68B1DB1Normal20"/>
        <w:widowControl w:val="false"/>
        <w:spacing w:lineRule="exact" w:line="337" w:before="216" w:after="0"/>
        <w:ind w:left="276" w:right="121" w:hanging="0"/>
        <w:jc w:val="both"/>
        <w:rPr/>
      </w:pPr>
      <w:r>
        <w:rPr/>
        <w:t xml:space="preserve">Mēs uzskatām, ka tas ir svarīgi, jo iedzīvotājiem ir vajadzīga pārredzamība attiecībā uz pieejamajiem pārrobežu izglītības un apmācības pasākumiem. Tām būtu jāsaņem labāki norādījumi ES līmenī par esošajiem forumiem un platformām.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Apaļā galda 1. kārta: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Produktu dzīvības garantiju regula </w:t>
      </w:r>
    </w:p>
    <w:p>
      <w:pPr>
        <w:pStyle w:val="P68B1DB1Normal20"/>
        <w:widowControl w:val="false"/>
        <w:spacing w:lineRule="exact" w:line="337" w:before="192" w:after="0"/>
        <w:ind w:left="276" w:right="119" w:hanging="0"/>
        <w:jc w:val="both"/>
        <w:rPr/>
      </w:pPr>
      <w:r>
        <w:rPr/>
        <w:t xml:space="preserve">Mēs iesakām ES pieņemt tiesību aktus, lai noteiktu pagarinātu, garantētu un konkrētu kalpošanas laiku katram ES ražotajam un pārdotajam produktam un lai tas būtu pārskatāms attiecībā pret patērētājiem. </w:t>
      </w:r>
    </w:p>
    <w:p>
      <w:pPr>
        <w:pStyle w:val="P68B1DB1Normal20"/>
        <w:widowControl w:val="false"/>
        <w:spacing w:lineRule="exact" w:line="336" w:before="219" w:after="0"/>
        <w:ind w:left="276" w:right="126" w:hanging="0"/>
        <w:jc w:val="both"/>
        <w:rPr/>
      </w:pPr>
      <w:r>
        <w:rPr/>
        <w:t xml:space="preserve">Resursi ir ierobežoti, un tas ietaupītu naudu un samazinātu atkritumus, kas nāktu par labu videi, klimatam un patērētājiem. </w:t>
      </w:r>
    </w:p>
    <w:p>
      <w:pPr>
        <w:pStyle w:val="P68B1DB1Normal20"/>
        <w:widowControl w:val="false"/>
        <w:spacing w:lineRule="exact" w:line="338" w:before="216" w:after="0"/>
        <w:ind w:left="276" w:right="131" w:hanging="0"/>
        <w:jc w:val="left"/>
        <w:rPr/>
      </w:pPr>
      <w:r>
        <w:rPr/>
        <w:t xml:space="preserve">Mēs vēlamies mudināt ražotājus laist tirgū izturīgākus un remontējamus produktus. </w:t>
      </w:r>
    </w:p>
    <w:p>
      <w:pPr>
        <w:pStyle w:val="P68B1DB1Normal69"/>
        <w:widowControl w:val="false"/>
        <w:spacing w:lineRule="exact" w:line="332" w:before="138" w:after="0"/>
        <w:ind w:left="0" w:right="0" w:hanging="0"/>
        <w:jc w:val="left"/>
        <w:rPr>
          <w:rFonts w:ascii="Calibri" w:hAnsi="Calibri"/>
          <w:b/>
          <w:b/>
          <w:color w:val="000000"/>
          <w:sz w:val="20"/>
        </w:rPr>
      </w:pPr>
      <w:r>
        <w:rPr/>
        <w:t xml:space="preserve"> </w:t>
      </w:r>
    </w:p>
    <w:p>
      <w:pPr>
        <w:pStyle w:val="P68B1DB1Normal44"/>
        <w:widowControl w:val="false"/>
        <w:spacing w:lineRule="exact" w:line="383" w:before="107" w:after="0"/>
        <w:ind w:left="276" w:right="0" w:hanging="0"/>
        <w:jc w:val="left"/>
        <w:rPr>
          <w:rFonts w:ascii="Times New Roman" w:hAnsi="Times New Roman"/>
          <w:i/>
          <w:i/>
          <w:color w:val="000000"/>
          <w:sz w:val="24"/>
        </w:rPr>
      </w:pPr>
      <w:r>
        <w:rPr/>
        <w:t xml:space="preserve">Apaļā galda 2. kārta: </w:t>
      </w:r>
    </w:p>
    <w:p>
      <w:pPr>
        <w:pStyle w:val="P68B1DB1Normal68"/>
        <w:widowControl w:val="false"/>
        <w:spacing w:lineRule="exact" w:line="400" w:before="321" w:after="0"/>
        <w:ind w:left="0" w:right="0" w:hanging="0"/>
        <w:jc w:val="left"/>
        <w:rPr>
          <w:rFonts w:ascii="Calibri" w:hAnsi="Calibri"/>
          <w:b/>
          <w:b/>
          <w:color w:val="000000"/>
          <w:sz w:val="24"/>
        </w:rPr>
      </w:pPr>
      <w:r>
        <w:rPr/>
        <w:t xml:space="preserve">ES ilgtermiņa kampaņa par ilgtspējīgu patēriņu un dzīvesveidu </w:t>
      </w:r>
    </w:p>
    <w:p>
      <w:pPr>
        <w:pStyle w:val="P68B1DB1Normal20"/>
        <w:widowControl w:val="false"/>
        <w:spacing w:lineRule="exact" w:line="336"/>
        <w:ind w:left="276" w:right="126" w:hanging="0"/>
        <w:jc w:val="left"/>
        <w:rPr/>
      </w:pPr>
      <w:r>
        <w:rPr/>
        <w:t xml:space="preserve">Mēs iesakām, lai Eiropas struktūrai, tostarp filiālēm ES valstīs, būtu pašu resursi un vadītu šo kampaņu. </w:t>
      </w:r>
    </w:p>
    <w:p>
      <w:pPr>
        <w:pStyle w:val="P68B1DB1Normal20"/>
        <w:widowControl w:val="false"/>
        <w:spacing w:lineRule="exact" w:line="336" w:before="219" w:after="0"/>
        <w:ind w:left="276" w:right="128" w:hanging="0"/>
        <w:jc w:val="both"/>
        <w:rPr/>
      </w:pPr>
      <w:r>
        <w:rPr/>
        <w:t xml:space="preserve">Mūsu mērķis ir nodrošināt, ka visi ES pilsoņi sevi atzīst kopīgā identitātē, vairāk apzinās vajadzību pēc ilgtspējīga patēriņa un dzīvesveida un pieņem šādu dzīvesveidu. </w:t>
      </w:r>
    </w:p>
    <w:p>
      <w:pPr>
        <w:pStyle w:val="P68B1DB1Normal20"/>
        <w:widowControl w:val="false"/>
        <w:spacing w:lineRule="exact" w:line="336" w:before="216" w:after="0"/>
        <w:ind w:left="276" w:right="128" w:hanging="0"/>
        <w:jc w:val="left"/>
        <w:rPr/>
      </w:pPr>
      <w:r>
        <w:rPr/>
        <w:t xml:space="preserve">Šie mērķi mums ir svarīgi, jo mēs vēlamies pamodināt ilgspējīga dzīvesveida iekšējo motivāciju. </w:t>
      </w:r>
    </w:p>
    <w:p>
      <w:pPr>
        <w:pStyle w:val="Normal"/>
        <w:spacing w:lineRule="auto" w:line="240"/>
        <w:rPr/>
      </w:pPr>
      <w:r>
        <w:rPr/>
      </w:r>
      <w:r>
        <w:br w:type="page"/>
      </w:r>
    </w:p>
    <w:p>
      <w:pPr>
        <w:pStyle w:val="P68B1DB1Normal44"/>
        <w:widowControl w:val="false"/>
        <w:spacing w:lineRule="exact" w:line="383" w:before="247" w:after="0"/>
        <w:ind w:left="276" w:right="0" w:hanging="0"/>
        <w:jc w:val="left"/>
        <w:rPr>
          <w:rFonts w:ascii="Times New Roman" w:hAnsi="Times New Roman"/>
          <w:i/>
          <w:i/>
          <w:color w:val="000000"/>
          <w:sz w:val="24"/>
        </w:rPr>
      </w:pPr>
      <w:r>
        <w:rPr/>
        <w:t xml:space="preserve">Apaļā galda 1. kārta: </w:t>
      </w:r>
    </w:p>
    <w:p>
      <w:pPr>
        <w:pStyle w:val="P68B1DB1Normal68"/>
        <w:widowControl w:val="false"/>
        <w:spacing w:lineRule="exact" w:line="400" w:before="88" w:after="0"/>
        <w:ind w:left="0" w:right="0" w:hanging="0"/>
        <w:jc w:val="left"/>
        <w:rPr>
          <w:rFonts w:ascii="Calibri" w:hAnsi="Calibri"/>
          <w:b/>
          <w:b/>
          <w:color w:val="000000"/>
          <w:sz w:val="24"/>
        </w:rPr>
      </w:pPr>
      <w:r>
        <w:rPr/>
        <w:t xml:space="preserve">Vairāk apmaiņas iespēju radīšana studentiem Eiropā </w:t>
      </w:r>
    </w:p>
    <w:p>
      <w:pPr>
        <w:pStyle w:val="P68B1DB1Normal20"/>
        <w:widowControl w:val="false"/>
        <w:spacing w:lineRule="exact" w:line="293" w:before="162" w:after="0"/>
        <w:ind w:left="276" w:right="123" w:hanging="0"/>
        <w:jc w:val="both"/>
        <w:rPr/>
      </w:pPr>
      <w:r>
        <w:rPr/>
        <w:t xml:space="preserve">Mēs iesakām Eiropas Savienībai papildus Erasmus programmai pieņemt regulu par apmaiņas programmu skolēniem un studentiem vecumā no 14 līdz 25 gadiem neatkarīgi no viņu izcelsmes, dzimuma un izglītības līmeņa. Šī apmaiņas programma būtu sistemātiski jāizveido un jāveicina skolām vietējā līmenī. Katram skolēnam jābūt iespējai piedalīties apmaiņas programmā jebkurā savas skolas laikā. Šajā nolūkā Eiropas Komisijai būtu jāiesniedz priekšlikums Eiropas Parlamentam un Eiropadomei. </w:t>
      </w:r>
    </w:p>
    <w:p>
      <w:pPr>
        <w:pStyle w:val="P68B1DB1Normal20"/>
        <w:widowControl w:val="false"/>
        <w:spacing w:lineRule="exact" w:line="293" w:before="168" w:after="0"/>
        <w:ind w:left="276" w:right="123" w:hanging="0"/>
        <w:jc w:val="both"/>
        <w:rPr/>
      </w:pPr>
      <w:r>
        <w:rPr/>
        <w:t xml:space="preserve">Mūsu mērķis ir sniegt studentiem iespēju piedalīties apmaiņas programmās visā Eiropā neatkarīgi no viņu akadēmiskā snieguma un vecāku finansiālā atbalsta. Jau no skolas vecuma būtu jāveicina Eiropas apmaiņas kultūra. Pirmām kārtām ir svarīgi, lai apmaiņas programmas būtu viegli pieejamas un bez birokrātijas. Izmantojot šo apmaiņas programmu, mēs vēlamies izveidot Eiropas solidaritāti un mazināt valodas barjeras. Šajā sakarā ir jāpatur prātā vienlīdzība izglītībā un līdzdalība izglītībā, lai stiprinātu starpkultūru un komunikācijas prasmes. </w:t>
      </w:r>
    </w:p>
    <w:p>
      <w:pPr>
        <w:pStyle w:val="P68B1DB1Normal20"/>
        <w:widowControl w:val="false"/>
        <w:spacing w:lineRule="exact" w:line="293" w:before="168" w:after="0"/>
        <w:ind w:left="276" w:right="123" w:hanging="0"/>
        <w:jc w:val="both"/>
        <w:rPr/>
      </w:pPr>
      <w:r>
        <w:rPr/>
        <w:t xml:space="preserve">Šie mērķi mums ir svarīgi, jo tie var palīdzēt veicināt Eiropas kohēziju, stiprināt cieņu un sadarbību un nodot Eiropas vērtības jau no agrīna vecuma, lai Eiropas daudzveidību varētu uzskatīt par iespēju. </w:t>
      </w:r>
    </w:p>
    <w:p>
      <w:pPr>
        <w:pStyle w:val="P68B1DB1Normal20"/>
        <w:widowControl w:val="false"/>
        <w:spacing w:lineRule="exact" w:line="385" w:before="92" w:after="0"/>
        <w:ind w:left="0" w:right="0" w:hanging="0"/>
        <w:jc w:val="left"/>
        <w:rPr>
          <w:rFonts w:ascii="Calibri" w:hAnsi="Calibri"/>
          <w:color w:val="000000"/>
          <w:sz w:val="24"/>
        </w:rPr>
      </w:pPr>
      <w:r>
        <w:rPr/>
        <w:t xml:space="preserve"> </w:t>
      </w:r>
    </w:p>
    <w:p>
      <w:pPr>
        <w:pStyle w:val="P68B1DB1Normal44"/>
        <w:widowControl w:val="false"/>
        <w:spacing w:lineRule="exact" w:line="383" w:before="112" w:after="0"/>
        <w:ind w:left="276" w:right="0" w:hanging="0"/>
        <w:jc w:val="left"/>
        <w:rPr>
          <w:rFonts w:ascii="Times New Roman" w:hAnsi="Times New Roman"/>
          <w:i/>
          <w:i/>
          <w:color w:val="000000"/>
          <w:sz w:val="24"/>
        </w:rPr>
      </w:pPr>
      <w:r>
        <w:rPr/>
        <w:t xml:space="preserve">Apaļā galda 2. kārta: </w:t>
      </w:r>
    </w:p>
    <w:p>
      <w:pPr>
        <w:pStyle w:val="P68B1DB1Normal68"/>
        <w:widowControl w:val="false"/>
        <w:spacing w:lineRule="exact" w:line="400" w:before="205" w:after="0"/>
        <w:ind w:left="0" w:right="0" w:hanging="0"/>
        <w:jc w:val="left"/>
        <w:rPr>
          <w:rFonts w:ascii="Calibri" w:hAnsi="Calibri"/>
          <w:b/>
          <w:b/>
          <w:color w:val="000000"/>
          <w:sz w:val="24"/>
        </w:rPr>
      </w:pPr>
      <w:r>
        <w:rPr/>
        <w:t xml:space="preserve">Ar nodarbinātību saistītas pamatalgas noteikšana </w:t>
      </w:r>
    </w:p>
    <w:p>
      <w:pPr>
        <w:pStyle w:val="P68B1DB1Normal20"/>
        <w:widowControl w:val="false"/>
        <w:spacing w:lineRule="exact" w:line="293"/>
        <w:ind w:left="276" w:right="121" w:hanging="0"/>
        <w:jc w:val="both"/>
        <w:rPr/>
      </w:pPr>
      <w:r>
        <w:rPr/>
        <w:t xml:space="preserve">Mēs iesakām Eiropas nodarbinātības un sociālo tiesību komisāram iesniegt Eiropas Parlamentam priekšlikumu noteikt nodarbinātības pamatalgu visās dalībvalstīs. Šai pamatalgai vajadzētu būt minimālajam ienākumam, kas ir pietiekams iztikas nodrošināšanai, un īpašam nodarbinātības papildinājumam. </w:t>
      </w:r>
    </w:p>
    <w:p>
      <w:pPr>
        <w:pStyle w:val="P68B1DB1Normal20"/>
        <w:widowControl w:val="false"/>
        <w:spacing w:lineRule="exact" w:line="293" w:before="173" w:after="0"/>
        <w:ind w:left="276" w:right="121" w:hanging="0"/>
        <w:jc w:val="both"/>
        <w:rPr/>
      </w:pPr>
      <w:r>
        <w:rPr/>
        <w:t xml:space="preserve">Mūsu mērķis ir nodrošināt, ka profesionālās darbības rezultāti un algas ir salīdzināmas visā ES, lai stiprinātu sociālo taisnīgumu. Šis mērķis mums ir svarīgs, jo tas nodrošinātu, ka darba tirgū tiek ievērots ES pamatprincips: salīdzināmi dzīves un darba apstākļi neatkarīgi no personas dzīvesvietas un nodarbošanās. </w:t>
      </w:r>
    </w:p>
    <w:p>
      <w:pPr>
        <w:pStyle w:val="Normal"/>
        <w:spacing w:lineRule="auto" w:line="240"/>
        <w:rPr/>
      </w:pPr>
      <w:r>
        <w:rPr/>
      </w:r>
      <w:r>
        <w:br w:type="page"/>
      </w:r>
    </w:p>
    <w:p>
      <w:pPr>
        <w:pStyle w:val="P68B1DB1Normal44"/>
        <w:spacing w:lineRule="auto" w:line="240"/>
        <w:rPr>
          <w:rFonts w:ascii="Times New Roman" w:hAnsi="Times New Roman"/>
          <w:i/>
          <w:i/>
          <w:color w:val="000000"/>
          <w:sz w:val="24"/>
        </w:rPr>
      </w:pPr>
      <w:r>
        <w:rPr/>
        <w:t xml:space="preserve">Apaļā galda 1. kārta: </w:t>
      </w:r>
    </w:p>
    <w:p>
      <w:pPr>
        <w:pStyle w:val="P68B1DB1Normal68"/>
        <w:widowControl w:val="false"/>
        <w:spacing w:lineRule="exact" w:line="400" w:before="196" w:after="0"/>
        <w:ind w:left="0" w:right="0" w:hanging="0"/>
        <w:jc w:val="left"/>
        <w:rPr>
          <w:rFonts w:ascii="Calibri" w:hAnsi="Calibri"/>
          <w:b/>
          <w:b/>
          <w:color w:val="000000"/>
          <w:sz w:val="24"/>
        </w:rPr>
      </w:pPr>
      <w:r>
        <w:rPr/>
        <w:t xml:space="preserve">Eiropas vērtību iemiesošana un informēšana par tām, piesaistot emocijas </w:t>
      </w:r>
    </w:p>
    <w:p>
      <w:pPr>
        <w:pStyle w:val="P68B1DB1Normal20"/>
        <w:widowControl w:val="false"/>
        <w:spacing w:lineRule="exact" w:line="338" w:before="192" w:after="0"/>
        <w:ind w:left="276" w:right="126" w:hanging="0"/>
        <w:jc w:val="both"/>
        <w:rPr/>
      </w:pPr>
      <w:r>
        <w:rPr/>
        <w:t xml:space="preserve">Mēs iesakām padarīt Eiropas vērtības konkrētākas un komunicēt ar vairāk emociju. Mēs to varētu sasniegt, piemēram, izmantojot “integrācijas” paketi, kas aptver plašsaziņas līdzekļus, interaktīvus elementus un lielāku iedzīvotāju līdzdalību. </w:t>
      </w:r>
    </w:p>
    <w:p>
      <w:pPr>
        <w:pStyle w:val="P68B1DB1Normal20"/>
        <w:widowControl w:val="false"/>
        <w:spacing w:lineRule="exact" w:line="336" w:before="216" w:after="0"/>
        <w:ind w:left="276" w:right="126" w:hanging="0"/>
        <w:jc w:val="left"/>
        <w:rPr/>
      </w:pPr>
      <w:r>
        <w:rPr/>
        <w:t xml:space="preserve">Mūsu mērķis ir panākt, lai ikviens, kas dzīvo ES, zinātu un pieņemtu kopīgās vērtības. </w:t>
      </w:r>
    </w:p>
    <w:p>
      <w:pPr>
        <w:pStyle w:val="P68B1DB1Normal20"/>
        <w:widowControl w:val="false"/>
        <w:spacing w:lineRule="exact" w:line="337" w:before="216" w:after="0"/>
        <w:ind w:left="276" w:right="119" w:hanging="0"/>
        <w:jc w:val="both"/>
        <w:rPr/>
      </w:pPr>
      <w:r>
        <w:rPr/>
        <w:t xml:space="preserve">Šis mērķis mums ir svarīgs, jo tas veido pamatu mūsu vērtību līdzāspastāvēšanai. Šīs vērtības ir pārāk maz zināmas, jo trūkst personīgās saiknes. Mums ir jāveido šis savienojums. </w:t>
      </w:r>
    </w:p>
    <w:p>
      <w:pPr>
        <w:pStyle w:val="P68B1DB1Normal20"/>
        <w:widowControl w:val="false"/>
        <w:spacing w:lineRule="exact" w:line="385" w:before="135" w:after="0"/>
        <w:ind w:left="0" w:right="0" w:hanging="0"/>
        <w:jc w:val="left"/>
        <w:rPr>
          <w:rFonts w:ascii="Calibri" w:hAnsi="Calibri"/>
          <w:color w:val="000000"/>
          <w:sz w:val="24"/>
        </w:rPr>
      </w:pPr>
      <w:r>
        <w:rPr/>
        <w:t xml:space="preserve"> </w:t>
      </w:r>
    </w:p>
    <w:p>
      <w:pPr>
        <w:pStyle w:val="P68B1DB1Normal44"/>
        <w:widowControl w:val="false"/>
        <w:spacing w:lineRule="exact" w:line="383" w:before="114" w:after="0"/>
        <w:ind w:left="276" w:right="0" w:hanging="0"/>
        <w:jc w:val="left"/>
        <w:rPr>
          <w:rFonts w:ascii="Times New Roman" w:hAnsi="Times New Roman"/>
          <w:i/>
          <w:i/>
          <w:color w:val="000000"/>
          <w:sz w:val="24"/>
        </w:rPr>
      </w:pPr>
      <w:r>
        <w:rPr/>
        <w:t xml:space="preserve">Apaļā galda 2. kārta: </w:t>
      </w:r>
    </w:p>
    <w:p>
      <w:pPr>
        <w:pStyle w:val="P68B1DB1Normal68"/>
        <w:widowControl w:val="false"/>
        <w:spacing w:lineRule="exact" w:line="400" w:before="211" w:after="0"/>
        <w:ind w:left="0" w:right="0" w:hanging="0"/>
        <w:jc w:val="left"/>
        <w:rPr>
          <w:rFonts w:ascii="Calibri" w:hAnsi="Calibri"/>
          <w:b/>
          <w:b/>
          <w:color w:val="000000"/>
          <w:sz w:val="24"/>
        </w:rPr>
      </w:pPr>
      <w:r>
        <w:rPr/>
        <w:t xml:space="preserve">Dzīve ES </w:t>
      </w:r>
    </w:p>
    <w:p>
      <w:pPr>
        <w:pStyle w:val="P68B1DB1Normal20"/>
        <w:widowControl w:val="false"/>
        <w:spacing w:lineRule="exact" w:line="337" w:before="191" w:after="0"/>
        <w:ind w:left="276" w:right="116" w:hanging="0"/>
        <w:jc w:val="both"/>
        <w:rPr/>
      </w:pPr>
      <w:r>
        <w:rPr/>
        <w:t xml:space="preserve">Mēs iesakām ES izveidot savu izglītības un informācijas televīzijas programmu, lai palielinātu visu ES iedzīvotāju informētību par mūsu kopīgajām vērtībām un nodrošinātu vieglu un netraucētu piekļuvi šai informācijai visiem. Šie mērķi mums ir svarīgi, jo mēs vēlamies labāk izprast sabiedrisko domu katrā ES valstī. Šādā veidā mēs vēlamies stiprināt kopīgo pamatu un palīdzēt tuvināt iedzīvotājus, lai veicinātu lielāku solidaritāti un apmācītu viņus tiesiskuma jomā, lai saglabātu demokrātiju. </w:t>
      </w:r>
    </w:p>
    <w:p>
      <w:pPr>
        <w:pStyle w:val="P68B1DB1Normal33"/>
        <w:widowControl w:val="false"/>
        <w:spacing w:lineRule="exact" w:line="399" w:before="365" w:after="0"/>
        <w:ind w:left="4819" w:right="0" w:hanging="0"/>
        <w:jc w:val="left"/>
        <w:rPr/>
      </w:pPr>
      <w:r>
        <w:rPr/>
        <w:t xml:space="preserve"> </w:t>
      </w:r>
      <w:r>
        <w:rPr/>
        <w:t>___</w:t>
      </w:r>
    </w:p>
    <w:p>
      <w:pPr>
        <w:pStyle w:val="Normal"/>
        <w:spacing w:lineRule="auto" w:line="240"/>
        <w:rPr/>
      </w:pPr>
      <w:r>
        <w:rPr/>
      </w:r>
      <w:r>
        <w:br w:type="page"/>
      </w:r>
    </w:p>
    <w:p>
      <w:pPr>
        <w:pStyle w:val="Titre1"/>
        <w:numPr>
          <w:ilvl w:val="0"/>
          <w:numId w:val="2"/>
        </w:numPr>
        <w:rPr/>
      </w:pPr>
      <w:bookmarkStart w:id="215" w:name="__RefHeading___Toc297355_1346298689"/>
      <w:bookmarkEnd w:id="215"/>
      <w:r>
        <w:rPr/>
        <w:t>II D Valstu paneļdiskusiju grupas: Itālija</w:t>
      </w:r>
    </w:p>
    <w:p>
      <w:pPr>
        <w:pStyle w:val="P68B1DB1Normal70"/>
        <w:spacing w:lineRule="auto" w:line="240"/>
        <w:jc w:val="center"/>
        <w:rPr/>
      </w:pPr>
      <w:r>
        <w:rPr/>
        <w:t xml:space="preserve">Pilsoņu paneļdiskusija sniegs ieteikumus konferencei par Eiropas nākotni, 2022. gada 11.–12. marts </w:t>
      </w:r>
    </w:p>
    <w:p>
      <w:pPr>
        <w:pStyle w:val="P68B1DB1Normal71"/>
        <w:widowControl w:val="false"/>
        <w:spacing w:lineRule="exact" w:line="916" w:before="147" w:after="0"/>
        <w:ind w:left="2234" w:right="0" w:hanging="0"/>
        <w:jc w:val="left"/>
        <w:rPr>
          <w:rFonts w:ascii="Arial" w:hAnsi="Arial"/>
          <w:color w:val="BD1271"/>
          <w:sz w:val="56"/>
        </w:rPr>
      </w:pPr>
      <w:r>
        <w:rPr/>
        <w:t xml:space="preserve">Kopsavilkuma ziņojums </w:t>
      </w:r>
    </w:p>
    <w:p>
      <w:pPr>
        <w:pStyle w:val="Normal"/>
        <w:widowControl w:val="false"/>
        <w:spacing w:lineRule="exact" w:line="719" w:before="216" w:after="0"/>
        <w:ind w:left="4819" w:right="0" w:hanging="0"/>
        <w:jc w:val="left"/>
        <w:rPr/>
      </w:pPr>
      <w:r>
        <w:rPr>
          <w:color w:val="BD1271"/>
          <w:sz w:val="44"/>
        </w:rPr>
        <w:t xml:space="preserve"> </w:t>
      </w:r>
      <w:r>
        <w:rPr>
          <w:color w:val="000000"/>
          <w:sz w:val="32"/>
        </w:rPr>
        <w:t>Romā, 2022. gada 16. martā</w:t>
      </w:r>
    </w:p>
    <w:p>
      <w:pPr>
        <w:pStyle w:val="P68B1DB1Normal72"/>
        <w:widowControl w:val="false"/>
        <w:spacing w:lineRule="exact" w:line="719" w:before="216" w:after="0"/>
        <w:ind w:left="4819" w:right="0" w:hanging="0"/>
        <w:jc w:val="left"/>
        <w:rPr>
          <w:rFonts w:ascii="Arial" w:hAnsi="Arial"/>
          <w:color w:val="BD1271"/>
          <w:sz w:val="44"/>
        </w:rPr>
      </w:pPr>
      <w:r>
        <w:rPr>
          <w:color w:val="BD1271"/>
          <w:sz w:val="44"/>
        </w:rPr>
        <w:drawing>
          <wp:anchor behindDoc="0" distT="0" distB="0" distL="0" distR="0" simplePos="0" locked="0" layoutInCell="1" allowOverlap="1" relativeHeight="41">
            <wp:simplePos x="0" y="0"/>
            <wp:positionH relativeFrom="column">
              <wp:posOffset>50800</wp:posOffset>
            </wp:positionH>
            <wp:positionV relativeFrom="paragraph">
              <wp:posOffset>155575</wp:posOffset>
            </wp:positionV>
            <wp:extent cx="810895" cy="956310"/>
            <wp:effectExtent l="0" t="0" r="0" b="0"/>
            <wp:wrapSquare wrapText="largest"/>
            <wp:docPr id="99" name="Attēls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ttēls42" descr=""/>
                    <pic:cNvPicPr>
                      <a:picLocks noChangeAspect="1" noChangeArrowheads="1"/>
                    </pic:cNvPicPr>
                  </pic:nvPicPr>
                  <pic:blipFill>
                    <a:blip r:embed="rId102"/>
                    <a:stretch>
                      <a:fillRect/>
                    </a:stretch>
                  </pic:blipFill>
                  <pic:spPr bwMode="auto">
                    <a:xfrm>
                      <a:off x="0" y="0"/>
                      <a:ext cx="810895" cy="956310"/>
                    </a:xfrm>
                    <a:prstGeom prst="rect">
                      <a:avLst/>
                    </a:prstGeom>
                  </pic:spPr>
                </pic:pic>
              </a:graphicData>
            </a:graphic>
          </wp:anchor>
        </w:drawing>
      </w:r>
    </w:p>
    <w:p>
      <w:pPr>
        <w:pStyle w:val="Normal"/>
        <w:spacing w:lineRule="auto" w:line="240"/>
        <w:rPr/>
      </w:pPr>
      <w:r>
        <w:rPr/>
      </w:r>
    </w:p>
    <w:p>
      <w:pPr>
        <w:pStyle w:val="Normal"/>
        <w:spacing w:lineRule="auto" w:line="240"/>
        <w:rPr/>
      </w:pPr>
      <w:r>
        <w:rPr/>
      </w:r>
      <w:r>
        <w:br w:type="page"/>
      </w:r>
    </w:p>
    <w:sdt>
      <w:sdtPr>
        <w:docPartObj>
          <w:docPartGallery w:val="Table of Contents"/>
          <w:docPartUnique w:val="true"/>
        </w:docPartObj>
      </w:sdtPr>
      <w:sdtContent>
        <w:p>
          <w:pPr>
            <w:pStyle w:val="TOAHeading"/>
            <w:rPr/>
          </w:pPr>
          <w:r>
            <w:rPr/>
            <w:t>Satura rādītājs</w:t>
          </w:r>
        </w:p>
        <w:p>
          <w:pPr>
            <w:pStyle w:val="Tabledesmatiresniveau1"/>
            <w:rPr/>
          </w:pPr>
          <w:r>
            <w:fldChar w:fldCharType="begin"/>
          </w:r>
          <w:r>
            <w:rPr>
              <w:rStyle w:val="Sautdindex"/>
            </w:rPr>
            <w:instrText> TOC \f \o "1-4" \h</w:instrText>
          </w:r>
          <w:r>
            <w:rPr>
              <w:rStyle w:val="Sautdindex"/>
            </w:rPr>
            <w:fldChar w:fldCharType="separate"/>
          </w:r>
          <w:hyperlink w:anchor="__RefHeading___Toc297355_1346298689">
            <w:r>
              <w:rPr>
                <w:rStyle w:val="Sautdindex"/>
              </w:rPr>
              <w:t>II D Panels nationaux : Italie</w:t>
              <w:tab/>
              <w:t>227</w:t>
            </w:r>
          </w:hyperlink>
        </w:p>
        <w:p>
          <w:pPr>
            <w:pStyle w:val="Tabledesmatiresniveau2"/>
            <w:tabs>
              <w:tab w:val="right" w:pos="9638" w:leader="dot"/>
            </w:tabs>
            <w:rPr/>
          </w:pPr>
          <w:hyperlink w:anchor="__RefHeading___Toc300308_1346298689">
            <w:r>
              <w:rPr>
                <w:rStyle w:val="Sautdindex"/>
              </w:rPr>
              <w:t>1. Principes directeurs du processus d'organisation du panel</w:t>
              <w:tab/>
              <w:t>229</w:t>
            </w:r>
          </w:hyperlink>
        </w:p>
        <w:p>
          <w:pPr>
            <w:pStyle w:val="Tabledesmatiresniveau2"/>
            <w:tabs>
              <w:tab w:val="right" w:pos="9638" w:leader="dot"/>
            </w:tabs>
            <w:rPr/>
          </w:pPr>
          <w:hyperlink w:anchor="__RefHeading___Toc300310_1346298689">
            <w:r>
              <w:rPr>
                <w:rStyle w:val="Sautdindex"/>
              </w:rPr>
              <w:t>2. Sélection des participants et modalité de participation</w:t>
              <w:tab/>
              <w:t>230</w:t>
            </w:r>
          </w:hyperlink>
        </w:p>
        <w:p>
          <w:pPr>
            <w:pStyle w:val="Tabledesmatiresniveau2"/>
            <w:tabs>
              <w:tab w:val="right" w:pos="9638" w:leader="dot"/>
            </w:tabs>
            <w:rPr/>
          </w:pPr>
          <w:hyperlink w:anchor="__RefHeading___Toc300312_1346298689">
            <w:r>
              <w:rPr>
                <w:rStyle w:val="Sautdindex"/>
              </w:rPr>
              <w:t>3. Organisation du panel</w:t>
              <w:tab/>
              <w:t>233</w:t>
            </w:r>
          </w:hyperlink>
        </w:p>
        <w:p>
          <w:pPr>
            <w:pStyle w:val="Tabledesmatiresniveau2"/>
            <w:tabs>
              <w:tab w:val="right" w:pos="9638" w:leader="dot"/>
            </w:tabs>
            <w:rPr/>
          </w:pPr>
          <w:hyperlink w:anchor="__RefHeading___Toc300314_1346298689">
            <w:r>
              <w:rPr>
                <w:rStyle w:val="Sautdindex"/>
              </w:rPr>
              <w:t>4. Programme de travail</w:t>
              <w:tab/>
              <w:t>233</w:t>
            </w:r>
          </w:hyperlink>
        </w:p>
        <w:p>
          <w:pPr>
            <w:pStyle w:val="Tabledesmatiresniveau2"/>
            <w:tabs>
              <w:tab w:val="right" w:pos="9638" w:leader="dot"/>
            </w:tabs>
            <w:rPr/>
          </w:pPr>
          <w:hyperlink w:anchor="__RefHeading___Toc300316_1346298689">
            <w:r>
              <w:rPr>
                <w:rStyle w:val="Sautdindex"/>
              </w:rPr>
              <w:t>5. Recommandations formulées</w:t>
              <w:tab/>
              <w:t>235</w:t>
            </w:r>
          </w:hyperlink>
        </w:p>
        <w:p>
          <w:pPr>
            <w:pStyle w:val="Tabledesmatiresniveau3"/>
            <w:tabs>
              <w:tab w:val="right" w:pos="9638" w:leader="dot"/>
            </w:tabs>
            <w:rPr/>
          </w:pPr>
          <w:hyperlink w:anchor="__RefHeading___Toc300318_1346298689">
            <w:r>
              <w:rPr>
                <w:rStyle w:val="Sautdindex"/>
              </w:rPr>
              <w:t>Une économie plus forte, justice sociale et emploi</w:t>
              <w:tab/>
              <w:t>235</w:t>
            </w:r>
          </w:hyperlink>
        </w:p>
        <w:p>
          <w:pPr>
            <w:pStyle w:val="Tabledesmatiresniveau4"/>
            <w:tabs>
              <w:tab w:val="right" w:pos="9638" w:leader="dot"/>
            </w:tabs>
            <w:rPr/>
          </w:pPr>
          <w:hyperlink w:anchor="__RefHeading___Toc300428_1346298689">
            <w:r>
              <w:rPr>
                <w:rStyle w:val="Sautdindex"/>
              </w:rPr>
              <w:t>1. Dépasser le modèle de production du siècle passé</w:t>
              <w:tab/>
              <w:t>235</w:t>
            </w:r>
          </w:hyperlink>
        </w:p>
        <w:p>
          <w:pPr>
            <w:pStyle w:val="Tabledesmatiresniveau4"/>
            <w:tabs>
              <w:tab w:val="right" w:pos="9638" w:leader="dot"/>
            </w:tabs>
            <w:rPr/>
          </w:pPr>
          <w:hyperlink w:anchor="__RefHeading___Toc300430_1346298689">
            <w:r>
              <w:rPr>
                <w:rStyle w:val="Sautdindex"/>
              </w:rPr>
              <w:t>2. Règlements génératifs et inclusifs en matière de production</w:t>
              <w:tab/>
              <w:t>235</w:t>
            </w:r>
          </w:hyperlink>
        </w:p>
        <w:p>
          <w:pPr>
            <w:pStyle w:val="Tabledesmatiresniveau4"/>
            <w:tabs>
              <w:tab w:val="right" w:pos="9638" w:leader="dot"/>
            </w:tabs>
            <w:rPr/>
          </w:pPr>
          <w:hyperlink w:anchor="__RefHeading___Toc300432_1346298689">
            <w:r>
              <w:rPr>
                <w:rStyle w:val="Sautdindex"/>
              </w:rPr>
              <w:t>3. Mesurer la croissance à l'aune du bonheur au sein de la population plutôt que de la quantité de produits</w:t>
              <w:tab/>
              <w:t>236</w:t>
            </w:r>
          </w:hyperlink>
        </w:p>
        <w:p>
          <w:pPr>
            <w:pStyle w:val="Tabledesmatiresniveau4"/>
            <w:tabs>
              <w:tab w:val="right" w:pos="9638" w:leader="dot"/>
            </w:tabs>
            <w:rPr/>
          </w:pPr>
          <w:hyperlink w:anchor="__RefHeading___Toc300434_1346298689">
            <w:r>
              <w:rPr>
                <w:rStyle w:val="Sautdindex"/>
              </w:rPr>
              <w:t>4. Une plus grande intégration parmi les États</w:t>
              <w:tab/>
              <w:t>237</w:t>
            </w:r>
          </w:hyperlink>
        </w:p>
        <w:p>
          <w:pPr>
            <w:pStyle w:val="Tabledesmatiresniveau4"/>
            <w:tabs>
              <w:tab w:val="right" w:pos="9638" w:leader="dot"/>
            </w:tabs>
            <w:rPr/>
          </w:pPr>
          <w:hyperlink w:anchor="__RefHeading___Toc300436_1346298689">
            <w:r>
              <w:rPr>
                <w:rStyle w:val="Sautdindex"/>
              </w:rPr>
              <w:t>5. Politiques d'inclusion</w:t>
              <w:tab/>
              <w:t>238</w:t>
            </w:r>
          </w:hyperlink>
        </w:p>
        <w:p>
          <w:pPr>
            <w:pStyle w:val="Tabledesmatiresniveau4"/>
            <w:tabs>
              <w:tab w:val="right" w:pos="9638" w:leader="dot"/>
            </w:tabs>
            <w:rPr/>
          </w:pPr>
          <w:hyperlink w:anchor="__RefHeading___Toc300438_1346298689">
            <w:r>
              <w:rPr>
                <w:rStyle w:val="Sautdindex"/>
              </w:rPr>
              <w:t>6. Emploi</w:t>
              <w:tab/>
              <w:t>239</w:t>
            </w:r>
          </w:hyperlink>
        </w:p>
        <w:p>
          <w:pPr>
            <w:pStyle w:val="Tabledesmatiresniveau3"/>
            <w:tabs>
              <w:tab w:val="right" w:pos="9638" w:leader="dot"/>
            </w:tabs>
            <w:rPr/>
          </w:pPr>
          <w:hyperlink w:anchor="__RefHeading___Toc300320_1346298689">
            <w:r>
              <w:rPr>
                <w:rStyle w:val="Sautdindex"/>
              </w:rPr>
              <w:t xml:space="preserve"> </w:t>
            </w:r>
            <w:r>
              <w:rPr>
                <w:rStyle w:val="Sautdindex"/>
              </w:rPr>
              <w:t>L'Europe dans le monde</w:t>
              <w:tab/>
              <w:t>240</w:t>
            </w:r>
          </w:hyperlink>
        </w:p>
        <w:p>
          <w:pPr>
            <w:pStyle w:val="Tabledesmatiresniveau4"/>
            <w:tabs>
              <w:tab w:val="right" w:pos="9638" w:leader="dot"/>
            </w:tabs>
            <w:rPr/>
          </w:pPr>
          <w:hyperlink w:anchor="__RefHeading___Toc300440_1346298689">
            <w:r>
              <w:rPr>
                <w:rStyle w:val="Sautdindex"/>
              </w:rPr>
              <w:t>1. Renforcer l'identité européenne</w:t>
              <w:tab/>
              <w:t>240</w:t>
            </w:r>
          </w:hyperlink>
        </w:p>
        <w:p>
          <w:pPr>
            <w:pStyle w:val="Tabledesmatiresniveau4"/>
            <w:tabs>
              <w:tab w:val="right" w:pos="9638" w:leader="dot"/>
            </w:tabs>
            <w:rPr/>
          </w:pPr>
          <w:hyperlink w:anchor="__RefHeading___Toc300442_1346298689">
            <w:r>
              <w:rPr>
                <w:rStyle w:val="Sautdindex"/>
              </w:rPr>
              <w:t>2. Renforcer l'économie et les institutions</w:t>
              <w:tab/>
              <w:t>240</w:t>
            </w:r>
          </w:hyperlink>
        </w:p>
        <w:p>
          <w:pPr>
            <w:pStyle w:val="Tabledesmatiresniveau4"/>
            <w:tabs>
              <w:tab w:val="right" w:pos="9638" w:leader="dot"/>
            </w:tabs>
            <w:rPr/>
          </w:pPr>
          <w:hyperlink w:anchor="__RefHeading___Toc300444_1346298689">
            <w:r>
              <w:rPr>
                <w:rStyle w:val="Sautdindex"/>
              </w:rPr>
              <w:t>3. Coopération et partenariats</w:t>
              <w:tab/>
              <w:t>241</w:t>
            </w:r>
          </w:hyperlink>
        </w:p>
        <w:p>
          <w:pPr>
            <w:pStyle w:val="Tabledesmatiresniveau4"/>
            <w:tabs>
              <w:tab w:val="right" w:pos="9638" w:leader="dot"/>
            </w:tabs>
            <w:rPr/>
          </w:pPr>
          <w:hyperlink w:anchor="__RefHeading___Toc300446_1346298689">
            <w:r>
              <w:rPr>
                <w:rStyle w:val="Sautdindex"/>
              </w:rPr>
              <w:t>4. Référence politique et culturelle</w:t>
              <w:tab/>
              <w:t>242</w:t>
            </w:r>
          </w:hyperlink>
        </w:p>
        <w:p>
          <w:pPr>
            <w:pStyle w:val="Tabledesmatiresniveau2"/>
            <w:tabs>
              <w:tab w:val="right" w:pos="9638" w:leader="dot"/>
            </w:tabs>
            <w:rPr/>
          </w:pPr>
          <w:hyperlink w:anchor="__RefHeading___Toc300322_1346298689">
            <w:r>
              <w:rPr>
                <w:rStyle w:val="Sautdindex"/>
              </w:rPr>
              <w:t>6. Évaluation finale par les participants</w:t>
              <w:tab/>
              <w:t>242</w:t>
            </w:r>
          </w:hyperlink>
        </w:p>
      </w:sdtContent>
    </w:sdt>
    <w:p>
      <w:pPr>
        <w:pStyle w:val="Normal"/>
        <w:spacing w:lineRule="auto" w:line="240"/>
        <w:rPr>
          <w:rFonts w:ascii="Calibri" w:hAnsi="Calibri"/>
          <w:color w:val="0000FF"/>
          <w:sz w:val="22"/>
        </w:rPr>
      </w:pPr>
      <w:r>
        <w:rPr>
          <w:rFonts w:ascii="Calibri" w:hAnsi="Calibri"/>
          <w:color w:val="0000FF"/>
          <w:sz w:val="22"/>
        </w:rPr>
      </w:r>
      <w:r>
        <w:rPr>
          <w:sz w:val="22"/>
          <w:rFonts w:ascii="Calibri" w:hAnsi="Calibri"/>
        </w:rPr>
        <w:fldChar w:fldCharType="end"/>
      </w:r>
      <w:r>
        <w:br w:type="page"/>
      </w:r>
    </w:p>
    <w:p>
      <w:pPr>
        <w:pStyle w:val="P68B1DB1Titre273"/>
        <w:numPr>
          <w:ilvl w:val="0"/>
          <w:numId w:val="2"/>
        </w:numPr>
        <w:rPr/>
      </w:pPr>
      <w:bookmarkStart w:id="216" w:name="__RefHeading___Toc300308_1346298689"/>
      <w:bookmarkEnd w:id="216"/>
      <w:r>
        <w:rPr/>
        <w:t xml:space="preserve">1. Žūrijas organizēšanas procesa pamatprincipi </w:t>
      </w:r>
    </w:p>
    <w:p>
      <w:pPr>
        <w:pStyle w:val="P68B1DB1Normal34"/>
        <w:widowControl w:val="false"/>
        <w:spacing w:lineRule="auto" w:line="240"/>
        <w:ind w:left="0" w:right="0" w:hanging="0"/>
        <w:jc w:val="left"/>
        <w:rPr/>
      </w:pPr>
      <w:r>
        <w:rPr/>
        <w:t xml:space="preserve"> </w:t>
      </w:r>
      <w:r>
        <w:rPr/>
        <w:t xml:space="preserve">Viss paneļkomitejas īstenošanas process tika izstrādāts tā, lai tas atbilstu norādījumiem, kas ietverti pamatnostādnēs valstu pilsoņu paneļdiskusijām saistībā ar konferenci par Eiropas nākotni. Konkrētāk: </w:t>
      </w:r>
    </w:p>
    <w:p>
      <w:pPr>
        <w:pStyle w:val="Normal"/>
        <w:widowControl w:val="false"/>
        <w:spacing w:lineRule="auto" w:line="240" w:before="80" w:after="0"/>
        <w:ind w:left="360" w:right="0" w:hanging="0"/>
        <w:jc w:val="left"/>
        <w:rPr/>
      </w:pPr>
      <w:r>
        <w:rPr>
          <w:rFonts w:ascii="Symbol" w:hAnsi="Symbol"/>
          <w:color w:val="000000"/>
        </w:rPr>
        <w:t>•</w:t>
      </w:r>
      <w:r>
        <w:rPr>
          <w:color w:val="000000"/>
        </w:rPr>
        <w:t xml:space="preserve"> </w:t>
      </w:r>
      <w:r>
        <w:rPr>
          <w:b/>
          <w:color w:val="2E74B5"/>
        </w:rPr>
        <w:t>Mērķis:</w:t>
      </w:r>
      <w:r>
        <w:rPr>
          <w:b/>
          <w:color w:val="000000"/>
        </w:rPr>
        <w:t xml:space="preserve"> </w:t>
      </w:r>
    </w:p>
    <w:p>
      <w:pPr>
        <w:pStyle w:val="P68B1DB1Normal34"/>
        <w:widowControl w:val="false"/>
        <w:spacing w:lineRule="auto" w:line="240"/>
        <w:ind w:left="720" w:right="0" w:hanging="0"/>
        <w:jc w:val="left"/>
        <w:rPr/>
      </w:pPr>
      <w:r>
        <w:rPr/>
        <w:t xml:space="preserve">Visi, kas uzaicināti piedalīties paneļdiskusijā, aizpildīja dalības anketu, kurā bija ietverti projekta mērķi un nolūki ar īpašām atsaucēm uz konferenci par Eiropas nākotni, aptvertajiem tematiem un dalības kārtību.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Pārredzamība: </w:t>
      </w:r>
    </w:p>
    <w:p>
      <w:pPr>
        <w:pStyle w:val="P68B1DB1Normal34"/>
        <w:widowControl w:val="false"/>
        <w:spacing w:lineRule="auto" w:line="240"/>
        <w:ind w:left="720" w:right="0" w:hanging="0"/>
        <w:jc w:val="left"/>
        <w:rPr/>
      </w:pPr>
      <w:r>
        <w:rPr/>
        <w:t xml:space="preserve">Visi iniciatīvas dokumenti bija pieejami dalībniekiem dažādos veidos, vienmēr atsaucoties uz konferences oficiālo tīmekļa vietni. Dokumenti tika nosūtīti pa e-pastu visiem dalībniekiem.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Iekļautība: </w:t>
      </w:r>
    </w:p>
    <w:p>
      <w:pPr>
        <w:pStyle w:val="P68B1DB1Normal75"/>
        <w:widowControl w:val="false"/>
        <w:spacing w:lineRule="auto" w:line="240"/>
        <w:ind w:left="708" w:right="0" w:hanging="0"/>
        <w:jc w:val="left"/>
        <w:rPr/>
      </w:pPr>
      <w:r>
        <w:rPr>
          <w:color w:val="000000"/>
        </w:rPr>
        <w:t xml:space="preserve">Uzaicinājums piedalīties tika nosūtīts, izmantojot dažādus kanālus: piemēram, pa e-pastu </w:t>
      </w:r>
      <w:r>
        <w:rPr>
          <w:color w:val="ED7D31"/>
        </w:rPr>
        <w:t>SWG</w:t>
      </w:r>
      <w:r>
        <w:rPr>
          <w:color w:val="000000"/>
        </w:rPr>
        <w:t xml:space="preserve"> kopienas locekļiem un kopīgojiet saiti uz pieteikuma veidlapu, izmantojot Twitter un LinkedIn. Tā rezultātā kopumā bija vairāk nekā 400 piekļuves pieteikuma veidlapai un 245 pieteikumi. (Nejaušā) dalībnieku atlase tika veikta tā, lai garantētu dažādu dzimuma, vecuma, sociālās izcelsmes, dzīvesvietas un profesionālā statusa cilvēku klātbūtni.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Pārstāvība: </w:t>
      </w:r>
    </w:p>
    <w:p>
      <w:pPr>
        <w:pStyle w:val="P68B1DB1Normal34"/>
        <w:widowControl w:val="false"/>
        <w:spacing w:lineRule="auto" w:line="240"/>
        <w:ind w:left="708" w:right="0" w:hanging="0"/>
        <w:jc w:val="left"/>
        <w:rPr/>
      </w:pPr>
      <w:r>
        <w:rPr/>
        <w:t xml:space="preserve">Lai gan izlases lielums statistiskajā nozīmē nav reprezentatīvs, izlase tika veidota tā, lai panāktu maksimālu neviendabīgumu starp dalībniekiem, lai reproducētu mērķauditorijas mikrokosmu.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Informācija: </w:t>
      </w:r>
    </w:p>
    <w:p>
      <w:pPr>
        <w:pStyle w:val="Normal"/>
        <w:widowControl w:val="false"/>
        <w:spacing w:lineRule="auto" w:line="240"/>
        <w:ind w:left="720" w:right="0" w:hanging="0"/>
        <w:jc w:val="left"/>
        <w:rPr/>
      </w:pPr>
      <w:r>
        <w:rPr>
          <w:color w:val="000000"/>
        </w:rPr>
        <w:t xml:space="preserve">Visi dalībnieki saņēma plašu informāciju par konferenci un paneļdiskusijā apspriestajām tēmām. Ievaddaļas dalībniekiem tika atgādināti projekta mērķi un kārtība saskaņā ar neitralitātes un pilnīguma principiem. Visiem dalībniekiem tika dota iespēja pieprasīt vairāk informācijas un informāciju par pasākumu, izmantojot </w:t>
      </w:r>
      <w:r>
        <w:rPr>
          <w:color w:val="ED7D31"/>
        </w:rPr>
        <w:t>SWG</w:t>
      </w:r>
      <w:r>
        <w:rPr>
          <w:color w:val="000000"/>
        </w:rPr>
        <w:t xml:space="preserve"> projektu vadītāju tiešos tālruņa numurus.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Apspriežu grupas: </w:t>
      </w:r>
    </w:p>
    <w:p>
      <w:pPr>
        <w:pStyle w:val="P68B1DB1Normal76"/>
        <w:widowControl w:val="false"/>
        <w:spacing w:lineRule="auto" w:line="240"/>
        <w:ind w:left="720" w:right="0" w:hanging="0"/>
        <w:jc w:val="left"/>
        <w:rPr/>
      </w:pPr>
      <w:r>
        <w:rPr/>
        <w:t xml:space="preserve">Visa procesa galvenais mērķis bija formulēt konkrētus ieteikumus, kurus plaši atbalsta dalībnieki un kuri adresējami Eiropas Savienībai. Veids, kādā darbs tika organizēts un grupas vadīja, noveda pie procesa, kurā galvenā uzmanība tika pievērsta dalībnieku indikāciju apkopošanai, to apstrādei un sintēzei, kā arī to pārbaudei un apstiprināšanai, ko veic pašas grupas nākamās darba sesijas laikā.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Kalendārs: </w:t>
      </w:r>
    </w:p>
    <w:p>
      <w:pPr>
        <w:pStyle w:val="P68B1DB1Normal76"/>
        <w:widowControl w:val="false"/>
        <w:spacing w:lineRule="auto" w:line="240"/>
        <w:ind w:left="720" w:right="0" w:hanging="0"/>
        <w:jc w:val="left"/>
        <w:rPr/>
      </w:pPr>
      <w:r>
        <w:rPr/>
        <w:t xml:space="preserve">Darba sesiju laikā tika radīta atslābinoša atmosfēra, dodot dalībniekiem visu nepieciešamo laiku, lai padziļinātu tēmas, par kurām viņi tika aicināti diskutēt, paust savu viedokli un uzklausīt citu cilvēku viedokļus. Tā paša iemesla dēļ tika nolemts sadalīt divas galvenās grupas divās apakšgrupās. Turklāt darbs tika sadalīts divās dienās, lai varētu pamatot formulētās idejas. </w:t>
      </w:r>
    </w:p>
    <w:p>
      <w:pPr>
        <w:pStyle w:val="Normal"/>
        <w:widowControl w:val="false"/>
        <w:spacing w:lineRule="auto" w:line="240"/>
        <w:ind w:left="360" w:right="0" w:hanging="0"/>
        <w:jc w:val="left"/>
        <w:rPr/>
      </w:pPr>
      <w:r>
        <w:rPr>
          <w:rFonts w:ascii="Symbol" w:hAnsi="Symbol"/>
          <w:color w:val="000000"/>
        </w:rPr>
        <w:t>•</w:t>
      </w:r>
      <w:r>
        <w:rPr>
          <w:color w:val="000000"/>
        </w:rPr>
        <w:t xml:space="preserve"> </w:t>
      </w:r>
      <w:r>
        <w:rPr>
          <w:b/>
          <w:color w:val="2E74B5"/>
        </w:rPr>
        <w:t>Turpmākie pasākumi:</w:t>
      </w:r>
      <w:r>
        <w:rPr>
          <w:color w:val="000000"/>
        </w:rPr>
        <w:t xml:space="preserve"> </w:t>
      </w:r>
    </w:p>
    <w:p>
      <w:pPr>
        <w:pStyle w:val="P68B1DB1Normal76"/>
        <w:widowControl w:val="false"/>
        <w:spacing w:lineRule="auto" w:line="240"/>
        <w:ind w:left="720" w:right="0" w:hanging="0"/>
        <w:jc w:val="left"/>
        <w:rPr/>
      </w:pPr>
      <w:r>
        <w:rPr/>
        <w:t xml:space="preserve">Pēdējā dienā visas grupas pārbaudīja un apstiprināja pirmo ieteikumu projektu, kas tika sagatavots darba pirmajā posmā. Pēc tam, kad ziņojums par rezultātiem tika iesniegts Ministru padomes prezidentūras Eiropas Politikas departamentam un tā pilnvarojums, ieteikumu galīgā redakcija tika nosūtīta visiem žūrijas dalībniekiem. Jebkurā gadījumā dalībnieki tika aicināti arī turpmāk uzraudzīt konferences darbību tīmekļa vietnē, izmantojot jaunākos atjauninājumus, kas jāpublicē. </w:t>
      </w:r>
    </w:p>
    <w:p>
      <w:pPr>
        <w:pStyle w:val="P68B1DB1Normal74"/>
        <w:widowControl w:val="false"/>
        <w:spacing w:lineRule="auto" w:line="240"/>
        <w:ind w:left="360" w:right="0" w:hanging="0"/>
        <w:jc w:val="left"/>
        <w:rPr/>
      </w:pPr>
      <w:r>
        <w:rPr>
          <w:rFonts w:ascii="Symbol" w:hAnsi="Symbol"/>
        </w:rPr>
        <w:t>•</w:t>
      </w:r>
      <w:r>
        <w:rPr/>
        <w:t xml:space="preserve"> </w:t>
      </w:r>
      <w:r>
        <w:rPr>
          <w:b/>
        </w:rPr>
        <w:t xml:space="preserve">Integritāte: </w:t>
      </w:r>
    </w:p>
    <w:p>
      <w:pPr>
        <w:pStyle w:val="Normal"/>
        <w:widowControl w:val="false"/>
        <w:spacing w:lineRule="auto" w:line="240"/>
        <w:ind w:left="720" w:right="0" w:hanging="0"/>
        <w:jc w:val="left"/>
        <w:rPr/>
      </w:pPr>
      <w:r>
        <w:rPr>
          <w:color w:val="000000"/>
        </w:rPr>
        <w:t>Visu darba procesu SDG veica neatkarīgi</w:t>
      </w:r>
      <w:r>
        <w:rPr>
          <w:color w:val="ED7D31"/>
        </w:rPr>
        <w:t>,</w:t>
      </w:r>
      <w:r>
        <w:rPr>
          <w:color w:val="000000"/>
        </w:rPr>
        <w:t xml:space="preserve"> atkarībā no saņemtās misijas. Ministru padomes prezidentūras Eiropas politikas departaments tika pastāvīgi informēts par dažādiem iniciatīvas posmiem un rezultātiem.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Privātās dzīves aizsardzība: </w:t>
      </w:r>
    </w:p>
    <w:p>
      <w:pPr>
        <w:pStyle w:val="P68B1DB1Normal76"/>
        <w:widowControl w:val="false"/>
        <w:spacing w:lineRule="auto" w:line="240"/>
        <w:ind w:left="721" w:right="0" w:hanging="0"/>
        <w:jc w:val="left"/>
        <w:rPr/>
      </w:pPr>
      <w:r>
        <w:rPr/>
        <w:t xml:space="preserve">Dalībnieku privātums tika pilnībā garantēts. Lai varētu piedalīties paneļdiskusijā, visiem kandidātiem bija jāparaksta likumā noteiktā informētās piekrišanas veidlapa. </w:t>
      </w:r>
    </w:p>
    <w:p>
      <w:pPr>
        <w:pStyle w:val="P68B1DB1Normal74"/>
        <w:widowControl w:val="false"/>
        <w:spacing w:lineRule="auto" w:line="240"/>
        <w:ind w:left="361" w:right="0" w:hanging="0"/>
        <w:jc w:val="left"/>
        <w:rPr/>
      </w:pPr>
      <w:r>
        <w:rPr>
          <w:rFonts w:ascii="Symbol" w:hAnsi="Symbol"/>
        </w:rPr>
        <w:t>•</w:t>
      </w:r>
      <w:r>
        <w:rPr/>
        <w:t xml:space="preserve"> </w:t>
      </w:r>
      <w:r>
        <w:rPr>
          <w:b/>
        </w:rPr>
        <w:t xml:space="preserve">Vērtējums: </w:t>
      </w:r>
    </w:p>
    <w:p>
      <w:pPr>
        <w:pStyle w:val="P68B1DB1Normal76"/>
        <w:widowControl w:val="false"/>
        <w:spacing w:lineRule="auto" w:line="240"/>
        <w:ind w:left="721" w:right="0" w:hanging="0"/>
        <w:jc w:val="left"/>
        <w:rPr>
          <w:rFonts w:ascii="Arial" w:hAnsi="Arial"/>
          <w:color w:val="000000"/>
          <w:sz w:val="22"/>
        </w:rPr>
      </w:pPr>
      <w:r>
        <w:rPr/>
        <w:t xml:space="preserve">Procesa beigās visiem dalībniekiem tika nosūtīta anketa, lai novērtētu viņu pieredzi. Rezultāti ir apkopoti šajā ziņojumā. </w:t>
      </w:r>
    </w:p>
    <w:p>
      <w:pPr>
        <w:pStyle w:val="P68B1DB1Titre277"/>
        <w:numPr>
          <w:ilvl w:val="0"/>
          <w:numId w:val="2"/>
        </w:numPr>
        <w:rPr>
          <w:color w:val="BD1271"/>
        </w:rPr>
      </w:pPr>
      <w:bookmarkStart w:id="217" w:name="__RefHeading___Toc300310_1346298689"/>
      <w:bookmarkEnd w:id="217"/>
      <w:r>
        <w:rPr/>
        <w:t xml:space="preserve">2. Dalībnieku atlase un dalības veids </w:t>
      </w:r>
    </w:p>
    <w:p>
      <w:pPr>
        <w:pStyle w:val="P68B1DB1Normal74"/>
        <w:widowControl w:val="false"/>
        <w:spacing w:lineRule="auto" w:line="240" w:before="208" w:after="0"/>
        <w:ind w:left="0" w:right="0" w:hanging="0"/>
        <w:jc w:val="left"/>
        <w:rPr>
          <w:rFonts w:ascii="Arial" w:hAnsi="Arial"/>
          <w:color w:val="2E74B5"/>
          <w:sz w:val="22"/>
        </w:rPr>
      </w:pPr>
      <w:r>
        <w:rPr/>
        <w:t xml:space="preserve">Izvēles iespējas </w:t>
      </w:r>
    </w:p>
    <w:p>
      <w:pPr>
        <w:pStyle w:val="P68B1DB1Normal76"/>
        <w:widowControl w:val="false"/>
        <w:spacing w:lineRule="auto" w:line="240" w:before="90" w:after="0"/>
        <w:ind w:left="0" w:right="6" w:hanging="0"/>
        <w:jc w:val="left"/>
        <w:rPr/>
      </w:pPr>
      <w:r>
        <w:rPr/>
        <w:t xml:space="preserve">Pirmspasākuma komunikācijas posma mērķis bija atlasīt vismaz 50 Itālijas pilsoņus, kuri ir ieinteresēti piedalīties iniciatīvā. </w:t>
      </w:r>
    </w:p>
    <w:p>
      <w:pPr>
        <w:pStyle w:val="Normal"/>
        <w:widowControl w:val="false"/>
        <w:spacing w:lineRule="auto" w:line="240" w:before="90" w:after="0"/>
        <w:ind w:left="0" w:right="4" w:hanging="0"/>
        <w:jc w:val="both"/>
        <w:rPr/>
      </w:pPr>
      <w:r>
        <w:rPr>
          <w:color w:val="000000"/>
        </w:rPr>
        <w:t xml:space="preserve">Šajā nolūkā tika izveidota īsa pašpieteikuma veidlapa anketas veidā, kas jāaizpilda tiešsaistē </w:t>
      </w:r>
      <w:r>
        <w:rPr>
          <w:color w:val="ED7D31"/>
        </w:rPr>
        <w:t>SWG</w:t>
      </w:r>
      <w:r>
        <w:rPr>
          <w:color w:val="000000"/>
        </w:rPr>
        <w:t xml:space="preserve">platformā un ar kuras starpniecību varēja pieteikties visi, kas bija ieinteresēti piedalīties iniciatīvā, norādot datus, kas jāiekļauj grupās, no kurām dalībnieki tika atlasīti pēc nejaušības principa. Dalības nosacījumi bija šādi: ir interneta pieslēgums, ierīce, kas aprīkota ar mikrofonu un videokameru, kā arī parakstīt konferences hartu. </w:t>
      </w:r>
    </w:p>
    <w:p>
      <w:pPr>
        <w:pStyle w:val="Normal"/>
        <w:widowControl w:val="false"/>
        <w:spacing w:lineRule="auto" w:line="240" w:before="90" w:after="0"/>
        <w:ind w:left="0" w:right="3" w:hanging="0"/>
        <w:jc w:val="left"/>
        <w:rPr/>
      </w:pPr>
      <w:r>
        <w:drawing>
          <wp:anchor behindDoc="0" distT="0" distB="0" distL="0" distR="0" simplePos="0" locked="0" layoutInCell="1" allowOverlap="1" relativeHeight="64">
            <wp:simplePos x="0" y="0"/>
            <wp:positionH relativeFrom="column">
              <wp:posOffset>58420</wp:posOffset>
            </wp:positionH>
            <wp:positionV relativeFrom="paragraph">
              <wp:posOffset>1365885</wp:posOffset>
            </wp:positionV>
            <wp:extent cx="187960" cy="187960"/>
            <wp:effectExtent l="0" t="0" r="0" b="0"/>
            <wp:wrapSquare wrapText="largest"/>
            <wp:docPr id="100" name="Attēls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ttēls44" descr=""/>
                    <pic:cNvPicPr>
                      <a:picLocks noChangeAspect="1" noChangeArrowheads="1"/>
                    </pic:cNvPicPr>
                  </pic:nvPicPr>
                  <pic:blipFill>
                    <a:blip r:embed="rId103"/>
                    <a:stretch>
                      <a:fillRect/>
                    </a:stretch>
                  </pic:blipFill>
                  <pic:spPr bwMode="auto">
                    <a:xfrm>
                      <a:off x="0" y="0"/>
                      <a:ext cx="187960" cy="187960"/>
                    </a:xfrm>
                    <a:prstGeom prst="rect">
                      <a:avLst/>
                    </a:prstGeom>
                  </pic:spPr>
                </pic:pic>
              </a:graphicData>
            </a:graphic>
          </wp:anchor>
        </w:drawing>
        <w:drawing>
          <wp:anchor behindDoc="0" distT="0" distB="0" distL="0" distR="0" simplePos="0" locked="0" layoutInCell="1" allowOverlap="1" relativeHeight="79">
            <wp:simplePos x="0" y="0"/>
            <wp:positionH relativeFrom="column">
              <wp:posOffset>49530</wp:posOffset>
            </wp:positionH>
            <wp:positionV relativeFrom="paragraph">
              <wp:posOffset>958850</wp:posOffset>
            </wp:positionV>
            <wp:extent cx="287020" cy="287020"/>
            <wp:effectExtent l="0" t="0" r="0" b="0"/>
            <wp:wrapSquare wrapText="largest"/>
            <wp:docPr id="101" name="Fotoattēls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otoattēls43" descr=""/>
                    <pic:cNvPicPr>
                      <a:picLocks noChangeAspect="1" noChangeArrowheads="1"/>
                    </pic:cNvPicPr>
                  </pic:nvPicPr>
                  <pic:blipFill>
                    <a:blip r:embed="rId104"/>
                    <a:stretch>
                      <a:fillRect/>
                    </a:stretch>
                  </pic:blipFill>
                  <pic:spPr bwMode="auto">
                    <a:xfrm>
                      <a:off x="0" y="0"/>
                      <a:ext cx="287020" cy="287020"/>
                    </a:xfrm>
                    <a:prstGeom prst="rect">
                      <a:avLst/>
                    </a:prstGeom>
                  </pic:spPr>
                </pic:pic>
              </a:graphicData>
            </a:graphic>
          </wp:anchor>
        </w:drawing>
      </w:r>
      <w:r>
        <w:rPr>
          <w:color w:val="000000"/>
        </w:rPr>
        <w:t>P</w:t>
      </w:r>
      <w:r>
        <w:rPr>
          <w:color w:val="000000"/>
        </w:rPr>
        <w:t>ieteikuma veidlapa tika izplatīta sociālajos tīklos no</w:t>
      </w:r>
      <w:r>
        <w:rPr>
          <w:color w:val="ED7D31"/>
        </w:rPr>
        <w:t>SWG</w:t>
      </w:r>
      <w:r>
        <w:rPr>
          <w:color w:val="000000"/>
        </w:rPr>
        <w:t xml:space="preserve">kontiem. Lai to panāktu, tika publicētas sešas amata vietas Twitter un viena LinkedIn, ar šādiem rezultātiem: </w:t>
      </w:r>
    </w:p>
    <w:tbl>
      <w:tblPr>
        <w:tblW w:w="9638" w:type="dxa"/>
        <w:jc w:val="left"/>
        <w:tblInd w:w="-5" w:type="dxa"/>
        <w:tblBorders>
          <w:top w:val="single" w:sz="4" w:space="0" w:color="000001"/>
          <w:left w:val="single" w:sz="4" w:space="0" w:color="000001"/>
          <w:bottom w:val="single" w:sz="4" w:space="0" w:color="000001"/>
          <w:insideH w:val="single" w:sz="4" w:space="0" w:color="000001"/>
        </w:tblBorders>
        <w:tblCellMar>
          <w:top w:w="55" w:type="dxa"/>
          <w:left w:w="50" w:type="dxa"/>
          <w:bottom w:w="55" w:type="dxa"/>
          <w:right w:w="55" w:type="dxa"/>
        </w:tblCellMar>
      </w:tblPr>
      <w:tblGrid>
        <w:gridCol w:w="2409"/>
        <w:gridCol w:w="2409"/>
        <w:gridCol w:w="2410"/>
        <w:gridCol w:w="2409"/>
      </w:tblGrid>
      <w:tr>
        <w:trPr/>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Sociālais tīkls</w:t>
            </w:r>
          </w:p>
        </w:tc>
        <w:tc>
          <w:tcPr>
            <w:tcW w:w="2409"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Datumi</w:t>
            </w:r>
          </w:p>
        </w:tc>
        <w:tc>
          <w:tcPr>
            <w:tcW w:w="2410" w:type="dxa"/>
            <w:tcBorders>
              <w:top w:val="single" w:sz="4" w:space="0" w:color="000001"/>
              <w:left w:val="single" w:sz="4" w:space="0" w:color="000001"/>
              <w:bottom w:val="single" w:sz="4" w:space="0" w:color="000001"/>
              <w:insideH w:val="single" w:sz="4" w:space="0" w:color="000001"/>
            </w:tcBorders>
            <w:shd w:fill="auto" w:val="clear"/>
          </w:tcPr>
          <w:p>
            <w:pPr>
              <w:pStyle w:val="Normal"/>
              <w:spacing w:before="57" w:after="57"/>
              <w:jc w:val="center"/>
              <w:rPr/>
            </w:pPr>
            <w:r>
              <w:rPr/>
              <w:t>Skatījumu skaits</w:t>
            </w:r>
          </w:p>
        </w:tc>
        <w:tc>
          <w:tcPr>
            <w:tcW w:w="2409" w:type="dxa"/>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Piekļuve pieteikuma veidlapai</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Čivināt Twitter</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6 amata vietas no 8. līdz 10. martam</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889</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31</w:t>
            </w:r>
          </w:p>
        </w:tc>
      </w:tr>
      <w:tr>
        <w:trPr/>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LinkedIn Sistēmas Prasības</w:t>
            </w:r>
          </w:p>
        </w:tc>
        <w:tc>
          <w:tcPr>
            <w:tcW w:w="2409"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1 amata vieta 8. martā</w:t>
            </w:r>
          </w:p>
        </w:tc>
        <w:tc>
          <w:tcPr>
            <w:tcW w:w="2410" w:type="dxa"/>
            <w:tcBorders>
              <w:left w:val="single" w:sz="4" w:space="0" w:color="000001"/>
              <w:bottom w:val="single" w:sz="4" w:space="0" w:color="000001"/>
              <w:insideH w:val="single" w:sz="4" w:space="0" w:color="000001"/>
            </w:tcBorders>
            <w:shd w:fill="auto" w:val="clear"/>
          </w:tcPr>
          <w:p>
            <w:pPr>
              <w:pStyle w:val="Normal"/>
              <w:spacing w:before="57" w:after="57"/>
              <w:jc w:val="center"/>
              <w:rPr/>
            </w:pPr>
            <w:r>
              <w:rPr/>
              <w:t>410</w:t>
            </w:r>
          </w:p>
        </w:tc>
        <w:tc>
          <w:tcPr>
            <w:tcW w:w="2409" w:type="dxa"/>
            <w:tcBorders>
              <w:left w:val="single" w:sz="4" w:space="0" w:color="000001"/>
              <w:bottom w:val="single" w:sz="4" w:space="0" w:color="000001"/>
              <w:right w:val="single" w:sz="4" w:space="0" w:color="000001"/>
              <w:insideH w:val="single" w:sz="4" w:space="0" w:color="000001"/>
              <w:insideV w:val="single" w:sz="4" w:space="0" w:color="000001"/>
            </w:tcBorders>
            <w:shd w:fill="auto" w:val="clear"/>
          </w:tcPr>
          <w:p>
            <w:pPr>
              <w:pStyle w:val="Normal"/>
              <w:spacing w:before="57" w:after="57"/>
              <w:jc w:val="center"/>
              <w:rPr/>
            </w:pPr>
            <w:r>
              <w:rPr/>
              <w:t>25</w:t>
            </w:r>
          </w:p>
        </w:tc>
      </w:tr>
    </w:tbl>
    <w:p>
      <w:pPr>
        <w:pStyle w:val="Normal"/>
        <w:rPr/>
      </w:pPr>
      <w:r>
        <w:rPr/>
      </w:r>
    </w:p>
    <w:p>
      <w:pPr>
        <w:pStyle w:val="Normal"/>
        <w:widowControl w:val="false"/>
        <w:spacing w:lineRule="exact" w:line="252" w:before="208" w:after="0"/>
        <w:ind w:left="0" w:right="3" w:hanging="0"/>
        <w:jc w:val="both"/>
        <w:rPr/>
      </w:pPr>
      <w:r>
        <w:rPr>
          <w:color w:val="000000"/>
        </w:rPr>
        <w:t xml:space="preserve">Tajā pašā laikā </w:t>
      </w:r>
      <w:r>
        <w:rPr>
          <w:color w:val="ED7D31"/>
        </w:rPr>
        <w:t>SWG</w:t>
      </w:r>
      <w:r>
        <w:rPr>
          <w:color w:val="000000"/>
        </w:rPr>
        <w:t xml:space="preserve"> kopienas locekļi tika aicināti pieteikties saskaņā ar ielūguma stratēģiju, kuras mērķis ir nodrošināt Itālijas iedzīvotāju maksimālu pārstāvību ne tikai sociālo īpašību, bet arī ideju, kultūras orientāciju un vērtību ziņā. </w:t>
      </w:r>
    </w:p>
    <w:p>
      <w:pPr>
        <w:pStyle w:val="P68B1DB1Normal76"/>
        <w:widowControl w:val="false"/>
        <w:spacing w:lineRule="exact" w:line="253" w:before="71" w:after="0"/>
        <w:ind w:left="1" w:right="0" w:hanging="0"/>
        <w:jc w:val="both"/>
        <w:rPr/>
      </w:pPr>
      <w:r>
        <w:rPr/>
        <w:t xml:space="preserve">Pieteikumus varētu iesniegt no 2022. gada 8. marta plkst. 8.00 līdz 10. martam plkst. 16.00. Kopumā šis process nodrošināja 420 piekļuvi pieteikuma veidlapai, un tika saņemti 225 pilni pieteikumi. </w:t>
      </w:r>
    </w:p>
    <w:p>
      <w:pPr>
        <w:pStyle w:val="P68B1DB1Normal76"/>
        <w:widowControl w:val="false"/>
        <w:spacing w:lineRule="exact" w:line="253" w:before="67" w:after="0"/>
        <w:ind w:left="1" w:right="2" w:hanging="0"/>
        <w:jc w:val="both"/>
        <w:rPr/>
      </w:pPr>
      <w:r>
        <w:rPr/>
        <w:t xml:space="preserve">Kopumā </w:t>
      </w:r>
      <w:r>
        <w:rPr>
          <w:b/>
        </w:rPr>
        <w:t>140</w:t>
      </w:r>
      <w:r>
        <w:rPr/>
        <w:t xml:space="preserve"> personas faktiski bija atbilstīgas, no kurām 70 tika atlasītas, pamatojoties uz kritēriju, lai nodrošinātu līdzsvarotu klātbūtni dzimuma, ģeogrāfiskā sadalījuma, vecuma un izglītības līmeņa ziņā. </w:t>
      </w:r>
    </w:p>
    <w:p>
      <w:pPr>
        <w:pStyle w:val="P68B1DB1Normal76"/>
        <w:widowControl w:val="false"/>
        <w:spacing w:lineRule="exact" w:line="253" w:before="73" w:after="0"/>
        <w:ind w:left="1" w:right="1" w:hanging="0"/>
        <w:jc w:val="both"/>
        <w:rPr/>
      </w:pPr>
      <w:r>
        <w:rPr/>
        <w:t xml:space="preserve">Atlases procedūrā īpaša uzmanība tika pievērsta taisnīgas varbūtības principam dalībnieku atlasē, ko papildināja procedūras, kas balstītas uz nejaušības kritēriju. </w:t>
      </w:r>
    </w:p>
    <w:p>
      <w:pPr>
        <w:pStyle w:val="P68B1DB1Normal76"/>
        <w:widowControl w:val="false"/>
        <w:spacing w:lineRule="exact" w:line="253" w:before="71" w:after="0"/>
        <w:ind w:left="1" w:right="0" w:hanging="0"/>
        <w:jc w:val="both"/>
        <w:rPr/>
      </w:pPr>
      <w:r>
        <w:rPr/>
        <w:t xml:space="preserve">Atlases nejaušība bija galvenais projekta elements, lai nodrošinātu taisnīgu piekļuves procesu. Tomēr, ņemot vērā iniciatīvu, šķita svarīgi ieviest stratēģiju, kuras mērķis ir ne tikai iesaistīt pēc iespējas vairāk cilvēku, bet arī nodrošināt maksimāli neviendabīgu atlasīto cilvēku skaitu, lai veicinātu maksimālu iekļautību. </w:t>
      </w:r>
    </w:p>
    <w:p>
      <w:pPr>
        <w:pStyle w:val="P68B1DB1Normal34"/>
        <w:widowControl w:val="false"/>
        <w:spacing w:lineRule="exact" w:line="393" w:before="70" w:after="0"/>
        <w:ind w:left="0" w:right="0" w:hanging="0"/>
        <w:jc w:val="left"/>
        <w:rPr>
          <w:rFonts w:ascii="Arial" w:hAnsi="Arial"/>
          <w:color w:val="000000"/>
          <w:sz w:val="24"/>
        </w:rPr>
      </w:pPr>
      <w:r>
        <w:rPr/>
        <w:t xml:space="preserve"> </w:t>
      </w:r>
    </w:p>
    <w:p>
      <w:pPr>
        <w:pStyle w:val="P68B1DB1Normal76"/>
        <w:widowControl w:val="false"/>
        <w:spacing w:lineRule="exact" w:line="362" w:before="69" w:after="0"/>
        <w:ind w:left="0" w:right="0" w:hanging="0"/>
        <w:jc w:val="left"/>
        <w:rPr>
          <w:rFonts w:ascii="Arial" w:hAnsi="Arial"/>
          <w:color w:val="000000"/>
          <w:sz w:val="22"/>
        </w:rPr>
      </w:pPr>
      <w:r>
        <w:rPr/>
        <w:t>Kopumā atbilstīgo personu sadalījums bija šāds:</w:t>
      </w:r>
    </w:p>
    <w:p>
      <w:pPr>
        <w:pStyle w:val="P68B1DB1Normal76"/>
        <w:widowControl w:val="false"/>
        <w:spacing w:lineRule="exact" w:line="252" w:before="5945" w:after="0"/>
        <w:ind w:left="0" w:right="3" w:hanging="0"/>
        <w:jc w:val="both"/>
        <w:rPr>
          <w:rFonts w:ascii="Arial" w:hAnsi="Arial"/>
          <w:color w:val="000000"/>
          <w:sz w:val="22"/>
        </w:rPr>
      </w:pPr>
      <w:r>
        <w:rPr>
          <w:color w:val="000000"/>
          <w:sz w:val="22"/>
        </w:rPr>
        <mc:AlternateContent>
          <mc:Choice Requires="wpg">
            <w:drawing>
              <wp:anchor behindDoc="0" distT="0" distB="0" distL="0" distR="0" simplePos="0" locked="0" layoutInCell="1" allowOverlap="1" relativeHeight="54">
                <wp:simplePos x="0" y="0"/>
                <wp:positionH relativeFrom="column">
                  <wp:posOffset>0</wp:posOffset>
                </wp:positionH>
                <wp:positionV relativeFrom="paragraph">
                  <wp:posOffset>132715</wp:posOffset>
                </wp:positionV>
                <wp:extent cx="6059805" cy="3775710"/>
                <wp:effectExtent l="0" t="0" r="0" b="0"/>
                <wp:wrapTopAndBottom/>
                <wp:docPr id="102" name="Forma4"/>
                <a:graphic xmlns:a="http://schemas.openxmlformats.org/drawingml/2006/main">
                  <a:graphicData uri="http://schemas.microsoft.com/office/word/2010/wordprocessingGroup">
                    <wpg:wgp>
                      <wpg:cNvGrpSpPr/>
                      <wpg:grpSpPr>
                        <a:xfrm>
                          <a:off x="0" y="0"/>
                          <a:ext cx="6059160" cy="3774960"/>
                        </a:xfrm>
                      </wpg:grpSpPr>
                      <pic:pic xmlns:pic="http://schemas.openxmlformats.org/drawingml/2006/picture">
                        <pic:nvPicPr>
                          <pic:cNvPr id="6" name="" descr=""/>
                          <pic:cNvPicPr/>
                        </pic:nvPicPr>
                        <pic:blipFill>
                          <a:blip r:embed="rId105"/>
                          <a:stretch/>
                        </pic:blipFill>
                        <pic:spPr>
                          <a:xfrm>
                            <a:off x="0" y="487080"/>
                            <a:ext cx="6049800" cy="3287880"/>
                          </a:xfrm>
                          <a:prstGeom prst="rect">
                            <a:avLst/>
                          </a:prstGeom>
                          <a:ln>
                            <a:noFill/>
                          </a:ln>
                        </pic:spPr>
                      </pic:pic>
                      <wps:wsp>
                        <wps:cNvSpPr/>
                        <wps:spPr>
                          <a:xfrm>
                            <a:off x="1450440" y="0"/>
                            <a:ext cx="3891960" cy="6159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Atbilstīgo kandidātu sadalījums</w:t>
                              </w:r>
                            </w:p>
                          </w:txbxContent>
                        </wps:txbx>
                        <wps:bodyPr lIns="90000" rIns="90000" tIns="45000" bIns="45000">
                          <a:noAutofit/>
                        </wps:bodyPr>
                      </wps:wsp>
                      <wps:wsp>
                        <wps:cNvSpPr/>
                        <wps:spPr>
                          <a:xfrm>
                            <a:off x="489600" y="114948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Dzimums dzimums</w:t>
                              </w:r>
                            </w:p>
                          </w:txbxContent>
                        </wps:txbx>
                        <wps:bodyPr lIns="90000" rIns="90000" tIns="45000" bIns="45000">
                          <a:noAutofit/>
                        </wps:bodyPr>
                      </wps:wsp>
                      <wps:wsp>
                        <wps:cNvSpPr/>
                        <wps:spPr>
                          <a:xfrm>
                            <a:off x="329400" y="2034720"/>
                            <a:ext cx="10782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vecuma grupa</w:t>
                              </w:r>
                            </w:p>
                          </w:txbxContent>
                        </wps:txbx>
                        <wps:bodyPr lIns="90000" rIns="90000" tIns="45000" bIns="45000">
                          <a:noAutofit/>
                        </wps:bodyPr>
                      </wps:wsp>
                      <wps:wsp>
                        <wps:cNvSpPr/>
                        <wps:spPr>
                          <a:xfrm>
                            <a:off x="1020960" y="23572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gadi</w:t>
                              </w:r>
                            </w:p>
                          </w:txbxContent>
                        </wps:txbx>
                        <wps:bodyPr lIns="90000" rIns="90000" tIns="45000" bIns="45000">
                          <a:noAutofit/>
                        </wps:bodyPr>
                      </wps:wsp>
                      <wps:wsp>
                        <wps:cNvSpPr/>
                        <wps:spPr>
                          <a:xfrm>
                            <a:off x="987480" y="2739960"/>
                            <a:ext cx="84204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gadi</w:t>
                              </w:r>
                            </w:p>
                          </w:txbxContent>
                        </wps:txbx>
                        <wps:bodyPr lIns="90000" rIns="90000" tIns="45000" bIns="45000">
                          <a:noAutofit/>
                        </wps:bodyPr>
                      </wps:wsp>
                      <wps:wsp>
                        <wps:cNvSpPr/>
                        <wps:spPr>
                          <a:xfrm>
                            <a:off x="995760" y="3064680"/>
                            <a:ext cx="8420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gadi</w:t>
                              </w:r>
                            </w:p>
                          </w:txbxContent>
                        </wps:txbx>
                        <wps:bodyPr lIns="90000" rIns="90000" tIns="45000" bIns="45000">
                          <a:noAutofit/>
                        </wps:bodyPr>
                      </wps:wsp>
                      <wps:wsp>
                        <wps:cNvSpPr/>
                        <wps:spPr>
                          <a:xfrm>
                            <a:off x="2108160" y="1157760"/>
                            <a:ext cx="1666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Izglītības līmenis</w:t>
                              </w:r>
                            </w:p>
                          </w:txbxContent>
                        </wps:txbx>
                        <wps:bodyPr lIns="90000" rIns="90000" tIns="45000" bIns="45000">
                          <a:noAutofit/>
                        </wps:bodyPr>
                      </wps:wsp>
                      <wps:wsp>
                        <wps:cNvSpPr/>
                        <wps:spPr>
                          <a:xfrm>
                            <a:off x="2748240" y="148068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Zema cena</w:t>
                              </w:r>
                            </w:p>
                          </w:txbxContent>
                        </wps:txbx>
                        <wps:bodyPr lIns="90000" rIns="90000" tIns="45000" bIns="45000">
                          <a:noAutofit/>
                        </wps:bodyPr>
                      </wps:wsp>
                      <wps:wsp>
                        <wps:cNvSpPr/>
                        <wps:spPr>
                          <a:xfrm>
                            <a:off x="5090760" y="133596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Ziemeļaustrumu daļa</w:t>
                              </w:r>
                            </w:p>
                          </w:txbxContent>
                        </wps:txbx>
                        <wps:bodyPr lIns="90000" rIns="90000" tIns="45000" bIns="45000">
                          <a:noAutofit/>
                        </wps:bodyPr>
                      </wps:wsp>
                      <wps:wsp>
                        <wps:cNvSpPr/>
                        <wps:spPr>
                          <a:xfrm>
                            <a:off x="2024280" y="1735920"/>
                            <a:ext cx="177624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 profesionālā izglītība</w:t>
                              </w:r>
                            </w:p>
                          </w:txbxContent>
                        </wps:txbx>
                        <wps:bodyPr lIns="90000" rIns="90000" tIns="45000" bIns="45000">
                          <a:noAutofit/>
                        </wps:bodyPr>
                      </wps:wsp>
                      <wps:wsp>
                        <wps:cNvSpPr/>
                        <wps:spPr>
                          <a:xfrm>
                            <a:off x="2799000" y="2161440"/>
                            <a:ext cx="842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Vidējais vidējais rādītājs</w:t>
                              </w:r>
                            </w:p>
                          </w:txbxContent>
                        </wps:txbx>
                        <wps:bodyPr lIns="90000" rIns="90000" tIns="45000" bIns="45000">
                          <a:noAutofit/>
                        </wps:bodyPr>
                      </wps:wsp>
                      <wps:wsp>
                        <wps:cNvSpPr/>
                        <wps:spPr>
                          <a:xfrm>
                            <a:off x="2167200" y="2451240"/>
                            <a:ext cx="148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Vidusskolas vidusskola</w:t>
                              </w:r>
                            </w:p>
                          </w:txbxContent>
                        </wps:txbx>
                        <wps:bodyPr lIns="90000" rIns="90000" tIns="45000" bIns="45000">
                          <a:noAutofit/>
                        </wps:bodyPr>
                      </wps:wsp>
                      <wps:wsp>
                        <wps:cNvSpPr/>
                        <wps:spPr>
                          <a:xfrm>
                            <a:off x="2816280" y="2945160"/>
                            <a:ext cx="840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Paaugstināts pacēlums</w:t>
                              </w:r>
                            </w:p>
                          </w:txbxContent>
                        </wps:txbx>
                        <wps:bodyPr lIns="90000" rIns="90000" tIns="45000" bIns="45000">
                          <a:noAutofit/>
                        </wps:bodyPr>
                      </wps:wsp>
                      <wps:wsp>
                        <wps:cNvSpPr/>
                        <wps:spPr>
                          <a:xfrm>
                            <a:off x="1990080" y="3174840"/>
                            <a:ext cx="1928520" cy="3848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Bakalaura grāds, maģistra grāds vai vairāk</w:t>
                              </w:r>
                            </w:p>
                          </w:txbxContent>
                        </wps:txbx>
                        <wps:bodyPr lIns="90000" rIns="90000" tIns="45000" bIns="45000">
                          <a:noAutofit/>
                        </wps:bodyPr>
                      </wps:wsp>
                      <wps:wsp>
                        <wps:cNvSpPr/>
                        <wps:spPr>
                          <a:xfrm>
                            <a:off x="4045680" y="1557720"/>
                            <a:ext cx="84276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Ziemeļrietumu daļa</w:t>
                              </w:r>
                            </w:p>
                          </w:txbxContent>
                        </wps:txbx>
                        <wps:bodyPr lIns="90000" rIns="90000" tIns="45000" bIns="45000">
                          <a:noAutofit/>
                        </wps:bodyPr>
                      </wps:wsp>
                      <wps:wsp>
                        <wps:cNvSpPr/>
                        <wps:spPr>
                          <a:xfrm>
                            <a:off x="4130640" y="1157760"/>
                            <a:ext cx="16750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Dzīvesvietas teritorija</w:t>
                              </w:r>
                            </w:p>
                          </w:txbxContent>
                        </wps:txbx>
                        <wps:bodyPr lIns="90000" rIns="90000" tIns="45000" bIns="45000">
                          <a:noAutofit/>
                        </wps:bodyPr>
                      </wps:wsp>
                      <wps:wsp>
                        <wps:cNvSpPr/>
                        <wps:spPr>
                          <a:xfrm>
                            <a:off x="5217840" y="1897920"/>
                            <a:ext cx="8413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pilsētas centrs</w:t>
                              </w:r>
                            </w:p>
                          </w:txbxContent>
                        </wps:txbx>
                        <wps:bodyPr lIns="90000" rIns="90000" tIns="45000" bIns="45000">
                          <a:noAutofit/>
                        </wps:bodyPr>
                      </wps:wsp>
                      <wps:wsp>
                        <wps:cNvSpPr/>
                        <wps:spPr>
                          <a:xfrm>
                            <a:off x="4038120" y="2842920"/>
                            <a:ext cx="102672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Dienvidi un salas</w:t>
                              </w:r>
                            </w:p>
                          </w:txbxContent>
                        </wps:txbx>
                        <wps:bodyPr lIns="90000" rIns="90000" tIns="45000" bIns="45000">
                          <a:noAutofit/>
                        </wps:bodyPr>
                      </wps:wsp>
                    </wpg:wgp>
                  </a:graphicData>
                </a:graphic>
              </wp:anchor>
            </w:drawing>
          </mc:Choice>
          <mc:Fallback>
            <w:pict>
              <v:group id="shape_0" alt="Forma4" style="position:absolute;margin-left:0pt;margin-top:10.45pt;width:477.1pt;height:297.25pt" coordorigin="0,209" coordsize="9542,5945">
                <v:shape id="shape_0" stroked="f" style="position:absolute;left:0;top:976;width:9526;height:5177" type="shapetype_75">
                  <v:imagedata r:id="rId105" o:detectmouseclick="t"/>
                  <w10:wrap type="none"/>
                  <v:stroke color="#3465a4" joinstyle="round" endcap="flat"/>
                </v:shape>
                <v:rect id="shape_0" stroked="f" style="position:absolute;left:2284;top:209;width:6128;height:96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Atbilstīgo kandidātu sadalījums</w:t>
                        </w:r>
                      </w:p>
                    </w:txbxContent>
                  </v:textbox>
                  <w10:wrap type="square"/>
                  <v:fill o:detectmouseclick="t" on="false"/>
                  <v:stroke color="#3465a4" joinstyle="round" endcap="flat"/>
                </v:rect>
                <v:rect id="shape_0" stroked="f" style="position:absolute;left:771;top:2019;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Dzimums dzimums</w:t>
                        </w:r>
                      </w:p>
                    </w:txbxContent>
                  </v:textbox>
                  <w10:wrap type="square"/>
                  <v:fill o:detectmouseclick="t" on="false"/>
                  <v:stroke color="#3465a4" joinstyle="round" endcap="flat"/>
                </v:rect>
                <v:rect id="shape_0" stroked="f" style="position:absolute;left:519;top:3413;width:169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vecuma grupa</w:t>
                        </w:r>
                      </w:p>
                    </w:txbxContent>
                  </v:textbox>
                  <w10:wrap type="square"/>
                  <v:fill o:detectmouseclick="t" on="false"/>
                  <v:stroke color="#3465a4" joinstyle="round" endcap="flat"/>
                </v:rect>
                <v:rect id="shape_0" stroked="f" style="position:absolute;left:1608;top:3921;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gadi</w:t>
                        </w:r>
                      </w:p>
                    </w:txbxContent>
                  </v:textbox>
                  <w10:wrap type="square"/>
                  <v:fill o:detectmouseclick="t" on="false"/>
                  <v:stroke color="#3465a4" joinstyle="round" endcap="flat"/>
                </v:rect>
                <v:rect id="shape_0" stroked="f" style="position:absolute;left:1555;top:4524;width:1325;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gadi</w:t>
                        </w:r>
                      </w:p>
                    </w:txbxContent>
                  </v:textbox>
                  <w10:wrap type="square"/>
                  <v:fill o:detectmouseclick="t" on="false"/>
                  <v:stroke color="#3465a4" joinstyle="round" endcap="flat"/>
                </v:rect>
                <v:rect id="shape_0" stroked="f" style="position:absolute;left:1568;top:5035;width:1325;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gadi</w:t>
                        </w:r>
                      </w:p>
                    </w:txbxContent>
                  </v:textbox>
                  <w10:wrap type="square"/>
                  <v:fill o:detectmouseclick="t" on="false"/>
                  <v:stroke color="#3465a4" joinstyle="round" endcap="flat"/>
                </v:rect>
                <v:rect id="shape_0" stroked="f" style="position:absolute;left:3320;top:2032;width:26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Izglītības līmenis</w:t>
                        </w:r>
                      </w:p>
                    </w:txbxContent>
                  </v:textbox>
                  <w10:wrap type="square"/>
                  <v:fill o:detectmouseclick="t" on="false"/>
                  <v:stroke color="#3465a4" joinstyle="round" endcap="flat"/>
                </v:rect>
                <v:rect id="shape_0" stroked="f" style="position:absolute;left:4328;top:2541;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Zema cena</w:t>
                        </w:r>
                      </w:p>
                    </w:txbxContent>
                  </v:textbox>
                  <w10:wrap type="square"/>
                  <v:fill o:detectmouseclick="t" on="false"/>
                  <v:stroke color="#3465a4" joinstyle="round" endcap="flat"/>
                </v:rect>
                <v:rect id="shape_0" stroked="f" style="position:absolute;left:8017;top:2313;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Ziemeļaustrumu daļa</w:t>
                        </w:r>
                      </w:p>
                    </w:txbxContent>
                  </v:textbox>
                  <w10:wrap type="square"/>
                  <v:fill o:detectmouseclick="t" on="false"/>
                  <v:stroke color="#3465a4" joinstyle="round" endcap="flat"/>
                </v:rect>
                <v:rect id="shape_0" stroked="f" style="position:absolute;left:3188;top:2943;width:279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 profesionālā izglītība</w:t>
                        </w:r>
                      </w:p>
                    </w:txbxContent>
                  </v:textbox>
                  <w10:wrap type="square"/>
                  <v:fill o:detectmouseclick="t" on="false"/>
                  <v:stroke color="#3465a4" joinstyle="round" endcap="flat"/>
                </v:rect>
                <v:rect id="shape_0" stroked="f" style="position:absolute;left:4408;top:3613;width:1325;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Vidējais vidējais rādītājs</w:t>
                        </w:r>
                      </w:p>
                    </w:txbxContent>
                  </v:textbox>
                  <w10:wrap type="square"/>
                  <v:fill o:detectmouseclick="t" on="false"/>
                  <v:stroke color="#3465a4" joinstyle="round" endcap="flat"/>
                </v:rect>
                <v:rect id="shape_0" stroked="f" style="position:absolute;left:3413;top:4069;width:2332;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Vidusskolas vidusskola</w:t>
                        </w:r>
                      </w:p>
                    </w:txbxContent>
                  </v:textbox>
                  <w10:wrap type="square"/>
                  <v:fill o:detectmouseclick="t" on="false"/>
                  <v:stroke color="#3465a4" joinstyle="round" endcap="flat"/>
                </v:rect>
                <v:rect id="shape_0" stroked="f" style="position:absolute;left:4435;top:4847;width:1323;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Paaugstināts pacēlums</w:t>
                        </w:r>
                      </w:p>
                    </w:txbxContent>
                  </v:textbox>
                  <w10:wrap type="square"/>
                  <v:fill o:detectmouseclick="t" on="false"/>
                  <v:stroke color="#3465a4" joinstyle="round" endcap="flat"/>
                </v:rect>
                <v:rect id="shape_0" stroked="f" style="position:absolute;left:3134;top:5209;width:3036;height:60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Bakalaura grāds, maģistra grāds vai vairāk</w:t>
                        </w:r>
                      </w:p>
                    </w:txbxContent>
                  </v:textbox>
                  <w10:wrap type="square"/>
                  <v:fill o:detectmouseclick="t" on="false"/>
                  <v:stroke color="#3465a4" joinstyle="round" endcap="flat"/>
                </v:rect>
                <v:rect id="shape_0" stroked="f" style="position:absolute;left:6371;top:2662;width:1326;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Ziemeļrietumu daļa</w:t>
                        </w:r>
                      </w:p>
                    </w:txbxContent>
                  </v:textbox>
                  <w10:wrap type="square"/>
                  <v:fill o:detectmouseclick="t" on="false"/>
                  <v:stroke color="#3465a4" joinstyle="round" endcap="flat"/>
                </v:rect>
                <v:rect id="shape_0" stroked="f" style="position:absolute;left:6505;top:2032;width:263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Dzīvesvietas teritorija</w:t>
                        </w:r>
                      </w:p>
                    </w:txbxContent>
                  </v:textbox>
                  <w10:wrap type="square"/>
                  <v:fill o:detectmouseclick="t" on="false"/>
                  <v:stroke color="#3465a4" joinstyle="round" endcap="flat"/>
                </v:rect>
                <v:rect id="shape_0" stroked="f" style="position:absolute;left:8217;top:3198;width:132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pilsētas centrs</w:t>
                        </w:r>
                      </w:p>
                    </w:txbxContent>
                  </v:textbox>
                  <w10:wrap type="square"/>
                  <v:fill o:detectmouseclick="t" on="false"/>
                  <v:stroke color="#3465a4" joinstyle="round" endcap="flat"/>
                </v:rect>
                <v:rect id="shape_0" stroked="f" style="position:absolute;left:6359;top:4686;width:16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Dienvidi un salas</w:t>
                        </w:r>
                      </w:p>
                    </w:txbxContent>
                  </v:textbox>
                  <w10:wrap type="square"/>
                  <v:fill o:detectmouseclick="t" on="false"/>
                  <v:stroke color="#3465a4" joinstyle="round" endcap="flat"/>
                </v:rect>
              </v:group>
            </w:pict>
          </mc:Fallback>
        </mc:AlternateContent>
      </w:r>
    </w:p>
    <w:p>
      <w:pPr>
        <w:pStyle w:val="Normal"/>
        <w:widowControl w:val="false"/>
        <w:spacing w:lineRule="auto" w:line="240"/>
        <w:ind w:left="0" w:right="0" w:hanging="0"/>
        <w:jc w:val="left"/>
        <w:rPr/>
      </w:pPr>
      <w:r>
        <w:rPr>
          <w:color w:val="000000"/>
        </w:rPr>
        <w:t xml:space="preserve">Kad 70 kandidāti tika atlasīti, pasākuma pašā rītā viņi saņēma telefona zvanu, lai apstiprinātu savu dalību. Šos zvanus veica </w:t>
      </w:r>
      <w:r>
        <w:rPr>
          <w:color w:val="ED7D31"/>
        </w:rPr>
        <w:t>SWG</w:t>
      </w:r>
      <w:r>
        <w:rPr/>
        <w:t>kontaktcentrs,</w:t>
      </w:r>
      <w:r>
        <w:rPr>
          <w:color w:val="000000"/>
        </w:rPr>
        <w:t xml:space="preserve"> izmantojot CATI (Computer Assisted Telephone Survey) metodi. Šā posma beigās kopumā 59 personas apstiprināja savu dalību un tika reģistrētas. </w:t>
      </w:r>
      <w:r>
        <w:rPr>
          <w:b/>
          <w:color w:val="BD1271"/>
        </w:rPr>
        <w:t>No tiem 55 aktīvi piedalījās paneļdiskusijā.</w:t>
      </w:r>
      <w:r>
        <w:rPr/>
        <w:t xml:space="preserve"> </w:t>
      </w:r>
      <w:r>
        <w:br w:type="page"/>
      </w:r>
    </w:p>
    <w:p>
      <w:pPr>
        <w:pStyle w:val="Normal"/>
        <w:widowControl w:val="false"/>
        <w:spacing w:lineRule="auto" w:line="240"/>
        <w:ind w:left="0" w:right="0" w:hanging="0"/>
        <w:jc w:val="left"/>
        <w:rPr>
          <w:rFonts w:ascii="Arial" w:hAnsi="Arial"/>
          <w:b/>
          <w:b/>
          <w:color w:val="BD1271"/>
          <w:sz w:val="22"/>
        </w:rPr>
      </w:pPr>
      <w:r>
        <w:rPr>
          <w:b/>
          <w:color w:val="BD1271"/>
          <w:sz w:val="22"/>
        </w:rPr>
      </w:r>
    </w:p>
    <w:p>
      <w:pPr>
        <w:pStyle w:val="P68B1DB1Normal76"/>
        <w:widowControl w:val="false"/>
        <w:spacing w:lineRule="auto" w:line="240" w:before="64" w:after="0"/>
        <w:ind w:left="0" w:right="0" w:hanging="0"/>
        <w:jc w:val="left"/>
        <w:rPr>
          <w:rFonts w:ascii="Arial" w:hAnsi="Arial"/>
          <w:color w:val="000000"/>
          <w:sz w:val="22"/>
        </w:rPr>
      </w:pPr>
      <w:r>
        <w:rPr/>
        <w:t xml:space="preserve">Žūrijas locekļu sociālais sadalījums un vecuma grupas sadalījums bija šāds: </w:t>
      </w:r>
    </w:p>
    <w:p>
      <w:pPr>
        <w:pStyle w:val="P68B1DB1Normal76"/>
        <w:widowControl w:val="false"/>
        <w:spacing w:lineRule="auto" w:line="240" w:before="5705" w:after="0"/>
        <w:ind w:left="0" w:right="0" w:hanging="0"/>
        <w:jc w:val="left"/>
        <w:rPr>
          <w:rFonts w:ascii="Arial" w:hAnsi="Arial"/>
          <w:color w:val="000000"/>
          <w:sz w:val="22"/>
        </w:rPr>
      </w:pPr>
      <w:r>
        <w:rPr>
          <w:color w:val="000000"/>
          <w:sz w:val="22"/>
        </w:rPr>
        <mc:AlternateContent>
          <mc:Choice Requires="wpg">
            <w:drawing>
              <wp:anchor behindDoc="0" distT="0" distB="0" distL="0" distR="0" simplePos="0" locked="0" layoutInCell="1" allowOverlap="1" relativeHeight="57">
                <wp:simplePos x="0" y="0"/>
                <wp:positionH relativeFrom="column">
                  <wp:posOffset>635</wp:posOffset>
                </wp:positionH>
                <wp:positionV relativeFrom="paragraph">
                  <wp:posOffset>41275</wp:posOffset>
                </wp:positionV>
                <wp:extent cx="6157595" cy="3623310"/>
                <wp:effectExtent l="0" t="0" r="0" b="0"/>
                <wp:wrapTopAndBottom/>
                <wp:docPr id="103" name="Mājas lapa5"/>
                <a:graphic xmlns:a="http://schemas.openxmlformats.org/drawingml/2006/main">
                  <a:graphicData uri="http://schemas.microsoft.com/office/word/2010/wordprocessingGroup">
                    <wpg:wgp>
                      <wpg:cNvGrpSpPr/>
                      <wpg:grpSpPr>
                        <a:xfrm>
                          <a:off x="0" y="0"/>
                          <a:ext cx="6157080" cy="3622680"/>
                        </a:xfrm>
                      </wpg:grpSpPr>
                      <pic:pic xmlns:pic="http://schemas.openxmlformats.org/drawingml/2006/picture">
                        <pic:nvPicPr>
                          <pic:cNvPr id="7" name="" descr=""/>
                          <pic:cNvPicPr/>
                        </pic:nvPicPr>
                        <pic:blipFill>
                          <a:blip r:embed="rId106"/>
                          <a:stretch/>
                        </pic:blipFill>
                        <pic:spPr>
                          <a:xfrm>
                            <a:off x="0" y="458640"/>
                            <a:ext cx="6061680" cy="3164040"/>
                          </a:xfrm>
                          <a:prstGeom prst="rect">
                            <a:avLst/>
                          </a:prstGeom>
                          <a:ln>
                            <a:noFill/>
                          </a:ln>
                        </pic:spPr>
                      </pic:pic>
                      <wps:wsp>
                        <wps:cNvSpPr/>
                        <wps:spPr>
                          <a:xfrm>
                            <a:off x="1477800" y="0"/>
                            <a:ext cx="3937680" cy="420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Aktīvo dalībnieku sadalījums</w:t>
                              </w:r>
                            </w:p>
                          </w:txbxContent>
                        </wps:txbx>
                        <wps:bodyPr lIns="90000" rIns="90000" tIns="45000" bIns="45000">
                          <a:noAutofit/>
                        </wps:bodyPr>
                      </wps:wsp>
                      <wps:wsp>
                        <wps:cNvSpPr/>
                        <wps:spPr>
                          <a:xfrm>
                            <a:off x="523080" y="1010880"/>
                            <a:ext cx="10908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Dzimums dzimums</w:t>
                              </w:r>
                            </w:p>
                          </w:txbxContent>
                        </wps:txbx>
                        <wps:bodyPr lIns="90000" rIns="90000" tIns="45000" bIns="45000">
                          <a:noAutofit/>
                        </wps:bodyPr>
                      </wps:wsp>
                      <wps:wsp>
                        <wps:cNvSpPr/>
                        <wps:spPr>
                          <a:xfrm>
                            <a:off x="361440" y="1887840"/>
                            <a:ext cx="10904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vecuma grupa</w:t>
                              </w:r>
                            </w:p>
                          </w:txbxContent>
                        </wps:txbx>
                        <wps:bodyPr lIns="90000" rIns="90000" tIns="45000" bIns="45000">
                          <a:noAutofit/>
                        </wps:bodyPr>
                      </wps:wsp>
                      <wps:wsp>
                        <wps:cNvSpPr/>
                        <wps:spPr>
                          <a:xfrm>
                            <a:off x="1059840" y="220716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gadi</w:t>
                              </w:r>
                            </w:p>
                          </w:txbxContent>
                        </wps:txbx>
                        <wps:bodyPr lIns="90000" rIns="90000" tIns="45000" bIns="45000">
                          <a:noAutofit/>
                        </wps:bodyPr>
                      </wps:wsp>
                      <wps:wsp>
                        <wps:cNvSpPr/>
                        <wps:spPr>
                          <a:xfrm>
                            <a:off x="1026720" y="2586240"/>
                            <a:ext cx="85140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gadi</w:t>
                              </w:r>
                            </w:p>
                          </w:txbxContent>
                        </wps:txbx>
                        <wps:bodyPr lIns="90000" rIns="90000" tIns="45000" bIns="45000">
                          <a:noAutofit/>
                        </wps:bodyPr>
                      </wps:wsp>
                      <wps:wsp>
                        <wps:cNvSpPr/>
                        <wps:spPr>
                          <a:xfrm>
                            <a:off x="1035000" y="2907000"/>
                            <a:ext cx="85140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gadi</w:t>
                              </w:r>
                            </w:p>
                          </w:txbxContent>
                        </wps:txbx>
                        <wps:bodyPr lIns="90000" rIns="90000" tIns="45000" bIns="45000">
                          <a:noAutofit/>
                        </wps:bodyPr>
                      </wps:wsp>
                      <wps:wsp>
                        <wps:cNvSpPr/>
                        <wps:spPr>
                          <a:xfrm>
                            <a:off x="2160360" y="1019160"/>
                            <a:ext cx="16858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Izglītības līmenis</w:t>
                              </w:r>
                            </w:p>
                          </w:txbxContent>
                        </wps:txbx>
                        <wps:bodyPr lIns="90000" rIns="90000" tIns="45000" bIns="45000">
                          <a:noAutofit/>
                        </wps:bodyPr>
                      </wps:wsp>
                      <wps:wsp>
                        <wps:cNvSpPr/>
                        <wps:spPr>
                          <a:xfrm>
                            <a:off x="2808000" y="133992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Zema cena</w:t>
                              </w:r>
                            </w:p>
                          </w:txbxContent>
                        </wps:txbx>
                        <wps:bodyPr lIns="90000" rIns="90000" tIns="45000" bIns="45000">
                          <a:noAutofit/>
                        </wps:bodyPr>
                      </wps:wsp>
                      <wps:wsp>
                        <wps:cNvSpPr/>
                        <wps:spPr>
                          <a:xfrm>
                            <a:off x="5177880" y="119628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Ziemeļaustrumu daļa</w:t>
                              </w:r>
                            </w:p>
                          </w:txbxContent>
                        </wps:txbx>
                        <wps:bodyPr lIns="90000" rIns="90000" tIns="45000" bIns="45000">
                          <a:noAutofit/>
                        </wps:bodyPr>
                      </wps:wsp>
                      <wps:wsp>
                        <wps:cNvSpPr/>
                        <wps:spPr>
                          <a:xfrm>
                            <a:off x="2075040" y="1592640"/>
                            <a:ext cx="1797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 profesionālā izglītība</w:t>
                              </w:r>
                            </w:p>
                          </w:txbxContent>
                        </wps:txbx>
                        <wps:bodyPr lIns="90000" rIns="90000" tIns="45000" bIns="45000">
                          <a:noAutofit/>
                        </wps:bodyPr>
                      </wps:wsp>
                      <wps:wsp>
                        <wps:cNvSpPr/>
                        <wps:spPr>
                          <a:xfrm>
                            <a:off x="2859480" y="2013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Vidējais vidējais rādītājs</w:t>
                              </w:r>
                            </w:p>
                          </w:txbxContent>
                        </wps:txbx>
                        <wps:bodyPr lIns="90000" rIns="90000" tIns="45000" bIns="45000">
                          <a:noAutofit/>
                        </wps:bodyPr>
                      </wps:wsp>
                      <wps:wsp>
                        <wps:cNvSpPr/>
                        <wps:spPr>
                          <a:xfrm>
                            <a:off x="2220120" y="2300040"/>
                            <a:ext cx="149868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Vidusskolas vidusskola</w:t>
                              </w:r>
                            </w:p>
                          </w:txbxContent>
                        </wps:txbx>
                        <wps:bodyPr lIns="90000" rIns="90000" tIns="45000" bIns="45000">
                          <a:noAutofit/>
                        </wps:bodyPr>
                      </wps:wsp>
                      <wps:wsp>
                        <wps:cNvSpPr/>
                        <wps:spPr>
                          <a:xfrm>
                            <a:off x="2876400" y="2789640"/>
                            <a:ext cx="85104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Paaugstināts pacēlums</w:t>
                              </w:r>
                            </w:p>
                          </w:txbxContent>
                        </wps:txbx>
                        <wps:bodyPr lIns="90000" rIns="90000" tIns="45000" bIns="45000">
                          <a:noAutofit/>
                        </wps:bodyPr>
                      </wps:wsp>
                      <wps:wsp>
                        <wps:cNvSpPr/>
                        <wps:spPr>
                          <a:xfrm>
                            <a:off x="2040840" y="3016800"/>
                            <a:ext cx="1950840" cy="380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Bakalaura grāds, maģistra grāds vai vairāk</w:t>
                              </w:r>
                            </w:p>
                          </w:txbxContent>
                        </wps:txbx>
                        <wps:bodyPr lIns="90000" rIns="90000" tIns="45000" bIns="45000">
                          <a:noAutofit/>
                        </wps:bodyPr>
                      </wps:wsp>
                      <wps:wsp>
                        <wps:cNvSpPr/>
                        <wps:spPr>
                          <a:xfrm>
                            <a:off x="4120560" y="1415520"/>
                            <a:ext cx="85212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Ziemeļrietumu daļa</w:t>
                              </w:r>
                            </w:p>
                          </w:txbxContent>
                        </wps:txbx>
                        <wps:bodyPr lIns="90000" rIns="90000" tIns="45000" bIns="45000">
                          <a:noAutofit/>
                        </wps:bodyPr>
                      </wps:wsp>
                      <wps:wsp>
                        <wps:cNvSpPr/>
                        <wps:spPr>
                          <a:xfrm>
                            <a:off x="4205520" y="1019160"/>
                            <a:ext cx="16956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Dzīvesvietas teritorija</w:t>
                              </w:r>
                            </w:p>
                          </w:txbxContent>
                        </wps:txbx>
                        <wps:bodyPr lIns="90000" rIns="90000" tIns="45000" bIns="45000">
                          <a:noAutofit/>
                        </wps:bodyPr>
                      </wps:wsp>
                      <wps:wsp>
                        <wps:cNvSpPr/>
                        <wps:spPr>
                          <a:xfrm>
                            <a:off x="5305320" y="1752480"/>
                            <a:ext cx="851400" cy="265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pilsētas centrs</w:t>
                              </w:r>
                            </w:p>
                          </w:txbxContent>
                        </wps:txbx>
                        <wps:bodyPr lIns="90000" rIns="90000" tIns="45000" bIns="45000">
                          <a:noAutofit/>
                        </wps:bodyPr>
                      </wps:wsp>
                      <wps:wsp>
                        <wps:cNvSpPr/>
                        <wps:spPr>
                          <a:xfrm>
                            <a:off x="4112280" y="2687400"/>
                            <a:ext cx="1038960" cy="2660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Dienvidi un salas</w:t>
                              </w:r>
                            </w:p>
                          </w:txbxContent>
                        </wps:txbx>
                        <wps:bodyPr lIns="90000" rIns="90000" tIns="45000" bIns="45000">
                          <a:noAutofit/>
                        </wps:bodyPr>
                      </wps:wsp>
                    </wpg:wgp>
                  </a:graphicData>
                </a:graphic>
              </wp:anchor>
            </w:drawing>
          </mc:Choice>
          <mc:Fallback>
            <w:pict>
              <v:group id="shape_0" alt="Mājas lapa5" style="position:absolute;margin-left:0.05pt;margin-top:3.25pt;width:484.8pt;height:285.3pt" coordorigin="1,65" coordsize="9696,5706">
                <v:shape id="shape_0" stroked="f" style="position:absolute;left:1;top:787;width:9545;height:4982" type="shapetype_75">
                  <v:imagedata r:id="rId106" o:detectmouseclick="t"/>
                  <w10:wrap type="none"/>
                  <v:stroke color="#3465a4" joinstyle="round" endcap="flat"/>
                </v:shape>
                <v:rect id="shape_0" stroked="f" style="position:absolute;left:2328;top:65;width:6200;height:66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Aktīvo dalībnieku sadalījums</w:t>
                        </w:r>
                      </w:p>
                    </w:txbxContent>
                  </v:textbox>
                  <w10:wrap type="square"/>
                  <v:fill o:detectmouseclick="t" on="false"/>
                  <v:stroke color="#3465a4" joinstyle="round" endcap="flat"/>
                </v:rect>
                <v:rect id="shape_0" stroked="f" style="position:absolute;left:825;top:1657;width:1717;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Dzimums dzimums</w:t>
                        </w:r>
                      </w:p>
                    </w:txbxContent>
                  </v:textbox>
                  <w10:wrap type="square"/>
                  <v:fill o:detectmouseclick="t" on="false"/>
                  <v:stroke color="#3465a4" joinstyle="round" endcap="flat"/>
                </v:rect>
                <v:rect id="shape_0" stroked="f" style="position:absolute;left:570;top:3038;width:1716;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vecuma grupa</w:t>
                        </w:r>
                      </w:p>
                    </w:txbxContent>
                  </v:textbox>
                  <w10:wrap type="square"/>
                  <v:fill o:detectmouseclick="t" on="false"/>
                  <v:stroke color="#3465a4" joinstyle="round" endcap="flat"/>
                </v:rect>
                <v:rect id="shape_0" stroked="f" style="position:absolute;left:1670;top:3541;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18–34 gadi</w:t>
                        </w:r>
                      </w:p>
                    </w:txbxContent>
                  </v:textbox>
                  <w10:wrap type="square"/>
                  <v:fill o:detectmouseclick="t" on="false"/>
                  <v:stroke color="#3465a4" joinstyle="round" endcap="flat"/>
                </v:rect>
                <v:rect id="shape_0" stroked="f" style="position:absolute;left:1618;top:4138;width:1340;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35–64 gadi</w:t>
                        </w:r>
                      </w:p>
                    </w:txbxContent>
                  </v:textbox>
                  <w10:wrap type="square"/>
                  <v:fill o:detectmouseclick="t" on="false"/>
                  <v:stroke color="#3465a4" joinstyle="round" endcap="flat"/>
                </v:rect>
                <v:rect id="shape_0" stroked="f" style="position:absolute;left:1631;top:4643;width:1340;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65–75 gadi</w:t>
                        </w:r>
                      </w:p>
                    </w:txbxContent>
                  </v:textbox>
                  <w10:wrap type="square"/>
                  <v:fill o:detectmouseclick="t" on="false"/>
                  <v:stroke color="#3465a4" joinstyle="round" endcap="flat"/>
                </v:rect>
                <v:rect id="shape_0" stroked="f" style="position:absolute;left:3403;top:1670;width:2654;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Izglītības līmenis</w:t>
                        </w:r>
                      </w:p>
                    </w:txbxContent>
                  </v:textbox>
                  <w10:wrap type="square"/>
                  <v:fill o:detectmouseclick="t" on="false"/>
                  <v:stroke color="#3465a4" joinstyle="round" endcap="flat"/>
                </v:rect>
                <v:rect id="shape_0" stroked="f" style="position:absolute;left:4423;top:2175;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Zema cena</w:t>
                        </w:r>
                      </w:p>
                    </w:txbxContent>
                  </v:textbox>
                  <w10:wrap type="square"/>
                  <v:fill o:detectmouseclick="t" on="false"/>
                  <v:stroke color="#3465a4" joinstyle="round" endcap="flat"/>
                </v:rect>
                <v:rect id="shape_0" stroked="f" style="position:absolute;left:8155;top:1949;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Ziemeļaustrumu daļa</w:t>
                        </w:r>
                      </w:p>
                    </w:txbxContent>
                  </v:textbox>
                  <w10:wrap type="square"/>
                  <v:fill o:detectmouseclick="t" on="false"/>
                  <v:stroke color="#3465a4" joinstyle="round" endcap="flat"/>
                </v:rect>
                <v:rect id="shape_0" stroked="f" style="position:absolute;left:3269;top:2573;width:2829;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Koledža, profesionālā izglītība</w:t>
                        </w:r>
                      </w:p>
                    </w:txbxContent>
                  </v:textbox>
                  <w10:wrap type="square"/>
                  <v:fill o:detectmouseclick="t" on="false"/>
                  <v:stroke color="#3465a4" joinstyle="round" endcap="flat"/>
                </v:rect>
                <v:rect id="shape_0" stroked="f" style="position:absolute;left:4504;top:3236;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Vidējais vidējais rādītājs</w:t>
                        </w:r>
                      </w:p>
                    </w:txbxContent>
                  </v:textbox>
                  <w10:wrap type="square"/>
                  <v:fill o:detectmouseclick="t" on="false"/>
                  <v:stroke color="#3465a4" joinstyle="round" endcap="flat"/>
                </v:rect>
                <v:rect id="shape_0" stroked="f" style="position:absolute;left:3497;top:3687;width:235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Vidusskolas vidusskola</w:t>
                        </w:r>
                      </w:p>
                    </w:txbxContent>
                  </v:textbox>
                  <w10:wrap type="square"/>
                  <v:fill o:detectmouseclick="t" on="false"/>
                  <v:stroke color="#3465a4" joinstyle="round" endcap="flat"/>
                </v:rect>
                <v:rect id="shape_0" stroked="f" style="position:absolute;left:4531;top:4458;width:133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Paaugstināts pacēlums</w:t>
                        </w:r>
                      </w:p>
                    </w:txbxContent>
                  </v:textbox>
                  <w10:wrap type="square"/>
                  <v:fill o:detectmouseclick="t" on="false"/>
                  <v:stroke color="#3465a4" joinstyle="round" endcap="flat"/>
                </v:rect>
                <v:rect id="shape_0" stroked="f" style="position:absolute;left:3215;top:4816;width:3071;height:599">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Bakalaura grāds, maģistra grāds vai vairāk</w:t>
                        </w:r>
                      </w:p>
                    </w:txbxContent>
                  </v:textbox>
                  <w10:wrap type="square"/>
                  <v:fill o:detectmouseclick="t" on="false"/>
                  <v:stroke color="#3465a4" joinstyle="round" endcap="flat"/>
                </v:rect>
                <v:rect id="shape_0" stroked="f" style="position:absolute;left:6490;top:2294;width:1341;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Ziemeļrietumu daļa</w:t>
                        </w:r>
                      </w:p>
                    </w:txbxContent>
                  </v:textbox>
                  <w10:wrap type="square"/>
                  <v:fill o:detectmouseclick="t" on="false"/>
                  <v:stroke color="#3465a4" joinstyle="round" endcap="flat"/>
                </v:rect>
                <v:rect id="shape_0" stroked="f" style="position:absolute;left:6624;top:1670;width:2669;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Dzīvesvietas teritorija</w:t>
                        </w:r>
                      </w:p>
                    </w:txbxContent>
                  </v:textbox>
                  <w10:wrap type="square"/>
                  <v:fill o:detectmouseclick="t" on="false"/>
                  <v:stroke color="#3465a4" joinstyle="round" endcap="flat"/>
                </v:rect>
                <v:rect id="shape_0" stroked="f" style="position:absolute;left:8356;top:2825;width:1340;height:417">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pilsētas centrs</w:t>
                        </w:r>
                      </w:p>
                    </w:txbxContent>
                  </v:textbox>
                  <w10:wrap type="square"/>
                  <v:fill o:detectmouseclick="t" on="false"/>
                  <v:stroke color="#3465a4" joinstyle="round" endcap="flat"/>
                </v:rect>
                <v:rect id="shape_0" stroked="f" style="position:absolute;left:6477;top:4297;width:1635;height:41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Dienvidi un salas</w:t>
                        </w:r>
                      </w:p>
                    </w:txbxContent>
                  </v:textbox>
                  <w10:wrap type="square"/>
                  <v:fill o:detectmouseclick="t" on="false"/>
                  <v:stroke color="#3465a4" joinstyle="round" endcap="flat"/>
                </v:rect>
              </v:group>
            </w:pict>
          </mc:Fallback>
        </mc:AlternateContent>
      </w:r>
    </w:p>
    <w:p>
      <w:pPr>
        <w:pStyle w:val="P68B1DB1Normal24"/>
        <w:widowControl w:val="false"/>
        <w:spacing w:lineRule="exact" w:line="362" w:before="198" w:after="0"/>
        <w:ind w:left="0" w:right="0" w:hanging="0"/>
        <w:jc w:val="left"/>
        <w:rPr>
          <w:rFonts w:ascii="Times New Roman" w:hAnsi="Times New Roman"/>
          <w:color w:val="000000"/>
          <w:sz w:val="22"/>
        </w:rPr>
      </w:pPr>
      <w:r>
        <w:rPr/>
        <w:t xml:space="preserve">Šeit ir atlases procesa soļu rezultāti: </w:t>
      </w:r>
    </w:p>
    <w:p>
      <w:pPr>
        <w:pStyle w:val="Normal"/>
        <w:widowControl w:val="false"/>
        <w:spacing w:lineRule="exact" w:line="393"/>
        <w:ind w:left="0" w:right="0" w:hanging="0"/>
        <w:jc w:val="left"/>
        <w:rPr>
          <w:rFonts w:ascii="Times New Roman" w:hAnsi="Times New Roman"/>
          <w:color w:val="000000"/>
          <w:sz w:val="24"/>
        </w:rPr>
      </w:pPr>
      <w:r>
        <w:rPr>
          <w:rFonts w:ascii="Times New Roman" w:hAnsi="Times New Roman"/>
          <w:color w:val="000000"/>
          <w:sz w:val="24"/>
        </w:rPr>
        <mc:AlternateContent>
          <mc:Choice Requires="wpg">
            <w:drawing>
              <wp:anchor behindDoc="0" distT="0" distB="0" distL="0" distR="0" simplePos="0" locked="0" layoutInCell="1" allowOverlap="1" relativeHeight="58">
                <wp:simplePos x="0" y="0"/>
                <wp:positionH relativeFrom="column">
                  <wp:posOffset>10160</wp:posOffset>
                </wp:positionH>
                <wp:positionV relativeFrom="paragraph">
                  <wp:posOffset>144780</wp:posOffset>
                </wp:positionV>
                <wp:extent cx="6047740" cy="3640455"/>
                <wp:effectExtent l="0" t="0" r="0" b="0"/>
                <wp:wrapNone/>
                <wp:docPr id="104" name="Forma 6"/>
                <a:graphic xmlns:a="http://schemas.openxmlformats.org/drawingml/2006/main">
                  <a:graphicData uri="http://schemas.microsoft.com/office/word/2010/wordprocessingGroup">
                    <wpg:wgp>
                      <wpg:cNvGrpSpPr/>
                      <wpg:grpSpPr>
                        <a:xfrm>
                          <a:off x="0" y="0"/>
                          <a:ext cx="6047280" cy="3639960"/>
                        </a:xfrm>
                      </wpg:grpSpPr>
                      <pic:pic xmlns:pic="http://schemas.openxmlformats.org/drawingml/2006/picture">
                        <pic:nvPicPr>
                          <pic:cNvPr id="8" name="" descr=""/>
                          <pic:cNvPicPr/>
                        </pic:nvPicPr>
                        <pic:blipFill>
                          <a:blip r:embed="rId107"/>
                          <a:stretch/>
                        </pic:blipFill>
                        <pic:spPr>
                          <a:xfrm>
                            <a:off x="1520280" y="457920"/>
                            <a:ext cx="2903400" cy="3182040"/>
                          </a:xfrm>
                          <a:prstGeom prst="rect">
                            <a:avLst/>
                          </a:prstGeom>
                          <a:ln>
                            <a:noFill/>
                          </a:ln>
                        </pic:spPr>
                      </pic:pic>
                      <wps:wsp>
                        <wps:cNvSpPr/>
                        <wps:spPr>
                          <a:xfrm>
                            <a:off x="693360" y="0"/>
                            <a:ext cx="4645800" cy="4057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Pieteikšanās process</w:t>
                              </w:r>
                            </w:p>
                          </w:txbxContent>
                        </wps:txbx>
                        <wps:bodyPr lIns="90000" rIns="90000" tIns="45000" bIns="45000">
                          <a:noAutofit/>
                        </wps:bodyPr>
                      </wps:wsp>
                      <wps:wsp>
                        <wps:cNvSpPr/>
                        <wps:spPr>
                          <a:xfrm>
                            <a:off x="0" y="675720"/>
                            <a:ext cx="1599480" cy="4413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Piekļuve pieteikuma veidlapai</w:t>
                              </w:r>
                            </w:p>
                          </w:txbxContent>
                        </wps:txbx>
                        <wps:bodyPr lIns="90000" rIns="90000" tIns="45000" bIns="45000">
                          <a:noAutofit/>
                        </wps:bodyPr>
                      </wps:wsp>
                      <wps:wsp>
                        <wps:cNvSpPr/>
                        <wps:spPr>
                          <a:xfrm>
                            <a:off x="0" y="109908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Pilnas aplikācijas</w:t>
                              </w:r>
                            </w:p>
                          </w:txbxContent>
                        </wps:txbx>
                        <wps:bodyPr lIns="90000" rIns="90000" tIns="45000" bIns="45000">
                          <a:noAutofit/>
                        </wps:bodyPr>
                      </wps:wsp>
                      <wps:wsp>
                        <wps:cNvSpPr/>
                        <wps:spPr>
                          <a:xfrm>
                            <a:off x="0" y="1497240"/>
                            <a:ext cx="1599480" cy="44064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Kandidāti, kas ir tiesīgi saņemt atbalstu</w:t>
                              </w:r>
                            </w:p>
                          </w:txbxContent>
                        </wps:txbx>
                        <wps:bodyPr lIns="90000" rIns="90000" tIns="45000" bIns="45000">
                          <a:noAutofit/>
                        </wps:bodyPr>
                      </wps:wsp>
                      <wps:wsp>
                        <wps:cNvSpPr/>
                        <wps:spPr>
                          <a:xfrm>
                            <a:off x="0" y="1920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Uzņemts paneļdiskusijā</w:t>
                              </w:r>
                            </w:p>
                          </w:txbxContent>
                        </wps:txbx>
                        <wps:bodyPr lIns="90000" rIns="90000" tIns="45000" bIns="45000">
                          <a:noAutofit/>
                        </wps:bodyPr>
                      </wps:wsp>
                      <wps:wsp>
                        <wps:cNvSpPr/>
                        <wps:spPr>
                          <a:xfrm>
                            <a:off x="0" y="234324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Aktīvie dalībnieki</w:t>
                              </w:r>
                            </w:p>
                          </w:txbxContent>
                        </wps:txbx>
                        <wps:bodyPr lIns="90000" rIns="90000" tIns="45000" bIns="45000">
                          <a:noAutofit/>
                        </wps:bodyPr>
                      </wps:wsp>
                      <wps:wsp>
                        <wps:cNvSpPr/>
                        <wps:spPr>
                          <a:xfrm>
                            <a:off x="4430520" y="5943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8.–10. marts</w:t>
                              </w:r>
                            </w:p>
                          </w:txbxContent>
                        </wps:txbx>
                        <wps:bodyPr lIns="90000" rIns="90000" tIns="45000" bIns="45000">
                          <a:noAutofit/>
                        </wps:bodyPr>
                      </wps:wsp>
                      <wps:wsp>
                        <wps:cNvSpPr/>
                        <wps:spPr>
                          <a:xfrm>
                            <a:off x="4447440" y="10998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10. marts</w:t>
                              </w:r>
                            </w:p>
                          </w:txbxContent>
                        </wps:txbx>
                        <wps:bodyPr lIns="90000" rIns="90000" tIns="45000" bIns="45000">
                          <a:noAutofit/>
                        </wps:bodyPr>
                      </wps:wsp>
                      <wps:wsp>
                        <wps:cNvSpPr/>
                        <wps:spPr>
                          <a:xfrm>
                            <a:off x="4430520" y="59508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8.–10. marts</w:t>
                              </w:r>
                            </w:p>
                          </w:txbxContent>
                        </wps:txbx>
                        <wps:bodyPr lIns="90000" rIns="90000" tIns="45000" bIns="45000">
                          <a:noAutofit/>
                        </wps:bodyPr>
                      </wps:wsp>
                      <wps:wsp>
                        <wps:cNvSpPr/>
                        <wps:spPr>
                          <a:xfrm>
                            <a:off x="4439160" y="1514520"/>
                            <a:ext cx="159876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10. marts</w:t>
                              </w:r>
                            </w:p>
                          </w:txbxContent>
                        </wps:txbx>
                        <wps:bodyPr lIns="90000" rIns="90000" tIns="45000" bIns="45000">
                          <a:noAutofit/>
                        </wps:bodyPr>
                      </wps:wsp>
                      <wps:wsp>
                        <wps:cNvSpPr/>
                        <wps:spPr>
                          <a:xfrm>
                            <a:off x="4430520" y="1913400"/>
                            <a:ext cx="1599480" cy="30780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11. marts</w:t>
                              </w:r>
                            </w:p>
                          </w:txbxContent>
                        </wps:txbx>
                        <wps:bodyPr lIns="90000" rIns="90000" tIns="45000" bIns="45000">
                          <a:noAutofit/>
                        </wps:bodyPr>
                      </wps:wsp>
                      <wps:wsp>
                        <wps:cNvSpPr/>
                        <wps:spPr>
                          <a:xfrm>
                            <a:off x="4404240" y="2279160"/>
                            <a:ext cx="1599480" cy="3085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11.–12. marts</w:t>
                              </w:r>
                            </w:p>
                          </w:txbxContent>
                        </wps:txbx>
                        <wps:bodyPr lIns="90000" rIns="90000" tIns="45000" bIns="45000">
                          <a:noAutofit/>
                        </wps:bodyPr>
                      </wps:wsp>
                    </wpg:wgp>
                  </a:graphicData>
                </a:graphic>
              </wp:anchor>
            </w:drawing>
          </mc:Choice>
          <mc:Fallback>
            <w:pict>
              <v:group id="shape_0" alt="Forma 6" style="position:absolute;margin-left:0.8pt;margin-top:11.4pt;width:476.1pt;height:286.6pt" coordorigin="16,228" coordsize="9522,5732">
                <v:shape id="shape_0" stroked="f" style="position:absolute;left:2410;top:949;width:4571;height:5010" type="shapetype_75">
                  <v:imagedata r:id="rId107" o:detectmouseclick="t"/>
                  <w10:wrap type="none"/>
                  <v:stroke color="#3465a4" joinstyle="round" endcap="flat"/>
                </v:shape>
                <v:rect id="shape_0" stroked="f" style="position:absolute;left:1108;top:228;width:7315;height:638">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Pieteikšanās process</w:t>
                        </w:r>
                      </w:p>
                    </w:txbxContent>
                  </v:textbox>
                  <w10:wrap type="square"/>
                  <v:fill o:detectmouseclick="t" on="false"/>
                  <v:stroke color="#3465a4" joinstyle="round" endcap="flat"/>
                </v:rect>
                <v:rect id="shape_0" stroked="f" style="position:absolute;left:16;top:1292;width:2518;height:69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Piekļuve pieteikuma veidlapai</w:t>
                        </w:r>
                      </w:p>
                    </w:txbxContent>
                  </v:textbox>
                  <w10:wrap type="square"/>
                  <v:fill o:detectmouseclick="t" on="false"/>
                  <v:stroke color="#3465a4" joinstyle="round" endcap="flat"/>
                </v:rect>
                <v:rect id="shape_0" stroked="f" style="position:absolute;left:16;top:1959;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Pilnas aplikācijas</w:t>
                        </w:r>
                      </w:p>
                    </w:txbxContent>
                  </v:textbox>
                  <w10:wrap type="square"/>
                  <v:fill o:detectmouseclick="t" on="false"/>
                  <v:stroke color="#3465a4" joinstyle="round" endcap="flat"/>
                </v:rect>
                <v:rect id="shape_0" stroked="f" style="position:absolute;left:16;top:2586;width:2518;height:693">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Kandidāti, kas ir tiesīgi saņemt atbalstu</w:t>
                        </w:r>
                      </w:p>
                    </w:txbxContent>
                  </v:textbox>
                  <w10:wrap type="square"/>
                  <v:fill o:detectmouseclick="t" on="false"/>
                  <v:stroke color="#3465a4" joinstyle="round" endcap="flat"/>
                </v:rect>
                <v:rect id="shape_0" stroked="f" style="position:absolute;left:16;top:3252;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Uzņemts paneļdiskusijā</w:t>
                        </w:r>
                      </w:p>
                    </w:txbxContent>
                  </v:textbox>
                  <w10:wrap type="square"/>
                  <v:fill o:detectmouseclick="t" on="false"/>
                  <v:stroke color="#3465a4" joinstyle="round" endcap="flat"/>
                </v:rect>
                <v:rect id="shape_0" stroked="f" style="position:absolute;left:16;top:3918;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Aktīvie dalībnieki</w:t>
                        </w:r>
                      </w:p>
                    </w:txbxContent>
                  </v:textbox>
                  <w10:wrap type="square"/>
                  <v:fill o:detectmouseclick="t" on="false"/>
                  <v:stroke color="#3465a4" joinstyle="round" endcap="flat"/>
                </v:rect>
                <v:rect id="shape_0" stroked="f" style="position:absolute;left:6993;top:1164;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8.–10. marts</w:t>
                        </w:r>
                      </w:p>
                    </w:txbxContent>
                  </v:textbox>
                  <w10:wrap type="square"/>
                  <v:fill o:detectmouseclick="t" on="false"/>
                  <v:stroke color="#3465a4" joinstyle="round" endcap="flat"/>
                </v:rect>
                <v:rect id="shape_0" stroked="f" style="position:absolute;left:7020;top:1960;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10. marts</w:t>
                        </w:r>
                      </w:p>
                    </w:txbxContent>
                  </v:textbox>
                  <w10:wrap type="square"/>
                  <v:fill o:detectmouseclick="t" on="false"/>
                  <v:stroke color="#3465a4" joinstyle="round" endcap="flat"/>
                </v:rect>
                <v:rect id="shape_0" stroked="f" style="position:absolute;left:6993;top:1165;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8.–10. marts</w:t>
                        </w:r>
                      </w:p>
                    </w:txbxContent>
                  </v:textbox>
                  <w10:wrap type="square"/>
                  <v:fill o:detectmouseclick="t" on="false"/>
                  <v:stroke color="#3465a4" joinstyle="round" endcap="flat"/>
                </v:rect>
                <v:rect id="shape_0" stroked="f" style="position:absolute;left:7007;top:2613;width:2517;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10. marts</w:t>
                        </w:r>
                      </w:p>
                    </w:txbxContent>
                  </v:textbox>
                  <w10:wrap type="square"/>
                  <v:fill o:detectmouseclick="t" on="false"/>
                  <v:stroke color="#3465a4" joinstyle="round" endcap="flat"/>
                </v:rect>
                <v:rect id="shape_0" stroked="f" style="position:absolute;left:6993;top:3241;width:2518;height:484">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11. marts</w:t>
                        </w:r>
                      </w:p>
                    </w:txbxContent>
                  </v:textbox>
                  <w10:wrap type="square"/>
                  <v:fill o:detectmouseclick="t" on="false"/>
                  <v:stroke color="#3465a4" joinstyle="round" endcap="flat"/>
                </v:rect>
                <v:rect id="shape_0" stroked="f" style="position:absolute;left:6952;top:3817;width:2518;height:48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2022. gada 11.–12. marts</w:t>
                        </w:r>
                      </w:p>
                    </w:txbxContent>
                  </v:textbox>
                  <w10:wrap type="square"/>
                  <v:fill o:detectmouseclick="t" on="false"/>
                  <v:stroke color="#3465a4" joinstyle="round" endcap="flat"/>
                </v:rect>
              </v:group>
            </w:pict>
          </mc:Fallback>
        </mc:AlternateContent>
      </w:r>
      <w:r>
        <w:br w:type="page"/>
      </w:r>
    </w:p>
    <w:p>
      <w:pPr>
        <w:pStyle w:val="P68B1DB1Normal74"/>
        <w:widowControl w:val="false"/>
        <w:spacing w:lineRule="exact" w:line="393"/>
        <w:ind w:left="0" w:right="0" w:hanging="0"/>
        <w:jc w:val="left"/>
        <w:rPr>
          <w:rFonts w:ascii="Arial" w:hAnsi="Arial"/>
          <w:color w:val="2E74B5"/>
          <w:sz w:val="22"/>
        </w:rPr>
      </w:pPr>
      <w:r>
        <w:rPr/>
        <w:t xml:space="preserve">Sakaru iekārtas </w:t>
      </w:r>
    </w:p>
    <w:p>
      <w:pPr>
        <w:pStyle w:val="P68B1DB1Normal76"/>
        <w:widowControl w:val="false"/>
        <w:spacing w:lineRule="exact" w:line="379" w:before="200" w:after="0"/>
        <w:ind w:left="0" w:right="2" w:hanging="0"/>
        <w:jc w:val="left"/>
        <w:rPr/>
      </w:pPr>
      <w:r>
        <w:rPr/>
        <w:t xml:space="preserve">Lai jau no paša sākuma nodrošinātu augstu motivācijas un līdzdalības līmeni, visiem dalībniekiem bija pieejami šādi dokumenti: </w:t>
      </w:r>
    </w:p>
    <w:p>
      <w:pPr>
        <w:pStyle w:val="P68B1DB1Normal76"/>
        <w:widowControl w:val="false"/>
        <w:spacing w:lineRule="exact" w:line="252" w:before="192" w:after="0"/>
        <w:ind w:left="720" w:right="0" w:hanging="0"/>
        <w:jc w:val="left"/>
        <w:rPr/>
      </w:pPr>
      <w:r>
        <w:rPr/>
        <w:t xml:space="preserve">• </w:t>
      </w:r>
      <w:r>
        <w:rPr/>
        <w:t xml:space="preserve">konferences par Eiropas nākotni un valstu paneļdiskusiju </w:t>
      </w:r>
      <w:r>
        <w:rPr>
          <w:b/>
        </w:rPr>
        <w:t xml:space="preserve">prezentācijas lapas; </w:t>
      </w:r>
    </w:p>
    <w:p>
      <w:pPr>
        <w:pStyle w:val="P68B1DB1Normal76"/>
        <w:widowControl w:val="false"/>
        <w:spacing w:lineRule="exact" w:line="379"/>
        <w:ind w:left="720" w:right="0" w:hanging="0"/>
        <w:jc w:val="left"/>
        <w:rPr/>
      </w:pPr>
      <w:r>
        <w:rPr/>
        <w:t xml:space="preserve">• </w:t>
      </w:r>
      <w:r>
        <w:rPr>
          <w:b/>
        </w:rPr>
        <w:t xml:space="preserve">konferences par Eiropas nākotni harta; </w:t>
      </w:r>
    </w:p>
    <w:p>
      <w:pPr>
        <w:pStyle w:val="P68B1DB1Normal76"/>
        <w:widowControl w:val="false"/>
        <w:spacing w:lineRule="exact" w:line="379"/>
        <w:ind w:left="720" w:right="0" w:hanging="0"/>
        <w:jc w:val="left"/>
        <w:rPr/>
      </w:pPr>
      <w:r>
        <w:rPr/>
        <w:t xml:space="preserve">• </w:t>
      </w:r>
      <w:r>
        <w:rPr/>
        <w:t xml:space="preserve">paneļdiskusijās apspriežamie </w:t>
      </w:r>
      <w:r>
        <w:rPr>
          <w:b/>
        </w:rPr>
        <w:t xml:space="preserve">temati; </w:t>
      </w:r>
    </w:p>
    <w:p>
      <w:pPr>
        <w:pStyle w:val="P68B1DB1Normal76"/>
        <w:widowControl w:val="false"/>
        <w:spacing w:lineRule="exact" w:line="379"/>
        <w:ind w:left="721" w:right="0" w:hanging="0"/>
        <w:jc w:val="left"/>
        <w:rPr/>
      </w:pPr>
      <w:r>
        <w:rPr/>
        <w:t xml:space="preserve">• </w:t>
      </w:r>
      <w:r>
        <w:rPr>
          <w:b/>
        </w:rPr>
        <w:t xml:space="preserve">tehniska un organizatoriska informācija, kas nepieciešama dalībai. </w:t>
      </w:r>
    </w:p>
    <w:p>
      <w:pPr>
        <w:pStyle w:val="P68B1DB1Titre277"/>
        <w:numPr>
          <w:ilvl w:val="0"/>
          <w:numId w:val="2"/>
        </w:numPr>
        <w:rPr>
          <w:color w:val="BD1271"/>
        </w:rPr>
      </w:pPr>
      <w:bookmarkStart w:id="218" w:name="__RefHeading___Toc300312_1346298689"/>
      <w:bookmarkEnd w:id="218"/>
      <w:r>
        <w:rPr/>
        <w:t xml:space="preserve">3. Paneļdiskusijas organizēšana </w:t>
      </w:r>
    </w:p>
    <w:p>
      <w:pPr>
        <w:pStyle w:val="P68B1DB1Normal76"/>
        <w:widowControl w:val="false"/>
        <w:spacing w:lineRule="exact" w:line="272" w:before="231" w:after="0"/>
        <w:ind w:left="0" w:right="0" w:hanging="0"/>
        <w:jc w:val="both"/>
        <w:rPr/>
      </w:pPr>
      <w:r>
        <w:rPr/>
        <w:t xml:space="preserve">Lai nodrošinātu maksimālu līdzdalību, tostarp personas ar profesionālām saistībām, žūrija tika organizēta divās secīgās pusdienās, tostarp vienu nedēļas nogalēs, saskaņā ar šādu grafiku: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Piektdien, 11. martā, no plkst. 16.00 līdz plkst. 20.00. </w:t>
      </w:r>
    </w:p>
    <w:p>
      <w:pPr>
        <w:pStyle w:val="P68B1DB1Normal76"/>
        <w:widowControl w:val="false"/>
        <w:spacing w:lineRule="exact" w:line="288" w:before="101" w:after="0"/>
        <w:ind w:left="359" w:right="0" w:hanging="0"/>
        <w:jc w:val="left"/>
        <w:rPr/>
      </w:pPr>
      <w:r>
        <w:rPr>
          <w:rFonts w:ascii="Symbol" w:hAnsi="Symbol"/>
        </w:rPr>
        <w:t>•</w:t>
      </w:r>
      <w:r>
        <w:rPr/>
        <w:t xml:space="preserve"> </w:t>
      </w:r>
      <w:r>
        <w:rPr>
          <w:b/>
        </w:rPr>
        <w:t xml:space="preserve">Sestdiena, 12. marts, no plkst. 10 līdz 12.00 </w:t>
      </w:r>
    </w:p>
    <w:p>
      <w:pPr>
        <w:pStyle w:val="Normal"/>
        <w:widowControl w:val="false"/>
        <w:spacing w:lineRule="exact" w:line="286" w:before="83" w:after="0"/>
        <w:ind w:left="0" w:right="1" w:hanging="0"/>
        <w:jc w:val="both"/>
        <w:rPr/>
      </w:pPr>
      <w:r>
        <w:rPr>
          <w:color w:val="000000"/>
        </w:rPr>
        <w:t xml:space="preserve">Šīs izvēles mērķis bija, no vienas puses, atvieglot darba ņēmēju līdzdalību iniciatīvā un, no otras puses, sadalīt apmeklējuma laiku, lai veicinātu lielāku uzmanību un līdzdalību, kā arī turpmākas pārdomas par izvirzītajiem tematiem un priekšlikumiem. Paneļdiskusiju dalībnieki, kas iesaistījās divās darba sesijās, izmantojot GoToMeeting platformu, tika sadalīti četrās grupās (divas katrai tematiskajai jomai), ko vadīja par procesa rakstīšanu atbildīgās personas </w:t>
      </w:r>
      <w:r>
        <w:rPr>
          <w:color w:val="ED7D31"/>
        </w:rPr>
        <w:t>moderators</w:t>
      </w:r>
      <w:r>
        <w:rPr>
          <w:color w:val="000000"/>
        </w:rPr>
        <w:t xml:space="preserve"> un palīgi. Moderatori atviegloja grupas, izmantojot divus dažādus diskusiju ceļus (vienu katrai tematiskajai jomai), lai pēc iespējas vairāk iesaistītu visus atlasītos cilvēkus un nodrošinātu pieeju, kas balstīta uz maksimālu iekļaušanu un neitralitāti. </w:t>
      </w:r>
    </w:p>
    <w:p>
      <w:pPr>
        <w:pStyle w:val="Titre2"/>
        <w:numPr>
          <w:ilvl w:val="1"/>
          <w:numId w:val="2"/>
        </w:numPr>
        <w:rPr/>
      </w:pPr>
      <w:bookmarkStart w:id="219" w:name="__RefHeading___Toc300314_1346298689"/>
      <w:bookmarkEnd w:id="219"/>
      <w:r>
        <w:rPr>
          <w:color w:val="BD1271"/>
        </w:rPr>
        <w:t>4. Darba programma</w:t>
      </w:r>
      <w:r>
        <w:rPr/>
        <w:t xml:space="preserve"> </w:t>
      </w:r>
    </w:p>
    <w:p>
      <w:pPr>
        <w:pStyle w:val="P68B1DB1Normal80"/>
        <w:widowControl w:val="false"/>
        <w:spacing w:lineRule="exact" w:line="393" w:before="85" w:after="0"/>
        <w:ind w:left="0" w:right="0" w:hanging="0"/>
        <w:jc w:val="left"/>
        <w:rPr>
          <w:rFonts w:ascii="Arial" w:hAnsi="Arial"/>
          <w:color w:val="116E9A"/>
          <w:sz w:val="24"/>
        </w:rPr>
      </w:pPr>
      <w:r>
        <w:rPr/>
        <w:t xml:space="preserve">Pirmā sesija (piektdiena, 2022. gada 11. marts) </w:t>
      </w:r>
    </w:p>
    <w:p>
      <w:pPr>
        <w:pStyle w:val="P68B1DB1Normal76"/>
        <w:widowControl w:val="false"/>
        <w:spacing w:lineRule="exact" w:line="362" w:before="208" w:after="0"/>
        <w:ind w:left="360" w:right="0" w:hanging="0"/>
        <w:jc w:val="left"/>
        <w:rPr/>
      </w:pPr>
      <w:r>
        <w:rPr/>
        <w:t xml:space="preserve">• </w:t>
      </w:r>
      <w:r>
        <w:rPr/>
        <w:t xml:space="preserve">00 — Virtuālās telpas atvēršana un iespēja dalībniekiem pieslēgties platformai, lai pārbaudītu savu audio un video sistēmu pareizu darbību. </w:t>
      </w:r>
    </w:p>
    <w:p>
      <w:pPr>
        <w:pStyle w:val="P68B1DB1Normal76"/>
        <w:widowControl w:val="false"/>
        <w:spacing w:lineRule="exact" w:line="362"/>
        <w:ind w:left="360" w:right="0" w:hanging="0"/>
        <w:jc w:val="left"/>
        <w:rPr/>
      </w:pPr>
      <w:r>
        <w:rPr/>
        <w:t xml:space="preserve">• </w:t>
      </w:r>
      <w:r>
        <w:rPr/>
        <w:t xml:space="preserve">16:00 — moderatora ievads: iniciatīvas iemeslu skaidrojums un darba struktūras apraksts.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15:00 — Dalībnieku sadalījums grupās, pamatojoties uz pieteikuma iesniegšanas posmā norādītajām preferencēm.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16:20 — Grupas diskusijas sākums. </w:t>
      </w:r>
    </w:p>
    <w:p>
      <w:pPr>
        <w:pStyle w:val="P68B1DB1Normal76"/>
        <w:widowControl w:val="false"/>
        <w:spacing w:lineRule="exact" w:line="362"/>
        <w:ind w:left="360" w:right="0" w:hanging="0"/>
        <w:jc w:val="left"/>
        <w:rPr>
          <w:rFonts w:ascii="Arial" w:hAnsi="Arial"/>
          <w:color w:val="000000"/>
          <w:sz w:val="22"/>
        </w:rPr>
      </w:pPr>
      <w:r>
        <w:rPr/>
        <w:t xml:space="preserve">• </w:t>
      </w:r>
      <w:r>
        <w:rPr/>
        <w:t xml:space="preserve">20.00 — sesijas beigas. </w:t>
      </w:r>
    </w:p>
    <w:p>
      <w:pPr>
        <w:pStyle w:val="P68B1DB1Normal80"/>
        <w:widowControl w:val="false"/>
        <w:spacing w:lineRule="exact" w:line="393" w:before="248" w:after="0"/>
        <w:ind w:left="0" w:right="0" w:hanging="0"/>
        <w:jc w:val="left"/>
        <w:rPr>
          <w:rFonts w:ascii="Arial" w:hAnsi="Arial"/>
          <w:color w:val="116E9A"/>
          <w:sz w:val="24"/>
        </w:rPr>
      </w:pPr>
      <w:r>
        <w:rPr/>
        <w:t xml:space="preserve">Otrā sesija (sestdiena, 2022. gada 12. marts) </w:t>
      </w:r>
    </w:p>
    <w:p>
      <w:pPr>
        <w:pStyle w:val="P68B1DB1Normal76"/>
        <w:widowControl w:val="false"/>
        <w:spacing w:lineRule="exact" w:line="362" w:before="208" w:after="0"/>
        <w:ind w:left="360" w:right="0" w:hanging="0"/>
        <w:jc w:val="left"/>
        <w:rPr>
          <w:rFonts w:ascii="Arial" w:hAnsi="Arial"/>
          <w:color w:val="000000"/>
          <w:sz w:val="22"/>
        </w:rPr>
      </w:pPr>
      <w:r>
        <w:rPr/>
        <w:t xml:space="preserve">• </w:t>
      </w:r>
      <w:r>
        <w:rPr/>
        <w:t xml:space="preserve">10 — darba atsākšana, lasot pirmās dienas darba rezultātus. </w:t>
      </w:r>
    </w:p>
    <w:p>
      <w:pPr>
        <w:pStyle w:val="P68B1DB1Normal76"/>
        <w:widowControl w:val="false"/>
        <w:spacing w:lineRule="exact" w:line="254"/>
        <w:ind w:left="360" w:right="140" w:hanging="0"/>
        <w:jc w:val="left"/>
        <w:rPr/>
      </w:pPr>
      <w:r>
        <w:rPr/>
        <w:t xml:space="preserve">• </w:t>
      </w:r>
      <w:r>
        <w:rPr/>
        <w:t xml:space="preserve">10.15 — Turpināt diskusiju, padziļinātas diskusijas un dalībnieku komentārus. </w:t>
      </w:r>
    </w:p>
    <w:p>
      <w:pPr>
        <w:pStyle w:val="Normal"/>
        <w:widowControl w:val="false"/>
        <w:spacing w:lineRule="exact" w:line="362"/>
        <w:ind w:left="360" w:right="0" w:hanging="0"/>
        <w:jc w:val="left"/>
        <w:rPr/>
      </w:pPr>
      <w:r>
        <w:rPr>
          <w:color w:val="000000"/>
        </w:rPr>
        <w:t xml:space="preserve">• </w:t>
      </w:r>
      <w:r>
        <w:rPr>
          <w:color w:val="000000"/>
        </w:rPr>
        <w:t>12.00 — Darba noslēgšana</w:t>
      </w:r>
      <w:r>
        <w:rPr>
          <w:color w:val="FF0000"/>
        </w:rPr>
        <w:t>.</w:t>
      </w:r>
      <w:r>
        <w:rPr>
          <w:color w:val="000000"/>
        </w:rPr>
        <w:t xml:space="preserve"> </w:t>
      </w:r>
    </w:p>
    <w:p>
      <w:pPr>
        <w:pStyle w:val="P68B1DB1Normal34"/>
        <w:widowControl w:val="false"/>
        <w:spacing w:lineRule="exact" w:line="393"/>
        <w:ind w:left="360" w:right="0" w:hanging="0"/>
        <w:jc w:val="left"/>
        <w:rPr>
          <w:rFonts w:ascii="Arial" w:hAnsi="Arial"/>
          <w:color w:val="000000"/>
          <w:sz w:val="24"/>
        </w:rPr>
      </w:pPr>
      <w:r>
        <w:rPr/>
        <w:t xml:space="preserve"> </w:t>
      </w:r>
    </w:p>
    <w:p>
      <w:pPr>
        <w:pStyle w:val="Normal"/>
        <w:spacing w:lineRule="auto" w:line="240" w:before="5420" w:after="57"/>
        <w:rPr/>
      </w:pPr>
      <w:r>
        <w:rPr/>
        <w:drawing>
          <wp:anchor behindDoc="0" distT="0" distB="0" distL="0" distR="0" simplePos="0" locked="0" layoutInCell="1" allowOverlap="1" relativeHeight="61">
            <wp:simplePos x="0" y="0"/>
            <wp:positionH relativeFrom="column">
              <wp:align>center</wp:align>
            </wp:positionH>
            <wp:positionV relativeFrom="paragraph">
              <wp:posOffset>635</wp:posOffset>
            </wp:positionV>
            <wp:extent cx="6120130" cy="3441700"/>
            <wp:effectExtent l="0" t="0" r="0" b="0"/>
            <wp:wrapTopAndBottom/>
            <wp:docPr id="105" name="Attēls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ttēls45" descr=""/>
                    <pic:cNvPicPr>
                      <a:picLocks noChangeAspect="1" noChangeArrowheads="1"/>
                    </pic:cNvPicPr>
                  </pic:nvPicPr>
                  <pic:blipFill>
                    <a:blip r:embed="rId108"/>
                    <a:stretch>
                      <a:fillRect/>
                    </a:stretch>
                  </pic:blipFill>
                  <pic:spPr bwMode="auto">
                    <a:xfrm>
                      <a:off x="0" y="0"/>
                      <a:ext cx="6120130" cy="3441700"/>
                    </a:xfrm>
                    <a:prstGeom prst="rect">
                      <a:avLst/>
                    </a:prstGeom>
                  </pic:spPr>
                </pic:pic>
              </a:graphicData>
            </a:graphic>
          </wp:anchor>
        </w:drawing>
      </w:r>
    </w:p>
    <w:p>
      <w:pPr>
        <w:pStyle w:val="Normal"/>
        <w:spacing w:lineRule="auto" w:line="240"/>
        <w:rPr/>
      </w:pPr>
      <w:r>
        <w:rPr/>
      </w:r>
      <w:r>
        <w:br w:type="page"/>
      </w:r>
    </w:p>
    <w:p>
      <w:pPr>
        <w:pStyle w:val="P68B1DB1Titre277"/>
        <w:numPr>
          <w:ilvl w:val="0"/>
          <w:numId w:val="2"/>
        </w:numPr>
        <w:rPr>
          <w:color w:val="BD1271"/>
        </w:rPr>
      </w:pPr>
      <w:bookmarkStart w:id="220" w:name="__RefHeading___Toc300316_1346298689"/>
      <w:bookmarkEnd w:id="220"/>
      <w:r>
        <w:rPr/>
        <w:t xml:space="preserve">5. Rekomendācijas </w:t>
      </w:r>
    </w:p>
    <w:p>
      <w:pPr>
        <w:pStyle w:val="Titre3"/>
        <w:numPr>
          <w:ilvl w:val="2"/>
          <w:numId w:val="2"/>
        </w:numPr>
        <w:rPr/>
      </w:pPr>
      <w:bookmarkStart w:id="221" w:name="__RefHeading___Toc300318_1346298689"/>
      <w:bookmarkEnd w:id="221"/>
      <w:r>
        <w:rPr>
          <w:color w:val="FFFFFF"/>
          <w:shd w:fill="0066B3" w:val="clear"/>
        </w:rPr>
        <w:t>Spēcīgāka ekonomika, sociālais taisnīgums un nodarbinātība</w:t>
      </w:r>
      <w:r>
        <w:rPr/>
        <w:t xml:space="preserve"> </w:t>
      </w:r>
    </w:p>
    <w:p>
      <w:pPr>
        <w:pStyle w:val="P68B1DB1Normal19"/>
        <w:widowControl w:val="false"/>
        <w:spacing w:lineRule="auto" w:line="240" w:before="106" w:after="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22" w:name="__RefHeading___Toc300428_1346298689"/>
      <w:bookmarkEnd w:id="222"/>
      <w:r>
        <w:rPr/>
        <w:t xml:space="preserve">1. Pagājušā gadsimta ražošanas modeļa pārvarēšana </w:t>
      </w:r>
    </w:p>
    <w:p>
      <w:pPr>
        <w:pStyle w:val="P68B1DB1Normal76"/>
        <w:widowControl w:val="false"/>
        <w:spacing w:lineRule="auto" w:line="240" w:before="80" w:after="0"/>
        <w:ind w:left="0" w:right="1" w:hanging="0"/>
        <w:jc w:val="both"/>
        <w:rPr/>
      </w:pPr>
      <w:r>
        <w:rPr/>
        <w:t xml:space="preserve">Paneļdiskusiju dalībnieki uzskatīja, ka jaunākie globālie notikumi (Covid-19 pandēmija un konflikts starp Krieviju un Ukrainu) šķietami parādīja pašreizējā Eiropas ražošanas modeļa ierobežojumus un uzsvēra, ka ir jāpārskata pieeja, ko daudzi raksturo kā “piemērojot pagājušajam gadsimtam”.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Pierādījumi tam, ka Eiropa ir atkarīga no enerģijas un pārtikas importa no valstīm ārpus Eiropas Savienības, kā arī atklājums (pandēmijas laikā), ka mēs vien nevaram ražot tādu medicīnisko ierīču un vakcīnu daudzumu, kas vajadzīgs, lai apkarotu vīrusa izplatīšanos, ir radījis iespaidu, ka mūsu ekonomikas sistēma cieš no strukturālām nepilnībām pašpietiekamības trūkuma dēļ.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3" w:hanging="0"/>
        <w:jc w:val="both"/>
        <w:rPr/>
      </w:pPr>
      <w:r>
        <w:rPr/>
        <w:t xml:space="preserve">Tajā pašā laikā dalībnieki nepārprotami uzskata, ka spēcīgākai ekonomikai, kas spēj radīt darbavietas sociālā taisnīguma kontekstā, ir jāspēj iegūt svarīgus tehnoloģiskos aktīvus. Lai to paveiktu, ir būtiski atbalstīt izglītības sistēmu, kas arvien vairāk pievēršas ar STEM saistītiem jautājumiem.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Šķiet</w:t>
      </w:r>
      <w:r>
        <w:rPr>
          <w:b/>
        </w:rPr>
        <w:t>, ka tehnoloģiskā inovācija, ilgtspējīga enerģija, kā arī tūrisms un kultūra</w:t>
      </w:r>
      <w:r>
        <w:rPr/>
        <w:t xml:space="preserve"> ir trīs pamatvirzieni Eiropas ekonomikas attīstībai nākotnē, īpašu uzsvaru liekot uz pamatražošanas saglabāšanu, lai izvairītos no riska, ka no trešām valstīm var rasties pārmērīga atkarība no pirmās nepieciešamības produktu un izejvielu piegādes. </w:t>
      </w:r>
    </w:p>
    <w:p>
      <w:pPr>
        <w:pStyle w:val="P68B1DB1Normal82"/>
        <w:widowControl w:val="false"/>
        <w:spacing w:lineRule="auto" w:line="240"/>
        <w:ind w:left="4819" w:right="0" w:hanging="0"/>
        <w:jc w:val="left"/>
        <w:rPr>
          <w:rFonts w:ascii="Arial" w:hAnsi="Arial"/>
          <w:color w:val="2E74B5"/>
          <w:sz w:val="24"/>
        </w:rPr>
      </w:pPr>
      <w:r>
        <w:rPr/>
        <w:t xml:space="preserve"> </w:t>
      </w:r>
    </w:p>
    <w:p>
      <w:pPr>
        <w:pStyle w:val="P68B1DB1Normal83"/>
        <w:widowControl w:val="false"/>
        <w:spacing w:lineRule="auto" w:line="240" w:before="84" w:after="0"/>
        <w:ind w:left="3000" w:right="0" w:hanging="0"/>
        <w:jc w:val="left"/>
        <w:rPr>
          <w:rFonts w:ascii="Arial" w:hAnsi="Arial"/>
          <w:b/>
          <w:b/>
          <w:color w:val="2E74B5"/>
          <w:sz w:val="24"/>
        </w:rPr>
      </w:pPr>
      <w:r>
        <w:rPr/>
        <w:t xml:space="preserve">REKOMENDĀCIJAS ĪSUMĀ </w:t>
      </w:r>
    </w:p>
    <w:p>
      <w:pPr>
        <w:pStyle w:val="P68B1DB1Normal84"/>
        <w:widowControl w:val="false"/>
        <w:spacing w:lineRule="auto" w:line="240" w:before="69" w:after="0"/>
        <w:ind w:left="283" w:right="0" w:hanging="0"/>
        <w:jc w:val="left"/>
        <w:rPr/>
      </w:pPr>
      <w:r>
        <w:rPr>
          <w:color w:val="BD1271"/>
        </w:rPr>
        <w:t xml:space="preserve">1. </w:t>
      </w:r>
      <w:r>
        <w:rPr>
          <w:color w:val="000000"/>
        </w:rPr>
        <w:t>Efektīvi rīkoties klimata pārmaiņu un alternatīvās enerģijas jomā.</w:t>
      </w:r>
    </w:p>
    <w:p>
      <w:pPr>
        <w:pStyle w:val="P68B1DB1Normal84"/>
        <w:widowControl w:val="false"/>
        <w:spacing w:lineRule="auto" w:line="240"/>
        <w:ind w:left="283" w:right="0" w:hanging="0"/>
        <w:jc w:val="left"/>
        <w:rPr/>
      </w:pPr>
      <w:r>
        <w:rPr>
          <w:color w:val="BD1271"/>
        </w:rPr>
        <w:t xml:space="preserve">2. </w:t>
      </w:r>
      <w:r>
        <w:rPr>
          <w:color w:val="000000"/>
        </w:rPr>
        <w:t>Ieguldīt tūrisma un kultūras ekonomikā, novērtējot arī daudzos mazos galamērķus Eiropā.</w:t>
      </w:r>
    </w:p>
    <w:p>
      <w:pPr>
        <w:pStyle w:val="P68B1DB1Normal84"/>
        <w:widowControl w:val="false"/>
        <w:spacing w:lineRule="auto" w:line="240"/>
        <w:ind w:left="283" w:right="0" w:hanging="0"/>
        <w:jc w:val="left"/>
        <w:rPr/>
      </w:pPr>
      <w:r>
        <w:rPr>
          <w:color w:val="BD1271"/>
        </w:rPr>
        <w:t xml:space="preserve">3. </w:t>
      </w:r>
      <w:r>
        <w:rPr>
          <w:color w:val="000000"/>
        </w:rPr>
        <w:t>Koncentrēšanās uz tehnoloģijām un inovācijām kā izaugsmes virzītājspēkiem.</w:t>
      </w:r>
    </w:p>
    <w:p>
      <w:pPr>
        <w:pStyle w:val="P68B1DB1Normal84"/>
        <w:widowControl w:val="false"/>
        <w:spacing w:lineRule="auto" w:line="240"/>
        <w:ind w:left="283" w:right="0" w:hanging="0"/>
        <w:jc w:val="left"/>
        <w:rPr/>
      </w:pPr>
      <w:r>
        <w:rPr>
          <w:color w:val="BD1271"/>
        </w:rPr>
        <w:t xml:space="preserve">4. </w:t>
      </w:r>
      <w:r>
        <w:rPr>
          <w:color w:val="000000"/>
        </w:rPr>
        <w:t>Samazināt atkarību no citām valstīm no izejvielām, enerģijas avotiem un lauksaimniecības.</w:t>
      </w:r>
    </w:p>
    <w:p>
      <w:pPr>
        <w:pStyle w:val="P68B1DB1Normal84"/>
        <w:widowControl w:val="false"/>
        <w:spacing w:lineRule="auto" w:line="240"/>
        <w:ind w:left="283" w:right="0" w:hanging="0"/>
        <w:jc w:val="left"/>
        <w:rPr/>
      </w:pPr>
      <w:r>
        <w:rPr>
          <w:color w:val="BD1271"/>
        </w:rPr>
        <w:t xml:space="preserve">5. </w:t>
      </w:r>
      <w:r>
        <w:rPr>
          <w:color w:val="000000"/>
        </w:rPr>
        <w:t>Iedrošināt jauniešus studēt zinātnes priekšmetus.</w:t>
      </w:r>
    </w:p>
    <w:p>
      <w:pPr>
        <w:pStyle w:val="P68B1DB1Normal85"/>
        <w:widowControl w:val="false"/>
        <w:spacing w:lineRule="exact" w:line="460"/>
        <w:ind w:left="0" w:right="0" w:hanging="0"/>
        <w:jc w:val="left"/>
        <w:rPr>
          <w:rFonts w:ascii="Arial" w:hAnsi="Arial"/>
          <w:color w:val="FFFFFF"/>
          <w:sz w:val="28"/>
        </w:rPr>
      </w:pPr>
      <w:r>
        <w:rPr/>
        <w:t xml:space="preserve"> </w:t>
      </w:r>
    </w:p>
    <w:p>
      <w:pPr>
        <w:pStyle w:val="P68B1DB1Titre481"/>
        <w:numPr>
          <w:ilvl w:val="0"/>
          <w:numId w:val="2"/>
        </w:numPr>
        <w:rPr>
          <w:color w:val="0066B3"/>
        </w:rPr>
      </w:pPr>
      <w:bookmarkStart w:id="223" w:name="__RefHeading___Toc300430_1346298689"/>
      <w:bookmarkEnd w:id="223"/>
      <w:r>
        <w:rPr/>
        <w:t xml:space="preserve">2. Ģeneratīvi un iekļaujoši ražošanas noteikumi </w:t>
      </w:r>
    </w:p>
    <w:p>
      <w:pPr>
        <w:pStyle w:val="P68B1DB1Normal76"/>
        <w:widowControl w:val="false"/>
        <w:spacing w:lineRule="auto" w:line="240" w:before="91" w:after="0"/>
        <w:ind w:left="0" w:right="2" w:hanging="0"/>
        <w:jc w:val="both"/>
        <w:rPr/>
      </w:pPr>
      <w:r>
        <w:rPr/>
        <w:t xml:space="preserve">Lai pārvarētu pagājušā gadsimta ekonomisko loģiku, ir jāpārskata arī noteikumi un procedūras, kas reglamentē uzņēmējdarbību. Šajā ziņā ir četri ieteikumi, kas atbilst kopējai loģikai: no vienas puses, noteikumu vienkāršošana un, no otras puses, augsta līmeņa modrība pret pārkāpumiem (jo īpaši attiecībā uz viltošanu un negodīgu konkurenci). </w:t>
      </w:r>
    </w:p>
    <w:p>
      <w:pPr>
        <w:pStyle w:val="P68B1DB1Normal76"/>
        <w:widowControl w:val="false"/>
        <w:spacing w:lineRule="auto" w:line="240" w:before="15" w:after="0"/>
        <w:ind w:left="0" w:right="2" w:hanging="0"/>
        <w:jc w:val="both"/>
        <w:rPr/>
      </w:pPr>
      <w:r>
        <w:rPr/>
        <w:t xml:space="preserve">Liela uzmanība tiek pievērsta nepieciešamībai pēc ekonomiskiem noteikumiem, kas galvenokārt ir ģeneratīvi, pēc iespējas samazinot izvēli, kas prasa ražošanas procesu standartizāciju (kas apdraud specifiskus vietējos ražojumus ar dziļām kultūras saknēm), kā arī lauksaimniecības preču iznīcināšanu, jo ir nepieciešams saglabāt iepriekš noteiktus ražošanas apjomus. </w:t>
      </w:r>
    </w:p>
    <w:p>
      <w:pPr>
        <w:pStyle w:val="P68B1DB1Normal83"/>
        <w:widowControl w:val="false"/>
        <w:spacing w:lineRule="auto" w:line="240" w:before="6" w:after="0"/>
        <w:ind w:left="4819" w:right="0" w:hanging="0"/>
        <w:jc w:val="left"/>
        <w:rPr>
          <w:rFonts w:ascii="Arial" w:hAnsi="Arial"/>
          <w:b/>
          <w:b/>
          <w:color w:val="2E74B5"/>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REKOMENDĀCIJAS ĪSUMĀ </w:t>
      </w:r>
    </w:p>
    <w:p>
      <w:pPr>
        <w:pStyle w:val="P68B1DB1Normal84"/>
        <w:widowControl w:val="false"/>
        <w:spacing w:lineRule="auto" w:line="240" w:before="72" w:after="0"/>
        <w:ind w:left="142" w:right="0" w:hanging="0"/>
        <w:jc w:val="left"/>
        <w:rPr/>
      </w:pPr>
      <w:r>
        <w:rPr>
          <w:color w:val="BD1271"/>
        </w:rPr>
        <w:t xml:space="preserve">1. </w:t>
      </w:r>
      <w:r>
        <w:rPr>
          <w:color w:val="000000"/>
        </w:rPr>
        <w:t>Samazināt birokrātiju (atļaujas, sertifikāti).</w:t>
      </w:r>
    </w:p>
    <w:p>
      <w:pPr>
        <w:pStyle w:val="P68B1DB1Normal84"/>
        <w:widowControl w:val="false"/>
        <w:spacing w:lineRule="auto" w:line="240"/>
        <w:ind w:left="142" w:right="0" w:hanging="0"/>
        <w:jc w:val="left"/>
        <w:rPr/>
      </w:pPr>
      <w:r>
        <w:rPr>
          <w:color w:val="BD1271"/>
        </w:rPr>
        <w:t xml:space="preserve">2. </w:t>
      </w:r>
      <w:r>
        <w:rPr>
          <w:color w:val="000000"/>
        </w:rPr>
        <w:t>Samazināt produktu standartizāciju un atzīt vietējās un reģionālās īpatnības kultūras un ražošanas jomā (ražošanas tradīciju ievērošana).</w:t>
      </w:r>
    </w:p>
    <w:p>
      <w:pPr>
        <w:pStyle w:val="P68B1DB1Normal84"/>
        <w:widowControl w:val="false"/>
        <w:spacing w:lineRule="auto" w:line="240"/>
        <w:ind w:left="142" w:right="417" w:hanging="0"/>
        <w:jc w:val="left"/>
        <w:rPr/>
      </w:pPr>
      <w:r>
        <w:rPr>
          <w:color w:val="BD1271"/>
        </w:rPr>
        <w:t xml:space="preserve">3. </w:t>
      </w:r>
      <w:r>
        <w:rPr>
          <w:color w:val="000000"/>
        </w:rPr>
        <w:t>Pārsniegt kvotu loģiku lauksaimnieciskajā ražošanā un no tās izrietošo pārprodukcijas iznīcināšanu.</w:t>
      </w:r>
    </w:p>
    <w:p>
      <w:pPr>
        <w:pStyle w:val="P68B1DB1Normal84"/>
        <w:widowControl w:val="false"/>
        <w:spacing w:lineRule="auto" w:line="240"/>
        <w:ind w:left="142" w:right="0" w:hanging="0"/>
        <w:jc w:val="left"/>
        <w:rPr/>
      </w:pPr>
      <w:r>
        <w:rPr>
          <w:color w:val="BD1271"/>
        </w:rPr>
        <w:t xml:space="preserve">4. </w:t>
      </w:r>
      <w:r>
        <w:rPr>
          <w:color w:val="000000"/>
        </w:rPr>
        <w:t>Cīņa pret viltošanu un negodīgu konkurenci.</w:t>
      </w:r>
    </w:p>
    <w:p>
      <w:pPr>
        <w:pStyle w:val="P68B1DB1Normal86"/>
        <w:widowControl w:val="false"/>
        <w:spacing w:lineRule="auto" w:line="240"/>
        <w:ind w:left="0" w:right="0" w:hanging="0"/>
        <w:jc w:val="left"/>
        <w:rPr>
          <w:rFonts w:ascii="Arial" w:hAnsi="Arial"/>
          <w:color w:val="2E74B5"/>
          <w:sz w:val="28"/>
        </w:rPr>
      </w:pPr>
      <w:r>
        <w:rPr/>
        <w:t xml:space="preserve"> </w:t>
      </w:r>
    </w:p>
    <w:p>
      <w:pPr>
        <w:pStyle w:val="P68B1DB1Titre487"/>
        <w:numPr>
          <w:ilvl w:val="0"/>
          <w:numId w:val="2"/>
        </w:numPr>
        <w:rPr>
          <w:sz w:val="24"/>
        </w:rPr>
      </w:pPr>
      <w:bookmarkStart w:id="224" w:name="__RefHeading___Toc300432_1346298689"/>
      <w:bookmarkEnd w:id="224"/>
      <w:r>
        <w:rPr/>
        <w:t xml:space="preserve">3. Mērot izaugsmi pret laimi iedzīvotāju vidū, nevis produktu daudzumu </w:t>
      </w:r>
    </w:p>
    <w:p>
      <w:pPr>
        <w:pStyle w:val="P68B1DB1Normal76"/>
        <w:widowControl w:val="false"/>
        <w:spacing w:lineRule="auto" w:line="240" w:before="88" w:after="0"/>
        <w:ind w:left="0" w:right="0" w:hanging="0"/>
        <w:jc w:val="both"/>
        <w:rPr/>
      </w:pPr>
      <w:r>
        <w:rPr/>
        <w:t xml:space="preserve">Pārsniedzot pagājušā gadsimta ražošanas modeli, nozīmē ne tikai mainīt ražošanas metodes, bet arī attīstīt jaunu kultūru, kurā izaugsmes rādītāji ir vērsti ne tikai uz saražoto preču daudzumu, bet arī uz spēju garantēt iedzīvotājiem laimes mērķi. Šajā jaunajā ekonomikā preces nevar būt galvenais apsvērums ietekmes un ieguldījumu ziņā, bet šai vietai ir jāatgriežas pie cilvēkiem. Tas ietver pāreju no rādītāju sistēmas, kas balstīta uz saražoto preču daudzumu (IKP), uz sistēmu, kas spēj izmērīt cilvēku labklājību (BIB — bruto laime mājās). </w:t>
      </w:r>
    </w:p>
    <w:p>
      <w:pPr>
        <w:pStyle w:val="P68B1DB1Normal83"/>
        <w:widowControl w:val="false"/>
        <w:spacing w:lineRule="auto" w:line="240" w:before="8" w:after="0"/>
        <w:ind w:left="4819" w:right="0" w:hanging="0"/>
        <w:jc w:val="left"/>
        <w:rPr>
          <w:rFonts w:ascii="Arial" w:hAnsi="Arial"/>
          <w:b/>
          <w:b/>
          <w:color w:val="2E74B5"/>
          <w:sz w:val="24"/>
        </w:rPr>
      </w:pPr>
      <w:r>
        <w:rPr/>
        <w:t xml:space="preserve"> </w:t>
      </w:r>
    </w:p>
    <w:p>
      <w:pPr>
        <w:pStyle w:val="P68B1DB1Normal83"/>
        <w:widowControl w:val="false"/>
        <w:spacing w:lineRule="auto" w:line="240" w:before="69" w:after="0"/>
        <w:ind w:left="3079" w:right="0" w:hanging="0"/>
        <w:jc w:val="left"/>
        <w:rPr>
          <w:rFonts w:ascii="Arial" w:hAnsi="Arial"/>
          <w:b/>
          <w:b/>
          <w:color w:val="2E74B5"/>
          <w:sz w:val="24"/>
        </w:rPr>
      </w:pPr>
      <w:r>
        <w:rPr/>
        <w:t xml:space="preserve">REKOMENDĀCIJAS ĪSUMĀ </w:t>
      </w:r>
    </w:p>
    <w:p>
      <w:pPr>
        <w:pStyle w:val="P68B1DB1Normal84"/>
        <w:widowControl w:val="false"/>
        <w:spacing w:lineRule="auto" w:line="240" w:before="69" w:after="0"/>
        <w:ind w:left="142" w:right="0" w:hanging="0"/>
        <w:jc w:val="left"/>
        <w:rPr/>
      </w:pPr>
      <w:r>
        <w:rPr>
          <w:color w:val="BD1271"/>
        </w:rPr>
        <w:t xml:space="preserve">1. </w:t>
      </w:r>
      <w:r>
        <w:rPr>
          <w:color w:val="000000"/>
        </w:rPr>
        <w:t>Attīstīt ekonomiku, kas vairāk vērsta uz laimes (bruto iekšzemes laimi) ražošanu, nevis uz precēm (iekšzemes kopprodukts).</w:t>
      </w:r>
    </w:p>
    <w:p>
      <w:pPr>
        <w:pStyle w:val="Normal"/>
        <w:widowControl w:val="false"/>
        <w:spacing w:lineRule="exact" w:line="460"/>
        <w:ind w:left="0" w:right="0" w:hanging="0"/>
        <w:jc w:val="left"/>
        <w:rPr>
          <w:rFonts w:ascii="Arial" w:hAnsi="Arial"/>
          <w:color w:val="000000"/>
          <w:sz w:val="28"/>
        </w:rPr>
      </w:pPr>
      <w:r>
        <w:rPr>
          <w:color w:val="000000"/>
          <w:sz w:val="28"/>
        </w:rPr>
      </w:r>
      <w:r>
        <w:br w:type="page"/>
      </w:r>
    </w:p>
    <w:p>
      <w:pPr>
        <w:pStyle w:val="P68B1DB1Titre481"/>
        <w:numPr>
          <w:ilvl w:val="0"/>
          <w:numId w:val="2"/>
        </w:numPr>
        <w:rPr>
          <w:color w:val="0066B3"/>
        </w:rPr>
      </w:pPr>
      <w:bookmarkStart w:id="225" w:name="__RefHeading___Toc300434_1346298689"/>
      <w:bookmarkEnd w:id="225"/>
      <w:r>
        <w:rPr/>
        <w:t xml:space="preserve">4. Lielāka integrācija starp valstīm </w:t>
      </w:r>
    </w:p>
    <w:p>
      <w:pPr>
        <w:pStyle w:val="P68B1DB1Normal76"/>
        <w:widowControl w:val="false"/>
        <w:spacing w:lineRule="auto" w:line="240" w:before="49" w:after="0"/>
        <w:ind w:left="0" w:right="0" w:hanging="0"/>
        <w:jc w:val="both"/>
        <w:rPr/>
      </w:pPr>
      <w:r>
        <w:rPr/>
        <w:t xml:space="preserve">Ikvienam, pat starp tiem, kuri ir mazāk apmierināti ar pašreizējo organizāciju un Eiropas Savienības līdz šim sasniegtajiem rezultātiem, ir skaidrs, ka ar monetāro savienību nepietiek un ka Eiropai ir jāspēj attīstīties ar arvien lielāku spēku kā saskaņotai politiskai vienībai, kas spēj risināt sarunas ar vienotu nostāju ārpus savas puses un darboties ar lielāku solidaritāti iekšēji. Spēcīgāka savienība ir būtisks aspekts Eiropas Savienības politiskā, tirdzniecības un produktīvā spēka stiprināšanā: pamatlikumu viendabīgums, kā arī integrēta un saskaņota uzņēmumu un iedzīvotāju nodokļu sistēma, kurā tiek saskaņotas algas un pakalpojumi iedzīvotājiem. Tikai šādā veidā mums būs Eiropa, kas var samazināt sociālās atšķirības un veicināt dzīves kvalitāti. </w:t>
      </w:r>
    </w:p>
    <w:p>
      <w:pPr>
        <w:pStyle w:val="P68B1DB1Normal76"/>
        <w:widowControl w:val="false"/>
        <w:spacing w:lineRule="auto" w:line="240" w:before="1" w:after="0"/>
        <w:ind w:left="0" w:right="2" w:hanging="0"/>
        <w:jc w:val="both"/>
        <w:rPr/>
      </w:pPr>
      <w:r>
        <w:rPr/>
        <w:t xml:space="preserve">Tas nozīmē neatgriezties pie pēdējo gadu sasniegumiem un saglabāt labklājības valsts koncepciju, ko paneļdiskusiju dalībnieki ir atzinuši par visprogresīvākajiem pasaulē un visvairāk norūpējušies par iespēju vienlīdzības un sociālā taisnīguma nodrošināšanu iedzīvotājiem. </w:t>
      </w:r>
    </w:p>
    <w:p>
      <w:pPr>
        <w:pStyle w:val="P68B1DB1Normal83"/>
        <w:widowControl w:val="false"/>
        <w:spacing w:lineRule="auto" w:line="240" w:before="72" w:after="0"/>
        <w:ind w:left="3000" w:right="0" w:hanging="0"/>
        <w:jc w:val="left"/>
        <w:rPr>
          <w:rFonts w:ascii="Arial" w:hAnsi="Arial"/>
          <w:b/>
          <w:b/>
          <w:color w:val="2E74B5"/>
          <w:sz w:val="24"/>
        </w:rPr>
      </w:pPr>
      <w:r>
        <w:rPr/>
        <w:t xml:space="preserve">REKOMENDĀCIJAS ĪSUMĀ </w:t>
      </w:r>
    </w:p>
    <w:p>
      <w:pPr>
        <w:pStyle w:val="P68B1DB1Normal84"/>
        <w:widowControl w:val="false"/>
        <w:spacing w:lineRule="auto" w:line="240" w:before="69" w:after="0"/>
        <w:ind w:left="283" w:right="0" w:hanging="0"/>
        <w:jc w:val="left"/>
        <w:rPr/>
      </w:pPr>
      <w:r>
        <w:rPr>
          <w:color w:val="BD1271"/>
        </w:rPr>
        <w:t xml:space="preserve">1. </w:t>
      </w:r>
      <w:r>
        <w:rPr>
          <w:color w:val="000000"/>
        </w:rPr>
        <w:t>Kompromitēt sociālās tiesības (sabiedrības veselība, valsts izglītība, nodarbinātības politika).</w:t>
      </w:r>
    </w:p>
    <w:p>
      <w:pPr>
        <w:pStyle w:val="P68B1DB1Normal84"/>
        <w:widowControl w:val="false"/>
        <w:spacing w:lineRule="auto" w:line="240"/>
        <w:ind w:left="283" w:right="0" w:hanging="0"/>
        <w:jc w:val="left"/>
        <w:rPr/>
      </w:pPr>
      <w:r>
        <w:rPr>
          <w:color w:val="BD1271"/>
        </w:rPr>
        <w:t xml:space="preserve">2. </w:t>
      </w:r>
      <w:r>
        <w:rPr>
          <w:color w:val="000000"/>
        </w:rPr>
        <w:t>Konsolidēt to, kas ir paveikts attiecībā uz vienoto valūtu un maksājumu sistēmu un telekomunikāciju savstarpējo savienojamību.</w:t>
      </w:r>
    </w:p>
    <w:p>
      <w:pPr>
        <w:pStyle w:val="P68B1DB1Normal88"/>
        <w:widowControl w:val="false"/>
        <w:spacing w:lineRule="auto" w:line="240"/>
        <w:ind w:left="0" w:right="0" w:hanging="0"/>
        <w:jc w:val="left"/>
        <w:rPr>
          <w:rFonts w:ascii="Arial" w:hAnsi="Arial"/>
          <w:color w:val="000000"/>
          <w:sz w:val="18"/>
        </w:rPr>
      </w:pPr>
      <w:r>
        <w:rPr/>
        <w:t xml:space="preserve"> </w:t>
      </w:r>
    </w:p>
    <w:p>
      <w:pPr>
        <w:pStyle w:val="P68B1DB1Normal76"/>
        <w:widowControl w:val="false"/>
        <w:spacing w:lineRule="auto" w:line="240" w:before="57" w:after="0"/>
        <w:ind w:left="0" w:right="0" w:hanging="0"/>
        <w:jc w:val="both"/>
        <w:rPr/>
      </w:pPr>
      <w:r>
        <w:rPr/>
        <w:t xml:space="preserve">Tomēr šodien šķiet, ka viss, kas paveikts pagātnē, vairs nav pietiekams, un nākotnes Eiropai ir jāveic izšķirošs solis uz priekšu attiecībā uz integrāciju starp dalībvalstīm saskaņā ar iekšējo redzējumu, kas vairs nav balstīts uz konkurenci, bet gan uz sadarbību, nodrošinot, ka ikvienam Eiropas pilsonim visās Savienības dalībvalstīs ir vienādas garantiju un iespēju sistēmas. </w:t>
      </w:r>
    </w:p>
    <w:p>
      <w:pPr>
        <w:pStyle w:val="P68B1DB1Normal34"/>
        <w:widowControl w:val="false"/>
        <w:spacing w:lineRule="auto" w:line="240" w:before="3" w:after="0"/>
        <w:ind w:left="0" w:right="0" w:hanging="0"/>
        <w:jc w:val="left"/>
        <w:rPr>
          <w:rFonts w:ascii="Arial" w:hAnsi="Arial"/>
          <w:color w:val="000000"/>
          <w:sz w:val="24"/>
        </w:rPr>
      </w:pPr>
      <w:r>
        <w:rPr/>
        <w:t xml:space="preserve"> </w:t>
      </w:r>
    </w:p>
    <w:p>
      <w:pPr>
        <w:pStyle w:val="P68B1DB1Normal83"/>
        <w:widowControl w:val="false"/>
        <w:spacing w:lineRule="auto" w:line="240" w:before="81" w:after="0"/>
        <w:ind w:left="3000" w:right="0" w:hanging="0"/>
        <w:jc w:val="left"/>
        <w:rPr>
          <w:rFonts w:ascii="Arial" w:hAnsi="Arial"/>
          <w:b/>
          <w:b/>
          <w:color w:val="2E74B5"/>
          <w:sz w:val="24"/>
        </w:rPr>
      </w:pPr>
      <w:r>
        <w:rPr/>
        <w:t xml:space="preserve">REKOMENDĀCIJAS ĪSUMĀ </w:t>
      </w:r>
    </w:p>
    <w:p>
      <w:pPr>
        <w:pStyle w:val="P68B1DB1Normal84"/>
        <w:widowControl w:val="false"/>
        <w:spacing w:lineRule="auto" w:line="240" w:before="72" w:after="0"/>
        <w:ind w:left="283" w:right="0" w:hanging="0"/>
        <w:jc w:val="left"/>
        <w:rPr/>
      </w:pPr>
      <w:r>
        <w:rPr>
          <w:color w:val="BD1271"/>
        </w:rPr>
        <w:t xml:space="preserve">1. </w:t>
      </w:r>
      <w:r>
        <w:rPr>
          <w:color w:val="000000"/>
        </w:rPr>
        <w:t>Pārsniedziet valstu egoismu un tendenci meklēt individuālus labumus uz citu rēķina.</w:t>
      </w:r>
    </w:p>
    <w:p>
      <w:pPr>
        <w:pStyle w:val="P68B1DB1Normal84"/>
        <w:widowControl w:val="false"/>
        <w:spacing w:lineRule="auto" w:line="240"/>
        <w:ind w:left="283" w:right="0" w:hanging="0"/>
        <w:jc w:val="left"/>
        <w:rPr/>
      </w:pPr>
      <w:r>
        <w:rPr>
          <w:color w:val="BD1271"/>
        </w:rPr>
        <w:t xml:space="preserve">2. </w:t>
      </w:r>
      <w:r>
        <w:rPr>
          <w:color w:val="000000"/>
        </w:rPr>
        <w:t>Izveidot sistēmu ar vienādiem tiesību aktiem, nodokļu sistēmām, tiesībām un pienākumiem visās valstīs.</w:t>
      </w:r>
    </w:p>
    <w:p>
      <w:pPr>
        <w:pStyle w:val="P68B1DB1Normal84"/>
        <w:widowControl w:val="false"/>
        <w:spacing w:lineRule="auto" w:line="240"/>
        <w:ind w:left="283" w:right="0" w:hanging="0"/>
        <w:jc w:val="left"/>
        <w:rPr/>
      </w:pPr>
      <w:r>
        <w:rPr>
          <w:color w:val="BD1271"/>
        </w:rPr>
        <w:t xml:space="preserve">3. </w:t>
      </w:r>
      <w:r>
        <w:rPr>
          <w:color w:val="000000"/>
        </w:rPr>
        <w:t>Koordinēti nodokļu režīmi starp dažādām valstīm, jo īpaši attiecībā uz uzņēmumiem (bez brīvajām zonām vai zemiem nodokļiem).</w:t>
      </w:r>
    </w:p>
    <w:p>
      <w:pPr>
        <w:pStyle w:val="P68B1DB1Normal84"/>
        <w:widowControl w:val="false"/>
        <w:spacing w:lineRule="auto" w:line="240"/>
        <w:ind w:left="283" w:right="416" w:hanging="0"/>
        <w:jc w:val="left"/>
        <w:rPr/>
      </w:pPr>
      <w:r>
        <w:rPr>
          <w:color w:val="BD1271"/>
        </w:rPr>
        <w:t xml:space="preserve">4. </w:t>
      </w:r>
      <w:r>
        <w:rPr>
          <w:color w:val="000000"/>
        </w:rPr>
        <w:t>Konsekventas produktu cenas un vienādas pirktspējas garantija starp dažādām valstīm.</w:t>
      </w:r>
    </w:p>
    <w:p>
      <w:pPr>
        <w:pStyle w:val="P68B1DB1Normal84"/>
        <w:widowControl w:val="false"/>
        <w:spacing w:lineRule="auto" w:line="240"/>
        <w:ind w:left="283" w:right="416" w:hanging="0"/>
        <w:jc w:val="left"/>
        <w:rPr/>
      </w:pPr>
      <w:r>
        <w:rPr>
          <w:color w:val="BD1271"/>
        </w:rPr>
        <w:t xml:space="preserve">5. </w:t>
      </w:r>
      <w:r>
        <w:rPr>
          <w:color w:val="000000"/>
        </w:rPr>
        <w:t>Samazināt algu atšķirības starp dažādām valstīm un ģeogrāfiskiem reģioniem vienā un tajā pašā valstī.</w:t>
      </w:r>
    </w:p>
    <w:p>
      <w:pPr>
        <w:pStyle w:val="P68B1DB1Normal84"/>
        <w:widowControl w:val="false"/>
        <w:spacing w:lineRule="auto" w:line="240"/>
        <w:ind w:left="283" w:right="416" w:hanging="0"/>
        <w:jc w:val="left"/>
        <w:rPr/>
      </w:pPr>
      <w:r>
        <w:rPr>
          <w:color w:val="BD1271"/>
        </w:rPr>
        <w:t xml:space="preserve">6. </w:t>
      </w:r>
      <w:r>
        <w:rPr>
          <w:color w:val="000000"/>
        </w:rPr>
        <w:t>Padarīt vairāku dalībvalstu valsts parādu par kopīgu atbildību.</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Titre481"/>
        <w:numPr>
          <w:ilvl w:val="0"/>
          <w:numId w:val="2"/>
        </w:numPr>
        <w:rPr>
          <w:color w:val="0066B3"/>
        </w:rPr>
      </w:pPr>
      <w:bookmarkStart w:id="226" w:name="__RefHeading___Toc300436_1346298689"/>
      <w:bookmarkEnd w:id="226"/>
      <w:r>
        <w:rPr/>
        <w:t xml:space="preserve">5. Iekļaušanas politika </w:t>
      </w:r>
    </w:p>
    <w:p>
      <w:pPr>
        <w:pStyle w:val="P68B1DB1Normal76"/>
        <w:widowControl w:val="false"/>
        <w:spacing w:lineRule="auto" w:line="240" w:before="88" w:after="0"/>
        <w:ind w:left="0" w:right="0" w:hanging="0"/>
        <w:jc w:val="both"/>
        <w:rPr/>
      </w:pPr>
      <w:r>
        <w:rPr/>
        <w:t xml:space="preserve">Taisnīga Eiropa, kas spēj piedāvāt laimi saviem pilsoņiem, ir iekļaujoša Eiropa, kas vienmēr pievērš lielu uzmanību cīņai pret nevienlīdzību. Ieteikumos ir izklāstīta virzība uz ilgtermiņa mērķu (piemēram, dzimumu līdztiesības) sasniegšanu un noteiktas jaunas prasības saistībā ar mūsdienu sabiedrības kultūras pārmaiņām (digitālā nevienlīdzība un tiesības dzīvot veselīgā vidē). </w:t>
      </w:r>
    </w:p>
    <w:p>
      <w:pPr>
        <w:pStyle w:val="P68B1DB1Normal89"/>
        <w:widowControl w:val="false"/>
        <w:spacing w:lineRule="auto" w:line="240" w:before="74" w:after="0"/>
        <w:ind w:left="4819" w:right="0" w:hanging="0"/>
        <w:jc w:val="left"/>
        <w:rPr>
          <w:rFonts w:ascii="Arial" w:hAnsi="Arial"/>
          <w:b/>
          <w:b/>
          <w:color w:val="BD1271"/>
          <w:sz w:val="24"/>
        </w:rPr>
      </w:pPr>
      <w:r>
        <w:rPr/>
        <w:t xml:space="preserve"> </w:t>
      </w:r>
    </w:p>
    <w:p>
      <w:pPr>
        <w:pStyle w:val="P68B1DB1Normal83"/>
        <w:widowControl w:val="false"/>
        <w:spacing w:lineRule="auto" w:line="240" w:before="72" w:after="0"/>
        <w:ind w:left="3000" w:right="0" w:hanging="0"/>
        <w:jc w:val="left"/>
        <w:rPr>
          <w:rFonts w:ascii="Arial" w:hAnsi="Arial"/>
          <w:b/>
          <w:b/>
          <w:color w:val="2E74B5"/>
          <w:sz w:val="24"/>
        </w:rPr>
      </w:pPr>
      <w:r>
        <w:rPr/>
        <w:t xml:space="preserve">REKOMENDĀCIJAS ĪSUMĀ </w:t>
      </w:r>
    </w:p>
    <w:p>
      <w:pPr>
        <w:pStyle w:val="P68B1DB1Normal84"/>
        <w:widowControl w:val="false"/>
        <w:spacing w:lineRule="auto" w:line="240" w:before="69" w:after="0"/>
        <w:ind w:left="283" w:right="0" w:hanging="0"/>
        <w:jc w:val="left"/>
        <w:rPr/>
      </w:pPr>
      <w:r>
        <w:rPr>
          <w:color w:val="BD1271"/>
        </w:rPr>
        <w:t xml:space="preserve">1. </w:t>
      </w:r>
      <w:r>
        <w:rPr>
          <w:color w:val="000000"/>
        </w:rPr>
        <w:t>Panākt pilnīgu dzimumu līdztiesību, tostarp stiprinot bērna kopšanas atvaļinājumu un bērnu aprūpes iespējas.</w:t>
      </w:r>
    </w:p>
    <w:p>
      <w:pPr>
        <w:pStyle w:val="P68B1DB1Normal84"/>
        <w:widowControl w:val="false"/>
        <w:spacing w:lineRule="auto" w:line="240"/>
        <w:ind w:left="283" w:right="0" w:hanging="0"/>
        <w:jc w:val="left"/>
        <w:rPr/>
      </w:pPr>
      <w:r>
        <w:rPr>
          <w:color w:val="BD1271"/>
        </w:rPr>
        <w:t xml:space="preserve">2. </w:t>
      </w:r>
      <w:r>
        <w:rPr>
          <w:color w:val="000000"/>
        </w:rPr>
        <w:t>Digitālās nevienlīdzības novēršana.</w:t>
      </w:r>
    </w:p>
    <w:p>
      <w:pPr>
        <w:pStyle w:val="P68B1DB1Normal84"/>
        <w:widowControl w:val="false"/>
        <w:spacing w:lineRule="auto" w:line="240"/>
        <w:ind w:left="283" w:right="0" w:hanging="0"/>
        <w:jc w:val="left"/>
        <w:rPr/>
      </w:pPr>
      <w:r>
        <w:rPr>
          <w:color w:val="BD1271"/>
        </w:rPr>
        <w:t xml:space="preserve">3. </w:t>
      </w:r>
      <w:r>
        <w:rPr>
          <w:color w:val="000000"/>
        </w:rPr>
        <w:t>Nodrošināt, ka visi Eiropas iedzīvotāji var dzīvot veselīgā un ilgtspējīgā vidē.</w:t>
      </w:r>
    </w:p>
    <w:p>
      <w:pPr>
        <w:pStyle w:val="P68B1DB1Normal84"/>
        <w:widowControl w:val="false"/>
        <w:spacing w:lineRule="auto" w:line="240"/>
        <w:ind w:left="283" w:right="0" w:hanging="0"/>
        <w:jc w:val="left"/>
        <w:rPr/>
      </w:pPr>
      <w:r>
        <w:rPr>
          <w:color w:val="BD1271"/>
        </w:rPr>
        <w:t xml:space="preserve">4. </w:t>
      </w:r>
      <w:r>
        <w:rPr>
          <w:color w:val="000000"/>
        </w:rPr>
        <w:t>Nodrošināt sociālās mobilitātes iespējas un tādējādi nodrošināt visas personīgās attīstības un pašnoteikšanās iespējas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5. </w:t>
      </w:r>
      <w:r>
        <w:rPr>
          <w:color w:val="000000"/>
        </w:rPr>
        <w:t>Veicināt paaudžu atjaunošanu visos līmeņos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6. </w:t>
      </w:r>
      <w:r>
        <w:rPr>
          <w:color w:val="000000"/>
        </w:rPr>
        <w:t>Līdzsvaroti pārvaldīt bēgļu un migrantu uzņemšanu starp dažādām valstīm.</w:t>
      </w:r>
    </w:p>
    <w:p>
      <w:pPr>
        <w:pStyle w:val="P68B1DB1Normal76"/>
        <w:widowControl w:val="false"/>
        <w:spacing w:lineRule="auto" w:line="240" w:before="106" w:after="0"/>
        <w:ind w:left="0" w:right="0" w:hanging="0"/>
        <w:jc w:val="both"/>
        <w:rPr/>
      </w:pPr>
      <w:r>
        <w:rPr/>
        <w:t xml:space="preserve">Atkal šķiet, ka skolu un izglītības politikas nozīme ir būtiska ne tikai tam, lai jauniešiem nodrošinātu prasmes, kas viņiem vajadzīgas, lai iekļūtu darba tirgū, bet arī lai veidotu Eiropas kultūru. Pēc iestāžu Eiropas izveides ir svarīgi veidot tautu Eiropu. Šajā sakarā uzsvars tiek likts uz kopīgas valodas centrālo nozīmi, lai nodrošinātu dialogu starp dažādu valstu pilsoņiem un vienlīdzīgu piekļuvi pakalpojumiem. Kā Esperanto sapnis sabruka, Apvienotās Karalistes izstāšanās no Eiropas Savienības radīja šaubas par iespēju pieņemt angļu valodu kā kopīgu valodu, galveno valodu starptautiskajās attiecībās un zinātnes un ekonomikas sistēmā. </w:t>
      </w:r>
    </w:p>
    <w:p>
      <w:pPr>
        <w:pStyle w:val="P68B1DB1Normal90"/>
        <w:widowControl w:val="false"/>
        <w:spacing w:lineRule="auto" w:line="240" w:before="86" w:after="0"/>
        <w:ind w:left="0" w:right="0" w:hanging="0"/>
        <w:jc w:val="left"/>
        <w:rPr>
          <w:rFonts w:ascii="Arial" w:hAnsi="Arial"/>
          <w:color w:val="000000"/>
          <w:sz w:val="16"/>
        </w:rPr>
      </w:pPr>
      <w:r>
        <w:rPr/>
        <w:t xml:space="preserve"> </w:t>
      </w:r>
    </w:p>
    <w:p>
      <w:pPr>
        <w:pStyle w:val="P68B1DB1Normal83"/>
        <w:widowControl w:val="false"/>
        <w:spacing w:lineRule="auto" w:line="240" w:before="45" w:after="0"/>
        <w:ind w:left="3142" w:right="0" w:hanging="0"/>
        <w:jc w:val="left"/>
        <w:rPr>
          <w:rFonts w:ascii="Arial" w:hAnsi="Arial"/>
          <w:b/>
          <w:b/>
          <w:color w:val="2E74B5"/>
          <w:sz w:val="24"/>
        </w:rPr>
      </w:pPr>
      <w:r>
        <w:rPr/>
        <w:t xml:space="preserve">REKOMENDĀCIJAS ĪSUMĀ </w:t>
      </w:r>
    </w:p>
    <w:p>
      <w:pPr>
        <w:pStyle w:val="P68B1DB1Normal84"/>
        <w:widowControl w:val="false"/>
        <w:spacing w:lineRule="auto" w:line="240" w:before="72" w:after="0"/>
        <w:ind w:left="283" w:right="0" w:hanging="0"/>
        <w:jc w:val="left"/>
        <w:rPr/>
      </w:pPr>
      <w:r>
        <w:rPr>
          <w:color w:val="BD1271"/>
        </w:rPr>
        <w:t xml:space="preserve">1. </w:t>
      </w:r>
      <w:r>
        <w:rPr>
          <w:color w:val="000000"/>
        </w:rPr>
        <w:t>Veicināt kopīgas valodas pieņemšanu.</w:t>
      </w:r>
    </w:p>
    <w:p>
      <w:pPr>
        <w:pStyle w:val="P68B1DB1Normal84"/>
        <w:widowControl w:val="false"/>
        <w:spacing w:lineRule="auto" w:line="240"/>
        <w:ind w:left="283" w:right="0" w:hanging="0"/>
        <w:jc w:val="left"/>
        <w:rPr/>
      </w:pPr>
      <w:r>
        <w:rPr>
          <w:color w:val="BD1271"/>
        </w:rPr>
        <w:t xml:space="preserve">2. </w:t>
      </w:r>
      <w:r>
        <w:rPr>
          <w:color w:val="000000"/>
        </w:rPr>
        <w:t>Ieguldīt Eiropas vēstures skolās un mācīšanā, nevis katrā valstī, kā arī politiskās ekonomikas un pilsoniskās izglītības mācīšanā.</w:t>
      </w:r>
    </w:p>
    <w:p>
      <w:pPr>
        <w:pStyle w:val="P68B1DB1Normal84"/>
        <w:widowControl w:val="false"/>
        <w:spacing w:lineRule="auto" w:line="240"/>
        <w:ind w:left="283" w:right="417" w:hanging="0"/>
        <w:jc w:val="left"/>
        <w:rPr/>
      </w:pPr>
      <w:r>
        <w:rPr>
          <w:color w:val="BD1271"/>
        </w:rPr>
        <w:t xml:space="preserve">3. </w:t>
      </w:r>
      <w:r>
        <w:rPr>
          <w:color w:val="000000"/>
        </w:rPr>
        <w:t>Kultūras pieejamība, izglītība un apmaiņa starp dažādu dalībvalstu studentiem un pilsoņiem.</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76"/>
        <w:widowControl w:val="false"/>
        <w:spacing w:lineRule="auto" w:line="240" w:before="109" w:after="0"/>
        <w:ind w:left="0" w:right="0" w:hanging="0"/>
        <w:jc w:val="both"/>
        <w:rPr/>
      </w:pPr>
      <w:r>
        <w:rPr/>
        <w:t xml:space="preserve">Iekļaušanas politikai ir būtiska nozīme, lai nodrošinātu, ka iedzīvotājiem ir pieejamas iespējas. Šajā sakarā žūrijas dalībnieki uzsvēra, ka Itālija bieži vien nespēj izmantot šim nolūkam piešķirtos ES līdzekļus. Iekļaušana un pieejamība nozīmē, ka Eiropas iestādēm ir jābūt tuvākām saviem pilsoņiem, un šie jēdzieni ir cieši saistīti ar plašāku informāciju un izpratni par Eiropas pilsoņu tiesībām kā tādiem. No šāda viedokļa ir parādījusies tiešas attiecības starp ES iestādēm un pilsoņiem nozīme, un dalībvalstīm nav obligāti jāuzņemas vidutāja loma.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REKOMENDĀCIJAS ĪSUMĀ</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Veicināt ES līdzekļu izmantošanu nevienlīdzības mazināšanai</w:t>
      </w:r>
      <w:r>
        <w:rPr>
          <w:color w:val="FF0000"/>
        </w:rPr>
        <w:t>.</w:t>
      </w:r>
      <w:r>
        <w:rPr>
          <w:color w:val="000000"/>
        </w:rPr>
        <w:t xml:space="preserve"> </w:t>
      </w:r>
    </w:p>
    <w:p>
      <w:pPr>
        <w:pStyle w:val="P68B1DB1Normal84"/>
        <w:widowControl w:val="false"/>
        <w:spacing w:lineRule="auto" w:line="240"/>
        <w:ind w:left="283" w:right="416" w:hanging="0"/>
        <w:jc w:val="left"/>
        <w:rPr/>
      </w:pPr>
      <w:r>
        <w:rPr>
          <w:color w:val="BD1271"/>
        </w:rPr>
        <w:t xml:space="preserve">2. </w:t>
      </w:r>
      <w:r>
        <w:rPr>
          <w:color w:val="000000"/>
        </w:rPr>
        <w:t>Eiropas iestāžu pieejamība un tuvums iedzīvotājiem.</w:t>
      </w:r>
    </w:p>
    <w:p>
      <w:pPr>
        <w:pStyle w:val="P68B1DB1Normal84"/>
        <w:widowControl w:val="false"/>
        <w:spacing w:lineRule="auto" w:line="240"/>
        <w:ind w:left="283" w:right="416" w:hanging="0"/>
        <w:jc w:val="left"/>
        <w:rPr/>
      </w:pPr>
      <w:r>
        <w:rPr>
          <w:color w:val="BD1271"/>
        </w:rPr>
        <w:t xml:space="preserve">3. </w:t>
      </w:r>
      <w:r>
        <w:rPr>
          <w:color w:val="000000"/>
        </w:rPr>
        <w:t>Skaidri informēt pilsoņus par viņu tiesībām un iespējām un veicināt pilsoņu tiešu piekļuvi tām.</w:t>
      </w:r>
    </w:p>
    <w:p>
      <w:pPr>
        <w:pStyle w:val="P68B1DB1Normal91"/>
        <w:widowControl w:val="false"/>
        <w:spacing w:lineRule="auto" w:line="240"/>
        <w:ind w:left="0" w:right="0" w:hanging="0"/>
        <w:jc w:val="left"/>
        <w:rPr>
          <w:rFonts w:ascii="Arial" w:hAnsi="Arial"/>
          <w:color w:val="000000"/>
          <w:sz w:val="28"/>
        </w:rPr>
      </w:pPr>
      <w:r>
        <w:rPr/>
        <w:t xml:space="preserve"> </w:t>
      </w:r>
    </w:p>
    <w:p>
      <w:pPr>
        <w:pStyle w:val="P68B1DB1Titre481"/>
        <w:numPr>
          <w:ilvl w:val="0"/>
          <w:numId w:val="2"/>
        </w:numPr>
        <w:rPr>
          <w:color w:val="0066B3"/>
        </w:rPr>
      </w:pPr>
      <w:bookmarkStart w:id="227" w:name="__RefHeading___Toc300438_1346298689"/>
      <w:bookmarkEnd w:id="227"/>
      <w:r>
        <w:rPr/>
        <w:t xml:space="preserve">6. Nodarbinātība </w:t>
      </w:r>
    </w:p>
    <w:p>
      <w:pPr>
        <w:pStyle w:val="Normal"/>
        <w:widowControl w:val="false"/>
        <w:spacing w:lineRule="auto" w:line="240" w:before="97" w:after="0"/>
        <w:ind w:left="0" w:right="1" w:hanging="0"/>
        <w:jc w:val="both"/>
        <w:rPr/>
      </w:pPr>
      <w:r>
        <w:rPr>
          <w:color w:val="000000"/>
        </w:rPr>
        <w:t xml:space="preserve">Nodarbinātības jautājums pastāvīgi ir kļuvis par transversālu elementu un tiešu ietekmi uz Eiropas Savienības spēju reaģēt uz tās ieteikumiem. Debatēs </w:t>
      </w:r>
      <w:r>
        <w:rPr>
          <w:color w:val="FF0000"/>
        </w:rPr>
        <w:t>starp</w:t>
      </w:r>
      <w:r>
        <w:rPr>
          <w:color w:val="000000"/>
        </w:rPr>
        <w:t xml:space="preserve"> dalībniekiem bija skaidrs, ka nodarbinātības jautājums ir pilsoņu dzīves pamatā, bet tas ir cieši saistīts ar ekonomiskā un sociālā taisnīguma jautājumu stiprināšanu. Eiropas Savienība, kurā aktīva darba politika joprojām ir centrāla un arvien koordinētāka, ir ļoti gaidāma. </w:t>
      </w:r>
    </w:p>
    <w:p>
      <w:pPr>
        <w:pStyle w:val="P68B1DB1Normal34"/>
        <w:widowControl w:val="false"/>
        <w:spacing w:lineRule="auto" w:line="240" w:before="77"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REKOMENDĀCIJAS ĪSUMĀ</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Veicināt tirdzniecību starp darba ņēmējiem Eiropā, izmantojot Eiropas Nodarbinātības centru.</w:t>
      </w:r>
    </w:p>
    <w:p>
      <w:pPr>
        <w:pStyle w:val="P68B1DB1Normal84"/>
        <w:widowControl w:val="false"/>
        <w:spacing w:lineRule="auto" w:line="240"/>
        <w:ind w:left="283" w:right="0" w:hanging="0"/>
        <w:jc w:val="left"/>
        <w:rPr/>
      </w:pPr>
      <w:r>
        <w:rPr>
          <w:color w:val="BD1271"/>
        </w:rPr>
        <w:t xml:space="preserve">2. </w:t>
      </w:r>
      <w:r>
        <w:rPr>
          <w:color w:val="000000"/>
        </w:rPr>
        <w:t>Integrēt nodarbinātības politiku ES līmenī.</w:t>
      </w:r>
    </w:p>
    <w:p>
      <w:pPr>
        <w:pStyle w:val="P68B1DB1Normal84"/>
        <w:widowControl w:val="false"/>
        <w:spacing w:lineRule="auto" w:line="240"/>
        <w:ind w:left="283" w:right="0" w:hanging="0"/>
        <w:jc w:val="left"/>
        <w:rPr/>
      </w:pPr>
      <w:r>
        <w:rPr>
          <w:color w:val="BD1271"/>
        </w:rPr>
        <w:t xml:space="preserve">3. </w:t>
      </w:r>
      <w:r>
        <w:rPr>
          <w:color w:val="000000"/>
        </w:rPr>
        <w:t>Nodrošināt stimulus uzņēmumiem, kas piedāvā darbvietas.</w:t>
      </w:r>
    </w:p>
    <w:p>
      <w:pPr>
        <w:pStyle w:val="Normal"/>
        <w:widowControl w:val="false"/>
        <w:spacing w:lineRule="auto" w:line="240"/>
        <w:ind w:left="994" w:right="0" w:hanging="0"/>
        <w:jc w:val="left"/>
        <w:rPr>
          <w:rFonts w:ascii="Arial" w:hAnsi="Arial"/>
          <w:color w:val="000000"/>
          <w:sz w:val="28"/>
        </w:rPr>
      </w:pPr>
      <w:r>
        <w:rPr>
          <w:color w:val="000000"/>
          <w:sz w:val="28"/>
        </w:rPr>
      </w:r>
      <w:r>
        <w:br w:type="page"/>
      </w:r>
    </w:p>
    <w:p>
      <w:pPr>
        <w:pStyle w:val="P68B1DB1Titre392"/>
        <w:numPr>
          <w:ilvl w:val="0"/>
          <w:numId w:val="2"/>
        </w:numPr>
        <w:rPr>
          <w:color w:val="FFFFFF"/>
          <w:highlight w:val="darkCyan"/>
        </w:rPr>
      </w:pPr>
      <w:bookmarkStart w:id="228" w:name="__RefHeading___Toc300320_1346298689"/>
      <w:bookmarkEnd w:id="228"/>
      <w:r>
        <w:rPr/>
        <w:t xml:space="preserve"> </w:t>
      </w:r>
      <w:r>
        <w:rPr/>
        <w:t xml:space="preserve">Eiropa pasaulē </w:t>
      </w:r>
    </w:p>
    <w:p>
      <w:pPr>
        <w:pStyle w:val="P68B1DB1Normal76"/>
        <w:widowControl w:val="false"/>
        <w:spacing w:lineRule="exact" w:line="380" w:before="143" w:after="0"/>
        <w:ind w:left="74" w:right="0" w:hanging="0"/>
        <w:jc w:val="both"/>
        <w:rPr/>
      </w:pPr>
      <w:r>
        <w:rPr/>
        <w:t xml:space="preserve">Nesenie starptautiskie notikumi un jo īpaši karš starp Krieviju un Ukrainu ir būtiski ietekmējuši izpratni par lomu, kāda Eiropai būs jāuzņemas starptautiskā līmenī. Savāktie ieteikumi galvenokārt bija vērsti uz ES stiprināšanu (gan identitātes, gan ekonomiskās varas ziņā) un tās kā atsauces un atveseļošanas modeļa pozicionēšanu attiecībās ar citām valstīm. </w:t>
      </w:r>
    </w:p>
    <w:p>
      <w:pPr>
        <w:pStyle w:val="P68B1DB1Normal34"/>
        <w:widowControl w:val="false"/>
        <w:spacing w:lineRule="exact" w:line="393" w:before="1424" w:after="0"/>
        <w:ind w:left="74" w:right="0"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59">
                <wp:simplePos x="0" y="0"/>
                <wp:positionH relativeFrom="column">
                  <wp:posOffset>-166370</wp:posOffset>
                </wp:positionH>
                <wp:positionV relativeFrom="paragraph">
                  <wp:posOffset>67945</wp:posOffset>
                </wp:positionV>
                <wp:extent cx="6453505" cy="904875"/>
                <wp:effectExtent l="0" t="0" r="0" b="0"/>
                <wp:wrapTopAndBottom/>
                <wp:docPr id="106" name="7. veidlapa"/>
                <a:graphic xmlns:a="http://schemas.openxmlformats.org/drawingml/2006/main">
                  <a:graphicData uri="http://schemas.microsoft.com/office/word/2010/wordprocessingGroup">
                    <wpg:wgp>
                      <wpg:cNvGrpSpPr/>
                      <wpg:grpSpPr>
                        <a:xfrm>
                          <a:off x="0" y="0"/>
                          <a:ext cx="6453000" cy="904320"/>
                        </a:xfrm>
                      </wpg:grpSpPr>
                      <pic:pic xmlns:pic="http://schemas.openxmlformats.org/drawingml/2006/picture">
                        <pic:nvPicPr>
                          <pic:cNvPr id="9" name="" descr=""/>
                          <pic:cNvPicPr/>
                        </pic:nvPicPr>
                        <pic:blipFill>
                          <a:blip r:embed="rId109"/>
                          <a:stretch/>
                        </pic:blipFill>
                        <pic:spPr>
                          <a:xfrm rot="10800000">
                            <a:off x="444600" y="207000"/>
                            <a:ext cx="5524560" cy="348480"/>
                          </a:xfrm>
                          <a:prstGeom prst="rect">
                            <a:avLst/>
                          </a:prstGeom>
                          <a:ln>
                            <a:noFill/>
                          </a:ln>
                        </pic:spPr>
                      </pic:pic>
                      <wps:wsp>
                        <wps:cNvSpPr/>
                        <wps:spPr>
                          <a:xfrm>
                            <a:off x="0" y="118080"/>
                            <a:ext cx="15336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Eiropas identitātes stiprināšana</w:t>
                              </w:r>
                            </w:p>
                          </w:txbxContent>
                        </wps:txbx>
                        <wps:bodyPr lIns="90000" rIns="90000" tIns="45000" bIns="45000">
                          <a:noAutofit/>
                        </wps:bodyPr>
                      </wps:wsp>
                      <wps:wsp>
                        <wps:cNvSpPr/>
                        <wps:spPr>
                          <a:xfrm>
                            <a:off x="1477800" y="84600"/>
                            <a:ext cx="163656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Ekonomikas un iestāžu stiprināšana</w:t>
                              </w:r>
                            </w:p>
                          </w:txbxContent>
                        </wps:txbx>
                        <wps:bodyPr lIns="90000" rIns="90000" tIns="45000" bIns="45000">
                          <a:noAutofit/>
                        </wps:bodyPr>
                      </wps:wsp>
                      <wps:wsp>
                        <wps:cNvSpPr/>
                        <wps:spPr>
                          <a:xfrm>
                            <a:off x="3385080" y="0"/>
                            <a:ext cx="1589400" cy="47052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Sadarbība un partnerības</w:t>
                              </w:r>
                            </w:p>
                          </w:txbxContent>
                        </wps:txbx>
                        <wps:bodyPr lIns="90000" rIns="90000" tIns="45000" bIns="45000">
                          <a:noAutofit/>
                        </wps:bodyPr>
                      </wps:wsp>
                      <wps:wsp>
                        <wps:cNvSpPr/>
                        <wps:spPr>
                          <a:xfrm>
                            <a:off x="4845600" y="8280"/>
                            <a:ext cx="1607040" cy="5918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Politiskais un kultūras atskaites punkts</w:t>
                              </w:r>
                            </w:p>
                          </w:txbxContent>
                        </wps:txbx>
                        <wps:bodyPr lIns="90000" rIns="90000" tIns="45000" bIns="45000">
                          <a:noAutofit/>
                        </wps:bodyPr>
                      </wps:wsp>
                    </wpg:wgp>
                  </a:graphicData>
                </a:graphic>
              </wp:anchor>
            </w:drawing>
          </mc:Choice>
          <mc:Fallback>
            <w:pict>
              <v:group id="shape_0" alt="7. veidlapa" style="position:absolute;margin-left:-13.1pt;margin-top:5.35pt;width:508.1pt;height:71.15pt" coordorigin="-262,107" coordsize="10162,1423">
                <v:shape id="shape_0" stroked="f" style="position:absolute;left:438;top:982;width:8699;height:548;rotation:180" type="shapetype_75">
                  <v:imagedata r:id="rId110" o:detectmouseclick="t"/>
                  <w10:wrap type="none"/>
                  <v:stroke color="#3465a4" joinstyle="round" endcap="flat"/>
                </v:shape>
                <v:rect id="shape_0" stroked="f" style="position:absolute;left:-262;top:293;width:2414;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Eiropas identitātes stiprināšana</w:t>
                        </w:r>
                      </w:p>
                    </w:txbxContent>
                  </v:textbox>
                  <w10:wrap type="square"/>
                  <v:fill o:detectmouseclick="t" on="false"/>
                  <v:stroke color="#3465a4" joinstyle="round" endcap="flat"/>
                </v:rect>
                <v:rect id="shape_0" stroked="f" style="position:absolute;left:2065;top:240;width:2576;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Ekonomikas un iestāžu stiprināšana</w:t>
                        </w:r>
                      </w:p>
                    </w:txbxContent>
                  </v:textbox>
                  <w10:wrap type="square"/>
                  <v:fill o:detectmouseclick="t" on="false"/>
                  <v:stroke color="#3465a4" joinstyle="round" endcap="flat"/>
                </v:rect>
                <v:rect id="shape_0" stroked="f" style="position:absolute;left:5069;top:107;width:2502;height:74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Sadarbība un partnerības</w:t>
                        </w:r>
                      </w:p>
                    </w:txbxContent>
                  </v:textbox>
                  <w10:wrap type="square"/>
                  <v:fill o:detectmouseclick="t" on="false"/>
                  <v:stroke color="#3465a4" joinstyle="round" endcap="flat"/>
                </v:rect>
                <v:rect id="shape_0" stroked="f" style="position:absolute;left:7369;top:120;width:2530;height:931">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Politiskais un kultūras atskaites punkts</w:t>
                        </w:r>
                      </w:p>
                    </w:txbxContent>
                  </v:textbox>
                  <w10:wrap type="square"/>
                  <v:fill o:detectmouseclick="t" on="false"/>
                  <v:stroke color="#3465a4" joinstyle="round" endcap="flat"/>
                </v:rect>
              </v:group>
            </w:pict>
          </mc:Fallback>
        </mc:AlternateContent>
      </w:r>
    </w:p>
    <w:p>
      <w:pPr>
        <w:pStyle w:val="P68B1DB1Titre481"/>
        <w:numPr>
          <w:ilvl w:val="0"/>
          <w:numId w:val="2"/>
        </w:numPr>
        <w:rPr>
          <w:color w:val="0066B3"/>
        </w:rPr>
      </w:pPr>
      <w:bookmarkStart w:id="229" w:name="__RefHeading___Toc300440_1346298689"/>
      <w:bookmarkEnd w:id="229"/>
      <w:r>
        <w:rPr/>
        <w:t>1. Eiropas identitātes stiprināšana</w:t>
      </w:r>
    </w:p>
    <w:p>
      <w:pPr>
        <w:pStyle w:val="P68B1DB1Normal76"/>
        <w:widowControl w:val="false"/>
        <w:spacing w:lineRule="auto" w:line="240" w:before="106" w:after="0"/>
        <w:ind w:left="74" w:right="0" w:hanging="0"/>
        <w:jc w:val="both"/>
        <w:rPr/>
      </w:pPr>
      <w:r>
        <w:rPr/>
        <w:t xml:space="preserve">Lai Eiropas Savienība varētu tikt atzīta ārpus tās robežām, tai vispirms ir jāparāda kohēzija iekšēji ne tikai ekonomiskā un finansiālā ziņā, bet arī identitātes un vērtību ziņā. Identitāte, ko rada nevis apstiprināšana, bet vietējo īpatnību valorizācija kopīgu pamatvērtību ietvaros. </w:t>
      </w:r>
    </w:p>
    <w:p>
      <w:pPr>
        <w:pStyle w:val="P68B1DB1Normal76"/>
        <w:widowControl w:val="false"/>
        <w:spacing w:lineRule="auto" w:line="240" w:before="78" w:after="0"/>
        <w:ind w:left="74" w:right="1" w:hanging="0"/>
        <w:jc w:val="both"/>
        <w:rPr/>
      </w:pPr>
      <w:r>
        <w:rPr/>
        <w:t xml:space="preserve">Pārdomas par iespējamo Eiropas Savienības darbības jomas paplašināšanu arī tika veiktas, ņemot vērā šādus apsvērumus: daži žūrijas dalībnieki uzskata, ka tai nevajadzētu notikt nediferencēti, bet gan drīzāk koncentrēties uz kultūras un vērtību savstarpēju atzīšanu, nevis uz ekonomikas standartiem. </w:t>
      </w:r>
    </w:p>
    <w:p>
      <w:pPr>
        <w:pStyle w:val="P68B1DB1Normal83"/>
        <w:widowControl w:val="false"/>
        <w:spacing w:lineRule="auto" w:line="240" w:before="74" w:after="0"/>
        <w:ind w:left="4894" w:right="0" w:hanging="0"/>
        <w:jc w:val="left"/>
        <w:rPr>
          <w:rFonts w:ascii="Arial" w:hAnsi="Arial"/>
          <w:b/>
          <w:b/>
          <w:color w:val="2E74B5"/>
          <w:sz w:val="24"/>
        </w:rPr>
      </w:pPr>
      <w:r>
        <w:rPr/>
        <w:t xml:space="preserve"> </w:t>
      </w:r>
    </w:p>
    <w:p>
      <w:pPr>
        <w:pStyle w:val="P68B1DB1Normal74"/>
        <w:widowControl w:val="false"/>
        <w:spacing w:lineRule="auto" w:line="240" w:before="33" w:after="0"/>
        <w:ind w:left="3074" w:right="0" w:hanging="0"/>
        <w:jc w:val="left"/>
        <w:rPr/>
      </w:pPr>
      <w:r>
        <w:rPr>
          <w:b/>
          <w:sz w:val="24"/>
        </w:rPr>
        <w:t>REKOMENDĀCIJAS ĪSUMĀ</w:t>
      </w:r>
      <w:r>
        <w:rPr>
          <w:sz w:val="28"/>
        </w:rPr>
        <w:t xml:space="preserve"> </w:t>
      </w:r>
    </w:p>
    <w:p>
      <w:pPr>
        <w:pStyle w:val="P68B1DB1Normal84"/>
        <w:widowControl w:val="false"/>
        <w:spacing w:lineRule="auto" w:line="240" w:before="147" w:after="0"/>
        <w:ind w:left="358" w:right="0" w:hanging="0"/>
        <w:jc w:val="left"/>
        <w:rPr/>
      </w:pPr>
      <w:r>
        <w:rPr>
          <w:color w:val="BD1271"/>
        </w:rPr>
        <w:t xml:space="preserve">1. </w:t>
      </w:r>
      <w:r>
        <w:rPr>
          <w:color w:val="000000"/>
        </w:rPr>
        <w:t>Stiprināt Eiropas kultūras vērtības un īpatnības, kā arī reģionālās īpatnības.</w:t>
      </w:r>
    </w:p>
    <w:p>
      <w:pPr>
        <w:pStyle w:val="P68B1DB1Normal84"/>
        <w:widowControl w:val="false"/>
        <w:spacing w:lineRule="auto" w:line="240"/>
        <w:ind w:left="358" w:right="0" w:hanging="0"/>
        <w:jc w:val="left"/>
        <w:rPr/>
      </w:pPr>
      <w:r>
        <w:rPr>
          <w:color w:val="BD1271"/>
        </w:rPr>
        <w:t xml:space="preserve">2. </w:t>
      </w:r>
      <w:r>
        <w:rPr>
          <w:color w:val="000000"/>
        </w:rPr>
        <w:t>Eiropas kultūras institūta izveide, lai veicinātu cieņu un savstarpēju bagātināšanos starp dažādu valstu pilsoņiem.</w:t>
      </w:r>
    </w:p>
    <w:p>
      <w:pPr>
        <w:pStyle w:val="P68B1DB1Normal84"/>
        <w:widowControl w:val="false"/>
        <w:spacing w:lineRule="auto" w:line="240"/>
        <w:ind w:left="418" w:right="418" w:hanging="0"/>
        <w:jc w:val="both"/>
        <w:rPr/>
      </w:pPr>
      <w:r>
        <w:rPr>
          <w:color w:val="BD1271"/>
        </w:rPr>
        <w:t xml:space="preserve">3. </w:t>
      </w:r>
      <w:r>
        <w:rPr>
          <w:color w:val="000000"/>
        </w:rPr>
        <w:t>Jauno kandidātvalstu piederības principu pārskatīšana, stiprinot tādus faktorus kā kultūras identitāte un vērtības.</w:t>
      </w:r>
    </w:p>
    <w:p>
      <w:pPr>
        <w:pStyle w:val="P68B1DB1Normal34"/>
        <w:widowControl w:val="false"/>
        <w:spacing w:lineRule="auto" w:line="240"/>
        <w:ind w:left="74" w:right="0" w:hanging="0"/>
        <w:jc w:val="left"/>
        <w:rPr>
          <w:rFonts w:ascii="Arial" w:hAnsi="Arial"/>
          <w:color w:val="000000"/>
          <w:sz w:val="24"/>
        </w:rPr>
      </w:pPr>
      <w:r>
        <w:rPr/>
        <w:t xml:space="preserve"> </w:t>
      </w:r>
    </w:p>
    <w:p>
      <w:pPr>
        <w:pStyle w:val="P68B1DB1Titre481"/>
        <w:numPr>
          <w:ilvl w:val="0"/>
          <w:numId w:val="2"/>
        </w:numPr>
        <w:rPr>
          <w:color w:val="0066B3"/>
        </w:rPr>
      </w:pPr>
      <w:bookmarkStart w:id="230" w:name="__RefHeading___Toc300442_1346298689"/>
      <w:bookmarkEnd w:id="230"/>
      <w:r>
        <w:rPr/>
        <w:t xml:space="preserve">2. Ekonomikas un iestāžu stiprināšana </w:t>
      </w:r>
    </w:p>
    <w:p>
      <w:pPr>
        <w:pStyle w:val="P68B1DB1Normal76"/>
        <w:widowControl w:val="false"/>
        <w:spacing w:lineRule="auto" w:line="240" w:before="109" w:after="0"/>
        <w:ind w:left="0" w:right="0" w:hanging="0"/>
        <w:jc w:val="both"/>
        <w:rPr/>
      </w:pPr>
      <w:r>
        <w:rPr/>
        <w:t xml:space="preserve">Gaidāms, ka rītdienas Eiropai būs vadošā loma starptautiskā līmenī, ko var pieņemt tikai ar spēcīgu un neatkarīgu Savienību no citām valstīm. Ir plaši atzīts, ka ES valstis ir nabadzīgas izejvielas, taču šķiet būtiski, lai ES spētu nodrošināt lielāku neatkarību energoapgādes, lauksaimniecības un tehnoloģisko produktu ziņā. </w:t>
      </w:r>
    </w:p>
    <w:p>
      <w:pPr>
        <w:pStyle w:val="P68B1DB1Normal76"/>
        <w:widowControl w:val="false"/>
        <w:spacing w:lineRule="auto" w:line="240" w:before="78" w:after="0"/>
        <w:ind w:left="0" w:right="1" w:hanging="0"/>
        <w:jc w:val="both"/>
        <w:rPr/>
      </w:pPr>
      <w:r>
        <w:rPr/>
        <w:t xml:space="preserve">Lai to panāktu, ir vajadzīgi īpaši ieguldījumi tādās jomās kā tehnoloģija (kur Eiropas Savienībai pašlaik nav vadošās lomas), bet arī pārtikas un enerģētikas nozarē. </w:t>
      </w:r>
    </w:p>
    <w:p>
      <w:pPr>
        <w:pStyle w:val="P68B1DB1Normal76"/>
        <w:widowControl w:val="false"/>
        <w:spacing w:lineRule="auto" w:line="240" w:before="78" w:after="0"/>
        <w:ind w:left="0" w:right="2" w:hanging="0"/>
        <w:jc w:val="both"/>
        <w:rPr/>
      </w:pPr>
      <w:r>
        <w:rPr/>
        <w:t xml:space="preserve">Karš starp Krieviju un Ukrainu ir arī noteicis debašu centrā integrētas Eiropas aizsardzības politikas nozīmi ar īpašu identitāti un lielāku autonomiju no NATO, neapšaubot tās dalību. </w:t>
      </w:r>
    </w:p>
    <w:p>
      <w:pPr>
        <w:pStyle w:val="P68B1DB1Normal76"/>
        <w:widowControl w:val="false"/>
        <w:spacing w:lineRule="auto" w:line="240" w:before="78" w:after="0"/>
        <w:ind w:left="0" w:right="1" w:hanging="0"/>
        <w:jc w:val="left"/>
        <w:rPr/>
      </w:pPr>
      <w:r>
        <w:rPr/>
        <w:t xml:space="preserve">Visbeidzot, tas nozīmē skaidru izvēli nākotnei, ko papildina ievērojams ieguldījums zinātnē un pētniecībā, lai uzlabotu Eiropas jauniešu prasmes.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REKOMENDĀCIJAS ĪSUMĀ</w:t>
      </w:r>
      <w:r>
        <w:rPr>
          <w:sz w:val="28"/>
        </w:rPr>
        <w:t xml:space="preserve"> </w:t>
      </w:r>
    </w:p>
    <w:p>
      <w:pPr>
        <w:pStyle w:val="P68B1DB1Normal84"/>
        <w:widowControl w:val="false"/>
        <w:spacing w:lineRule="auto" w:line="240" w:before="70" w:after="0"/>
        <w:ind w:left="283" w:right="0" w:hanging="0"/>
        <w:jc w:val="left"/>
        <w:rPr/>
      </w:pPr>
      <w:r>
        <w:rPr>
          <w:color w:val="BD1271"/>
        </w:rPr>
        <w:t>1. Iekšējās ražošanas jaudas</w:t>
      </w:r>
      <w:r>
        <w:rPr>
          <w:color w:val="000000"/>
        </w:rPr>
        <w:t xml:space="preserve">stiprināšana: pārtikas ķēde (jo īpaši kvieši) un tehnoloģija (mikroprocesori). </w:t>
      </w:r>
    </w:p>
    <w:p>
      <w:pPr>
        <w:pStyle w:val="P68B1DB1Normal84"/>
        <w:widowControl w:val="false"/>
        <w:spacing w:lineRule="auto" w:line="240"/>
        <w:ind w:left="283" w:right="0" w:hanging="0"/>
        <w:jc w:val="left"/>
        <w:rPr/>
      </w:pPr>
      <w:r>
        <w:rPr>
          <w:color w:val="BD1271"/>
        </w:rPr>
        <w:t xml:space="preserve">2. </w:t>
      </w:r>
      <w:r>
        <w:rPr>
          <w:color w:val="000000"/>
        </w:rPr>
        <w:t>Popularizēt tipiskus reģionālos un Eiropas ražojumus.</w:t>
      </w:r>
    </w:p>
    <w:p>
      <w:pPr>
        <w:pStyle w:val="P68B1DB1Normal84"/>
        <w:widowControl w:val="false"/>
        <w:spacing w:lineRule="auto" w:line="240"/>
        <w:ind w:left="283" w:right="0" w:hanging="0"/>
        <w:jc w:val="left"/>
        <w:rPr/>
      </w:pPr>
      <w:r>
        <w:rPr>
          <w:color w:val="BD1271"/>
        </w:rPr>
        <w:t xml:space="preserve">3. </w:t>
      </w:r>
      <w:r>
        <w:rPr>
          <w:color w:val="000000"/>
        </w:rPr>
        <w:t>Stiprināt Eiropas rūpniecības kopas (piemēram, tēraudu).</w:t>
      </w:r>
    </w:p>
    <w:p>
      <w:pPr>
        <w:pStyle w:val="P68B1DB1Normal84"/>
        <w:widowControl w:val="false"/>
        <w:spacing w:lineRule="auto" w:line="240"/>
        <w:ind w:left="283" w:right="0" w:hanging="0"/>
        <w:jc w:val="left"/>
        <w:rPr/>
      </w:pPr>
      <w:r>
        <w:rPr>
          <w:color w:val="BD1271"/>
        </w:rPr>
        <w:t xml:space="preserve">4. </w:t>
      </w:r>
      <w:r>
        <w:rPr>
          <w:color w:val="000000"/>
        </w:rPr>
        <w:t>Stiprināt vietējo enerģijas ražošanu no ekoloģiskā viedokļa (gāze, saules enerģija, vējš).</w:t>
      </w:r>
    </w:p>
    <w:p>
      <w:pPr>
        <w:pStyle w:val="P68B1DB1Normal84"/>
        <w:widowControl w:val="false"/>
        <w:spacing w:lineRule="auto" w:line="240"/>
        <w:ind w:left="283" w:right="0" w:hanging="0"/>
        <w:jc w:val="left"/>
        <w:rPr/>
      </w:pPr>
      <w:r>
        <w:rPr>
          <w:color w:val="BD1271"/>
        </w:rPr>
        <w:t xml:space="preserve">5. </w:t>
      </w:r>
      <w:r>
        <w:rPr>
          <w:color w:val="000000"/>
        </w:rPr>
        <w:t>Izstrādāt kosmiskās aviācijas tehnoloģijas.</w:t>
      </w:r>
    </w:p>
    <w:p>
      <w:pPr>
        <w:pStyle w:val="P68B1DB1Normal84"/>
        <w:widowControl w:val="false"/>
        <w:spacing w:lineRule="auto" w:line="240"/>
        <w:ind w:left="283" w:right="417" w:hanging="0"/>
        <w:jc w:val="left"/>
        <w:rPr/>
      </w:pPr>
      <w:r>
        <w:rPr>
          <w:color w:val="BD1271"/>
        </w:rPr>
        <w:t xml:space="preserve">6. </w:t>
      </w:r>
      <w:r>
        <w:rPr>
          <w:color w:val="000000"/>
        </w:rPr>
        <w:t>Eiropas zinātnisko laboratoriju (Eiropas vīrusu bankas) izveide.</w:t>
      </w:r>
    </w:p>
    <w:p>
      <w:pPr>
        <w:pStyle w:val="P68B1DB1Normal84"/>
        <w:widowControl w:val="false"/>
        <w:spacing w:lineRule="auto" w:line="240"/>
        <w:ind w:left="283" w:right="417" w:hanging="0"/>
        <w:jc w:val="left"/>
        <w:rPr/>
      </w:pPr>
      <w:r>
        <w:rPr>
          <w:color w:val="BD1271"/>
        </w:rPr>
        <w:t xml:space="preserve">7. </w:t>
      </w:r>
      <w:r>
        <w:rPr>
          <w:color w:val="000000"/>
        </w:rPr>
        <w:t>Izveidot kopīgu Eiropas armiju, kas darbojas NATO ietvaros, bet arī palīdz iet tālāk.</w:t>
      </w:r>
    </w:p>
    <w:p>
      <w:pPr>
        <w:pStyle w:val="P68B1DB1Normal84"/>
        <w:widowControl w:val="false"/>
        <w:spacing w:lineRule="auto" w:line="240"/>
        <w:ind w:left="283" w:right="417" w:hanging="0"/>
        <w:jc w:val="left"/>
        <w:rPr/>
      </w:pPr>
      <w:r>
        <w:rPr>
          <w:color w:val="BD1271"/>
        </w:rPr>
        <w:t xml:space="preserve">8. </w:t>
      </w:r>
      <w:r>
        <w:rPr>
          <w:color w:val="000000"/>
        </w:rPr>
        <w:t>Ieguldīt pasniedzēju apmācībā (Eiropas skolotāju apmaiņa, Erasmus skolotājiem).</w:t>
      </w:r>
    </w:p>
    <w:p>
      <w:pPr>
        <w:pStyle w:val="P68B1DB1Normal84"/>
        <w:widowControl w:val="false"/>
        <w:spacing w:lineRule="auto" w:line="240"/>
        <w:ind w:left="283" w:right="416" w:hanging="0"/>
        <w:jc w:val="left"/>
        <w:rPr/>
      </w:pPr>
      <w:r>
        <w:rPr>
          <w:color w:val="BD1271"/>
        </w:rPr>
        <w:t xml:space="preserve">9. </w:t>
      </w:r>
      <w:r>
        <w:rPr>
          <w:color w:val="000000"/>
        </w:rPr>
        <w:t>Palielināt Eiropas pētnieku mobilitāti, attīstot jaunas Eiropas zinātniskās iestādes</w:t>
      </w:r>
      <w:r>
        <w:rPr>
          <w:color w:val="FF0000"/>
        </w:rPr>
        <w:t>.</w:t>
      </w:r>
      <w:r>
        <w:rPr>
          <w:color w:val="000000"/>
        </w:rPr>
        <w:t xml:space="preserve"> </w:t>
      </w:r>
    </w:p>
    <w:p>
      <w:pPr>
        <w:pStyle w:val="P68B1DB1Normal84"/>
        <w:widowControl w:val="false"/>
        <w:spacing w:lineRule="auto" w:line="240"/>
        <w:ind w:left="283" w:right="0" w:hanging="0"/>
        <w:jc w:val="left"/>
        <w:rPr/>
      </w:pPr>
      <w:r>
        <w:rPr>
          <w:color w:val="BD1271"/>
        </w:rPr>
        <w:t xml:space="preserve">10. </w:t>
      </w:r>
      <w:r>
        <w:rPr>
          <w:color w:val="000000"/>
        </w:rPr>
        <w:t>Veicināt inovatīvu jaunuzņēmumu rašanos.</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1" w:name="__RefHeading___Toc300444_1346298689"/>
      <w:bookmarkEnd w:id="231"/>
      <w:r>
        <w:rPr/>
        <w:t xml:space="preserve">3. Sadarbība un partnerības </w:t>
      </w:r>
    </w:p>
    <w:p>
      <w:pPr>
        <w:pStyle w:val="P68B1DB1Normal76"/>
        <w:widowControl w:val="false"/>
        <w:spacing w:lineRule="auto" w:line="240" w:before="109" w:after="0"/>
        <w:ind w:left="0" w:right="2" w:hanging="0"/>
        <w:jc w:val="both"/>
        <w:rPr/>
      </w:pPr>
      <w:r>
        <w:rPr/>
        <w:t xml:space="preserve">Nākotnes Eiropas redzējums nav cietoksnis, kas aizstāv savu bagātību, bet gan varonis starptautiskajā arēnā, kas spēj risināt dialogu ar visām pasaules valstīm. Dialogs, kas sākas no tirdzniecības varas un kam būtu jātiecas uz ekonomikas līderību un ko var nostiprināt, izveidojot liela mēroga starptautiskas partnerības un projektus. </w:t>
      </w:r>
    </w:p>
    <w:p>
      <w:pPr>
        <w:pStyle w:val="P68B1DB1Normal76"/>
        <w:widowControl w:val="false"/>
        <w:spacing w:lineRule="auto" w:line="240" w:before="78" w:after="0"/>
        <w:ind w:left="0" w:right="0" w:hanging="0"/>
        <w:jc w:val="both"/>
        <w:rPr/>
      </w:pPr>
      <w:r>
        <w:rPr/>
        <w:t xml:space="preserve">Tas viss, lai sadarbotos un pievērstu uzmanību visnestabilākajiem pasaules reģioniem, ar ad hoc projektiem, kuru mērķis ir izcelt nabadzīgākās valstis, kā arī kultūras un ekonomikas apmaiņu ar austrumu valstīm. </w:t>
      </w:r>
    </w:p>
    <w:p>
      <w:pPr>
        <w:pStyle w:val="P68B1DB1Normal76"/>
        <w:widowControl w:val="false"/>
        <w:spacing w:lineRule="auto" w:line="240" w:before="78" w:after="0"/>
        <w:ind w:left="0" w:right="3" w:hanging="0"/>
        <w:jc w:val="both"/>
        <w:rPr/>
      </w:pPr>
      <w:r>
        <w:rPr/>
        <w:t xml:space="preserve">Īpaša uzmanība tiek pievērsta arī migrācijas jautājumam, uzlabojot koordināciju starp valstīm un izmantojot kopīgas procedūras pieteikumu un indivīdu pārvaldībai. </w:t>
      </w:r>
    </w:p>
    <w:p>
      <w:pPr>
        <w:pStyle w:val="P68B1DB1Normal34"/>
        <w:widowControl w:val="false"/>
        <w:spacing w:lineRule="auto" w:line="240" w:before="78" w:after="0"/>
        <w:ind w:left="0" w:right="0" w:hanging="0"/>
        <w:jc w:val="left"/>
        <w:rPr>
          <w:rFonts w:ascii="Arial" w:hAnsi="Arial"/>
          <w:color w:val="000000"/>
          <w:sz w:val="24"/>
        </w:rPr>
      </w:pPr>
      <w:r>
        <w:rPr/>
        <w:t xml:space="preserve"> </w:t>
      </w:r>
    </w:p>
    <w:p>
      <w:pPr>
        <w:pStyle w:val="P68B1DB1Normal74"/>
        <w:widowControl w:val="false"/>
        <w:spacing w:lineRule="auto" w:line="240" w:before="43" w:after="0"/>
        <w:ind w:left="3000" w:right="0" w:hanging="0"/>
        <w:jc w:val="left"/>
        <w:rPr/>
      </w:pPr>
      <w:r>
        <w:rPr>
          <w:b/>
          <w:sz w:val="24"/>
        </w:rPr>
        <w:t>REKOMENDĀCIJAS ĪSUMĀ</w:t>
      </w:r>
      <w:r>
        <w:rPr>
          <w:sz w:val="28"/>
        </w:rPr>
        <w:t xml:space="preserve"> </w:t>
      </w:r>
    </w:p>
    <w:p>
      <w:pPr>
        <w:pStyle w:val="P68B1DB1Normal84"/>
        <w:widowControl w:val="false"/>
        <w:spacing w:lineRule="auto" w:line="240" w:before="71" w:after="0"/>
        <w:ind w:left="283" w:right="0" w:hanging="0"/>
        <w:jc w:val="left"/>
        <w:rPr/>
      </w:pPr>
      <w:r>
        <w:rPr>
          <w:color w:val="BD1271"/>
        </w:rPr>
        <w:t xml:space="preserve">1. </w:t>
      </w:r>
      <w:r>
        <w:rPr>
          <w:color w:val="000000"/>
        </w:rPr>
        <w:t>Eksporta palielināšana.</w:t>
      </w:r>
    </w:p>
    <w:p>
      <w:pPr>
        <w:pStyle w:val="P68B1DB1Normal84"/>
        <w:widowControl w:val="false"/>
        <w:spacing w:lineRule="auto" w:line="240"/>
        <w:ind w:left="283" w:right="0" w:hanging="0"/>
        <w:jc w:val="left"/>
        <w:rPr/>
      </w:pPr>
      <w:r>
        <w:rPr>
          <w:color w:val="BD1271"/>
        </w:rPr>
        <w:t xml:space="preserve">2. </w:t>
      </w:r>
      <w:r>
        <w:rPr>
          <w:color w:val="000000"/>
        </w:rPr>
        <w:t>Veicināt starptautiskus Eiropas tūrisma maršrutus.</w:t>
      </w:r>
    </w:p>
    <w:p>
      <w:pPr>
        <w:pStyle w:val="P68B1DB1Normal84"/>
        <w:widowControl w:val="false"/>
        <w:spacing w:lineRule="auto" w:line="240"/>
        <w:ind w:left="283" w:right="0" w:hanging="0"/>
        <w:jc w:val="left"/>
        <w:rPr/>
      </w:pPr>
      <w:r>
        <w:rPr>
          <w:color w:val="BD1271"/>
        </w:rPr>
        <w:t xml:space="preserve">3. </w:t>
      </w:r>
      <w:r>
        <w:rPr>
          <w:color w:val="000000"/>
        </w:rPr>
        <w:t>Izstrādāt tirdzniecības sistēmu sarunām Eiropas līmenī (neatsevišķi kā valstis vai uzņēmumi, bet kā Savienība), lai iegūtu lielāku ietekmi sarunās, bet gan ar ierobežojumiem, kas saistīti ar cilvēktiesību ievērošanu.</w:t>
      </w:r>
    </w:p>
    <w:p>
      <w:pPr>
        <w:pStyle w:val="P68B1DB1Normal84"/>
        <w:widowControl w:val="false"/>
        <w:spacing w:lineRule="auto" w:line="240"/>
        <w:ind w:left="283" w:right="417" w:hanging="0"/>
        <w:jc w:val="left"/>
        <w:rPr/>
      </w:pPr>
      <w:r>
        <w:rPr>
          <w:color w:val="BD1271"/>
        </w:rPr>
        <w:t xml:space="preserve">4. </w:t>
      </w:r>
      <w:r>
        <w:rPr>
          <w:color w:val="000000"/>
        </w:rPr>
        <w:t>Vadīt lielus starptautiskus projektus, piemēram, Starptautisko kosmosa staciju.</w:t>
      </w:r>
    </w:p>
    <w:p>
      <w:pPr>
        <w:pStyle w:val="P68B1DB1Normal84"/>
        <w:widowControl w:val="false"/>
        <w:spacing w:lineRule="auto" w:line="240"/>
        <w:ind w:left="283" w:right="417" w:hanging="0"/>
        <w:jc w:val="left"/>
        <w:rPr/>
      </w:pPr>
      <w:r>
        <w:rPr>
          <w:color w:val="BD1271"/>
        </w:rPr>
        <w:t xml:space="preserve">5. </w:t>
      </w:r>
      <w:r>
        <w:rPr>
          <w:color w:val="000000"/>
        </w:rPr>
        <w:t>Finansēt projektus Āfrikā, lai izveidotu skolas un slimnīcas, nepieņemot koloniālā stila attieksmi, bet koncentrējoties uz Eiropas vērtību un tiesību ievērošanu.</w:t>
      </w:r>
    </w:p>
    <w:p>
      <w:pPr>
        <w:pStyle w:val="P68B1DB1Normal84"/>
        <w:widowControl w:val="false"/>
        <w:spacing w:lineRule="auto" w:line="240"/>
        <w:ind w:left="283" w:right="417" w:hanging="0"/>
        <w:jc w:val="left"/>
        <w:rPr/>
      </w:pPr>
      <w:r>
        <w:rPr>
          <w:color w:val="BD1271"/>
        </w:rPr>
        <w:t xml:space="preserve">6. </w:t>
      </w:r>
      <w:r>
        <w:rPr>
          <w:color w:val="000000"/>
        </w:rPr>
        <w:t>Ieguldīt apmācībā uz vietas (jo īpaši sievietēm) nabadzīgākajās valstīs.</w:t>
      </w:r>
    </w:p>
    <w:p>
      <w:pPr>
        <w:pStyle w:val="P68B1DB1Normal84"/>
        <w:widowControl w:val="false"/>
        <w:spacing w:lineRule="auto" w:line="240"/>
        <w:ind w:left="283" w:right="0" w:hanging="0"/>
        <w:jc w:val="left"/>
        <w:rPr/>
      </w:pPr>
      <w:r>
        <w:rPr>
          <w:color w:val="BD1271"/>
        </w:rPr>
        <w:t xml:space="preserve">7. </w:t>
      </w:r>
      <w:r>
        <w:rPr>
          <w:color w:val="000000"/>
        </w:rPr>
        <w:t>Veicināt tehniķu un pasniedzēju apmaiņu.</w:t>
      </w:r>
    </w:p>
    <w:p>
      <w:pPr>
        <w:pStyle w:val="P68B1DB1Normal84"/>
        <w:widowControl w:val="false"/>
        <w:spacing w:lineRule="auto" w:line="240"/>
        <w:ind w:left="283" w:right="0" w:hanging="0"/>
        <w:jc w:val="left"/>
        <w:rPr/>
      </w:pPr>
      <w:r>
        <w:rPr>
          <w:color w:val="BD1271"/>
        </w:rPr>
        <w:t xml:space="preserve">8. </w:t>
      </w:r>
      <w:r>
        <w:rPr>
          <w:color w:val="000000"/>
        </w:rPr>
        <w:t>Izveidot kopēju noteikumu sistēmu attiecībā uz migrantu piekļuvi, paredzot atšķirīgus procesus starp humāno un ekonomisko migrāciju, ar vienlīdzīgu sadalījumu starp dažādām valstīm, bet ar kopīgiem noteikumiem (cena un uzvedības un nodarbinātības kontrole).</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Titre481"/>
        <w:numPr>
          <w:ilvl w:val="0"/>
          <w:numId w:val="2"/>
        </w:numPr>
        <w:rPr>
          <w:color w:val="0066B3"/>
        </w:rPr>
      </w:pPr>
      <w:bookmarkStart w:id="232" w:name="__RefHeading___Toc300446_1346298689"/>
      <w:bookmarkEnd w:id="232"/>
      <w:r>
        <w:rPr/>
        <w:t xml:space="preserve">4. Politiskā un kultūras atsauce </w:t>
      </w:r>
    </w:p>
    <w:p>
      <w:pPr>
        <w:pStyle w:val="P68B1DB1Normal76"/>
        <w:widowControl w:val="false"/>
        <w:spacing w:lineRule="auto" w:line="240" w:before="106" w:after="0"/>
        <w:ind w:left="0" w:right="145" w:hanging="0"/>
        <w:jc w:val="both"/>
        <w:rPr/>
      </w:pPr>
      <w:r>
        <w:rPr/>
        <w:t xml:space="preserve">Iepriekš aprakstītajā scenārijā ir gaidāms, ka Eiropa sniegs skaidru politisku un kultūras atsauci pasaules līmenī no tiesību un ētikas viedokļa, rādot piemēru lēmumu pieņemšanā, lai nodrošinātu veselīgu vidi, cilvēku tiesību ievērošanu un dialogu starp austrumiem un rietumiem. </w:t>
      </w:r>
    </w:p>
    <w:p>
      <w:pPr>
        <w:pStyle w:val="P68B1DB1Normal83"/>
        <w:widowControl w:val="false"/>
        <w:spacing w:lineRule="auto" w:line="240" w:before="73" w:after="0"/>
        <w:ind w:left="4819" w:right="0" w:hanging="0"/>
        <w:jc w:val="left"/>
        <w:rPr>
          <w:rFonts w:ascii="Arial" w:hAnsi="Arial"/>
          <w:b/>
          <w:b/>
          <w:color w:val="2E74B5"/>
          <w:sz w:val="24"/>
        </w:rPr>
      </w:pPr>
      <w:r>
        <w:rPr/>
        <w:t xml:space="preserve"> </w:t>
      </w:r>
    </w:p>
    <w:p>
      <w:pPr>
        <w:pStyle w:val="P68B1DB1Normal75"/>
        <w:widowControl w:val="false"/>
        <w:spacing w:lineRule="auto" w:line="240" w:before="72" w:after="0"/>
        <w:ind w:left="3000" w:right="0" w:hanging="0"/>
        <w:jc w:val="left"/>
        <w:rPr/>
      </w:pPr>
      <w:r>
        <w:rPr>
          <w:b/>
          <w:color w:val="2E74B5"/>
        </w:rPr>
        <w:t>REKOMENDĀCIJAS ĪSUMĀ</w:t>
      </w:r>
      <w:r>
        <w:rPr>
          <w:color w:val="000000"/>
        </w:rPr>
        <w:t xml:space="preserve"> </w:t>
      </w:r>
    </w:p>
    <w:p>
      <w:pPr>
        <w:pStyle w:val="P68B1DB1Normal84"/>
        <w:widowControl w:val="false"/>
        <w:spacing w:lineRule="auto" w:line="240" w:before="69" w:after="0"/>
        <w:ind w:left="283" w:right="0" w:hanging="0"/>
        <w:jc w:val="left"/>
        <w:rPr/>
      </w:pPr>
      <w:r>
        <w:rPr>
          <w:color w:val="BD1271"/>
        </w:rPr>
        <w:t xml:space="preserve">1. </w:t>
      </w:r>
      <w:r>
        <w:rPr>
          <w:color w:val="000000"/>
        </w:rPr>
        <w:t>Būt par zaļā kontinenta līderi, panākt nulles emisiju līmeni pirms citiem un palielināt tīras enerģijas (vēja un saules) ražošanu.</w:t>
      </w:r>
    </w:p>
    <w:p>
      <w:pPr>
        <w:pStyle w:val="P68B1DB1Normal84"/>
        <w:widowControl w:val="false"/>
        <w:spacing w:lineRule="auto" w:line="240"/>
        <w:ind w:left="283" w:right="0" w:hanging="0"/>
        <w:jc w:val="left"/>
        <w:rPr/>
      </w:pPr>
      <w:r>
        <w:rPr>
          <w:color w:val="BD1271"/>
        </w:rPr>
        <w:t xml:space="preserve">2. </w:t>
      </w:r>
      <w:r>
        <w:rPr>
          <w:color w:val="000000"/>
        </w:rPr>
        <w:t>Eksporta tehnoloģijas, lai ražotu preces ar nulles ietekmi.</w:t>
      </w:r>
    </w:p>
    <w:p>
      <w:pPr>
        <w:pStyle w:val="P68B1DB1Normal84"/>
        <w:widowControl w:val="false"/>
        <w:spacing w:lineRule="auto" w:line="240"/>
        <w:ind w:left="283" w:right="0" w:hanging="0"/>
        <w:jc w:val="left"/>
        <w:rPr/>
      </w:pPr>
      <w:r>
        <w:rPr>
          <w:color w:val="BD1271"/>
        </w:rPr>
        <w:t xml:space="preserve">3. </w:t>
      </w:r>
      <w:r>
        <w:rPr>
          <w:color w:val="000000"/>
        </w:rPr>
        <w:t>Kalpo kā sadraudzība (publiska vieta, agora) starp Austrumiem un Rietumiem, veicinot kultūras apmaiņu un kopīgas kultūras iniciatīvas (piemēram, Pasaules mākslas dienas, kas pēc kārtas tiks organizētas dažādās Eiropas galvaspilsētās ar māksliniecisku programmu, kurā iekļauti Rietumu un Austrumu mākslinieki).</w:t>
      </w:r>
    </w:p>
    <w:p>
      <w:pPr>
        <w:pStyle w:val="P68B1DB1Normal84"/>
        <w:widowControl w:val="false"/>
        <w:spacing w:lineRule="auto" w:line="240"/>
        <w:ind w:left="283" w:right="560" w:hanging="0"/>
        <w:jc w:val="left"/>
        <w:rPr/>
      </w:pPr>
      <w:r>
        <w:rPr>
          <w:color w:val="BD1271"/>
        </w:rPr>
        <w:t xml:space="preserve">4. </w:t>
      </w:r>
      <w:r>
        <w:rPr>
          <w:color w:val="000000"/>
        </w:rPr>
        <w:t>Izveidot Eiropas ētikas modeli migrācijas procesu pārvaldībai, ar ko var dalīties starptautiskā mērogā.</w:t>
      </w:r>
    </w:p>
    <w:p>
      <w:pPr>
        <w:pStyle w:val="P68B1DB1Normal32"/>
        <w:widowControl w:val="false"/>
        <w:spacing w:lineRule="auto" w:line="240"/>
        <w:ind w:left="283" w:right="0" w:hanging="0"/>
        <w:jc w:val="left"/>
        <w:rPr>
          <w:rFonts w:ascii="Arial" w:hAnsi="Arial"/>
          <w:b/>
          <w:b/>
          <w:color w:val="000000"/>
          <w:sz w:val="24"/>
        </w:rPr>
      </w:pPr>
      <w:r>
        <w:rPr/>
        <w:t xml:space="preserve"> </w:t>
      </w:r>
    </w:p>
    <w:p>
      <w:pPr>
        <w:pStyle w:val="Titre2"/>
        <w:numPr>
          <w:ilvl w:val="1"/>
          <w:numId w:val="2"/>
        </w:numPr>
        <w:rPr/>
      </w:pPr>
      <w:bookmarkStart w:id="233" w:name="__RefHeading___Toc300322_1346298689"/>
      <w:bookmarkEnd w:id="233"/>
      <w:r>
        <w:rPr/>
        <w:t xml:space="preserve">6. Galīgais novērtējums, ko veic dalībnieki </w:t>
      </w:r>
    </w:p>
    <w:p>
      <w:pPr>
        <w:pStyle w:val="P68B1DB1Normal76"/>
        <w:widowControl w:val="false"/>
        <w:spacing w:lineRule="auto" w:line="240" w:before="106" w:after="0"/>
        <w:ind w:left="0" w:right="0" w:hanging="0"/>
        <w:jc w:val="both"/>
        <w:rPr/>
      </w:pPr>
      <w:r>
        <w:rPr/>
        <w:t xml:space="preserve">Šo divu darba dienu beigās visiem dalībniekiem tika lūgts aizpildīt īsu anketu, lai novērtētu viņu pieredzi. Novērtējuma anketa tika nosūtīta divas dienas pēc paneļdiskusijas beigām, lai dotu visiem dalībniekiem laiku atkāpties no pieredzes un lai varētu sniegt objektīvāku atbildi. </w:t>
      </w:r>
    </w:p>
    <w:p>
      <w:pPr>
        <w:pStyle w:val="Normal"/>
        <w:widowControl w:val="false"/>
        <w:spacing w:lineRule="auto" w:line="240" w:before="78" w:after="0"/>
        <w:ind w:left="0" w:right="2" w:hanging="0"/>
        <w:jc w:val="left"/>
        <w:rPr/>
      </w:pPr>
      <w:r>
        <w:rPr>
          <w:color w:val="000000"/>
        </w:rPr>
        <w:t xml:space="preserve">Savāktie rezultāti liecina par īpaši augstu apmierinātības līmeni gan attiecībā uz interesi un līdzdalības vieglumu, gan klausīšanās un iekļaušanas sajūtu. </w:t>
      </w:r>
      <w:r>
        <w:br w:type="page"/>
      </w:r>
    </w:p>
    <w:p>
      <w:pPr>
        <w:pStyle w:val="Normal"/>
        <w:widowControl w:val="false"/>
        <w:spacing w:lineRule="auto" w:line="240" w:before="4764" w:after="0"/>
        <w:ind w:left="0" w:right="2" w:hanging="0"/>
        <w:jc w:val="left"/>
        <w:rPr>
          <w:rFonts w:ascii="Arial" w:hAnsi="Arial"/>
          <w:color w:val="000000"/>
          <w:sz w:val="24"/>
        </w:rPr>
      </w:pPr>
      <w:r>
        <w:rPr>
          <w:color w:val="000000"/>
          <w:sz w:val="24"/>
        </w:rPr>
        <mc:AlternateContent>
          <mc:Choice Requires="wpg">
            <w:drawing>
              <wp:anchor behindDoc="0" distT="0" distB="0" distL="0" distR="0" simplePos="0" locked="0" layoutInCell="1" allowOverlap="1" relativeHeight="60">
                <wp:simplePos x="0" y="0"/>
                <wp:positionH relativeFrom="column">
                  <wp:posOffset>635</wp:posOffset>
                </wp:positionH>
                <wp:positionV relativeFrom="paragraph">
                  <wp:posOffset>50165</wp:posOffset>
                </wp:positionV>
                <wp:extent cx="5996305" cy="3025775"/>
                <wp:effectExtent l="0" t="0" r="0" b="0"/>
                <wp:wrapTopAndBottom/>
                <wp:docPr id="107" name="Mājas lapa8"/>
                <a:graphic xmlns:a="http://schemas.openxmlformats.org/drawingml/2006/main">
                  <a:graphicData uri="http://schemas.microsoft.com/office/word/2010/wordprocessingGroup">
                    <wpg:wgp>
                      <wpg:cNvGrpSpPr/>
                      <wpg:grpSpPr>
                        <a:xfrm>
                          <a:off x="0" y="0"/>
                          <a:ext cx="5995800" cy="3025080"/>
                        </a:xfrm>
                      </wpg:grpSpPr>
                      <pic:pic xmlns:pic="http://schemas.openxmlformats.org/drawingml/2006/picture">
                        <pic:nvPicPr>
                          <pic:cNvPr id="10" name="" descr=""/>
                          <pic:cNvPicPr/>
                        </pic:nvPicPr>
                        <pic:blipFill>
                          <a:blip r:embed="rId111"/>
                          <a:stretch/>
                        </pic:blipFill>
                        <pic:spPr>
                          <a:xfrm>
                            <a:off x="2533680" y="487080"/>
                            <a:ext cx="3379320" cy="2538000"/>
                          </a:xfrm>
                          <a:prstGeom prst="rect">
                            <a:avLst/>
                          </a:prstGeom>
                          <a:ln>
                            <a:noFill/>
                          </a:ln>
                        </pic:spPr>
                      </pic:pic>
                      <wps:wsp>
                        <wps:cNvSpPr/>
                        <wps:spPr>
                          <a:xfrm>
                            <a:off x="210240" y="0"/>
                            <a:ext cx="578556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Apmierinātība ar dalību paneļdiskusijā </w:t>
                              </w:r>
                            </w:p>
                          </w:txbxContent>
                        </wps:txbx>
                        <wps:bodyPr lIns="90000" rIns="90000" tIns="45000" bIns="45000">
                          <a:noAutofit/>
                        </wps:bodyPr>
                      </wps:wsp>
                      <wps:wsp>
                        <wps:cNvSpPr/>
                        <wps:spPr>
                          <a:xfrm>
                            <a:off x="60480" y="640800"/>
                            <a:ext cx="2477880" cy="3751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Vispārēja apmierinātība ar pieredzi</w:t>
                              </w:r>
                            </w:p>
                          </w:txbxContent>
                        </wps:txbx>
                        <wps:bodyPr lIns="90000" rIns="90000" tIns="45000" bIns="45000">
                          <a:noAutofit/>
                        </wps:bodyPr>
                      </wps:wsp>
                      <wps:wsp>
                        <wps:cNvSpPr/>
                        <wps:spPr>
                          <a:xfrm>
                            <a:off x="69120" y="118440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Dalībnieku ieguldījuma kvalitāte</w:t>
                              </w:r>
                            </w:p>
                          </w:txbxContent>
                        </wps:txbx>
                        <wps:bodyPr lIns="90000" rIns="90000" tIns="45000" bIns="45000">
                          <a:noAutofit/>
                        </wps:bodyPr>
                      </wps:wsp>
                      <wps:wsp>
                        <wps:cNvSpPr/>
                        <wps:spPr>
                          <a:xfrm>
                            <a:off x="60840" y="1469520"/>
                            <a:ext cx="2478240" cy="38232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Saskanība starp sniegtajiem ieteikumiem un debatēm</w:t>
                              </w:r>
                            </w:p>
                          </w:txbxContent>
                        </wps:txbx>
                        <wps:bodyPr lIns="90000" rIns="90000" tIns="45000" bIns="45000">
                          <a:noAutofit/>
                        </wps:bodyPr>
                      </wps:wsp>
                      <wps:wsp>
                        <wps:cNvSpPr/>
                        <wps:spPr>
                          <a:xfrm>
                            <a:off x="61560" y="1861200"/>
                            <a:ext cx="247824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Platformas lietošanas ērtums</w:t>
                              </w:r>
                            </w:p>
                          </w:txbxContent>
                        </wps:txbx>
                        <wps:bodyPr lIns="90000" rIns="90000" tIns="45000" bIns="45000">
                          <a:noAutofit/>
                        </wps:bodyPr>
                      </wps:wsp>
                      <wps:wsp>
                        <wps:cNvSpPr/>
                        <wps:spPr>
                          <a:xfrm>
                            <a:off x="0" y="2128680"/>
                            <a:ext cx="2478240" cy="2368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Cieņa pret viedokļu daudzveidību</w:t>
                              </w:r>
                            </w:p>
                          </w:txbxContent>
                        </wps:txbx>
                        <wps:bodyPr lIns="90000" rIns="90000" tIns="45000" bIns="45000">
                          <a:noAutofit/>
                        </wps:bodyPr>
                      </wps:wsp>
                      <wps:wsp>
                        <wps:cNvSpPr/>
                        <wps:spPr>
                          <a:xfrm>
                            <a:off x="44280" y="2343240"/>
                            <a:ext cx="2477880" cy="52848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Moderatoru spēja dot balsi dalībniekiem un uzklausīt viņu intervenci</w:t>
                              </w:r>
                            </w:p>
                          </w:txbxContent>
                        </wps:txbx>
                        <wps:bodyPr lIns="90000" rIns="90000" tIns="45000" bIns="45000">
                          <a:noAutofit/>
                        </wps:bodyPr>
                      </wps:wsp>
                      <wps:wsp>
                        <wps:cNvSpPr/>
                        <wps:spPr>
                          <a:xfrm>
                            <a:off x="27360" y="2788200"/>
                            <a:ext cx="2477880" cy="236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Interese par aplūkotajiem tematiem</w:t>
                              </w:r>
                            </w:p>
                          </w:txbxContent>
                        </wps:txbx>
                        <wps:bodyPr lIns="90000" rIns="90000" tIns="45000" bIns="45000">
                          <a:noAutofit/>
                        </wps:bodyPr>
                      </wps:wsp>
                    </wpg:wgp>
                  </a:graphicData>
                </a:graphic>
              </wp:anchor>
            </w:drawing>
          </mc:Choice>
          <mc:Fallback>
            <w:pict>
              <v:group id="shape_0" alt="Mājas lapa8" style="position:absolute;margin-left:0.05pt;margin-top:3.95pt;width:472.1pt;height:238.2pt" coordorigin="1,79" coordsize="9442,4764">
                <v:shape id="shape_0" stroked="f" style="position:absolute;left:3991;top:846;width:5321;height:3996" type="shapetype_75">
                  <v:imagedata r:id="rId111" o:detectmouseclick="t"/>
                  <w10:wrap type="none"/>
                  <v:stroke color="#3465a4" joinstyle="round" endcap="flat"/>
                </v:shape>
                <v:rect id="shape_0" stroked="f" style="position:absolute;left:332;top:79;width:9110;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 xml:space="preserve">Apmierinātība ar dalību paneļdiskusijā </w:t>
                        </w:r>
                      </w:p>
                    </w:txbxContent>
                  </v:textbox>
                  <w10:wrap type="square"/>
                  <v:fill o:detectmouseclick="t" on="false"/>
                  <v:stroke color="#3465a4" joinstyle="round" endcap="flat"/>
                </v:rect>
                <v:rect id="shape_0" stroked="f" style="position:absolute;left:96;top:1088;width:3901;height:590">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Vispārēja apmierinātība ar pieredzi</w:t>
                        </w:r>
                      </w:p>
                    </w:txbxContent>
                  </v:textbox>
                  <w10:wrap type="square"/>
                  <v:fill o:detectmouseclick="t" on="false"/>
                  <v:stroke color="#3465a4" joinstyle="round" endcap="flat"/>
                </v:rect>
                <v:rect id="shape_0" stroked="f" style="position:absolute;left:110;top:1944;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Dalībnieku ieguldījuma kvalitāte</w:t>
                        </w:r>
                      </w:p>
                    </w:txbxContent>
                  </v:textbox>
                  <w10:wrap type="square"/>
                  <v:fill o:detectmouseclick="t" on="false"/>
                  <v:stroke color="#3465a4" joinstyle="round" endcap="flat"/>
                </v:rect>
                <v:rect id="shape_0" stroked="f" style="position:absolute;left:97;top:2393;width:3902;height:60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Saskanība starp sniegtajiem ieteikumiem un debatēm</w:t>
                        </w:r>
                      </w:p>
                    </w:txbxContent>
                  </v:textbox>
                  <w10:wrap type="square"/>
                  <v:fill o:detectmouseclick="t" on="false"/>
                  <v:stroke color="#3465a4" joinstyle="round" endcap="flat"/>
                </v:rect>
                <v:rect id="shape_0" stroked="f" style="position:absolute;left:98;top:3010;width:3902;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Platformas lietošanas ērtums</w:t>
                        </w:r>
                      </w:p>
                    </w:txbxContent>
                  </v:textbox>
                  <w10:wrap type="square"/>
                  <v:fill o:detectmouseclick="t" on="false"/>
                  <v:stroke color="#3465a4" joinstyle="round" endcap="flat"/>
                </v:rect>
                <v:rect id="shape_0" stroked="f" style="position:absolute;left:1;top:3431;width:3902;height:372">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Cieņa pret viedokļu daudzveidību</w:t>
                        </w:r>
                      </w:p>
                    </w:txbxContent>
                  </v:textbox>
                  <w10:wrap type="square"/>
                  <v:fill o:detectmouseclick="t" on="false"/>
                  <v:stroke color="#3465a4" joinstyle="round" endcap="flat"/>
                </v:rect>
                <v:rect id="shape_0" stroked="f" style="position:absolute;left:71;top:3769;width:3901;height:83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Moderatoru spēja dot balsi dalībniekiem un uzklausīt viņu intervenci</w:t>
                        </w:r>
                      </w:p>
                    </w:txbxContent>
                  </v:textbox>
                  <w10:wrap type="square"/>
                  <v:fill o:detectmouseclick="t" on="false"/>
                  <v:stroke color="#3465a4" joinstyle="round" endcap="flat"/>
                </v:rect>
                <v:rect id="shape_0" stroked="f" style="position:absolute;left:44;top:4470;width:3901;height:371">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Interese par aplūkotajiem tematiem</w:t>
                        </w:r>
                      </w:p>
                    </w:txbxContent>
                  </v:textbox>
                  <w10:wrap type="square"/>
                  <v:fill o:detectmouseclick="t" on="false"/>
                  <v:stroke color="#3465a4" joinstyle="round" endcap="flat"/>
                </v:rect>
              </v:group>
            </w:pict>
          </mc:Fallback>
        </mc:AlternateContent>
      </w:r>
    </w:p>
    <w:p>
      <w:pPr>
        <w:pStyle w:val="P68B1DB1Normal76"/>
        <w:widowControl w:val="false"/>
        <w:spacing w:lineRule="auto" w:line="240" w:before="48" w:after="0"/>
        <w:ind w:left="0" w:right="1" w:hanging="0"/>
        <w:jc w:val="both"/>
        <w:rPr/>
      </w:pPr>
      <w:r>
        <w:rPr/>
        <w:t xml:space="preserve">Lai gan sākotnēji dalībniekiem bija atšķirīga pieredze, prasmes un motivācija, viņi jutās cieši iesaistīti: 98 % respondentu, kas piedalījās novērtējuma anketā, uzskatīja, ka viņi ir aktīvi piedalījušies un devuši pozitīvu ieguldījumu debatēs.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Kopumā ir ļoti jūtama šīs pieredzes lietderība, kas pirmām kārtām tiek uztverta kā iespēja aktīvi piedalīties un kas ir devusi lielāku tuvumu Eiropas iestādēm. Tas lika gandrīz visiem respondentiem pieprasīt šāda veida iniciatīvas atkārtošanu laika gaitā. </w:t>
      </w:r>
    </w:p>
    <w:p>
      <w:pPr>
        <w:pStyle w:val="Normal"/>
        <w:widowControl w:val="false"/>
        <w:spacing w:lineRule="exact" w:line="202" w:before="4966" w:after="0"/>
        <w:ind w:left="0" w:right="0" w:hanging="0"/>
        <w:jc w:val="both"/>
        <w:rPr/>
      </w:pPr>
      <w:r>
        <mc:AlternateContent>
          <mc:Choice Requires="wpg">
            <w:drawing>
              <wp:anchor behindDoc="0" distT="0" distB="0" distL="0" distR="0" simplePos="0" locked="0" layoutInCell="1" allowOverlap="1" relativeHeight="62">
                <wp:simplePos x="0" y="0"/>
                <wp:positionH relativeFrom="column">
                  <wp:posOffset>0</wp:posOffset>
                </wp:positionH>
                <wp:positionV relativeFrom="paragraph">
                  <wp:posOffset>71120</wp:posOffset>
                </wp:positionV>
                <wp:extent cx="6047740" cy="3154045"/>
                <wp:effectExtent l="0" t="0" r="0" b="0"/>
                <wp:wrapTopAndBottom/>
                <wp:docPr id="108" name="Forma 9"/>
                <a:graphic xmlns:a="http://schemas.openxmlformats.org/drawingml/2006/main">
                  <a:graphicData uri="http://schemas.microsoft.com/office/word/2010/wordprocessingGroup">
                    <wpg:wgp>
                      <wpg:cNvGrpSpPr/>
                      <wpg:grpSpPr>
                        <a:xfrm>
                          <a:off x="0" y="0"/>
                          <a:ext cx="6047280" cy="3153240"/>
                        </a:xfrm>
                      </wpg:grpSpPr>
                      <pic:pic xmlns:pic="http://schemas.openxmlformats.org/drawingml/2006/picture">
                        <pic:nvPicPr>
                          <pic:cNvPr id="11" name="" descr=""/>
                          <pic:cNvPicPr/>
                        </pic:nvPicPr>
                        <pic:blipFill>
                          <a:blip r:embed="rId112"/>
                          <a:stretch/>
                        </pic:blipFill>
                        <pic:spPr>
                          <a:xfrm>
                            <a:off x="272880" y="357480"/>
                            <a:ext cx="5774040" cy="2601000"/>
                          </a:xfrm>
                          <a:prstGeom prst="rect">
                            <a:avLst/>
                          </a:prstGeom>
                          <a:ln>
                            <a:noFill/>
                          </a:ln>
                        </pic:spPr>
                      </pic:pic>
                      <wps:wsp>
                        <wps:cNvSpPr/>
                        <wps:spPr>
                          <a:xfrm>
                            <a:off x="404640" y="0"/>
                            <a:ext cx="5614560" cy="800640"/>
                          </a:xfrm>
                          <a:prstGeom prst="rect">
                            <a:avLst/>
                          </a:prstGeom>
                          <a:noFill/>
                          <a:ln>
                            <a:noFill/>
                          </a:ln>
                        </wps:spPr>
                        <wps:style>
                          <a:lnRef idx="0"/>
                          <a:fillRef idx="0"/>
                          <a:effectRef idx="0"/>
                          <a:fontRef idx="minor"/>
                        </wps:style>
                        <wps:txb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“ITĀLIJAS ŽŪRIJAS KONFERENCES PAR EIROPAS NĀKOTNI” INTEREŠU IZVĒRTĒJUMS</w:t>
                              </w:r>
                            </w:p>
                          </w:txbxContent>
                        </wps:txbx>
                        <wps:bodyPr lIns="90000" rIns="90000" tIns="45000" bIns="45000">
                          <a:noAutofit/>
                        </wps:bodyPr>
                      </wps:wsp>
                      <wps:wsp>
                        <wps:cNvSpPr/>
                        <wps:spPr>
                          <a:xfrm>
                            <a:off x="47160" y="497160"/>
                            <a:ext cx="2207880" cy="27504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Būtu jānotiek biežāk</w:t>
                              </w:r>
                            </w:p>
                          </w:txbxContent>
                        </wps:txbx>
                        <wps:bodyPr lIns="90000" rIns="90000" tIns="45000" bIns="45000">
                          <a:noAutofit/>
                        </wps:bodyPr>
                      </wps:wsp>
                      <wps:wsp>
                        <wps:cNvSpPr/>
                        <wps:spPr>
                          <a:xfrm>
                            <a:off x="47160" y="986760"/>
                            <a:ext cx="2207880" cy="484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Noder, lai Eiropas iestādēs uzklausītu iedzīvotāju viedokli</w:t>
                              </w:r>
                            </w:p>
                          </w:txbxContent>
                        </wps:txbx>
                        <wps:bodyPr lIns="90000" rIns="90000" tIns="45000" bIns="45000">
                          <a:noAutofit/>
                        </wps:bodyPr>
                      </wps:wsp>
                      <wps:wsp>
                        <wps:cNvSpPr/>
                        <wps:spPr>
                          <a:xfrm>
                            <a:off x="47160" y="1492920"/>
                            <a:ext cx="220788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Var dot pozitīvu ieguldījumu Eiropas nākotnes uzlabošanā</w:t>
                              </w:r>
                            </w:p>
                          </w:txbxContent>
                        </wps:txbx>
                        <wps:bodyPr lIns="90000" rIns="90000" tIns="45000" bIns="45000">
                          <a:noAutofit/>
                        </wps:bodyPr>
                      </wps:wsp>
                      <wps:wsp>
                        <wps:cNvSpPr/>
                        <wps:spPr>
                          <a:xfrm>
                            <a:off x="0" y="1972800"/>
                            <a:ext cx="2208600" cy="3531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Eiropas iestāžu tuvināšana iedzīvotājiem</w:t>
                              </w:r>
                            </w:p>
                          </w:txbxContent>
                        </wps:txbx>
                        <wps:bodyPr lIns="90000" rIns="90000" tIns="45000" bIns="45000">
                          <a:noAutofit/>
                        </wps:bodyPr>
                      </wps:wsp>
                      <wps:wsp>
                        <wps:cNvSpPr/>
                        <wps:spPr>
                          <a:xfrm>
                            <a:off x="0" y="2409120"/>
                            <a:ext cx="2208600" cy="736560"/>
                          </a:xfrm>
                          <a:prstGeom prst="rect">
                            <a:avLst/>
                          </a:prstGeom>
                          <a:noFill/>
                          <a:ln>
                            <a:noFill/>
                          </a:ln>
                        </wps:spPr>
                        <wps:style>
                          <a:lnRef idx="0"/>
                          <a:fillRef idx="0"/>
                          <a:effectRef idx="0"/>
                          <a:fontRef idx="minor"/>
                        </wps:style>
                        <wps:txb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Bija laika izšķiešana</w:t>
                              </w:r>
                            </w:p>
                          </w:txbxContent>
                        </wps:txbx>
                        <wps:bodyPr lIns="90000" rIns="90000" tIns="45000" bIns="45000">
                          <a:noAutofit/>
                        </wps:bodyPr>
                      </wps:wsp>
                      <wps:wsp>
                        <wps:cNvSpPr/>
                        <wps:spPr>
                          <a:xfrm>
                            <a:off x="527760" y="273816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Diezgan piekrītu</w:t>
                              </w:r>
                            </w:p>
                          </w:txbxContent>
                        </wps:txbx>
                        <wps:bodyPr lIns="90000" rIns="90000" tIns="45000" bIns="45000">
                          <a:noAutofit/>
                        </wps:bodyPr>
                      </wps:wsp>
                      <wps:wsp>
                        <wps:cNvSpPr/>
                        <wps:spPr>
                          <a:xfrm>
                            <a:off x="1548000" y="2711520"/>
                            <a:ext cx="778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drīzāk piekristu.</w:t>
                              </w:r>
                            </w:p>
                          </w:txbxContent>
                        </wps:txbx>
                        <wps:bodyPr lIns="90000" rIns="90000" tIns="45000" bIns="45000">
                          <a:noAutofit/>
                        </wps:bodyPr>
                      </wps:wsp>
                      <wps:wsp>
                        <wps:cNvSpPr/>
                        <wps:spPr>
                          <a:xfrm>
                            <a:off x="2504520" y="2755800"/>
                            <a:ext cx="128844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Bez vienošanās un bez vienošanās</w:t>
                              </w:r>
                            </w:p>
                          </w:txbxContent>
                        </wps:txbx>
                        <wps:bodyPr lIns="90000" rIns="90000" tIns="45000" bIns="45000">
                          <a:noAutofit/>
                        </wps:bodyPr>
                      </wps:wsp>
                      <wps:wsp>
                        <wps:cNvSpPr/>
                        <wps:spPr>
                          <a:xfrm>
                            <a:off x="3935160" y="272988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nepiekrītu.</w:t>
                              </w:r>
                            </w:p>
                          </w:txbxContent>
                        </wps:txbx>
                        <wps:bodyPr lIns="90000" rIns="90000" tIns="45000" bIns="45000">
                          <a:noAutofit/>
                        </wps:bodyPr>
                      </wps:wsp>
                      <wps:wsp>
                        <wps:cNvSpPr/>
                        <wps:spPr>
                          <a:xfrm>
                            <a:off x="5044320" y="2800440"/>
                            <a:ext cx="859680" cy="353160"/>
                          </a:xfrm>
                          <a:prstGeom prst="rect">
                            <a:avLst/>
                          </a:prstGeom>
                          <a:noFill/>
                          <a:ln>
                            <a:noFill/>
                          </a:ln>
                        </wps:spPr>
                        <wps:style>
                          <a:lnRef idx="0"/>
                          <a:fillRef idx="0"/>
                          <a:effectRef idx="0"/>
                          <a:fontRef idx="minor"/>
                        </wps:style>
                        <wps:txb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vispār nepiekrītu.</w:t>
                              </w:r>
                            </w:p>
                          </w:txbxContent>
                        </wps:txbx>
                        <wps:bodyPr lIns="90000" rIns="90000" tIns="45000" bIns="45000">
                          <a:noAutofit/>
                        </wps:bodyPr>
                      </wps:wsp>
                    </wpg:wgp>
                  </a:graphicData>
                </a:graphic>
              </wp:anchor>
            </w:drawing>
          </mc:Choice>
          <mc:Fallback>
            <w:pict>
              <v:group id="shape_0" alt="Forma 9" style="position:absolute;margin-left:0pt;margin-top:5.6pt;width:476.15pt;height:248.3pt" coordorigin="0,112" coordsize="9523,4966">
                <v:shape id="shape_0" stroked="f" style="position:absolute;left:430;top:675;width:9092;height:4095" type="shapetype_75">
                  <v:imagedata r:id="rId112" o:detectmouseclick="t"/>
                  <w10:wrap type="none"/>
                  <v:stroke color="#3465a4" joinstyle="round" endcap="flat"/>
                </v:shape>
                <v:rect id="shape_0" stroked="f" style="position:absolute;left:637;top:112;width:8841;height:1260">
                  <v:textbox>
                    <w:txbxContent>
                      <w:p>
                        <w:pPr>
                          <w:spacing w:before="0" w:after="0" w:lineRule="auto" w:line="240"/>
                          <w:ind w:hanging="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“ITĀLIJAS ŽŪRIJAS KONFERENCES PAR EIROPAS NĀKOTNI” INTEREŠU IZVĒRTĒJUMS</w:t>
                        </w:r>
                      </w:p>
                    </w:txbxContent>
                  </v:textbox>
                  <w10:wrap type="square"/>
                  <v:fill o:detectmouseclick="t" on="false"/>
                  <v:stroke color="#3465a4" joinstyle="round" endcap="flat"/>
                </v:rect>
                <v:rect id="shape_0" stroked="f" style="position:absolute;left:74;top:895;width:3476;height:43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Būtu jānotiek biežāk</w:t>
                        </w:r>
                      </w:p>
                    </w:txbxContent>
                  </v:textbox>
                  <w10:wrap type="square"/>
                  <v:fill o:detectmouseclick="t" on="false"/>
                  <v:stroke color="#3465a4" joinstyle="round" endcap="flat"/>
                </v:rect>
                <v:rect id="shape_0" stroked="f" style="position:absolute;left:74;top:1666;width:3476;height:762">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Noder, lai Eiropas iestādēs uzklausītu iedzīvotāju viedokli</w:t>
                        </w:r>
                      </w:p>
                    </w:txbxContent>
                  </v:textbox>
                  <w10:wrap type="square"/>
                  <v:fill o:detectmouseclick="t" on="false"/>
                  <v:stroke color="#3465a4" joinstyle="round" endcap="flat"/>
                </v:rect>
                <v:rect id="shape_0" stroked="f" style="position:absolute;left:74;top:2463;width:3476;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Var dot pozitīvu ieguldījumu Eiropas nākotnes uzlabošanā</w:t>
                        </w:r>
                      </w:p>
                    </w:txbxContent>
                  </v:textbox>
                  <w10:wrap type="square"/>
                  <v:fill o:detectmouseclick="t" on="false"/>
                  <v:stroke color="#3465a4" joinstyle="round" endcap="flat"/>
                </v:rect>
                <v:rect id="shape_0" stroked="f" style="position:absolute;left:0;top:3219;width:3477;height:555">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Eiropas iestāžu tuvināšana iedzīvotājiem</w:t>
                        </w:r>
                      </w:p>
                    </w:txbxContent>
                  </v:textbox>
                  <w10:wrap type="square"/>
                  <v:fill o:detectmouseclick="t" on="false"/>
                  <v:stroke color="#3465a4" joinstyle="round" endcap="flat"/>
                </v:rect>
                <v:rect id="shape_0" stroked="f" style="position:absolute;left:0;top:3906;width:3477;height:1159">
                  <v:textbox>
                    <w:txbxContent>
                      <w:p>
                        <w:pPr>
                          <w:spacing w:before="0" w:after="0" w:lineRule="auto" w:line="240"/>
                          <w:ind w:hanging="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Bija laika izšķiešana</w:t>
                        </w:r>
                      </w:p>
                    </w:txbxContent>
                  </v:textbox>
                  <w10:wrap type="square"/>
                  <v:fill o:detectmouseclick="t" on="false"/>
                  <v:stroke color="#3465a4" joinstyle="round" endcap="flat"/>
                </v:rect>
                <v:rect id="shape_0" stroked="f" style="position:absolute;left:831;top:4424;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Diezgan piekrītu</w:t>
                        </w:r>
                      </w:p>
                    </w:txbxContent>
                  </v:textbox>
                  <w10:wrap type="square"/>
                  <v:fill o:detectmouseclick="t" on="false"/>
                  <v:stroke color="#3465a4" joinstyle="round" endcap="flat"/>
                </v:rect>
                <v:rect id="shape_0" stroked="f" style="position:absolute;left:2438;top:4382;width:1225;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drīzāk piekristu.</w:t>
                        </w:r>
                      </w:p>
                    </w:txbxContent>
                  </v:textbox>
                  <w10:wrap type="square"/>
                  <v:fill o:detectmouseclick="t" on="false"/>
                  <v:stroke color="#3465a4" joinstyle="round" endcap="flat"/>
                </v:rect>
                <v:rect id="shape_0" stroked="f" style="position:absolute;left:3944;top:4452;width:2028;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Bez vienošanās un bez vienošanās</w:t>
                        </w:r>
                      </w:p>
                    </w:txbxContent>
                  </v:textbox>
                  <w10:wrap type="square"/>
                  <v:fill o:detectmouseclick="t" on="false"/>
                  <v:stroke color="#3465a4" joinstyle="round" endcap="flat"/>
                </v:rect>
                <v:rect id="shape_0" stroked="f" style="position:absolute;left:6197;top:4411;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nepiekrītu.</w:t>
                        </w:r>
                      </w:p>
                    </w:txbxContent>
                  </v:textbox>
                  <w10:wrap type="square"/>
                  <v:fill o:detectmouseclick="t" on="false"/>
                  <v:stroke color="#3465a4" joinstyle="round" endcap="flat"/>
                </v:rect>
                <v:rect id="shape_0" stroked="f" style="position:absolute;left:7944;top:4522;width:1353;height:555">
                  <v:textbox>
                    <w:txbxContent>
                      <w:p>
                        <w:pPr>
                          <w:spacing w:before="0" w:after="0" w:lineRule="auto" w:line="240"/>
                          <w:ind w:hanging="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auto"/>
                          </w:rPr>
                          <w:t>ES vispār nepiekrītu.</w:t>
                        </w:r>
                      </w:p>
                    </w:txbxContent>
                  </v:textbox>
                  <w10:wrap type="square"/>
                  <v:fill o:detectmouseclick="t" on="false"/>
                  <v:stroke color="#3465a4" joinstyle="round" endcap="flat"/>
                </v:rect>
              </v:group>
            </w:pict>
          </mc:Fallback>
        </mc:AlternateContent>
      </w:r>
      <w:r>
        <w:rPr>
          <w:color w:val="000000"/>
        </w:rPr>
        <w:t>Visi dalībnieki norādīja, ka, ja šāda iniciatīva atkal tiktu organizēta, viņi ne tikai būtu gatavi piedalīties, bet arī ieteiktu saviem draugiem piedalīties.</w:t>
      </w:r>
    </w:p>
    <w:p>
      <w:pPr>
        <w:pStyle w:val="Normal"/>
        <w:widowControl w:val="false"/>
        <w:spacing w:lineRule="exact" w:line="393"/>
        <w:ind w:left="0" w:right="0" w:hanging="0"/>
        <w:jc w:val="left"/>
        <w:rPr>
          <w:rFonts w:ascii="Arial" w:hAnsi="Arial"/>
          <w:color w:val="000000"/>
          <w:sz w:val="24"/>
        </w:rPr>
      </w:pPr>
      <w:r>
        <w:rPr>
          <w:color w:val="000000"/>
          <w:sz w:val="24"/>
        </w:rPr>
      </w:r>
      <w:r>
        <w:br w:type="page"/>
      </w:r>
    </w:p>
    <w:p>
      <w:pPr>
        <w:pStyle w:val="Titre1"/>
        <w:numPr>
          <w:ilvl w:val="0"/>
          <w:numId w:val="2"/>
        </w:numPr>
        <w:rPr/>
      </w:pPr>
      <w:bookmarkStart w:id="234" w:name="__RefHeading___Toc298382_1346298689"/>
      <w:bookmarkEnd w:id="234"/>
      <w:r>
        <w:rPr/>
        <w:t>II E valstu paneļdiskusiju grupas: Lietuva</w:t>
      </w:r>
    </w:p>
    <w:p>
      <w:pPr>
        <w:pStyle w:val="P68B1DB1Normal95"/>
        <w:widowControl w:val="false"/>
        <w:spacing w:lineRule="exact" w:line="393"/>
        <w:ind w:left="0" w:right="0" w:hanging="0"/>
        <w:jc w:val="left"/>
        <w:rPr>
          <w:rFonts w:ascii="Arial" w:hAnsi="Arial"/>
          <w:color w:val="5A5A5A"/>
          <w:sz w:val="28"/>
        </w:rPr>
      </w:pPr>
      <w:r>
        <w:rPr/>
        <w:t xml:space="preserve">Lietuvas pilsoņu paneļdiskusija par Eiropas nākotni </w:t>
      </w:r>
    </w:p>
    <w:p>
      <w:pPr>
        <w:pStyle w:val="P68B1DB1Normal95"/>
        <w:widowControl w:val="false"/>
        <w:spacing w:lineRule="exact" w:line="460"/>
        <w:ind w:left="4320" w:right="0" w:hanging="0"/>
        <w:jc w:val="left"/>
        <w:rPr>
          <w:rFonts w:ascii="Arial" w:hAnsi="Arial"/>
          <w:color w:val="5A5A5A"/>
          <w:sz w:val="28"/>
        </w:rPr>
      </w:pPr>
      <w:r>
        <w:rPr/>
        <w:t xml:space="preserve">Atskaite par ziņojumu </w:t>
      </w:r>
    </w:p>
    <w:p>
      <w:pPr>
        <w:pStyle w:val="P68B1DB1Normal76"/>
        <w:widowControl w:val="false"/>
        <w:spacing w:lineRule="exact" w:line="227" w:before="87" w:after="0"/>
        <w:ind w:left="0" w:right="2" w:hanging="0"/>
        <w:jc w:val="both"/>
        <w:rPr/>
      </w:pPr>
      <w:r>
        <w:rPr/>
        <w:t xml:space="preserve">Šim ziņojumam ir četras daļas. Pirmais īsumā iepazīstina ar pasākuma norisi. Otrajā dokumentā ir izklāstīti ieteikumi, ko snieguši pilsoņu paneļdiskusijā par ES un Lietuvas politiku. Trešajā dokumentā ir sniegta īsa analīze par diskusijām grupās un foruma galvenajiem rezultātiem. Ceturtajā ziņojumā ir salīdzināti pilsoņu paneļdiskusijas rezultāti ar Lietuvas pilsoņu aptauju rezultātiem par Eiropas stāvokli un nākotni. </w:t>
      </w:r>
    </w:p>
    <w:p>
      <w:pPr>
        <w:pStyle w:val="P68B1DB1Normal96"/>
        <w:widowControl w:val="false"/>
        <w:spacing w:lineRule="exact" w:line="517" w:before="188" w:after="0"/>
        <w:ind w:left="0" w:right="0" w:hanging="0"/>
        <w:jc w:val="left"/>
        <w:rPr/>
      </w:pPr>
      <w:r>
        <w:rPr>
          <w:rFonts w:ascii="Calibri" w:hAnsi="Calibri"/>
        </w:rPr>
        <w:t>1.</w:t>
      </w:r>
      <w:r>
        <w:rPr/>
        <w:t xml:space="preserve"> </w:t>
      </w:r>
      <w:r>
        <w:rPr>
          <w:rFonts w:ascii="Calibri" w:hAnsi="Calibri"/>
        </w:rPr>
        <w:t>Valsts pilsoņu paneļdiskusija</w:t>
      </w:r>
    </w:p>
    <w:p>
      <w:pPr>
        <w:pStyle w:val="Normal"/>
        <w:widowControl w:val="false"/>
        <w:spacing w:lineRule="exact" w:line="253" w:before="95" w:after="0"/>
        <w:ind w:left="0" w:right="0" w:hanging="0"/>
        <w:jc w:val="both"/>
        <w:rPr/>
      </w:pPr>
      <w:r>
        <w:rPr>
          <w:color w:val="000000"/>
        </w:rPr>
        <w:t>Saskaņā ar vadlīnijām par nacionālo pilsoņu paneļdiskusiju organizēšanu saistībā ar konferenci par Eiropas nākotni Kantar TNS LT apsekojuma institūts pēc Ārlietu ministrijas (MAE) pieprasījuma 2021. gada decembrī izstrādāja stratificētu nejaušības atlases metodiku, kas izmantota Lietuvas iedzīvotāju reprezentatīvai izlasei un uz kuras pamata Kantar TNS izvēlējās 25 Lietuvas pilsoņus vecumā no 18 līdz 65 gadiem, kuri pārstāv dažādas sociālekonomiskās grupas un visus Lietuvas ģeogrāfiskos reģionus</w:t>
      </w:r>
      <w:r>
        <w:rPr>
          <w:rStyle w:val="Ancredenotedebasdepage"/>
          <w:rStyle w:val="Ancredenotedebasdepage"/>
          <w:color w:val="000000"/>
          <w:sz w:val="14"/>
        </w:rPr>
        <w:footnoteReference w:id="16"/>
      </w:r>
      <w:r>
        <w:rPr>
          <w:color w:val="000000"/>
        </w:rPr>
        <w:t xml:space="preserve">. </w:t>
      </w:r>
    </w:p>
    <w:p>
      <w:pPr>
        <w:pStyle w:val="P68B1DB1Normal76"/>
        <w:widowControl w:val="false"/>
        <w:spacing w:lineRule="exact" w:line="253"/>
        <w:ind w:left="0" w:right="1" w:hanging="0"/>
        <w:jc w:val="both"/>
        <w:rPr/>
      </w:pPr>
      <w:r>
        <w:rPr/>
        <w:t xml:space="preserve">4. janvārī atlasītie pilsoņi tika uzaicināti uz virtuālu ievadsesiju, kuras laikā tika prezentēta valsts pilsoņu paneļdiskusija un notika viedokļu apmaiņa par jautājumiem, kas ir visbūtiskākie Eiropas nākotnei. Pasākuma noslēgumā dalībnieki saņēma informatīvu dokumentu ar detalizētu aprakstu par apspriestajām tēmām un informācijas avotiem. </w:t>
      </w:r>
    </w:p>
    <w:p>
      <w:pPr>
        <w:pStyle w:val="P68B1DB1Normal76"/>
        <w:widowControl w:val="false"/>
        <w:spacing w:lineRule="exact" w:line="253"/>
        <w:ind w:left="0" w:right="2" w:hanging="0"/>
        <w:jc w:val="both"/>
        <w:rPr/>
      </w:pPr>
      <w:r>
        <w:rPr/>
        <w:t xml:space="preserve">15. janvārī EAO, ko organizēja EAO Austrumeiropas studiju centrs (RESC) un Kantar TNS LT vēlēšanu institūts, notika valstu pilsoņu paneļdiskusija par Eiropas nākotni, kurā tieši piedalījās 25 izvēlēti pilsoņi. </w:t>
      </w:r>
    </w:p>
    <w:p>
      <w:pPr>
        <w:pStyle w:val="P68B1DB1Normal76"/>
        <w:widowControl w:val="false"/>
        <w:spacing w:lineRule="exact" w:line="362"/>
        <w:ind w:left="0" w:right="0" w:hanging="0"/>
        <w:jc w:val="left"/>
        <w:rPr>
          <w:rFonts w:ascii="Arial" w:hAnsi="Arial"/>
          <w:color w:val="000000"/>
          <w:sz w:val="22"/>
        </w:rPr>
      </w:pPr>
      <w:r>
        <w:rPr/>
        <w:t xml:space="preserve"> </w:t>
      </w:r>
    </w:p>
    <w:p>
      <w:pPr>
        <w:pStyle w:val="P68B1DB1Normal76"/>
        <w:widowControl w:val="false"/>
        <w:spacing w:lineRule="exact" w:line="253"/>
        <w:ind w:left="0" w:right="0" w:hanging="0"/>
        <w:jc w:val="both"/>
        <w:rPr/>
      </w:pPr>
      <w:r>
        <w:rPr/>
        <w:t xml:space="preserve">Dalībnieki apsprieda divus jautājumus, kas saistīti ar ES politiku: </w:t>
      </w:r>
      <w:r>
        <w:rPr>
          <w:b/>
        </w:rPr>
        <w:t>ES loma un kompetence ārpolitikā,</w:t>
      </w:r>
      <w:r>
        <w:rPr/>
        <w:t xml:space="preserve"> kā arī </w:t>
      </w:r>
      <w:r>
        <w:rPr>
          <w:b/>
        </w:rPr>
        <w:t>ES ekonomiskā loma</w:t>
      </w:r>
      <w:r>
        <w:rPr/>
        <w:t>.</w:t>
      </w:r>
      <w:r>
        <w:rPr>
          <w:b/>
        </w:rPr>
        <w:t xml:space="preserve"> </w:t>
      </w:r>
      <w:r>
        <w:rPr/>
        <w:t xml:space="preserve">Šajā pasākumā katrs no šiem jautājumiem tika apspriests atsevišķā sesijā, kuras sākumā ES politikas eksperti Linas Kojala (RESC) un Ramūns Vilpišausks (Viļņas Universitātes speciālists) īsi iepazīstināja iedzīvotājus ar sesijas tēmas aktualitāti un jautājumiem. Diskusijas laikā iedzīvotāji varēja uzdot jautājumus un paust savu viedokli. Pēc ekspertu prezentācijām dalībnieki tika sadalīti trīs mazākās pārstāvju grupās, lai katra apsvērtu citu ar sesijas tēmu saistītu jautājumu. Apspriestie ārpolitikas jautājumi bija šādi: </w:t>
      </w:r>
    </w:p>
    <w:p>
      <w:pPr>
        <w:pStyle w:val="P68B1DB1Normal76"/>
        <w:widowControl w:val="false"/>
        <w:spacing w:lineRule="exact" w:line="253"/>
        <w:ind w:left="720" w:right="1" w:hanging="0"/>
        <w:jc w:val="left"/>
        <w:rPr/>
      </w:pPr>
      <w:r>
        <w:rPr>
          <w:b/>
        </w:rPr>
        <w:t>1.1.</w:t>
      </w:r>
      <w:r>
        <w:rPr/>
        <w:t xml:space="preserve"> Vai ir vajadzīga autonoma ES aizsardzības un ārpolitikas politika?</w:t>
      </w:r>
    </w:p>
    <w:p>
      <w:pPr>
        <w:pStyle w:val="P68B1DB1Normal76"/>
        <w:widowControl w:val="false"/>
        <w:spacing w:lineRule="exact" w:line="253"/>
        <w:ind w:left="720" w:right="1" w:hanging="0"/>
        <w:jc w:val="left"/>
        <w:rPr/>
      </w:pPr>
      <w:r>
        <w:rPr>
          <w:b/>
        </w:rPr>
        <w:t>1.2.</w:t>
      </w:r>
      <w:r>
        <w:rPr/>
        <w:t xml:space="preserve"> Kādām vajadzētu būt ES attiecībām ar tās Austrumeiropas kaimiņvalstīm, Ziemeļāfriku un Turciju? </w:t>
      </w:r>
    </w:p>
    <w:p>
      <w:pPr>
        <w:pStyle w:val="P68B1DB1Normal76"/>
        <w:widowControl w:val="false"/>
        <w:spacing w:lineRule="exact" w:line="379"/>
        <w:ind w:left="720" w:right="0" w:hanging="0"/>
        <w:jc w:val="left"/>
        <w:rPr/>
      </w:pPr>
      <w:r>
        <w:rPr>
          <w:b/>
        </w:rPr>
        <w:t>1.3.</w:t>
      </w:r>
      <w:r>
        <w:rPr/>
        <w:t xml:space="preserve"> Kādai jābūt ES migrācijas politikai? </w:t>
      </w:r>
    </w:p>
    <w:p>
      <w:pPr>
        <w:pStyle w:val="P68B1DB1Normal76"/>
        <w:widowControl w:val="false"/>
        <w:spacing w:lineRule="exact" w:line="254"/>
        <w:ind w:left="0" w:right="0" w:hanging="0"/>
        <w:jc w:val="left"/>
        <w:rPr/>
      </w:pPr>
      <w:r>
        <w:rPr/>
        <w:t xml:space="preserve">Sesijā par ES ekonomisko nozīmi tika apspriesti šādi jautājumi: </w:t>
      </w:r>
    </w:p>
    <w:p>
      <w:pPr>
        <w:pStyle w:val="P68B1DB1Normal76"/>
        <w:widowControl w:val="false"/>
        <w:spacing w:lineRule="exact" w:line="254"/>
        <w:ind w:left="720" w:right="0" w:hanging="0"/>
        <w:jc w:val="left"/>
        <w:rPr/>
      </w:pPr>
      <w:r>
        <w:rPr>
          <w:b/>
        </w:rPr>
        <w:t xml:space="preserve">2.1. </w:t>
      </w:r>
      <w:r>
        <w:rPr/>
        <w:t xml:space="preserve">Vai ir vajadzīga lielāka līdzekļu pārdale no ES budžeta un no ES kopējā parāda? </w:t>
      </w:r>
    </w:p>
    <w:p>
      <w:pPr>
        <w:pStyle w:val="P68B1DB1Normal76"/>
        <w:widowControl w:val="false"/>
        <w:spacing w:lineRule="exact" w:line="379"/>
        <w:ind w:left="720" w:right="0" w:hanging="0"/>
        <w:jc w:val="left"/>
        <w:rPr/>
      </w:pPr>
      <w:r>
        <w:rPr>
          <w:b/>
        </w:rPr>
        <w:t xml:space="preserve">2.2. </w:t>
      </w:r>
      <w:r>
        <w:rPr/>
        <w:t>Vai sociālie standarti būtu jāreglamentē ES līmenī?</w:t>
      </w:r>
      <w:r>
        <w:rPr>
          <w:b/>
        </w:rPr>
        <w:t xml:space="preserve"> </w:t>
      </w:r>
    </w:p>
    <w:p>
      <w:pPr>
        <w:pStyle w:val="P68B1DB1Normal76"/>
        <w:widowControl w:val="false"/>
        <w:spacing w:lineRule="exact" w:line="379"/>
        <w:ind w:left="720" w:right="0" w:hanging="0"/>
        <w:jc w:val="left"/>
        <w:rPr/>
      </w:pPr>
      <w:r>
        <w:rPr>
          <w:b/>
        </w:rPr>
        <w:t>2.3.</w:t>
      </w:r>
      <w:r>
        <w:rPr/>
        <w:t xml:space="preserve"> Kā stiprināt ES ekonomiku? </w:t>
      </w:r>
    </w:p>
    <w:p>
      <w:pPr>
        <w:pStyle w:val="P68B1DB1Normal76"/>
        <w:widowControl w:val="false"/>
        <w:spacing w:lineRule="auto" w:line="240"/>
        <w:ind w:left="0" w:right="0" w:hanging="0"/>
        <w:jc w:val="both"/>
        <w:rPr/>
      </w:pPr>
      <w:r>
        <w:rPr/>
        <w:t xml:space="preserve">Sesijas beigās katrai grupai bija jāformulē galvenie diskusijas secinājumi, jāsniedz principiāli paziņojumi vai konkrēti priekšlikumi par ES politikas jautājumiem. Diskusijā ar visu paneļdiskusiju katras grupas pārstāvis iepazīstināja pārējos dalībniekus ar šiem konstatējumiem. Tie, kas bija citās grupās, varēja uzdot jautājumus un papildināt priekšlikumus ar savām idejām. Pēc prezentācijām un debatēm iedzīvotāji balsoja par diviem no šiem secinājumiem, balsojot par vissvarīgāko priekšlikumu vai deklarāciju par Lietuvas lomu ES stiprināšanā un ES panākumiem pat visā Eiropā; un otrs balsojums par paziņojumu vai priekšlikumu šķiet vissvarīgākais savā personīgajā statusā viņu kā ES iedzīvotāju interesēs. Pēc šā balsojuma paneļdiskusijā notika debates, un tika apspriestas galvenās no diskusijām izrietošās idejas. </w:t>
      </w:r>
    </w:p>
    <w:p>
      <w:pPr>
        <w:pStyle w:val="P68B1DB1Normal76"/>
        <w:widowControl w:val="false"/>
        <w:spacing w:lineRule="auto" w:line="240"/>
        <w:ind w:left="0" w:right="0" w:hanging="0"/>
        <w:jc w:val="both"/>
        <w:rPr/>
      </w:pPr>
      <w:r>
        <w:rPr/>
        <w:t xml:space="preserve">Nedēļā pēc pasākuma eksperti izskatīja diskusiju saturu un atklāja pilsoņu ierosināto ideju būtību. 25. janvārī notika virtuāla kopsavilkuma sesija, un iedzīvotāji tika iepazīstināti ar viņu diskusiju satura ieteikumiem. Iedzīvotājiem tika dota iespēja pateikt, vai viņi ir apstiprinājuši ieteikumus, papildināt tos pēc būtības un novērtēt tos. Visiem dalībniekiem šī iespēja bija atkal nedēļu pēc kopsavilkuma sesijas, nosūtot savus viedokļus un komentārus rakstiski žūrijas organizatoriem.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P68B1DB1Normal98"/>
        <w:widowControl w:val="false"/>
        <w:spacing w:lineRule="auto" w:line="240" w:before="82" w:after="0"/>
        <w:ind w:left="0" w:right="0" w:hanging="0"/>
        <w:jc w:val="left"/>
        <w:rPr/>
      </w:pPr>
      <w:r>
        <w:rPr/>
        <w:t xml:space="preserve">2. </w:t>
      </w:r>
      <w:r>
        <w:rPr>
          <w:i/>
        </w:rPr>
        <w:t>Valsts pilsoņu paneļdiskusijas rezultāti</w:t>
      </w:r>
      <w:r>
        <w:rPr/>
        <w:t xml:space="preserve"> </w:t>
      </w:r>
    </w:p>
    <w:p>
      <w:pPr>
        <w:pStyle w:val="P68B1DB1Normal76"/>
        <w:widowControl w:val="false"/>
        <w:spacing w:lineRule="auto" w:line="240" w:before="70" w:after="0"/>
        <w:ind w:left="0" w:right="1" w:hanging="0"/>
        <w:jc w:val="both"/>
        <w:rPr/>
      </w:pPr>
      <w:r>
        <w:rPr/>
        <w:t xml:space="preserve">Šajā ziņojuma daļā ir atspoguļoti pilsoņu paneļdiskusijas rezultāti, kā arī darba grupu dalībnieku ieteikumi un viņu nostāja par ES lomu ārpolitikā un ekonomikā.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left"/>
        <w:rPr/>
      </w:pPr>
      <w:r>
        <w:rPr>
          <w:b/>
        </w:rPr>
        <w:t>Pirmā sesija:</w:t>
      </w:r>
      <w:r>
        <w:rPr/>
        <w:t xml:space="preserve"> </w:t>
      </w:r>
      <w:r>
        <w:rPr>
          <w:b/>
        </w:rPr>
        <w:t>ES loma un kompetence ārpolitikā</w:t>
      </w:r>
    </w:p>
    <w:p>
      <w:pPr>
        <w:pStyle w:val="P68B1DB1Normal99"/>
        <w:widowControl w:val="false"/>
        <w:spacing w:lineRule="auto" w:line="240" w:before="39" w:after="0"/>
        <w:ind w:left="468" w:right="0" w:hanging="0"/>
        <w:jc w:val="left"/>
        <w:rPr/>
      </w:pPr>
      <w:r>
        <w:rPr/>
        <w:t xml:space="preserve">1. Mēs aicinām ES izstrādāt efektīvāku politiku attiecībā uz Ķīnu. Lietuva ir jāatbalsta apņēmīgāk, bet tai būtu arī labāk jāsaskaņo tās nostāja ar ES partneru nostāju. Lai nodrošinātu labāku interešu līdzsvaru Eiropas Savienībā un to, ka attiecībā uz Ķīnu ir tikai viena politika, kā arī attiecībā uz citiem ārpolitikas jautājumiem, iesakām apsvērt iespēju izveidot ES ārlietu ministru. </w:t>
      </w:r>
    </w:p>
    <w:p>
      <w:pPr>
        <w:pStyle w:val="P68B1DB1Normal99"/>
        <w:widowControl w:val="false"/>
        <w:spacing w:lineRule="auto" w:line="240" w:before="78" w:after="0"/>
        <w:ind w:left="468" w:right="341" w:hanging="0"/>
        <w:jc w:val="left"/>
        <w:rPr/>
      </w:pPr>
      <w:r>
        <w:rPr/>
        <w:t xml:space="preserve">2. Mēs iesakām darba kārtībā iekļaut jautājumu par migrantu kvotām ES līmenī. </w:t>
      </w:r>
    </w:p>
    <w:p>
      <w:pPr>
        <w:pStyle w:val="P68B1DB1Normal99"/>
        <w:widowControl w:val="false"/>
        <w:spacing w:lineRule="auto" w:line="240" w:before="78" w:after="0"/>
        <w:ind w:left="468" w:right="0" w:hanging="0"/>
        <w:jc w:val="left"/>
        <w:rPr/>
      </w:pPr>
      <w:r>
        <w:rPr/>
        <w:t>3. Mēs iesakām izveidot īpašu ES līmeņa komiteju migrācijas jautājumu risināšanai, kas nodrošinātu ātrāku reakciju uz migrācijas krīzēm un dalībvalstu tiesības izskaidrot un aizstāvēt savas valsts intereses, kā arī izstrādāt un īstenot kopējas migrācijas pārvaldības pamatnostādnes.</w:t>
      </w:r>
    </w:p>
    <w:p>
      <w:pPr>
        <w:pStyle w:val="P68B1DB1Normal99"/>
        <w:widowControl w:val="false"/>
        <w:spacing w:lineRule="auto" w:line="240" w:before="78" w:after="0"/>
        <w:ind w:left="468" w:right="0" w:hanging="0"/>
        <w:jc w:val="left"/>
        <w:rPr/>
      </w:pPr>
      <w:r>
        <w:rPr/>
        <w:t xml:space="preserve">4. Mēs iesakām stiprināt ekonomiskās un humanitārās saites ar Ziemeļāfrikas valstīm, neaizmirstot par politisko realitāti, jo īpaši, lai samazinātu Ķīnas, Krievijas un citu reģiona valstu ietekmi. </w:t>
      </w:r>
    </w:p>
    <w:p>
      <w:pPr>
        <w:pStyle w:val="P68B1DB1Normal99"/>
        <w:widowControl w:val="false"/>
        <w:spacing w:lineRule="auto" w:line="240" w:before="78" w:after="0"/>
        <w:ind w:left="468" w:right="466" w:hanging="0"/>
        <w:jc w:val="left"/>
        <w:rPr/>
      </w:pPr>
      <w:r>
        <w:rPr/>
        <w:t xml:space="preserve">5. Mēs iesakām stiprināt saites ar Austrumeiropu un veicināt ekonomiskus pasākumus personīgā līmenī. </w:t>
      </w:r>
    </w:p>
    <w:p>
      <w:pPr>
        <w:pStyle w:val="P68B1DB1Normal99"/>
        <w:widowControl w:val="false"/>
        <w:spacing w:lineRule="auto" w:line="240" w:before="78" w:after="0"/>
        <w:ind w:left="468" w:right="286" w:hanging="0"/>
        <w:jc w:val="left"/>
        <w:rPr/>
      </w:pPr>
      <w:r>
        <w:rPr/>
        <w:t xml:space="preserve">6. Mēs uzstājam, ka sankcijas, ko ES piemēro ārvalstu dalībniekiem, ir stingrākas, mērķtiecīgākas un attiecas uz nozīmīgiem rādītājiem valstī, kurai piemēro sankcijas (piemēram, politiskie līderi). </w:t>
      </w:r>
    </w:p>
    <w:p>
      <w:pPr>
        <w:pStyle w:val="P68B1DB1Normal99"/>
        <w:widowControl w:val="false"/>
        <w:spacing w:lineRule="auto" w:line="240" w:before="78" w:after="0"/>
        <w:ind w:left="466" w:right="295" w:hanging="0"/>
        <w:jc w:val="left"/>
        <w:rPr/>
      </w:pPr>
      <w:r>
        <w:rPr/>
        <w:t>7. Mēs uzstājam, ka ES kopējā ārpolitika un drošības politika balstās uz solidaritātes pamatprincipu starp dažādām ES dalībvalstīm un dažādiem Eiropas reģioniem un sabiedrībām.</w:t>
      </w:r>
    </w:p>
    <w:p>
      <w:pPr>
        <w:pStyle w:val="P68B1DB1Normal99"/>
        <w:widowControl w:val="false"/>
        <w:spacing w:lineRule="auto" w:line="240" w:before="78" w:after="0"/>
        <w:ind w:left="466" w:right="295" w:hanging="0"/>
        <w:jc w:val="left"/>
        <w:rPr/>
      </w:pPr>
      <w:r>
        <w:rPr/>
        <w:t xml:space="preserve">8. Mēs iesakām ES līdz šim pārskatīt atklātības politiku attiecībā uz migrāciju, kas rada drošības problēmas, noziedzības pieaugumu un komunitārisma veidošanos sabiedrībā. </w:t>
      </w:r>
    </w:p>
    <w:p>
      <w:pPr>
        <w:pStyle w:val="P68B1DB1Normal99"/>
        <w:widowControl w:val="false"/>
        <w:spacing w:lineRule="auto" w:line="240" w:before="78" w:after="0"/>
        <w:ind w:left="468" w:right="0" w:hanging="0"/>
        <w:jc w:val="left"/>
        <w:rPr/>
      </w:pPr>
      <w:r>
        <w:rPr/>
        <w:t xml:space="preserve">9. Mēs aicinām Lietuvu aktīvāk runāt par migrācijas politikas jautājumiem un uzsākt diskusijas par jautājumiem, kas saistīti ar migrāciju. </w:t>
      </w:r>
    </w:p>
    <w:p>
      <w:pPr>
        <w:pStyle w:val="P68B1DB1Normal99"/>
        <w:widowControl w:val="false"/>
        <w:spacing w:lineRule="auto" w:line="240" w:before="78" w:after="0"/>
        <w:ind w:left="468" w:right="0" w:hanging="0"/>
        <w:jc w:val="left"/>
        <w:rPr>
          <w:rFonts w:ascii="Arial" w:hAnsi="Arial"/>
          <w:color w:val="000000"/>
          <w:sz w:val="20"/>
        </w:rPr>
      </w:pPr>
      <w:r>
        <w:rPr/>
        <w:t xml:space="preserve">10. Mēs iesakām ES īstenot aktīvu un stingru politiku attiecībā uz valstīm, kas izmanto migrācijas plūsmas kā ieroci hibrīduzbrukumos: no vienas puses, piemērojot stingrākas sankcijas un, no otras puses, veidojot dialogu ar tām, lai mazinātu saspīlējumu. </w:t>
      </w:r>
    </w:p>
    <w:p>
      <w:pPr>
        <w:pStyle w:val="P68B1DB1Normal100"/>
        <w:widowControl w:val="false"/>
        <w:spacing w:lineRule="auto" w:line="240" w:before="111" w:after="0"/>
        <w:ind w:left="0" w:right="0" w:hanging="0"/>
        <w:jc w:val="left"/>
        <w:rPr>
          <w:rFonts w:ascii="Arial" w:hAnsi="Arial"/>
          <w:b/>
          <w:b/>
          <w:i/>
          <w:i/>
          <w:color w:val="000000"/>
          <w:sz w:val="22"/>
        </w:rPr>
      </w:pPr>
      <w:r>
        <w:rPr/>
        <w:t xml:space="preserve"> </w:t>
      </w:r>
    </w:p>
    <w:p>
      <w:pPr>
        <w:pStyle w:val="P68B1DB1Normal100"/>
        <w:widowControl w:val="false"/>
        <w:spacing w:lineRule="auto" w:line="240"/>
        <w:ind w:left="0" w:right="0" w:hanging="0"/>
        <w:jc w:val="left"/>
        <w:rPr>
          <w:rFonts w:ascii="Arial" w:hAnsi="Arial"/>
          <w:b/>
          <w:b/>
          <w:i/>
          <w:i/>
          <w:color w:val="000000"/>
          <w:sz w:val="22"/>
        </w:rPr>
      </w:pPr>
      <w:r>
        <w:rPr/>
        <w:t xml:space="preserve">Otrā sesija: ES loma ekonomikā </w:t>
      </w:r>
    </w:p>
    <w:p>
      <w:pPr>
        <w:pStyle w:val="P68B1DB1Normal99"/>
        <w:widowControl w:val="false"/>
        <w:spacing w:lineRule="auto" w:line="240"/>
        <w:ind w:left="828" w:right="142" w:hanging="359"/>
        <w:jc w:val="both"/>
        <w:rPr/>
      </w:pPr>
      <w:r>
        <w:rPr/>
        <w:t xml:space="preserve">1. Mēs iesakām ES stiprināt pirmās nepieciešamības preču piegādes drošību ar dažādiem līdzekļiem: noteikt prioritātes ES iekšējai tirdzniecībai, veicināt progresīvu tehnoloģiju ražošanu un vēl vairāk dažādot importa avotus. Mēs arī iesakām izpētīt jaunus eksporta tirgus. </w:t>
      </w:r>
    </w:p>
    <w:p>
      <w:pPr>
        <w:pStyle w:val="P68B1DB1Normal99"/>
        <w:widowControl w:val="false"/>
        <w:spacing w:lineRule="auto" w:line="240" w:before="83" w:after="0"/>
        <w:ind w:left="828" w:right="143" w:hanging="359"/>
        <w:jc w:val="both"/>
        <w:rPr/>
      </w:pPr>
      <w:r>
        <w:rPr/>
        <w:t xml:space="preserve">2. Mēs iesakām pārskatīt dabasgāzes līgumu sarunu praksi, ņemot vērā gan īstermiņa, gan ilgtermiņa līgumus. Mēs iesakām vēl vairāk dažādot energoapgādes avotus. </w:t>
      </w:r>
    </w:p>
    <w:p>
      <w:pPr>
        <w:pStyle w:val="P68B1DB1Normal99"/>
        <w:widowControl w:val="false"/>
        <w:spacing w:lineRule="auto" w:line="240" w:before="83" w:after="0"/>
        <w:ind w:left="828" w:right="143" w:hanging="359"/>
        <w:jc w:val="both"/>
        <w:rPr/>
      </w:pPr>
      <w:r>
        <w:rPr/>
        <w:t xml:space="preserve">3. Mēs iesakām zaļā kursa pasākumus un to īstenošanu novērtēt, ņemot vērā iespējamo negatīvo sociālekonomisko ietekmi. Lai īstenotu zaļā kursa mērķus, mēs iesakām papildus atjaunojamo energoresursu izmantošanai izmantot kodolenerģiju un dabasgāzi. </w:t>
      </w:r>
    </w:p>
    <w:p>
      <w:pPr>
        <w:pStyle w:val="P68B1DB1Normal99"/>
        <w:widowControl w:val="false"/>
        <w:spacing w:lineRule="auto" w:line="240" w:before="83" w:after="0"/>
        <w:ind w:left="828" w:right="143" w:hanging="359"/>
        <w:jc w:val="both"/>
        <w:rPr/>
      </w:pPr>
      <w:r>
        <w:rPr/>
        <w:t xml:space="preserve">4. Mēs uzsveram, ka ir īpaši svarīgi, lai visas dalībvalstis ievērotu ES tiesību aktu pārākuma principu. Mēs lūdzam, piemēram, lai Lietuvai būtu skaidra principiāla nostāja šajā jautājumā. </w:t>
      </w:r>
    </w:p>
    <w:p>
      <w:pPr>
        <w:pStyle w:val="P68B1DB1Normal99"/>
        <w:widowControl w:val="false"/>
        <w:spacing w:lineRule="auto" w:line="240" w:before="83" w:after="0"/>
        <w:ind w:left="828" w:right="142" w:hanging="359"/>
        <w:jc w:val="both"/>
        <w:rPr/>
      </w:pPr>
      <w:r>
        <w:rPr/>
        <w:t>5. Mēs iesakām Lietuvai aktīvāk izmantot ES valstu labo praksi, lai panāktu augstākus sociālos standartus, ekonomikas paplašināšanos un līdzsvarotu un ilgtspējīgu attīstību.</w:t>
      </w:r>
    </w:p>
    <w:p>
      <w:pPr>
        <w:pStyle w:val="P68B1DB1Normal99"/>
        <w:widowControl w:val="false"/>
        <w:spacing w:lineRule="auto" w:line="240" w:before="83" w:after="0"/>
        <w:ind w:left="828" w:right="142" w:hanging="359"/>
        <w:jc w:val="both"/>
        <w:rPr/>
      </w:pPr>
      <w:r>
        <w:rPr/>
        <w:t xml:space="preserve">6. Mēs iesakām vairāk uzmanības pievērst kiberdrošības stiprināšanai, kā arī datu un infrastruktūras aizsardzībai. </w:t>
      </w:r>
    </w:p>
    <w:p>
      <w:pPr>
        <w:pStyle w:val="P68B1DB1Normal99"/>
        <w:widowControl w:val="false"/>
        <w:spacing w:lineRule="auto" w:line="240" w:before="83" w:after="0"/>
        <w:ind w:left="821" w:right="143" w:hanging="354"/>
        <w:jc w:val="both"/>
        <w:rPr/>
      </w:pPr>
      <w:r>
        <w:rPr/>
        <w:t xml:space="preserve">7. Mēs iesakām ES un dalībvalstīm par prioritāti izvirzīt ekonomikas pamatzināšanu attīstību iedzīvotāju vidū, izglītību un informācijas izplatīšanu. </w:t>
      </w:r>
    </w:p>
    <w:p>
      <w:pPr>
        <w:pStyle w:val="P68B1DB1Normal99"/>
        <w:widowControl w:val="false"/>
        <w:spacing w:lineRule="auto" w:line="240" w:before="45" w:after="0"/>
        <w:ind w:left="821" w:right="143" w:hanging="354"/>
        <w:jc w:val="both"/>
        <w:rPr/>
      </w:pPr>
      <w:r>
        <w:rPr/>
        <w:t xml:space="preserve">8. Mēs iesakām jaunajos ES tirdzniecības nolīgumos iekļaut vērienīgus sociālos, darba un veselības standartus. Mēs iesakām ES līmenī izstrādāt pamatnostādnes par to, kā rīkoties un kam nav tiesību rīkoties ar sociālo plašsaziņas līdzekļu platformām, kas pārvalda patērētāju personas datus un informāciju par viņiem. </w:t>
      </w:r>
    </w:p>
    <w:p>
      <w:pPr>
        <w:pStyle w:val="P68B1DB1Normal99"/>
        <w:widowControl w:val="false"/>
        <w:spacing w:lineRule="auto" w:line="240" w:before="42" w:after="0"/>
        <w:ind w:left="821" w:right="143" w:hanging="354"/>
        <w:jc w:val="both"/>
        <w:rPr/>
      </w:pPr>
      <w:r>
        <w:rPr/>
        <w:t>9. Mēs iesakām turpināt apsvērt iespēju kopīgi aizņemties ES līmenī, lai iegūtu vislabākos iespējamos aizņēmuma nosacījumus. Mēs arī iesakām izstrādāt finansiāli pamatotu un atbildīgu politiku, lai samazinātu vajadzību pēc parādsaistībām dalībvalstīm.</w:t>
      </w:r>
    </w:p>
    <w:p>
      <w:pPr>
        <w:pStyle w:val="P68B1DB1Normal99"/>
        <w:widowControl w:val="false"/>
        <w:spacing w:lineRule="auto" w:line="240" w:before="42" w:after="0"/>
        <w:ind w:left="821" w:right="143" w:hanging="354"/>
        <w:jc w:val="both"/>
        <w:rPr/>
      </w:pPr>
      <w:r>
        <w:rPr/>
        <w:t>10. Mēs iesakām pastiprināt ES līdzekļu apguves un izmantošanas uzraudzību, palīdzot vietējām pašvaldībām izveidot reālu praksi līdzekļu izlietojuma pielāgošanai. Tā kā ES līdzekļu saņēmēju objektīvā situācija var mainīties, īpaši svarīga ir saikne starp pārredzamības un elastīguma prasībām.</w:t>
      </w:r>
    </w:p>
    <w:p>
      <w:pPr>
        <w:pStyle w:val="P68B1DB1Normal99"/>
        <w:widowControl w:val="false"/>
        <w:spacing w:lineRule="auto" w:line="240" w:before="42" w:after="0"/>
        <w:ind w:left="821" w:right="143" w:hanging="354"/>
        <w:jc w:val="both"/>
        <w:rPr/>
      </w:pPr>
      <w:r>
        <w:rPr/>
        <w:t xml:space="preserve">11. Mēs iesakām Lietuvai turpināt aktīvi veicināt ekonomikas attīstību un investīcijas valsts reģionos. </w:t>
      </w:r>
    </w:p>
    <w:p>
      <w:pPr>
        <w:pStyle w:val="P68B1DB1Normal35"/>
        <w:widowControl w:val="false"/>
        <w:spacing w:lineRule="auto" w:line="240" w:before="62" w:after="0"/>
        <w:ind w:left="0" w:right="0" w:hanging="0"/>
        <w:jc w:val="left"/>
        <w:rPr>
          <w:rFonts w:ascii="Arial" w:hAnsi="Arial"/>
          <w:b/>
          <w:b/>
          <w:color w:val="000000"/>
          <w:sz w:val="22"/>
        </w:rPr>
      </w:pPr>
      <w:r>
        <w:rPr/>
        <w:t xml:space="preserve"> </w:t>
      </w:r>
    </w:p>
    <w:p>
      <w:pPr>
        <w:pStyle w:val="P68B1DB1Normal96"/>
        <w:widowControl w:val="false"/>
        <w:spacing w:lineRule="auto" w:line="240" w:before="16" w:after="0"/>
        <w:ind w:left="720" w:right="0" w:hanging="0"/>
        <w:jc w:val="left"/>
        <w:rPr/>
      </w:pPr>
      <w:r>
        <w:rPr/>
        <w:t xml:space="preserve">3. Diskusijas valsts pilsoņu paneļdiskusijā un rezultātu analīze </w:t>
      </w:r>
    </w:p>
    <w:p>
      <w:pPr>
        <w:pStyle w:val="P68B1DB1Normal76"/>
        <w:widowControl w:val="false"/>
        <w:spacing w:lineRule="auto" w:line="240" w:before="46" w:after="0"/>
        <w:ind w:left="0" w:right="29" w:hanging="0"/>
        <w:jc w:val="both"/>
        <w:rPr/>
      </w:pPr>
      <w:r>
        <w:rPr/>
        <w:t xml:space="preserve">Nacionālās pilsoņu paneļdiskusijas dalībnieki apsprieda Lietuvai vissvarīgākos aktuālos jautājumus (lielākoties valsts līmenī politiskajā un plašsaziņas līdzekļu jomā) un to, kā tos risināt. Vispārējais balsojums par žūrijas galvenajiem secinājumiem atklāja, ka gandrīz 45 % no visām abu sesiju laikā nodotajām balsīm bija veltītas priekšlikumiem par diviem tematiem: attiecības ar Ķīnu un migrācijas plūsmu kontrole (sk. tabulu turpmāk). Liela uzmanība ir pievērsta arī enerģētikas politikas tēmai. Par to tika iesniegts tikai viens priekšlikums, bet tas saņēma gandrīz 10 % dalībnieku balsis. Šo balsojumu rezultāti liecina, ka iedzīvotāju uztverei par Eiropas nākotni varētu būt izšķiroša nozīme šodienas politiskajos jautājumos un ziņās (valstu līmenī). </w:t>
      </w:r>
    </w:p>
    <w:p>
      <w:pPr>
        <w:pStyle w:val="P68B1DB1Normal76"/>
        <w:widowControl w:val="false"/>
        <w:spacing w:lineRule="auto" w:line="240"/>
        <w:ind w:left="0" w:right="0" w:hanging="0"/>
        <w:jc w:val="left"/>
        <w:rPr>
          <w:rFonts w:ascii="Arial" w:hAnsi="Arial"/>
          <w:color w:val="000000"/>
          <w:sz w:val="22"/>
        </w:rPr>
      </w:pPr>
      <w:r>
        <w:rPr/>
        <w:t xml:space="preserve">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75"/>
        <w:gridCol w:w="7779"/>
        <w:gridCol w:w="374"/>
        <w:gridCol w:w="1310"/>
      </w:tblGrid>
      <w:tr>
        <w:trPr>
          <w:trHeight w:val="23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Rekomendācijas</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1"/>
              <w:spacing w:before="57" w:after="57"/>
              <w:jc w:val="left"/>
              <w:rPr>
                <w:rFonts w:ascii="Garamond" w:hAnsi="Garamond"/>
                <w:b/>
                <w:b/>
                <w:color w:val="000000"/>
              </w:rPr>
            </w:pPr>
            <w:r>
              <w:rPr/>
              <w:t>Skatīt: Balsot</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Pirmā sesija: ES loma un kompetence ārpolitikā</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54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Mēs aicinām ES izstrādāt efektīvāku politiku attiecībā uz Ķīnu. Pašreizējais atbalsts Lietuvai nav pietiekams, taču arī Lietuva nav pietiekami saskaņojusi savu nostāju ar ES partneru nostāju. Lai nodrošinātu labāku interešu līdzsvaru Eiropas Savienībā un to, ka attiecībā uz Ķīnu ir tikai viena politika, kā arī attiecībā uz citiem ārpolitikas jautājumiem, iesakām apsvērt iespēju izveidot ES ārlietu ministru.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11 (22,9 %) ir svarīgi visai Eiropai: 8; privātpersonas statusā: 3</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Mēs iesakām darba kārtībā iekļaut jautājumu par migrantu kvotām ES līmenī.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(18,8 %) ir svarīgi visai Eiropai: 9 </w:t>
            </w:r>
          </w:p>
        </w:tc>
      </w:tr>
      <w:tr>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right w:w="0" w:type="dxa"/>
            </w:tcMar>
            <w:vAlign w:val="center"/>
          </w:tcPr>
          <w:p>
            <w:pPr>
              <w:pStyle w:val="P68B1DB1Contenudetableau102"/>
              <w:spacing w:before="57" w:after="57"/>
              <w:jc w:val="left"/>
              <w:rPr>
                <w:rFonts w:ascii="Garamond" w:hAnsi="Garamond"/>
                <w:color w:val="000000"/>
              </w:rPr>
            </w:pPr>
            <w:r>
              <w:rPr/>
              <w:t xml:space="preserve">3. Mēs iesakām izveidot īpašu ES līmeņa komiteju migrācijas jautājumu risināšanai, kas nodrošinātu ātrāku reakciju uz migrācijas krīzēm un dalībvalstu tiesības izskaidrot un aizstāvēt savas valsts intereses un izstrādāt un īstenot kopējas migrācijas pārvaldības pamatnostādnes.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7 (14,6 %) ir svarīgi visai Eiropai: 3; privātpersonas statusā: 4 </w:t>
            </w:r>
          </w:p>
        </w:tc>
      </w:tr>
      <w:tr>
        <w:trPr>
          <w:trHeight w:val="80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Mēs iesakām stiprināt ekonomiskās un humanitārās saites ar Ziemeļāfrikas valstīm, neaizmirstot par politisko realitāti, jo īpaši, lai samazinātu Ķīnas, Krievijas un citu reģiona valstu ietekmi.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(12,5 %) ir svarīgi privātpersonas statusā: 6</w:t>
            </w:r>
          </w:p>
        </w:tc>
      </w:tr>
      <w:tr>
        <w:trPr>
          <w:trHeight w:val="79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Mēs iesakām stiprināt saites ar Austrumeiropu un piemērot ekonomiskus pasākumus cilvēku līmenī.</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5 (10,4 %) svarīgi personīgi: 5</w:t>
            </w:r>
          </w:p>
        </w:tc>
      </w:tr>
      <w:tr>
        <w:trPr>
          <w:trHeight w:val="251" w:hRule="atLeast"/>
        </w:trPr>
        <w:tc>
          <w:tcPr>
            <w:tcW w:w="175" w:type="dxa"/>
            <w:tcBorders>
              <w:top w:val="single" w:sz="2" w:space="0" w:color="000001"/>
              <w:left w:val="single" w:sz="2" w:space="0" w:color="000001"/>
              <w:bottom w:val="single" w:sz="2" w:space="0" w:color="000001"/>
              <w:insideH w:val="single" w:sz="2" w:space="0" w:color="000001"/>
            </w:tcBorders>
            <w:shd w:fill="C0C0C0" w:val="clear"/>
            <w:tcMar>
              <w:right w:w="0" w:type="dxa"/>
            </w:tcMar>
            <w:vAlign w:val="center"/>
          </w:tcPr>
          <w:p>
            <w:pPr>
              <w:pStyle w:val="Contenudetableau"/>
              <w:spacing w:before="57" w:after="57"/>
              <w:rPr>
                <w:color w:val="000000"/>
              </w:rPr>
            </w:pPr>
            <w:r>
              <w:rPr>
                <w:color w:val="000000"/>
              </w:rPr>
            </w:r>
          </w:p>
        </w:tc>
        <w:tc>
          <w:tcPr>
            <w:tcW w:w="8153" w:type="dxa"/>
            <w:gridSpan w:val="2"/>
            <w:tcBorders>
              <w:top w:val="single" w:sz="2" w:space="0" w:color="000001"/>
              <w:bottom w:val="single" w:sz="2" w:space="0" w:color="000001"/>
              <w:insideH w:val="single" w:sz="2" w:space="0" w:color="000001"/>
            </w:tcBorders>
            <w:shd w:fill="C0C0C0" w:val="clear"/>
            <w:tcMar>
              <w:left w:w="0" w:type="dxa"/>
              <w:right w:w="0" w:type="dxa"/>
            </w:tcMar>
            <w:vAlign w:val="center"/>
          </w:tcPr>
          <w:p>
            <w:pPr>
              <w:pStyle w:val="P68B1DB1Contenudetableau101"/>
              <w:spacing w:before="57" w:after="57"/>
              <w:jc w:val="left"/>
              <w:rPr>
                <w:rFonts w:ascii="Garamond" w:hAnsi="Garamond"/>
                <w:b/>
                <w:b/>
                <w:color w:val="000000"/>
              </w:rPr>
            </w:pPr>
            <w:r>
              <w:rPr/>
              <w:t xml:space="preserve">Otrā sesija: ES loma ekonomikā </w:t>
            </w:r>
          </w:p>
        </w:tc>
        <w:tc>
          <w:tcPr>
            <w:tcW w:w="1310" w:type="dxa"/>
            <w:tcBorders>
              <w:top w:val="single" w:sz="2" w:space="0" w:color="000001"/>
              <w:bottom w:val="single" w:sz="2" w:space="0" w:color="000001"/>
              <w:right w:val="single" w:sz="2" w:space="0" w:color="000001"/>
              <w:insideH w:val="single" w:sz="2" w:space="0" w:color="000001"/>
              <w:insideV w:val="single" w:sz="2" w:space="0" w:color="000001"/>
            </w:tcBorders>
            <w:shd w:fill="C0C0C0" w:val="clear"/>
            <w:tcMar>
              <w:left w:w="0" w:type="dxa"/>
            </w:tcMar>
            <w:vAlign w:val="center"/>
          </w:tcPr>
          <w:p>
            <w:pPr>
              <w:pStyle w:val="Contenudetableau"/>
              <w:spacing w:before="57" w:after="57"/>
              <w:rPr>
                <w:color w:val="000000"/>
              </w:rPr>
            </w:pPr>
            <w:r>
              <w:rPr>
                <w:color w:val="000000"/>
              </w:rPr>
            </w:r>
          </w:p>
        </w:tc>
      </w:tr>
      <w:tr>
        <w:trPr>
          <w:trHeight w:val="127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1. Mēs iesakām ES veikt dažādus pasākumus, lai uzlabotu pirmās nepieciešamības preču piegādes drošību: noteikt prioritātes ES iekšējai tirdzniecībai, veicināt progresīvu tehnoloģiju ražošanu ES un vēl vairāk dažādot importa avotus. Mēs arī iesakām izpētīt jaunus eksporta tirgus.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9 (19,6 %) ir svarīgi visai Eiropai: 3; personīgi: 6 </w:t>
            </w:r>
          </w:p>
        </w:tc>
      </w:tr>
      <w:tr>
        <w:trPr>
          <w:trHeight w:val="91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2. Mēs iesakām pārskatīt dabasgāzes līgumu sarunu praksi, ņemot vērā gan īstermiņa, gan ilgtermiņa līgumus. Mēs iesakām vēl vairāk dažādot energoapgādes avotus.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9 (19,6 %) ir svarīgi visai Eiropai: 9</w:t>
            </w:r>
          </w:p>
        </w:tc>
      </w:tr>
      <w:tr>
        <w:trPr>
          <w:trHeight w:val="1121"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3. Mēs iesakām zaļā kursa pasākumus un to īstenošanu novērtēt, ņemot vērā iespējamo negatīvo sociālekonomisko ietekmi. Lai īstenotu zaļā kursa mērķus, mēs iesakām papildus atjaunojamo energoresursu izmantošanai izmantot kodolenerģiju un dabasgāzi.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6 (13 %) svarīgi privātpersonas statusā: 6</w:t>
            </w:r>
          </w:p>
        </w:tc>
      </w:tr>
      <w:tr>
        <w:trPr>
          <w:trHeight w:val="1016" w:hRule="atLeast"/>
        </w:trPr>
        <w:tc>
          <w:tcPr>
            <w:tcW w:w="79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 xml:space="preserve">4. Mēs uzsveram, ka ir svarīgi, lai visas dalībvalstis ievērotu ES tiesību aktu pārākuma principu. Mēs lūdzam, piemēram, lai Lietuvai būtu skaidra principiāla nostāja šajā jautājumā. </w:t>
            </w:r>
          </w:p>
        </w:tc>
        <w:tc>
          <w:tcPr>
            <w:tcW w:w="16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02"/>
              <w:spacing w:before="57" w:after="57"/>
              <w:jc w:val="left"/>
              <w:rPr>
                <w:rFonts w:ascii="Garamond" w:hAnsi="Garamond"/>
                <w:color w:val="000000"/>
              </w:rPr>
            </w:pPr>
            <w:r>
              <w:rPr/>
              <w:t>4 (8,7 %) ir svarīgi visai Eiropai: 2; privātpersonas statusā: 2</w:t>
            </w:r>
          </w:p>
        </w:tc>
      </w:tr>
    </w:tbl>
    <w:p>
      <w:pPr>
        <w:pStyle w:val="P68B1DB1Normal97"/>
        <w:spacing w:lineRule="auto" w:line="240"/>
        <w:rPr>
          <w:rFonts w:ascii="Garamond" w:hAnsi="Garamond"/>
          <w:color w:val="000000"/>
          <w:sz w:val="22"/>
        </w:rPr>
      </w:pPr>
      <w:r>
        <w:rPr/>
        <w:t xml:space="preserve"> </w:t>
      </w:r>
    </w:p>
    <w:p>
      <w:pPr>
        <w:pStyle w:val="P68B1DB1Normal76"/>
        <w:widowControl w:val="false"/>
        <w:spacing w:lineRule="auto" w:line="240" w:before="48" w:after="0"/>
        <w:ind w:left="0" w:right="0" w:hanging="0"/>
        <w:jc w:val="both"/>
        <w:rPr/>
      </w:pPr>
      <w:r>
        <w:rPr/>
        <w:t xml:space="preserve">Turklāt pilsoņiem vissvarīgākie jautājumi, proti, attiecības ar Ķīnu, migrācija vai enerģētika, ir īslaicīgi: viņu rezolūcija būtiski ietekmēs Eiropas ilgtermiņa nākotni. Tāpēc varbūtība, ka iedzīvotāji domās par nākotni, par prioritāti noteiks to, kas šobrīd ir svarīgs, nav problemātiska. Tā kā nākotnes veidošana sākas ar daudziem nelieliem soļiem šodien, priekšstats par iedzīvotāju gaidām īstermiņā ir būtisks nosacījums, lai nodrošinātu spēcīgu ilgtermiņa kontroli pār procesiem un problēmu risināšanu. Turpmāk sniegtā analīze par valstu pilsoņu grupas galvenajiem rezultātiem ir balstīta uz šo novērojumu.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rPr/>
      </w:pPr>
      <w:r>
        <w:rPr/>
        <w:t>Rezolūcija, kas saņem visvairāk balsu (11 vai gandrīz 12 %), ir tāda, ka</w:t>
      </w:r>
      <w:r>
        <w:rPr>
          <w:b/>
        </w:rPr>
        <w:t xml:space="preserve"> ES ir vajadzīga efektīvāka politika attiecībā uz Ķīnu</w:t>
      </w:r>
      <w:r>
        <w:rPr/>
        <w:t xml:space="preserve">. Šis vispārīgais secinājums attiecās uz vairākiem konkrētākiem paziņojumiem. Pirmkārt, dalībnieki uzsvēra, ka šajā posmā ES atbalsts Lietuvai, saskaroties ar Ķīnas ekonomisko spiedienu, nav bijis pietiekams. Otrkārt, grupas pārstāvji, kas paziņoja par secinājumu, uzsvēra, ka Lietuvai pašai būtu jāpieliek lielākas pūles, lai saskaņotu savu politiku attiecībā uz Ķīnu ar ES partneru politiku, jo īpaši tāpēc, ka ir svarīgi, lai ES kopumā turpinātu iesaistīties tirdzniecībā ar Ķīnu. Treškārt, pilsoņi izvirzīja ideju, ka nostāju koordinācija un kopējas politikas izstrāde jo īpaši attiecībā uz Ķīnu varētu būt efektīvāka, ja tiktu izveidots ES ārlietu ministrs. Astoņi dalībnieki paziņoja, ka šis secinājums ir īpaši svarīgs visai Eiropai, un trīs citi paziņoja, ka tas viņiem ir svarīgi kā privātpersonas.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Jautājums par attiecībām ar Ķīnu ir cieši saistīts ar diviem citiem priekšlikumiem, kuros pausts liels skaits pilsoņu viedokļu. Deviņi dalībnieki balsoja par otrajā sesijā panākto secinājumu, ka </w:t>
      </w:r>
      <w:r>
        <w:rPr>
          <w:b/>
        </w:rPr>
        <w:t>ES ir jāstiprina piegādes drošība</w:t>
      </w:r>
      <w:r>
        <w:rPr/>
        <w:t xml:space="preserve"> (trīs dalībnieki norādīja, ka tas ir īpaši svarīgi visai Eiropai, un seši citi norādīja, ka tas viņiem ir personiski). Šis secinājums ietvēra arī vairākus aspektus. Pirmkārt, iedzīvotāji uzsvēra, ka prioritāte jāpiešķir ES tirgiem, kurus raksturo uzticami piegādātāji un produkti, kas atbilst prasīgiem standartiem. Otrkārt, dalībnieki uzsvēra nepieciešamību veicināt augsto tehnoloģiju ražošanas jaudu pašā Eiropā. Treškārt, iedzīvotāji pauda atbalstu lielākai importa avotu diversifikācijai. Formulējot šos ieteikumus, diskusijas dalībnieki konsekventi atsaucās uz Ķīnas faktoru: drošības apdraudējumi, kas saistīti ar Ķīnas precēm, paļaušanās uz Ķīnas izejvielām, kas vajadzīgas, lai ražotu progresīvas tehnoloģijas, kā arī Ķīnas prakse kopēt un nozagt tehnoloģijas no Rietumu uzņēmumiem, kas darbojas tās tirgū. Priekšlikums</w:t>
      </w:r>
      <w:r>
        <w:rPr>
          <w:b/>
        </w:rPr>
        <w:t xml:space="preserve"> attīstīt ES ekonomisko un humanitāro sadarbību ar Ziemeļāfrikas valstīm</w:t>
      </w:r>
      <w:r>
        <w:rPr/>
        <w:t xml:space="preserve"> saņēma arī sešas balsis (svarīgi privātpersonas statusā), pamatojoties uz to, ka šajā reģionā ir svarīgi samazināt Ķīnas, kā arī Krievijas un citu draudzīgu valstu ietekmi.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Balsojuma rezultāti atspoguļoja arī iedzīvotāju bažas par migrācijas jautājumiem. Divi no trim vokālākajiem konstatējumiem ārpolitikā bija veltīti migrācijai. Deviņi dalībnieki balsoja par priekšlikumu </w:t>
      </w:r>
      <w:r>
        <w:rPr>
          <w:b/>
        </w:rPr>
        <w:t>ES atgriezties pie obligāto migrantu uzņemšanas kvotu sistēmas izveides dalībvalstīm</w:t>
      </w:r>
      <w:r>
        <w:rPr/>
        <w:t xml:space="preserve"> (visi uzsvēra, ka šis priekšlikums ir īpaši svarīgs visai Eiropai). Dalībnieki, kas izdarīja šo secinājumu, pauda atbalstu valstu kvotām, kas jānosaka atbilstoši iedzīvotāju skaitam, un ES līdzfinansējumam, lai apmierinātu migrantu vajadzības saskaņā ar šīm kvotām. Septiņi dalībnieki joprojām balsoja par priekšlikumu </w:t>
      </w:r>
      <w:r>
        <w:rPr>
          <w:b/>
        </w:rPr>
        <w:t>izveidot pastāvīgu tehnisko komisiju ES līmenī, lai risinātu migrācijas jautājumus, kurā tiktu norīkoti dalībvalstu pārstāvji</w:t>
      </w:r>
      <w:r>
        <w:rPr/>
        <w:t xml:space="preserve"> (trīs dalībnieki uzskata, ka šis priekšlikums ir īpaši svarīgs Eiropai kopumā, četri uzskata, ka tas viņiem ir svarīgi kā privātpersonas). Dalībnieki uzsvēra, ka šāda struktūra varētu ļaut ES ātrāk reaģēt uz migrācijas krīzēm, vienlaikus nodrošinot līdzsvaru starp ES vispārējo principu pienācīgu ievērošanu un dalībvalstu tiesībām aizstāvēt savas valsts intereses un drošību.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Debatēs par migrācijas politiku dalībnieki apsprieda divas atšķirīgas krīzes migrācijas plūsmu pārvaldībā: 2016. gadā Vidusjūras migrācijas krīze un 2012. gadā Baltkrievijas hibrīduzbrukums Lietuvai, Latvijai un Polijai, kura laikā Minska izmantoja migrantus no plūsmām no Tuvajiem Austrumiem un Āfrikas. Vairāki paneļdiskusiju dalībnieki norādīja, ka krīze 2016. gadā šķita tāla un nebūtiska gan Lietuvai kopumā, gan privātpersonai, un priekšlikums izveidot migrantu kvotu sistēmu viņiem nešķiet piemērots. Dalībnieki uzskata, ka hibrīduzbrukuma pieredze padarīja migrācijas jautājumu tuvāku Austrumeiropā, un tas bija spiests izmantot kvotas kā pielāgotu, efektīvu un solidāru migrācijas politikas instrumentu. Daži dalībnieki norādīja, ka 2021. gada krīzes laikā bija grūti nošķirt personas, kas atrodas valsts teritorijā, bēgļus, migrantus un personas, kas rada draudus. Visi diskusijas dalībnieki bija vienisprātis, ka pašreizējā “atvērtā” ES migrācijas politikā nav pietiekami ņemti vērā migrācijas radītie apdraudējumi, dalībvalstu intereses, to spēja integrēt migrantus utt. Iedzīvotāji arī kritizēja ES par lēno situāciju vai to, ka tā nav reaģējusi uz Lietuvas vajadzībām, kā arī par atteikšanos finansēt sienas būvniecību pie ārējām robežām.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spacing w:lineRule="auto" w:line="240"/>
        <w:jc w:val="both"/>
        <w:rPr/>
      </w:pPr>
      <w:r>
        <w:rPr/>
        <w:t xml:space="preserve">Kopumā var teikt, ka divi Lietuvas karstākie ziņu elementi 2021. gadā — attiecības ar Ķīnu un migrācijas plūsmu pārvaldība — mudina Lietuvas iedzīvotājus pieprasīt, lai ES iejaucas vairāk un lai tai būtu efektīvāka kopējā politika. Iedzīvotāji ir nobažījušies par Ķīnas politiku un tās pieaugošo ietekmi Eiropā un ES kaimiņvalstīs. Jāatzīst, ka Ķīnas ekonomiskā ietekme liek Eiropai meklēt piemērotus un līdzsvarotus politikas pasākumus. Iedzīvotāji uzskata, ka galvenais risinājums ir stiprināt ES kopējās ārpolitikas instrumentus, rūpniecības politiku un sadarbību ar kaimiņvalstīm. Tāpat iedzīvotāji uzskatīja, ka vienota rīcība ES līmenī, kā arī iespējama jauna migrācijas kvotu sistēma, iespējams, ir vispiemērotākais veids, kā izvairīties no migrācijas radītajiem drošības apdraudējumiem, kā arī ātri un efektīvi kontrolēt migrācijas plūsmas uz Eiropu. Ekspertu grupa uzskata, ka labākā reakcija uz Ķīnas pieaugošo spiedienu un uz Baltkrievijas hibrīduzbrukumu būtu padziļināta un pastiprināta kopējā ES politika.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Šo atzinumu par apspriežamajām krīzēm var salīdzināt ar ekspertu grupas dalībnieku priekšlikumiem par enerģētikas un klimata jautājumiem. 2021. gada beigās daudziem Lietuvas iedzīvotājiem bija tieši jārisina pieaugošās apkures cenas, un enerģijas cenu krīze ātri izrādījās viena no svarīgākajām ziņām Lietuvai. Bažas par enerģijas cenām ir atspoguļotas arī dalībnieku balsojumā: deviņi pilsoņi pat balsoja par secinājumu, ka šis jautājums ir vissvarīgākais visai Eiropai. Dalībnieku galvenais ieteikums bija</w:t>
      </w:r>
      <w:r>
        <w:rPr>
          <w:b/>
        </w:rPr>
        <w:t xml:space="preserve"> pārskatīt pašreizējo dalībvalstu praksi, slēdzot enerģijas piegādes līgumus ar dažādiem piegādātājiem un cenšoties tos noslēgt gan īstermiņā, gan ilgtermiņā.</w:t>
      </w:r>
      <w:r>
        <w:rPr/>
        <w:t xml:space="preserve"> Citiem vārdiem sakot, iedzīvotāji atbalstīja energoapgādes avotu dažādošanas politiku, bet nesniedza ieteikumus par ES vispārējo politiku un neieteica turpmāku enerģētikas politikas integrāciju.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Attiecībā uz klimata politiku iedzīvotāji ieteica </w:t>
      </w:r>
      <w:r>
        <w:rPr>
          <w:b/>
        </w:rPr>
        <w:t>novērtēt zaļā kursa pasākumus, ņemot vērā paredzamo sociālekonomisko ietekmi un vērienīgumu.</w:t>
      </w:r>
      <w:r>
        <w:rPr/>
        <w:t xml:space="preserve"> Šis priekšlikums saņēma sešu dalībnieku balsis, no kuriem katrs uzskatīja, ka tas ir svarīgi privātpersonas statusā. Daži dalībnieki pauda bažas par tā sauktās “zaļās pārkārtošanās” pārāk straujo tempu un norādīja, ka Lietuvai būtu rūpīgāk jāizvērtē, vai šāda politika apdraudētu valsts un tās iedzīvotāju intereses. Daži dalībnieki arī atjaunoja vajadzību izmantot ne tikai atjaunojamo enerģiju, bet arī kodolenerģiju un dabasgāzi. Pamatojot šo nostāju, viņi atsaucās uz Vācijas lēmumu turpināt izmantot dabasgāzi, kā arī uz jaunās paaudzes “modulāro” kodolreaktoru potenciālu. Tāpēc klimata politikas jomā paneļdiskusija par prioritāti noteica dalībvalstu politiku atbilstoši valstu vajadzībām, nevis vērienīgu ES kopējo politiku klimata pārvaldības jomā.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76"/>
        <w:widowControl w:val="false"/>
        <w:spacing w:lineRule="auto" w:line="240"/>
        <w:ind w:left="0" w:right="2" w:hanging="0"/>
        <w:jc w:val="both"/>
        <w:rPr/>
      </w:pPr>
      <w:r>
        <w:rPr/>
        <w:t xml:space="preserve">Ņemot vērā salīdzinoši nelielo paneļdiskusijā iesaistīto dalībnieku skaitu un atšķirīgās iedzīvotāju atbildes (vienotāka rīcība vai lielāka elastība) uz dažādām krīzēm, būtu nepareizi šeit apsvērt kopsavilkuma un plaši piemērojamus pasākumus. Tomēr šī viedokļu izteikšanas dinamika var novest pie tā, ka tiek ierosināti temati, kas interesē Lietuvas iedzīvotāju turpmākos viedokļus par ES integrācijas jautājumiem, kuros jāņem vērā tas, ko pilsoņi saka par autonomu ES politiku, institucionālās kārtības izmaiņām un atšķirībām. </w:t>
      </w:r>
    </w:p>
    <w:p>
      <w:pPr>
        <w:pStyle w:val="P68B1DB1Normal76"/>
        <w:widowControl w:val="false"/>
        <w:spacing w:lineRule="auto" w:line="240"/>
        <w:ind w:left="0" w:right="0" w:hanging="0"/>
        <w:jc w:val="both"/>
        <w:rPr>
          <w:rFonts w:ascii="Arial" w:hAnsi="Arial"/>
          <w:color w:val="000000"/>
          <w:sz w:val="22"/>
        </w:rPr>
      </w:pPr>
      <w:r>
        <w:rPr/>
        <w:t xml:space="preserve"> </w:t>
      </w:r>
    </w:p>
    <w:p>
      <w:pPr>
        <w:pStyle w:val="P68B1DB1Normal96"/>
        <w:spacing w:lineRule="auto" w:line="240"/>
        <w:jc w:val="both"/>
        <w:rPr>
          <w:rFonts w:ascii="Arial" w:hAnsi="Arial"/>
          <w:i/>
          <w:i/>
          <w:color w:val="404040"/>
          <w:sz w:val="32"/>
        </w:rPr>
      </w:pPr>
      <w:r>
        <w:rPr/>
        <w:t xml:space="preserve">4. Pilsoņu paneļdiskusijas rezultāti plašākā sabiedriskās domas kontekstā Lietuvā </w:t>
      </w:r>
    </w:p>
    <w:p>
      <w:pPr>
        <w:pStyle w:val="Normal"/>
        <w:widowControl w:val="false"/>
        <w:spacing w:lineRule="auto" w:line="240"/>
        <w:ind w:left="0" w:right="1" w:hanging="0"/>
        <w:jc w:val="both"/>
        <w:rPr/>
      </w:pPr>
      <w:r>
        <w:rPr>
          <w:color w:val="000000"/>
        </w:rPr>
        <w:t xml:space="preserve">Lai kontekstualizētu valstu pilsoņu paneļdiskusijas rezultātus, pēdējā daļā tos īsi salīdzina ar divu pašreizējo viedokļu aptauju rezultātiem, kā arī ar citu konferences par Eiropas nākotni sagatavošanas darba starpposma rezultātiem. Šā ziņojuma pirmā daļa attiecas uz iedzīvotāju </w:t>
      </w:r>
      <w:hyperlink r:id="rId113">
        <w:r>
          <w:rPr>
            <w:rStyle w:val="LienInternet"/>
            <w:color w:val="0563C1"/>
          </w:rPr>
          <w:t>Eu</w:t>
        </w:r>
      </w:hyperlink>
      <w:hyperlink r:id="rId114">
        <w:r>
          <w:rPr>
            <w:color w:val="000000"/>
          </w:rPr>
          <w:t xml:space="preserve"> </w:t>
        </w:r>
      </w:hyperlink>
      <w:hyperlink r:id="rId115">
        <w:r>
          <w:rPr>
            <w:rStyle w:val="LienInternet"/>
            <w:color w:val="0563C1"/>
          </w:rPr>
          <w:t>r obarometer</w:t>
        </w:r>
      </w:hyperlink>
      <w:r>
        <w:rPr>
          <w:color w:val="000000"/>
        </w:rPr>
        <w:t xml:space="preserve">apsekojumu, kas veikts 2020. gada oktobrī un novembrī par konferenci par Eiropas nākotni; otrais par jaunāko </w:t>
      </w:r>
      <w:hyperlink r:id="rId116">
        <w:r>
          <w:rPr>
            <w:rStyle w:val="LienInternet"/>
            <w:color w:val="0563C1"/>
          </w:rPr>
          <w:t>Eirobarometra standarta apsekojumu</w:t>
        </w:r>
      </w:hyperlink>
      <w:r>
        <w:rPr>
          <w:color w:val="000000"/>
        </w:rPr>
        <w:t xml:space="preserve">, kas veikts 2021. gada vasarā. Tā kā daži no šajos pētījumos iekļautajiem jautājumiem bija vērsti uz citām politiskām tēmām un pilsoņu cerībām no pašas konferences, turpmāk ir veikts salīdzinājums ar jautājumiem, kas patiešām tika izskatīti paneļdiskusijā. Konferences par Eiropas nākotni sagatavošanas darba rezultāti tika izskatīti, pamatojoties uz RESC sagatavoto sākotnējo ziņojumu par šo darbu, kurā bija iekļauti to pilsoņu paziņojumi, kuri piedalījās darbā pie dažādiem ES politikas jautājumiem.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0" w:hanging="0"/>
        <w:jc w:val="both"/>
        <w:rPr/>
      </w:pPr>
      <w:r>
        <w:rPr/>
        <w:t xml:space="preserve">Eirobarometra aptauju rezultāti liecina, ka pilsoņu paneļdiskusijas dalībnieku diskusijas un balsojumi diezgan labi atspoguļo dominējošos uzskatus Lietuvas sabiedrībā. Ekspertu grupas dalībnieku ieteikumi stiprināt kopējo ārpolitiku un migrācijas politiku, piedaloties ES līmeņa lēmumos, atbilst plašāko sabiedriskās domas aptauju konstatējumiem: </w:t>
      </w:r>
    </w:p>
    <w:p>
      <w:pPr>
        <w:pStyle w:val="P68B1DB1Normal76"/>
        <w:widowControl w:val="false"/>
        <w:spacing w:lineRule="auto" w:line="240"/>
        <w:ind w:left="361" w:right="1" w:hanging="0"/>
        <w:jc w:val="left"/>
        <w:rPr/>
      </w:pPr>
      <w:r>
        <w:rPr>
          <w:rFonts w:ascii="Garamond" w:hAnsi="Garamond"/>
        </w:rPr>
        <w:t>—</w:t>
      </w:r>
      <w:r>
        <w:rPr/>
        <w:t xml:space="preserve"> </w:t>
      </w:r>
      <w:r>
        <w:rPr/>
        <w:t xml:space="preserve">Lietuvas pilsoņi atbalsta ES kopējo aizsardzības politiku vairāk nekā vidēji ES (90 % salīdzinājumā ar 78 %); </w:t>
      </w:r>
    </w:p>
    <w:p>
      <w:pPr>
        <w:pStyle w:val="P68B1DB1Normal76"/>
        <w:widowControl w:val="false"/>
        <w:spacing w:lineRule="auto" w:line="240"/>
        <w:ind w:left="361" w:right="3" w:hanging="0"/>
        <w:jc w:val="left"/>
        <w:rPr/>
      </w:pPr>
      <w:r>
        <w:rPr>
          <w:rFonts w:ascii="Garamond" w:hAnsi="Garamond"/>
        </w:rPr>
        <w:t>—</w:t>
      </w:r>
      <w:r>
        <w:rPr/>
        <w:t xml:space="preserve"> </w:t>
      </w:r>
      <w:r>
        <w:rPr/>
        <w:t xml:space="preserve">Lietuvas pilsoņi atbalsta ES kopējo migrācijas politiku vairāk nekā vidēji ES (76 % salīdzinājumā ar 71 %; šī starpība ir kļūdas robežās); </w:t>
      </w:r>
    </w:p>
    <w:p>
      <w:pPr>
        <w:pStyle w:val="P68B1DB1Normal76"/>
        <w:widowControl w:val="false"/>
        <w:spacing w:lineRule="auto" w:line="240"/>
        <w:ind w:left="360" w:right="2" w:hanging="0"/>
        <w:jc w:val="left"/>
        <w:rPr/>
      </w:pPr>
      <w:r>
        <w:rPr>
          <w:rFonts w:ascii="Garamond" w:hAnsi="Garamond"/>
        </w:rPr>
        <w:t>—</w:t>
      </w:r>
      <w:r>
        <w:rPr/>
        <w:t xml:space="preserve"> </w:t>
      </w:r>
      <w:r>
        <w:rPr/>
        <w:t xml:space="preserve">Lietuvas pilsoņi uzskata migrāciju par vienu no divām galvenajām ES problēmām; </w:t>
      </w:r>
    </w:p>
    <w:p>
      <w:pPr>
        <w:pStyle w:val="P68B1DB1Normal76"/>
        <w:widowControl w:val="false"/>
        <w:spacing w:lineRule="auto" w:line="240"/>
        <w:ind w:left="360" w:right="3" w:hanging="0"/>
        <w:jc w:val="left"/>
        <w:rPr/>
      </w:pPr>
      <w:r>
        <w:rPr>
          <w:rFonts w:ascii="Garamond" w:hAnsi="Garamond"/>
        </w:rPr>
        <w:t>—</w:t>
      </w:r>
      <w:r>
        <w:rPr/>
        <w:t xml:space="preserve"> </w:t>
      </w:r>
      <w:r>
        <w:rPr/>
        <w:t xml:space="preserve">Lietuvas pilsoņi vēlas, lai ES līmenī tiktu atrisinātas vairāk problēmu (49 % salīdzinājumā ar 42 %). </w:t>
      </w:r>
    </w:p>
    <w:p>
      <w:pPr>
        <w:pStyle w:val="P68B1DB1Normal76"/>
        <w:widowControl w:val="false"/>
        <w:spacing w:lineRule="auto" w:line="240" w:before="83" w:after="0"/>
        <w:ind w:left="0" w:right="3" w:hanging="0"/>
        <w:jc w:val="both"/>
        <w:rPr/>
      </w:pPr>
      <w:r>
        <w:rPr/>
        <w:t xml:space="preserve">Lietuvas pilsoņi, kas piedalījās konferences par Eiropas nākotni sagatavošanas pasākumos, arī uzsvēra sadarbības nozīmi aizsardzības jomā un to, ka ES kopējā migrācijas politika un ES ārpolitika ir jomas, kurās Lietuva gūtu labumu no spēcīgākas ES intervences.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Eirobarometra dati varētu atklāt paneļdiskusiju dalībnieku viedokļus par attiecībām ar Ķīnu un enerģijas cenām: Lietuvieši ir vairāk nobažījušies nekā vidēji ES par attiecību sadalījumu starp valstīm visā pasaulē un no tā izrietošo pieaugošo ģeopolitisko spriedzi (33 % pret 18 %). Ekspertu grupas secinājumi par nepieciešamību pēc vērienīgākas politikas attiecībā uz Ķīnu arī pārklājas ar šiem datiem, kā arī iepriekš minētā nostāja par labu ES līmeņa lēmumu pieņemšanai un kopējai ES aizsardzības politikai. No otras puses, ekspertu grupas dalībnieku bažas par dažādiem lēmumiem samazināt enerģijas cenas var būt saistītas ar to, ka lietuvieši ir daudz vairāk nobažījušies nekā vidēji ES par inflācijas pieaugumu un cenu pieaugumu (53 % pret 23 %). Jutīgums pret pieaugošo inflāciju ir saistīts ar to, ka cenu pieauguma kontrole šķiet svarīgāka par vispārējiem ES politikas veidošanas vai citiem politikas mērķiem.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ind w:left="0" w:right="1" w:hanging="0"/>
        <w:jc w:val="both"/>
        <w:rPr/>
      </w:pPr>
      <w:r>
        <w:rPr/>
        <w:t xml:space="preserve">Eirobarometra dati arī liecina par interesantu notikumu attīstību lietuviešu uztverē par migrācijas jautājumu no politiskā viedokļa. 2020. gada apsekojumā lietuvieši norādīja, ka migrācija ir svarīgs izaicinājums ES nākotnei (16 % salīdzinājumā ar 27 %) salīdzinājumā ar ES vidējo rādītāju; 2021. gada apsekojumā 32 % Lietuvas respondentu uzskatīja migrāciju par vienu no galvenajām problēmām ES (salīdzinājumā ar vidēji 25 % ES kopumā). Lai gan šīs viedokļu izmaiņas var būt saistītas ar atšķirībām jautājuma formulējumā, tās pārklājas ar to, ko paneļdiskusiju dalībnieki teica diskusijās par viņu viedokļu attīstību migrācijas jautājumos. </w:t>
      </w:r>
    </w:p>
    <w:p>
      <w:pPr>
        <w:pStyle w:val="P68B1DB1Normal76"/>
        <w:widowControl w:val="false"/>
        <w:spacing w:lineRule="auto" w:line="240"/>
        <w:ind w:left="0" w:right="0" w:hanging="0"/>
        <w:jc w:val="left"/>
        <w:rPr>
          <w:rFonts w:ascii="Arial" w:hAnsi="Arial"/>
          <w:color w:val="000000"/>
          <w:sz w:val="22"/>
        </w:rPr>
      </w:pPr>
      <w:r>
        <w:rPr/>
        <w:t xml:space="preserve"> </w:t>
      </w:r>
    </w:p>
    <w:p>
      <w:pPr>
        <w:pStyle w:val="P68B1DB1Normal76"/>
        <w:widowControl w:val="false"/>
        <w:spacing w:lineRule="auto" w:line="240" w:before="220" w:after="0"/>
        <w:ind w:left="0" w:right="0" w:hanging="0"/>
        <w:jc w:val="both"/>
        <w:rPr/>
      </w:pPr>
      <w:r>
        <w:rPr/>
        <w:t xml:space="preserve">Turklāt pilsoņu paneļdiskusijas rezultātu salīdzināšana ar Eirobarometra datiem liecina par atšķirību starp paneļdiskusijas dalībnieku salīdzinoši piesardzīgo viedokli par ES politiku, no vienas puses, un Lietuvas iedzīvotāju bažām par klimata pārmaiņu jautājumiem, no otras puses. Lai gan paneļdiskusiju dalībnieki mudināja novērtēt, vai zaļais kurss nav pārāk vērienīgs un nekaitēs Lietuvas interesēm, saskaņā ar Eirobarometra pētījumiem lietuvieši konsekventi norādīja, ka klimata pārmaiņas ir viena no galvenajām ES problēmām. 2020. gada apsekojumā 47 % Lietuvas respondentu uzskatīja, ka klimats ir viens no svarīgākajiem izaicinājumiem Eiropas nākotnei (salīdzinājumā ar vidēji 45 % ES kopumā); 2021. gada apsekojumā tas attiecās uz 28 % Lietuvas respondentu (salīdzinājumā ar vidēji 25 % ES kopumā). Jāatzīmē, ka iedzīvotāji, kas piedalījās citos konferences par Eiropas nākotni sagatavošanas pasākumos, arī minēja klimata politiku kā vienu no jomām, kurās Lietuva būtu visinteresantākā par spēcīgāku ES iejaukšanos. Šo neatbilstību, iespējams, var izskaidrot ar žūrijas dalībnieku balsojuma motivāciju: visi, kas balsoja par ieteikumu atkārtoti izvērtēt zaļā kursa pasākumus, norādīja, ka tas ir svarīgi no personīgā viedokļa. Citiem vārdiem sakot, personīgā opozīcija nebūtu pretrunā secinājumam, ka klimata pārmaiņas ir viens no svarīgākajiem ES politikas uzdevumiem. </w:t>
      </w:r>
    </w:p>
    <w:p>
      <w:pPr>
        <w:pStyle w:val="P68B1DB1Normal97"/>
        <w:widowControl w:val="false"/>
        <w:spacing w:lineRule="auto" w:line="240"/>
        <w:ind w:left="0" w:right="0" w:hanging="0"/>
        <w:jc w:val="left"/>
        <w:rPr>
          <w:rFonts w:ascii="Garamond" w:hAnsi="Garamond"/>
          <w:color w:val="000000"/>
          <w:sz w:val="22"/>
        </w:rPr>
      </w:pPr>
      <w:r>
        <w:rPr/>
        <w:t xml:space="preserve"> </w:t>
      </w:r>
    </w:p>
    <w:p>
      <w:pPr>
        <w:pStyle w:val="Normal"/>
        <w:widowControl w:val="false"/>
        <w:spacing w:lineRule="auto" w:line="240" w:before="89" w:after="0"/>
        <w:ind w:left="0" w:right="0" w:hanging="0"/>
        <w:jc w:val="left"/>
        <w:rPr>
          <w:rFonts w:ascii="Garamond" w:hAnsi="Garamond"/>
          <w:color w:val="000000"/>
          <w:sz w:val="22"/>
        </w:rPr>
      </w:pPr>
      <w:r>
        <w:rPr>
          <w:rFonts w:ascii="Garamond" w:hAnsi="Garamond"/>
          <w:color w:val="000000"/>
          <w:sz w:val="22"/>
        </w:rPr>
      </w:r>
      <w:r>
        <w:br w:type="page"/>
      </w:r>
    </w:p>
    <w:p>
      <w:pPr>
        <w:pStyle w:val="Titre1"/>
        <w:numPr>
          <w:ilvl w:val="0"/>
          <w:numId w:val="2"/>
        </w:numPr>
        <w:rPr/>
      </w:pPr>
      <w:bookmarkStart w:id="235" w:name="__RefHeading___Toc297357_1346298689"/>
      <w:bookmarkEnd w:id="235"/>
      <w:r>
        <w:rPr/>
        <w:t>II F Valstu paneļdiskusiju grupas: Nīderlande</w:t>
      </w:r>
    </w:p>
    <w:p>
      <w:pPr>
        <w:pStyle w:val="Normal"/>
        <w:widowControl w:val="false"/>
        <w:spacing w:lineRule="auto" w:line="240" w:before="0" w:after="0"/>
        <w:ind w:left="0" w:right="0" w:hanging="0"/>
        <w:jc w:val="left"/>
        <w:rPr>
          <w:rFonts w:ascii="Calibri" w:hAnsi="Calibri"/>
          <w:b/>
          <w:b/>
          <w:i/>
          <w:i/>
          <w:color w:val="000000"/>
          <w:sz w:val="48"/>
        </w:rPr>
      </w:pPr>
      <w:r>
        <w:drawing>
          <wp:anchor behindDoc="0" distT="0" distB="0" distL="0" distR="0" simplePos="0" locked="0" layoutInCell="1" allowOverlap="1" relativeHeight="55">
            <wp:simplePos x="0" y="0"/>
            <wp:positionH relativeFrom="column">
              <wp:align>center</wp:align>
            </wp:positionH>
            <wp:positionV relativeFrom="paragraph">
              <wp:posOffset>635</wp:posOffset>
            </wp:positionV>
            <wp:extent cx="3098800" cy="3129280"/>
            <wp:effectExtent l="0" t="0" r="0" b="0"/>
            <wp:wrapTopAndBottom/>
            <wp:docPr id="109" name="Attēls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ttēls46" descr=""/>
                    <pic:cNvPicPr>
                      <a:picLocks noChangeAspect="1" noChangeArrowheads="1"/>
                    </pic:cNvPicPr>
                  </pic:nvPicPr>
                  <pic:blipFill>
                    <a:blip r:embed="rId117"/>
                    <a:stretch>
                      <a:fillRect/>
                    </a:stretch>
                  </pic:blipFill>
                  <pic:spPr bwMode="auto">
                    <a:xfrm>
                      <a:off x="0" y="0"/>
                      <a:ext cx="3098800" cy="3129280"/>
                    </a:xfrm>
                    <a:prstGeom prst="rect">
                      <a:avLst/>
                    </a:prstGeom>
                  </pic:spPr>
                </pic:pic>
              </a:graphicData>
            </a:graphic>
          </wp:anchor>
        </w:drawing>
      </w:r>
      <w:r>
        <w:rPr>
          <w:rFonts w:ascii="Calibri" w:hAnsi="Calibri"/>
          <w:b/>
          <w:i/>
          <w:color w:val="000000"/>
          <w:sz w:val="48"/>
        </w:rPr>
        <w:t>M</w:t>
      </w:r>
      <w:r>
        <w:rPr>
          <w:rFonts w:ascii="Calibri" w:hAnsi="Calibri"/>
          <w:b/>
          <w:i/>
          <w:color w:val="000000"/>
          <w:sz w:val="48"/>
        </w:rPr>
        <w:t>ūsu redzējums par Eiropu</w:t>
      </w:r>
    </w:p>
    <w:p>
      <w:pPr>
        <w:pStyle w:val="P68B1DB1Normal103"/>
        <w:widowControl w:val="false"/>
        <w:spacing w:lineRule="exact" w:line="499" w:before="100" w:after="0"/>
        <w:ind w:left="0" w:right="0" w:hanging="0"/>
        <w:jc w:val="left"/>
        <w:rPr>
          <w:rFonts w:ascii="Calibri" w:hAnsi="Calibri"/>
          <w:i/>
          <w:i/>
          <w:color w:val="000000"/>
          <w:sz w:val="32"/>
        </w:rPr>
      </w:pPr>
      <w:r>
        <w:rPr/>
        <w:t xml:space="preserve">Atzinumi, idejas un ieteikumi </w:t>
      </w:r>
    </w:p>
    <w:p>
      <w:pPr>
        <w:pStyle w:val="P68B1DB1Normal104"/>
        <w:widowControl w:val="false"/>
        <w:spacing w:lineRule="exact" w:line="339" w:before="101" w:after="0"/>
        <w:ind w:left="0" w:right="0" w:hanging="0"/>
        <w:jc w:val="left"/>
        <w:rPr>
          <w:rFonts w:ascii="Calibri" w:hAnsi="Calibri"/>
          <w:color w:val="000000"/>
          <w:sz w:val="21"/>
        </w:rPr>
      </w:pPr>
      <w:r>
        <w:rPr/>
        <w:t xml:space="preserve">Tēmas </w:t>
      </w:r>
    </w:p>
    <w:p>
      <w:pPr>
        <w:pStyle w:val="P68B1DB1Normal105"/>
        <w:widowControl w:val="false"/>
        <w:spacing w:lineRule="exact" w:line="349" w:before="7" w:after="0"/>
        <w:ind w:left="0" w:right="0" w:hanging="0"/>
        <w:jc w:val="left"/>
        <w:rPr/>
      </w:pPr>
      <w:r>
        <w:rPr>
          <w:rFonts w:ascii="Verdana" w:hAnsi="Verdana"/>
        </w:rPr>
        <w:t>•</w:t>
      </w:r>
      <w:r>
        <w:rPr/>
        <w:t xml:space="preserve"> </w:t>
      </w:r>
      <w:r>
        <w:rPr>
          <w:rFonts w:ascii="Calibri" w:hAnsi="Calibri"/>
        </w:rPr>
        <w:t xml:space="preserve">Vērtības un tiesības, tiesiskums un drošība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Spēcīgāka ekonomika, sociālais taisnīgums un nodarbinātība </w:t>
      </w:r>
    </w:p>
    <w:p>
      <w:pPr>
        <w:pStyle w:val="P68B1DB1Normal105"/>
        <w:widowControl w:val="false"/>
        <w:spacing w:lineRule="exact" w:line="293" w:before="2" w:after="0"/>
        <w:ind w:left="0" w:right="5110" w:hanging="0"/>
        <w:jc w:val="left"/>
        <w:rPr/>
      </w:pPr>
      <w:r>
        <w:rPr>
          <w:rFonts w:ascii="Verdana" w:hAnsi="Verdana"/>
        </w:rPr>
        <w:t>•</w:t>
      </w:r>
      <w:r>
        <w:rPr/>
        <w:t xml:space="preserve"> </w:t>
      </w:r>
      <w:r>
        <w:rPr>
          <w:rFonts w:ascii="Calibri" w:hAnsi="Calibri"/>
        </w:rPr>
        <w:t xml:space="preserve">Eiropas demokrātija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Digitālā pārveide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Izglītība, kultūra, jaunatne un sports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Titre4"/>
        <w:numPr>
          <w:ilvl w:val="3"/>
          <w:numId w:val="2"/>
        </w:numPr>
        <w:rPr/>
      </w:pPr>
      <w:bookmarkStart w:id="236" w:name="__RefHeading___Toc298384_1346298689"/>
      <w:bookmarkEnd w:id="236"/>
      <w:r>
        <w:rPr/>
        <w:t xml:space="preserve">2021. gada 3. decembris </w:t>
      </w:r>
    </w:p>
    <w:p>
      <w:pPr>
        <w:pStyle w:val="Normal"/>
        <w:widowControl w:val="false"/>
        <w:spacing w:lineRule="exact" w:line="282" w:before="1" w:after="0"/>
        <w:ind w:left="0" w:right="37" w:hanging="0"/>
        <w:jc w:val="left"/>
        <w:rPr/>
      </w:pPr>
      <w:r>
        <w:rPr>
          <w:rFonts w:ascii="Calibri" w:hAnsi="Calibri"/>
          <w:color w:val="000000"/>
          <w:sz w:val="21"/>
        </w:rPr>
        <w:t xml:space="preserve">Šis dokuments ir ziņojuma "Eleven kijk op Europa; Meningen, ideeën en Aanbevelingen“(”Mūsu redzējums par Eiropu: atzinumi, idejas un ieteikumi"), kas 2021. gada 3. decembrī tika publicēts holandiešu valodā www.kijkopeuropa.nl. Šis tulkojums ir vienkāršota ziņojuma versija, kurā tulkošanai ir mainīts sākotnējais noformējums (ilustrācijas un citi grafiskie elementi). </w:t>
      </w:r>
      <w:r>
        <w:rPr>
          <w:rFonts w:ascii="Times New Roman" w:hAnsi="Times New Roman"/>
          <w:color w:val="000000"/>
          <w:sz w:val="24"/>
        </w:rPr>
        <w:t xml:space="preserve"> </w:t>
      </w:r>
      <w:r>
        <w:br w:type="page"/>
      </w:r>
    </w:p>
    <w:p>
      <w:pPr>
        <w:pStyle w:val="P68B1DB1Normal106"/>
        <w:rPr>
          <w:rFonts w:ascii="Calibri" w:hAnsi="Calibri"/>
          <w:b/>
          <w:b/>
          <w:i/>
          <w:i/>
          <w:color w:val="000000"/>
          <w:sz w:val="36"/>
        </w:rPr>
      </w:pPr>
      <w:r>
        <w:rPr/>
        <w:t xml:space="preserve">Mūsu redzējums par... </w:t>
      </w:r>
    </w:p>
    <w:p>
      <w:pPr>
        <w:pStyle w:val="P68B1DB1Normal107"/>
        <w:widowControl w:val="false"/>
        <w:spacing w:lineRule="exact" w:line="375" w:before="248" w:after="0"/>
        <w:ind w:left="0" w:right="0" w:hanging="0"/>
        <w:jc w:val="left"/>
        <w:rPr>
          <w:rFonts w:ascii="Calibri" w:hAnsi="Calibri"/>
          <w:i/>
          <w:i/>
          <w:color w:val="000000"/>
          <w:sz w:val="24"/>
        </w:rPr>
      </w:pPr>
      <w:r>
        <w:rPr/>
        <w:t xml:space="preserve">Ziņojuma kopsavilkums: visi ieteikumi īsumā </w:t>
      </w:r>
    </w:p>
    <w:p>
      <w:pPr>
        <w:pStyle w:val="P68B1DB1Normal104"/>
        <w:widowControl w:val="false"/>
        <w:spacing w:lineRule="exact" w:line="282" w:before="185" w:after="0"/>
        <w:ind w:left="0" w:right="25" w:hanging="0"/>
        <w:jc w:val="left"/>
        <w:rPr/>
      </w:pPr>
      <w:r>
        <w:rPr/>
        <w:t xml:space="preserve">Pilsoņu dialogā, kas tika organizēts par tematu “Eiropas redzējums”, mēs apkopojām Nīderlandes iedzīvotāju viedokļus un idejas par Eiropas nākotni. Tā rezultātā Eiropas Savienībai tika sniegti šādi ieteikumi pirmajām piecām tēmām.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Vērtības un tiesības, tiesiskums un drošība </w:t>
      </w:r>
    </w:p>
    <w:p>
      <w:pPr>
        <w:pStyle w:val="P68B1DB1Normal104"/>
        <w:widowControl w:val="false"/>
        <w:spacing w:lineRule="exact" w:line="282" w:before="178" w:after="0"/>
        <w:ind w:left="0" w:right="105" w:hanging="0"/>
        <w:jc w:val="left"/>
        <w:rPr/>
      </w:pPr>
      <w:r>
        <w:rPr/>
        <w:t xml:space="preserve">Ir svarīgi, lai ES aizsargātu tiesiskumu. Tajā pašā laikā Nīderlande uzskata, ka būtu jāpievērš uzmanība tradīciju un kultūru daudzveidībai Eiropā. Sadarbība ES var sniegt daudzas priekšrocības dažādos veidos, bet tai ir jārada pievienotā vērtība visām ieinteresētajām personām. Tas attiecas arī uz drošības informācijas apmaiņu. Visas informācijas apmaiņa ātri padara sadarbību neefektīvu. </w:t>
      </w:r>
    </w:p>
    <w:p>
      <w:pPr>
        <w:pStyle w:val="P68B1DB1Normal19"/>
        <w:widowControl w:val="false"/>
        <w:spacing w:lineRule="exact" w:line="388" w:before="47" w:after="0"/>
        <w:ind w:left="0" w:right="0" w:hanging="0"/>
        <w:jc w:val="left"/>
        <w:rPr>
          <w:rFonts w:ascii="Times New Roman" w:hAnsi="Times New Roman"/>
          <w:color w:val="000000"/>
          <w:sz w:val="24"/>
        </w:rPr>
      </w:pPr>
      <w:r>
        <w:rPr/>
        <w:t xml:space="preserve"> </w:t>
      </w:r>
    </w:p>
    <w:p>
      <w:pPr>
        <w:pStyle w:val="P68B1DB1Normal105"/>
        <w:widowControl w:val="false"/>
        <w:spacing w:lineRule="exact" w:line="346" w:before="50" w:after="0"/>
        <w:ind w:left="0" w:right="0" w:hanging="0"/>
        <w:jc w:val="left"/>
        <w:rPr/>
      </w:pPr>
      <w:r>
        <w:rPr>
          <w:rFonts w:ascii="Calibri" w:hAnsi="Calibri"/>
        </w:rPr>
        <w:t>1.</w:t>
      </w:r>
      <w:r>
        <w:rPr/>
        <w:t xml:space="preserve"> </w:t>
      </w:r>
      <w:r>
        <w:rPr>
          <w:rFonts w:ascii="Calibri" w:hAnsi="Calibri"/>
        </w:rPr>
        <w:t>Nodrošināt, ka ikviens var justies brīvi un droši</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Paplašināt ES tikai tad, ja tā sniedz pievienoto vērtību</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Sadarbība galvenokārt cīņā pret starptautisko noziedzību un terorismu</w:t>
      </w:r>
    </w:p>
    <w:p>
      <w:pPr>
        <w:pStyle w:val="P68B1DB1Normal104"/>
        <w:widowControl w:val="false"/>
        <w:spacing w:lineRule="exact" w:line="339"/>
        <w:ind w:left="283"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Spēcīgāka ekonomika, sociālais taisnīgums un nodarbinātība </w:t>
      </w:r>
    </w:p>
    <w:p>
      <w:pPr>
        <w:pStyle w:val="P68B1DB1Normal104"/>
        <w:widowControl w:val="false"/>
        <w:spacing w:lineRule="exact" w:line="282" w:before="178" w:after="0"/>
        <w:ind w:left="0" w:right="18" w:hanging="0"/>
        <w:jc w:val="left"/>
        <w:rPr/>
      </w:pPr>
      <w:r>
        <w:rPr/>
        <w:t xml:space="preserve">Nīderlande uzskata, ka ir daudz iespēju stiprināt Eiropas ekonomiku. Bet valstis ne vienmēr ir salīdzināmas viena ar otru. Nodokļu sistēmai jo īpaši vajadzētu būt taisnīgākai un skaidrākai. Un Eiropā mums vairāk jākoncentrējas uz savām stiprajām pusēm, piemēram, kvalitāti un daudzveidību. Turklāt ES valstis var sadarboties, lai nodrošinātu vienlīdzīgas iespējas Eiropas darba tirgū. </w:t>
      </w:r>
    </w:p>
    <w:p>
      <w:pPr>
        <w:pStyle w:val="P68B1DB1Normal104"/>
        <w:widowControl w:val="false"/>
        <w:spacing w:lineRule="exact" w:line="339" w:before="58" w:after="0"/>
        <w:ind w:left="0" w:right="0" w:hanging="0"/>
        <w:jc w:val="left"/>
        <w:rPr>
          <w:rFonts w:ascii="Calibri" w:hAnsi="Calibri"/>
          <w:color w:val="000000"/>
          <w:sz w:val="21"/>
        </w:rPr>
      </w:pPr>
      <w:r>
        <w:rPr/>
        <w:t xml:space="preserve"> </w:t>
      </w:r>
    </w:p>
    <w:p>
      <w:pPr>
        <w:pStyle w:val="P68B1DB1Normal105"/>
        <w:widowControl w:val="false"/>
        <w:spacing w:lineRule="exact" w:line="281" w:before="58" w:after="0"/>
        <w:ind w:left="0" w:right="4851" w:hanging="0"/>
        <w:jc w:val="left"/>
        <w:rPr/>
      </w:pPr>
      <w:r>
        <w:rPr>
          <w:rFonts w:ascii="Calibri" w:hAnsi="Calibri"/>
        </w:rPr>
        <w:t>4.</w:t>
      </w:r>
      <w:r>
        <w:rPr/>
        <w:t xml:space="preserve"> </w:t>
      </w:r>
      <w:r>
        <w:rPr>
          <w:rFonts w:ascii="Calibri" w:hAnsi="Calibri"/>
        </w:rPr>
        <w:t>Ņemt vērā kopīgās iezīmes un atšķirības</w:t>
      </w:r>
    </w:p>
    <w:p>
      <w:pPr>
        <w:pStyle w:val="P68B1DB1Normal105"/>
        <w:widowControl w:val="false"/>
        <w:spacing w:lineRule="exact" w:line="281" w:before="58" w:after="0"/>
        <w:ind w:left="0" w:right="4851" w:hanging="0"/>
        <w:jc w:val="left"/>
        <w:rPr/>
      </w:pPr>
      <w:r>
        <w:rPr>
          <w:rFonts w:ascii="Calibri" w:hAnsi="Calibri"/>
        </w:rPr>
        <w:t>5.</w:t>
      </w:r>
      <w:r>
        <w:rPr/>
        <w:t xml:space="preserve"> </w:t>
      </w:r>
      <w:r>
        <w:rPr>
          <w:rFonts w:ascii="Calibri" w:hAnsi="Calibri"/>
        </w:rPr>
        <w:t>Vairāk izmantot Eiropas stiprās puses</w:t>
      </w:r>
    </w:p>
    <w:p>
      <w:pPr>
        <w:pStyle w:val="P68B1DB1Normal105"/>
        <w:widowControl w:val="false"/>
        <w:spacing w:lineRule="exact" w:line="346"/>
        <w:ind w:left="0" w:right="0" w:hanging="0"/>
        <w:jc w:val="left"/>
        <w:rPr/>
      </w:pPr>
      <w:r>
        <w:rPr>
          <w:rFonts w:ascii="Calibri" w:hAnsi="Calibri"/>
        </w:rPr>
        <w:t>6.</w:t>
      </w:r>
      <w:r>
        <w:rPr/>
        <w:t xml:space="preserve"> </w:t>
      </w:r>
      <w:r>
        <w:rPr>
          <w:rFonts w:ascii="Calibri" w:hAnsi="Calibri"/>
        </w:rPr>
        <w:t>Izveidot taisnīgu un skaidru nodokļu sistēmu</w:t>
      </w:r>
    </w:p>
    <w:p>
      <w:pPr>
        <w:pStyle w:val="P68B1DB1Normal76"/>
        <w:widowControl w:val="false"/>
        <w:spacing w:lineRule="exact" w:line="374"/>
        <w:ind w:left="0" w:right="5338" w:hanging="0"/>
        <w:jc w:val="left"/>
        <w:rPr/>
      </w:pPr>
      <w:r>
        <w:rPr>
          <w:rFonts w:ascii="Calibri" w:hAnsi="Calibri"/>
          <w:sz w:val="21"/>
        </w:rPr>
        <w:t>7.</w:t>
      </w:r>
      <w:r>
        <w:rPr>
          <w:sz w:val="21"/>
        </w:rPr>
        <w:t xml:space="preserve"> </w:t>
      </w:r>
      <w:r>
        <w:rPr>
          <w:rFonts w:ascii="Calibri" w:hAnsi="Calibri"/>
          <w:sz w:val="21"/>
        </w:rPr>
        <w:t xml:space="preserve">Nodrošināt, ka ikviens var piedalīties </w:t>
      </w:r>
      <w:r>
        <w:rPr>
          <w:rFonts w:ascii="Calibri" w:hAnsi="Calibri"/>
          <w:b/>
          <w:i/>
          <w:sz w:val="24"/>
        </w:rPr>
        <w:t xml:space="preserve">Eiropas demokrātijā </w:t>
      </w:r>
    </w:p>
    <w:p>
      <w:pPr>
        <w:pStyle w:val="P68B1DB1Normal104"/>
        <w:widowControl w:val="false"/>
        <w:spacing w:lineRule="exact" w:line="282" w:before="178" w:after="0"/>
        <w:ind w:left="0" w:right="323" w:hanging="0"/>
        <w:jc w:val="both"/>
        <w:rPr/>
      </w:pPr>
      <w:r>
        <w:rPr/>
        <w:t xml:space="preserve">Nīderlandiešiem nav jāzina viss par Eiropas Savienību, bet vēlas lielāku pārredzamību un vairāk informācijas. Piemēram, zinot citu ES valstu viedokļus, var sniegt labāku pārskatu. Turklāt Nīderlande uzskata, ka ES būtu biežāk un vēlams pastāvīgi jāsadarbojas ar pilsoņiem. Šajā sakarā ir svarīgi ne tikai ņemt vērā dažādās intereses, bet arī pieņemt lēmumus ātrāk nekā pašlaik. </w:t>
      </w:r>
    </w:p>
    <w:p>
      <w:pPr>
        <w:pStyle w:val="P68B1DB1Normal105"/>
        <w:widowControl w:val="false"/>
        <w:spacing w:lineRule="exact" w:line="346" w:before="58" w:after="0"/>
        <w:ind w:left="0" w:right="0" w:hanging="0"/>
        <w:jc w:val="left"/>
        <w:rPr/>
      </w:pPr>
      <w:r>
        <w:rPr>
          <w:rFonts w:ascii="Calibri" w:hAnsi="Calibri"/>
        </w:rPr>
        <w:t>1.</w:t>
      </w:r>
      <w:r>
        <w:rPr/>
        <w:t xml:space="preserve"> </w:t>
      </w:r>
      <w:r>
        <w:rPr>
          <w:rFonts w:ascii="Calibri" w:hAnsi="Calibri"/>
        </w:rPr>
        <w:t>Labāks pārskats par Eiropu</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Atrast jaunus veidus, kā pastāvīgi uzklausīt iedzīvotājus</w:t>
      </w:r>
    </w:p>
    <w:p>
      <w:pPr>
        <w:pStyle w:val="P68B1DB1Normal105"/>
        <w:widowControl w:val="false"/>
        <w:spacing w:lineRule="exact" w:line="281"/>
        <w:ind w:left="0" w:right="1902" w:hanging="0"/>
        <w:jc w:val="left"/>
        <w:rPr/>
      </w:pPr>
      <w:r>
        <w:rPr>
          <w:rFonts w:ascii="Calibri" w:hAnsi="Calibri"/>
        </w:rPr>
        <w:t>3.</w:t>
      </w:r>
      <w:r>
        <w:rPr/>
        <w:t xml:space="preserve"> </w:t>
      </w:r>
      <w:r>
        <w:rPr>
          <w:rFonts w:ascii="Calibri" w:hAnsi="Calibri"/>
        </w:rPr>
        <w:t>Lielāka pārredzamība un skaidrība par pieņemtajiem lēmumiem</w:t>
      </w:r>
    </w:p>
    <w:p>
      <w:pPr>
        <w:pStyle w:val="P68B1DB1Normal105"/>
        <w:widowControl w:val="false"/>
        <w:spacing w:lineRule="exact" w:line="281"/>
        <w:ind w:left="0" w:right="1902" w:hanging="0"/>
        <w:jc w:val="left"/>
        <w:rPr/>
      </w:pPr>
      <w:r>
        <w:rPr>
          <w:rFonts w:ascii="Calibri" w:hAnsi="Calibri"/>
        </w:rPr>
        <w:t>4.</w:t>
      </w:r>
      <w:r>
        <w:rPr/>
        <w:t xml:space="preserve"> </w:t>
      </w:r>
      <w:r>
        <w:rPr>
          <w:rFonts w:ascii="Calibri" w:hAnsi="Calibri"/>
        </w:rPr>
        <w:t>Nodrošināt, ka sarežģītos jautājumus var atrisināt ātrāk</w:t>
      </w:r>
    </w:p>
    <w:p>
      <w:pPr>
        <w:pStyle w:val="P68B1DB1Normal104"/>
        <w:widowControl w:val="false"/>
        <w:spacing w:lineRule="exact" w:line="339" w:before="60" w:after="0"/>
        <w:ind w:left="0" w:right="0" w:hanging="0"/>
        <w:jc w:val="left"/>
        <w:rPr>
          <w:rFonts w:ascii="Calibri" w:hAnsi="Calibri"/>
          <w:color w:val="000000"/>
          <w:sz w:val="21"/>
        </w:rPr>
      </w:pPr>
      <w:r>
        <w:rPr/>
        <w:t xml:space="preserve"> </w:t>
      </w:r>
    </w:p>
    <w:p>
      <w:pPr>
        <w:pStyle w:val="P68B1DB1Normal108"/>
        <w:widowControl w:val="false"/>
        <w:spacing w:lineRule="exact" w:line="387" w:before="59" w:after="0"/>
        <w:ind w:left="0" w:right="0" w:hanging="0"/>
        <w:jc w:val="left"/>
        <w:rPr>
          <w:rFonts w:ascii="Calibri" w:hAnsi="Calibri"/>
          <w:b/>
          <w:b/>
          <w:i/>
          <w:i/>
          <w:color w:val="000000"/>
          <w:sz w:val="24"/>
        </w:rPr>
      </w:pPr>
      <w:r>
        <w:rPr/>
        <w:t xml:space="preserve">Digitālā pārveide </w:t>
      </w:r>
    </w:p>
    <w:p>
      <w:pPr>
        <w:pStyle w:val="P68B1DB1Normal104"/>
        <w:widowControl w:val="false"/>
        <w:spacing w:lineRule="exact" w:line="282" w:before="178" w:after="0"/>
        <w:ind w:left="0" w:right="54" w:hanging="0"/>
        <w:jc w:val="left"/>
        <w:rPr/>
      </w:pPr>
      <w:r>
        <w:rPr/>
        <w:t xml:space="preserve">Sabiedrība arvien vairāk ir atkarīga no interneta, un lielie tehnoloģiju uzņēmumi kļūst arvien spēcīgāki. Tas dažreiz ļoti satrauc Nīderlandes iedzīvotājus. Tāpēc ES ir lietderīgi izstrādāt Eiropas (privātuma) noteikumus un standartus. Tomēr ir svarīgi, lai ikviens varētu saprast un piemērot šos noteikumus un standartus. Holandiešu valoda dod priekšroku saņemt atbalstu un informāciju no valsts iestādēm savā valodā.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ind w:left="0" w:right="0" w:hanging="0"/>
        <w:jc w:val="left"/>
        <w:rPr/>
      </w:pPr>
      <w:r>
        <w:rPr>
          <w:rFonts w:ascii="Calibri" w:hAnsi="Calibri"/>
        </w:rPr>
        <w:t>1.</w:t>
      </w:r>
      <w:r>
        <w:rPr/>
        <w:t xml:space="preserve"> </w:t>
      </w:r>
      <w:r>
        <w:rPr>
          <w:rFonts w:ascii="Calibri" w:hAnsi="Calibri"/>
        </w:rPr>
        <w:t>Ātra, droša un stabila interneta nodrošināšana visur</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Skaidru noteikumu un standartu noteikšana interneta uzņēmumiem</w:t>
      </w:r>
    </w:p>
    <w:p>
      <w:pPr>
        <w:pStyle w:val="P68B1DB1Normal105"/>
        <w:widowControl w:val="false"/>
        <w:spacing w:lineRule="exact" w:line="346"/>
        <w:ind w:left="0" w:right="0" w:hanging="0"/>
        <w:jc w:val="left"/>
        <w:rPr/>
      </w:pPr>
      <w:r>
        <w:rPr>
          <w:rFonts w:ascii="Calibri" w:hAnsi="Calibri"/>
        </w:rPr>
        <w:t>3.</w:t>
      </w:r>
      <w:r>
        <w:rPr/>
        <w:t xml:space="preserve"> </w:t>
      </w:r>
      <w:r>
        <w:rPr>
          <w:rFonts w:ascii="Calibri" w:hAnsi="Calibri"/>
        </w:rPr>
        <w:t>Privātuma noteikumiem pievienot īstenošanas un praktiskus paskaidrojumus</w:t>
      </w:r>
    </w:p>
    <w:p>
      <w:pPr>
        <w:pStyle w:val="P68B1DB1Normal19"/>
        <w:widowControl w:val="false"/>
        <w:spacing w:lineRule="exact" w:line="388"/>
        <w:ind w:left="284" w:right="0" w:hanging="0"/>
        <w:jc w:val="left"/>
        <w:rPr>
          <w:rFonts w:ascii="Times New Roman" w:hAnsi="Times New Roman"/>
          <w:color w:val="000000"/>
          <w:sz w:val="24"/>
        </w:rPr>
      </w:pPr>
      <w:r>
        <w:rPr/>
        <w:t xml:space="preserve"> </w:t>
      </w:r>
    </w:p>
    <w:p>
      <w:pPr>
        <w:pStyle w:val="P68B1DB1Normal108"/>
        <w:widowControl w:val="false"/>
        <w:spacing w:lineRule="exact" w:line="387" w:before="30" w:after="0"/>
        <w:ind w:left="0" w:right="0" w:hanging="0"/>
        <w:jc w:val="left"/>
        <w:rPr>
          <w:rFonts w:ascii="Calibri" w:hAnsi="Calibri"/>
          <w:b/>
          <w:b/>
          <w:i/>
          <w:i/>
          <w:color w:val="000000"/>
          <w:sz w:val="24"/>
        </w:rPr>
      </w:pPr>
      <w:r>
        <w:rPr/>
        <w:t xml:space="preserve">Izglītība, kultūra, jaunatne un sports </w:t>
      </w:r>
    </w:p>
    <w:p>
      <w:pPr>
        <w:pStyle w:val="P68B1DB1Normal104"/>
        <w:widowControl w:val="false"/>
        <w:spacing w:lineRule="exact" w:line="282" w:before="178" w:after="0"/>
        <w:ind w:left="0" w:right="166" w:hanging="0"/>
        <w:jc w:val="left"/>
        <w:rPr/>
      </w:pPr>
      <w:r>
        <w:rPr/>
        <w:t>Jauniešiem, kas studē ārzemēs, vajadzētu būt iespējai mācīties vairāk no uzņēmējas valsts nekā</w:t>
      </w:r>
      <w:r>
        <w:rPr/>
        <w:commentReference w:id="21"/>
      </w:r>
      <w:r>
        <w:rPr/>
        <w:t xml:space="preserve"> pašlaik. Un valstīm ar zemāku zināšanu līmeni nevajadzētu zaudēt visus savus talantus, kas iet uz ārzemēm. Nīderlande uzskata, ka tādi jautājumi kā kultūra un ļaunprātīga izmantošana sportā ir jautājumi, par kuriem drīzāk būtu jāatbild pašām dalībvalstīm. Un viņi uzskata, ka ir ļoti svarīgi, lai būtu sava valsts valoda. Kopumā Eiropā katram cilvēkam pirmām kārtām ir jājūtas brīvi un jāspēj būt pašam. </w:t>
      </w:r>
    </w:p>
    <w:p>
      <w:pPr>
        <w:pStyle w:val="P68B1DB1Normal104"/>
        <w:widowControl w:val="false"/>
        <w:spacing w:lineRule="exact" w:line="339" w:before="61" w:after="0"/>
        <w:ind w:left="0" w:right="0" w:hanging="0"/>
        <w:jc w:val="left"/>
        <w:rPr>
          <w:rFonts w:ascii="Calibri" w:hAnsi="Calibri"/>
          <w:color w:val="000000"/>
          <w:sz w:val="21"/>
        </w:rPr>
      </w:pPr>
      <w:r>
        <w:rPr/>
        <w:t xml:space="preserve"> </w:t>
      </w:r>
    </w:p>
    <w:p>
      <w:pPr>
        <w:pStyle w:val="P68B1DB1Normal105"/>
        <w:widowControl w:val="false"/>
        <w:spacing w:lineRule="exact" w:line="346" w:before="55" w:after="0"/>
        <w:ind w:left="0" w:right="0" w:hanging="0"/>
        <w:jc w:val="left"/>
        <w:rPr/>
      </w:pPr>
      <w:r>
        <w:rPr>
          <w:rFonts w:ascii="Calibri" w:hAnsi="Calibri"/>
        </w:rPr>
        <w:t>1.</w:t>
      </w:r>
      <w:r>
        <w:rPr/>
        <w:t xml:space="preserve"> </w:t>
      </w:r>
      <w:r>
        <w:rPr>
          <w:rFonts w:ascii="Calibri" w:hAnsi="Calibri"/>
        </w:rPr>
        <w:t>Mudināt studentus inteliģenti studēt ārzemēs</w:t>
      </w:r>
    </w:p>
    <w:p>
      <w:pPr>
        <w:pStyle w:val="P68B1DB1Normal105"/>
        <w:widowControl w:val="false"/>
        <w:spacing w:lineRule="exact" w:line="346"/>
        <w:ind w:left="0" w:right="0" w:hanging="0"/>
        <w:jc w:val="left"/>
        <w:rPr/>
      </w:pPr>
      <w:r>
        <w:rPr>
          <w:rFonts w:ascii="Calibri" w:hAnsi="Calibri"/>
        </w:rPr>
        <w:t>2.</w:t>
      </w:r>
      <w:r>
        <w:rPr/>
        <w:t xml:space="preserve"> </w:t>
      </w:r>
      <w:r>
        <w:rPr>
          <w:rFonts w:ascii="Calibri" w:hAnsi="Calibri"/>
        </w:rPr>
        <w:t>Ļaut dalībvalstīm koncentrēties uz tādiem jautājumiem kā kultūra un sports</w:t>
      </w:r>
    </w:p>
    <w:p>
      <w:pPr>
        <w:pStyle w:val="Normal"/>
        <w:widowControl w:val="false"/>
        <w:spacing w:lineRule="exact" w:line="346"/>
        <w:ind w:left="1" w:right="0" w:hanging="0"/>
        <w:jc w:val="left"/>
        <w:rPr/>
      </w:pPr>
      <w:r>
        <w:rPr>
          <w:rFonts w:ascii="Calibri" w:hAnsi="Calibri"/>
          <w:color w:val="000000"/>
          <w:sz w:val="21"/>
        </w:rPr>
        <w:t>3.</w:t>
      </w:r>
      <w:r>
        <w:rPr>
          <w:color w:val="000000"/>
          <w:sz w:val="21"/>
        </w:rPr>
        <w:t xml:space="preserve"> </w:t>
      </w:r>
      <w:r>
        <w:rPr>
          <w:rFonts w:ascii="Calibri" w:hAnsi="Calibri"/>
          <w:color w:val="000000"/>
          <w:sz w:val="21"/>
        </w:rPr>
        <w:t>Nodrošināt, lai eiropieši labāk iepazītos un cienītu viens otru</w:t>
      </w:r>
      <w:r>
        <w:rPr>
          <w:color w:val="000000"/>
          <w:sz w:val="21"/>
        </w:rPr>
        <w:t xml:space="preserve"> </w:t>
      </w:r>
      <w:r>
        <w:br w:type="page"/>
      </w:r>
    </w:p>
    <w:p>
      <w:pPr>
        <w:pStyle w:val="P68B1DB1Normal109"/>
        <w:rPr>
          <w:rFonts w:ascii="Calibri" w:hAnsi="Calibri"/>
          <w:b/>
          <w:b/>
          <w:i/>
          <w:i/>
          <w:color w:val="000000"/>
          <w:sz w:val="32"/>
        </w:rPr>
      </w:pPr>
      <w:r>
        <w:rPr/>
        <w:t xml:space="preserve">Ievads Ievads </w:t>
      </w:r>
    </w:p>
    <w:p>
      <w:pPr>
        <w:pStyle w:val="P68B1DB1Normal110"/>
        <w:widowControl w:val="false"/>
        <w:spacing w:lineRule="exact" w:line="274" w:before="31" w:after="0"/>
        <w:ind w:left="0" w:right="113" w:hanging="0"/>
        <w:jc w:val="left"/>
        <w:rPr/>
      </w:pPr>
      <w:r>
        <w:rPr>
          <w:sz w:val="21"/>
        </w:rPr>
        <w:t xml:space="preserve">Pilsoņu dialogs “Eiropas redzējums”, kas notika no 1. septembra līdz novembra vidum, ļāva visiem nīderlandiešiem paust savu viedokli un idejas par Eiropas nākotni. Nīderlande iesniedz Eiropas Savienībai (ES) ieteikumus, kas ir dialoga pamatā, kā arī paustās idejas un viedokļus. Šajā ziņojumā mēs pievēršam uzmanību pirmajiem pieciem tematiem. Pārējie četri jautājumi tiks aplūkoti nākamajā ziņojumā 2022. gada sākumā. </w:t>
      </w:r>
      <w:r>
        <w:rPr>
          <w:b/>
          <w:i/>
          <w:sz w:val="24"/>
        </w:rPr>
        <w:t>Par Eiropas redzējumu</w:t>
      </w:r>
    </w:p>
    <w:p>
      <w:pPr>
        <w:pStyle w:val="P68B1DB1Normal104"/>
        <w:widowControl w:val="false"/>
        <w:spacing w:lineRule="exact" w:line="257" w:before="34" w:after="0"/>
        <w:ind w:left="0" w:right="200" w:hanging="0"/>
        <w:jc w:val="left"/>
        <w:rPr/>
      </w:pPr>
      <w:r>
        <w:rPr/>
        <w:t xml:space="preserve">Eiropas Savienība vēlas, lai tās pilsoņi dalītos ar to, ko viņi domā par Eiropu. Tāpēc ES organizē konferenci par Eiropas nākotni. Pēc tam Eiropas Savienības iedzīvotāju viedokļi un idejas tiks izmantotas Eiropas nākotnes plānos. Konferences ietvaros Nīderlande valsts līmenī organizēja pilsoņu dialogu “Eiropas redzējums”.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P68B1DB1Normal104"/>
        <w:widowControl w:val="false"/>
        <w:spacing w:lineRule="exact" w:line="257" w:before="32" w:after="0"/>
        <w:ind w:left="0" w:right="109" w:hanging="0"/>
        <w:jc w:val="left"/>
        <w:rPr/>
      </w:pPr>
      <w:r>
        <w:rPr/>
        <w:t xml:space="preserve">Dialogs par Eiropas redzējumu sākās 1. septembrī ar viedokļu un ideju apkopošanu tiešsaistē, izmantojot reprezentatīvas žūrijas aptauju. Lai padziļinātu paneļdiskusiju sākotnējos rezultātus un sniegtu konkrētus ieteikumus, mēs organizējām tematiskus tiešsaistes dialogus. Var piedalīties ikviens, kurš vēlējās piedalīties. Mēs arī ceļojām uz valsti, lai rīkotu diskusijas ar jauniešiem un citām grupām (grūti sasniegt). </w:t>
      </w:r>
    </w:p>
    <w:p>
      <w:pPr>
        <w:pStyle w:val="P68B1DB1Normal111"/>
        <w:widowControl w:val="false"/>
        <w:spacing w:lineRule="exact" w:line="269" w:before="28" w:after="0"/>
        <w:ind w:left="0" w:right="113" w:hanging="0"/>
        <w:jc w:val="left"/>
        <w:rPr/>
      </w:pPr>
      <w:r>
        <w:rPr/>
        <w:t xml:space="preserve">No skolēniem, arodskolu skolēniem un skolēniem līdz ministram, lauksaimniekiem un migrantiem </w:t>
      </w:r>
    </w:p>
    <w:p>
      <w:pPr>
        <w:pStyle w:val="P68B1DB1Normal104"/>
        <w:widowControl w:val="false"/>
        <w:spacing w:lineRule="exact" w:line="257" w:before="26" w:after="0"/>
        <w:ind w:left="0" w:right="44" w:hanging="0"/>
        <w:jc w:val="left"/>
        <w:rPr/>
      </w:pPr>
      <w:r>
        <w:rPr/>
        <w:t xml:space="preserve">Oktobrī un novembrī kopumā notika astoņi tiešsaistes tematiskie dialogi, kuros katrā sanāksmē piedalījās vidēji 30 dalībnieki. Mēs arī organizējām tiešsaistes tematisko dialogu un septiņus tematiskos dialogus uz vietas ar dažādām Nīderlandes pilsoņu grupām. Mēs runājām ar turku kopienu Schiedam, un Piëzo fonda brīvprātīgie viņus uzaicināja uz Zoetermeer. Pēdējā gadījumā dialoga beigās piedalījās arī ārlietu ministrs Bens Knapens (Ben Knapen). Ministrs diskutēja ar dalībniekiem par dialogu un paustajiem viedokļiem par Eiropas nākotni. Visbeidzot, mēs organizējām sešas sanāksmes ar dažādām jauniešu grupām. Piemēram, mēs bijām gaidīti vidusskolā Helmondā, profesionālās vidusskolas Doetinchem un Leidenes Universitātē. </w:t>
      </w:r>
    </w:p>
    <w:p>
      <w:pPr>
        <w:pStyle w:val="P68B1DB1Normal112"/>
        <w:widowControl w:val="false"/>
        <w:spacing w:lineRule="exact" w:line="260" w:before="31" w:after="0"/>
        <w:ind w:left="0" w:right="0" w:hanging="0"/>
        <w:jc w:val="left"/>
        <w:rPr>
          <w:rFonts w:ascii="Times New Roman" w:hAnsi="Times New Roman"/>
          <w:color w:val="000000"/>
          <w:sz w:val="16"/>
        </w:rPr>
      </w:pPr>
      <w:r>
        <w:rPr/>
        <w:t xml:space="preserve"> </w:t>
      </w:r>
    </w:p>
    <w:p>
      <w:pPr>
        <w:pStyle w:val="P68B1DB1Normal113"/>
        <w:widowControl w:val="false"/>
        <w:spacing w:lineRule="exact" w:line="319" w:before="28" w:after="0"/>
        <w:ind w:left="883" w:right="888" w:hanging="0"/>
        <w:jc w:val="center"/>
        <w:rPr/>
      </w:pPr>
      <w:r>
        <w:rPr/>
        <w:t xml:space="preserve">Man vienmēr patīk izteikt savu viedokli kafijas automāta priekšā. Tāpēc es domāju, ka man bija jāpiedalās. </w:t>
      </w:r>
    </w:p>
    <w:p>
      <w:pPr>
        <w:pStyle w:val="P68B1DB1Normal110"/>
        <w:widowControl w:val="false"/>
        <w:spacing w:lineRule="exact" w:line="346" w:before="41" w:after="0"/>
        <w:ind w:left="0" w:right="6639" w:hanging="0"/>
        <w:jc w:val="left"/>
        <w:rPr/>
      </w:pPr>
      <w:r>
        <w:rPr>
          <w:sz w:val="21"/>
        </w:rPr>
        <w:t xml:space="preserve">Tematiskā </w:t>
      </w:r>
      <w:r>
        <w:rPr>
          <w:b/>
          <w:i/>
          <w:sz w:val="24"/>
        </w:rPr>
        <w:t xml:space="preserve">dialoga dalībnieks Par šo ziņojumu </w:t>
      </w:r>
    </w:p>
    <w:p>
      <w:pPr>
        <w:pStyle w:val="P68B1DB1Normal104"/>
        <w:widowControl w:val="false"/>
        <w:spacing w:lineRule="exact" w:line="257" w:before="178" w:after="0"/>
        <w:ind w:left="0" w:right="56" w:hanging="0"/>
        <w:jc w:val="left"/>
        <w:rPr/>
      </w:pPr>
      <w:r>
        <w:rPr/>
        <w:t xml:space="preserve">Pamatojoties uz idejām un viedokļiem, ko esam apkopojuši pēdējos mēnešos, mēs esam izstrādājuši virkni ieteikumu, ko Nīderlandes pilsoņi sniedz Eiropas Savienībai. Diskusijās starp Nīderlandes pilsoņiem notika interesanta viedokļu apmaiņa un tika izvirzītas inovatīvas idejas. Ieteikumi tika izteikti arī, izmantojot paneļdiskusiju un sabiedrības aptauju. Dažas no šīm idejām ir iekļautas šajā ziņojumā. Tādēļ šā ziņojuma saturs ir Nīderlandes viedoklis: mūsu redzējums par Eiropu. </w:t>
      </w:r>
    </w:p>
    <w:p>
      <w:pPr>
        <w:pStyle w:val="P68B1DB1Normal104"/>
        <w:widowControl w:val="false"/>
        <w:spacing w:lineRule="exact" w:line="339" w:before="34" w:after="0"/>
        <w:ind w:left="0" w:right="0" w:hanging="0"/>
        <w:jc w:val="left"/>
        <w:rPr>
          <w:rFonts w:ascii="Calibri" w:hAnsi="Calibri"/>
          <w:color w:val="000000"/>
          <w:sz w:val="21"/>
        </w:rPr>
      </w:pPr>
      <w:r>
        <w:rPr/>
        <w:t xml:space="preserve"> </w:t>
      </w:r>
    </w:p>
    <w:p>
      <w:pPr>
        <w:pStyle w:val="Normal"/>
        <w:widowControl w:val="false"/>
        <w:spacing w:lineRule="exact" w:line="256" w:before="32" w:after="0"/>
        <w:ind w:left="0" w:right="16" w:hanging="0"/>
        <w:jc w:val="left"/>
        <w:rPr/>
      </w:pPr>
      <w:r>
        <w:rPr>
          <w:rFonts w:ascii="Calibri" w:hAnsi="Calibri"/>
          <w:color w:val="000000"/>
          <w:sz w:val="21"/>
        </w:rPr>
        <w:t xml:space="preserve">Tāpat kā pastāv viedokļu atšķirības starp valstīm un Eiropas pilsoņiem, arī mēs ne vienmēr vienojamies savā starpā Nīderlandē. Tieši šīs viedokļu atšķirības ir vērtīgas: tie ir svarīga demokrātijas iezīme. Ieteikumi ir ņemti no aptaujas “Vision of Europe” dalībnieku visbiežāk paustajām idejām un viedokļiem. Mēs arī aprakstām bažas, idejas un jūtas, kas var būt mazāk izplatītas, bet kuras ir piesaistījušas mūsu uzmanību dialogos un tiešsaistes aptaujā. </w:t>
      </w:r>
      <w:r>
        <w:br w:type="page"/>
      </w:r>
    </w:p>
    <w:p>
      <w:pPr>
        <w:pStyle w:val="P68B1DB1Normal113"/>
        <w:spacing w:lineRule="auto" w:line="240"/>
        <w:rPr/>
      </w:pPr>
      <w:r>
        <w:rPr/>
        <w:t xml:space="preserve">Tas bija jauki, lai varētu runāt mazās grupās ar atbalstītājiem un pretiniekiem. Tas ir ļoti atšķirīgs no tā, kā parasti notiek diskusijas sociālajos medijos. </w:t>
      </w:r>
    </w:p>
    <w:p>
      <w:pPr>
        <w:pStyle w:val="P68B1DB1Normal76"/>
        <w:widowControl w:val="false"/>
        <w:spacing w:lineRule="auto" w:line="240" w:before="267" w:after="0"/>
        <w:ind w:left="0" w:right="0" w:hanging="0"/>
        <w:jc w:val="left"/>
        <w:rPr/>
      </w:pPr>
      <w:r>
        <w:rPr>
          <w:rFonts w:ascii="Calibri" w:hAnsi="Calibri"/>
          <w:sz w:val="21"/>
        </w:rPr>
        <w:t>Tematiskā dialoga dalībnieks</w:t>
      </w:r>
      <w:r>
        <w:rPr>
          <w:rFonts w:ascii="Times New Roman" w:hAnsi="Times New Roman"/>
          <w:sz w:val="24"/>
        </w:rPr>
        <w:t xml:space="preserve">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4"/>
        <w:widowControl w:val="false"/>
        <w:spacing w:lineRule="auto" w:line="240"/>
        <w:ind w:left="0" w:right="54" w:hanging="0"/>
        <w:jc w:val="left"/>
        <w:rPr/>
      </w:pPr>
      <w:r>
        <w:rPr/>
        <w:t xml:space="preserve">Konferencei par Eiropas nākotni tika noteiktas deviņas tēmas. Šīs tēmas ir arī Eiropas redzējuma dialoga ar Nīderlandes pilsoņiem pamatā. Oktobrī mēs publicējām starpposma ziņojumu, kurā sniegts sākotnējs pārskats par rezultātiem un papildu jautājumiem, pamatojoties uz paneļdiskusiju. Šajā otrajā ziņojumā mēs izklāstījām atzinumus, idejas un ieteikumus par pirmajiem pieciem tematiem konferences par Eiropas nākotni plenārsēdē decembrī. Šis ziņojums, kurā būs aplūkoti četri atlikušie temati, tiks publicēts janvāra vidū. </w:t>
      </w:r>
    </w:p>
    <w:p>
      <w:pPr>
        <w:pStyle w:val="Normal"/>
        <w:rPr/>
      </w:pPr>
      <w:r>
        <w:rPr/>
        <w:t xml:space="preserve">Pašreizējais ziņojums — 2021. gada decembris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Vērtības un tiesības, tiesiskums un drošība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Spēcīgāka ekonomika, sociālais taisnīgums un nodarbinātība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Eiropas demokrātija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Digitālā pārveide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Izglītība, kultūra, jaunatne un sports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69"/>
        <w:widowControl w:val="false"/>
        <w:spacing w:lineRule="auto" w:line="240"/>
        <w:ind w:left="0" w:right="0" w:hanging="0"/>
        <w:jc w:val="left"/>
        <w:rPr>
          <w:rFonts w:ascii="Calibri" w:hAnsi="Calibri"/>
          <w:b/>
          <w:b/>
          <w:color w:val="000000"/>
          <w:sz w:val="20"/>
        </w:rPr>
      </w:pPr>
      <w:r>
        <w:rPr/>
        <w:t xml:space="preserve">Nākamais ziņojums — 2022. gada janvāris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Klimata pārmaiņas un vide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Migrācija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Veselība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ES pasaulē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Nākamie soļi </w:t>
      </w:r>
    </w:p>
    <w:p>
      <w:pPr>
        <w:pStyle w:val="P68B1DB1Normal105"/>
        <w:widowControl w:val="false"/>
        <w:spacing w:lineRule="auto" w:line="240" w:before="125" w:after="0"/>
        <w:ind w:left="0" w:right="0" w:hanging="0"/>
        <w:jc w:val="left"/>
        <w:rPr/>
      </w:pPr>
      <w:r>
        <w:rPr>
          <w:rFonts w:ascii="Verdana" w:hAnsi="Verdana"/>
        </w:rPr>
        <w:t>•</w:t>
      </w:r>
      <w:r>
        <w:rPr/>
        <w:t xml:space="preserve"> </w:t>
      </w:r>
      <w:r>
        <w:rPr>
          <w:rFonts w:ascii="Calibri" w:hAnsi="Calibri"/>
        </w:rPr>
        <w:t xml:space="preserve">Konference par Eiropas nākotni apvieno visu ES iedzīvotāju idejas, viedokļus un ieteikumus. Sanāksmes tiks veltītas ne tikai visu valsts līmeņa pilsoņu dialogu rezultātiem, bet arī citu saistībā ar konferenci uzsākto iniciatīvu rezultātiem. Piemēram, ir arī Eiropas pilsoņu paneļdiskusija, un visi ES pilsoņi (tostarp Nīderlandes pilsoņi) var piekļūt Eiropas digitālajai platformai. </w:t>
      </w:r>
    </w:p>
    <w:p>
      <w:pPr>
        <w:pStyle w:val="P68B1DB1Normal113"/>
        <w:widowControl w:val="false"/>
        <w:spacing w:lineRule="auto" w:line="240" w:before="203" w:after="0"/>
        <w:ind w:left="1080" w:right="1083" w:hanging="0"/>
        <w:jc w:val="center"/>
        <w:rPr/>
      </w:pPr>
      <w:r>
        <w:rPr/>
        <w:t>“</w:t>
      </w:r>
      <w:r>
        <w:rPr/>
        <w:t xml:space="preserve">Ir labi, ka ES uzņemas šo iniciatīvu. ES ceru, ka rezultāti patiešām tiks ņemti vērā. </w:t>
      </w:r>
    </w:p>
    <w:p>
      <w:pPr>
        <w:pStyle w:val="P68B1DB1Normal104"/>
        <w:widowControl w:val="false"/>
        <w:spacing w:lineRule="auto" w:line="240" w:before="307" w:after="0"/>
        <w:ind w:left="0" w:right="0" w:hanging="0"/>
        <w:jc w:val="left"/>
        <w:rPr>
          <w:rFonts w:ascii="Calibri" w:hAnsi="Calibri"/>
          <w:color w:val="000000"/>
          <w:sz w:val="21"/>
        </w:rPr>
      </w:pPr>
      <w:r>
        <w:rPr/>
        <w:t xml:space="preserve">Tematiskā dialoga dalībnieks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Konference beigsies 2022. gada pavasarī. Pēc tam Nīderlande sagatavos galīgo ziņojumu par pilsoņu dialogu: šā ziņojuma apkopojums un turpmāk minētais ziņojums (tostarp citas tēmas). Pēc konferences konferences priekšsēdētājam tiks sniegti šādi ieteikumi: Eiropas Parlamenta, Ministru padomes un Eiropas Komisijas priekšsēdētāji. Viņi apņēmās izpētīt ieteikumu īstenošanas veidus un līdzekļus. Nīderlandes valdībai rezultāti ir arī vērtīgs ieguldījums Nīderlandes Eiropas politikas attīstībā. </w:t>
      </w:r>
    </w:p>
    <w:p>
      <w:pPr>
        <w:pStyle w:val="Normal"/>
        <w:widowControl w:val="false"/>
        <w:spacing w:lineRule="auto" w:line="240"/>
        <w:ind w:left="0" w:right="0" w:hanging="0"/>
        <w:jc w:val="left"/>
        <w:rPr/>
      </w:pPr>
      <w:r>
        <w:rPr>
          <w:rFonts w:ascii="Verdana" w:hAnsi="Verdana"/>
          <w:color w:val="000000"/>
          <w:sz w:val="21"/>
        </w:rPr>
        <w:t>•</w:t>
      </w:r>
      <w:r>
        <w:rPr>
          <w:color w:val="000000"/>
          <w:sz w:val="21"/>
        </w:rPr>
        <w:t xml:space="preserve"> </w:t>
      </w:r>
      <w:r>
        <w:rPr>
          <w:rFonts w:ascii="Calibri" w:hAnsi="Calibri"/>
          <w:color w:val="000000"/>
          <w:sz w:val="21"/>
        </w:rPr>
        <w:t xml:space="preserve">Kopsavilkumā līdz 2022. gada pavasarim process tiks organizēts šādi: </w:t>
      </w:r>
      <w:r>
        <w:br w:type="page"/>
      </w:r>
    </w:p>
    <w:p>
      <w:pPr>
        <w:pStyle w:val="P68B1DB1Normal107"/>
        <w:spacing w:lineRule="auto" w:line="240"/>
        <w:rPr/>
      </w:pPr>
      <w:r>
        <w:rPr/>
        <w:t xml:space="preserve">Hronoloģija </w:t>
      </w:r>
    </w:p>
    <w:p>
      <w:pPr>
        <w:pStyle w:val="P68B1DB1Normal114"/>
        <w:spacing w:lineRule="auto" w:line="240"/>
        <w:rPr/>
      </w:pPr>
      <w:r>
        <w:rPr/>
        <w:t xml:space="preserve">Eiropas redzējums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75"/>
        <w:gridCol w:w="1633"/>
        <w:gridCol w:w="39"/>
        <w:gridCol w:w="840"/>
        <w:gridCol w:w="719"/>
        <w:gridCol w:w="1480"/>
        <w:gridCol w:w="411"/>
        <w:gridCol w:w="410"/>
        <w:gridCol w:w="1286"/>
        <w:gridCol w:w="564"/>
        <w:gridCol w:w="1580"/>
      </w:tblGrid>
      <w:tr>
        <w:trPr>
          <w:trHeight w:val="851"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Pirmais septītais.</w:t>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12. oktobris</w:t>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22./23. oktobris</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15. nov.</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17. un 18. decembris</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21/22 janvāris</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22/24 aprīlis</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81" w:hRule="atLeast"/>
        </w:trPr>
        <w:tc>
          <w:tcPr>
            <w:tcW w:w="3906" w:type="dxa"/>
            <w:gridSpan w:val="5"/>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Ideju vākšana tiešsaistē</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323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Tematiskie dialogi</w:t>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167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Starprezultāti (starpposma ziņojums)</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Starpposma ziņojums “Ekonomika” un “Demokrātija”</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Starpposma ziņojums “Klimats” un “ES pasaulē”</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Nobeiguma ziņojums “Mūsu redzējums Eiropai”</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SKATĪT VISAS VIESNĪCAS VIETĀ </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SKATĪT VISAS VIESNĪCAS VIETĀ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SKATĪT VISAS VIESNĪCAS VIETĀ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SKATĪT VISAS VIESNĪCAS VIETĀ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209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Konferences sēde</w:t>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Konferences sēde</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Konferences sēde</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Konferences noslēgums</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MĀJAS LAPA → </w:t>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 xml:space="preserve">Ieteikumi priekšsēdētājiem </w:t>
              <w:br/>
              <w:t xml:space="preserve">• Eiropas Parlaments </w:t>
              <w:br/>
              <w:t xml:space="preserve">• Eiropas Komisija </w:t>
              <w:br/>
              <w:t>• Ministru padome</w:t>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63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79"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71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4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82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128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6"/>
              <w:spacing w:before="57" w:after="57"/>
              <w:jc w:val="left"/>
              <w:rPr>
                <w:color w:val="000000"/>
                <w:sz w:val="16"/>
              </w:rPr>
            </w:pPr>
            <w:r>
              <w:rPr/>
              <w:t xml:space="preserve">↑ </w:t>
            </w:r>
          </w:p>
        </w:tc>
        <w:tc>
          <w:tcPr>
            <w:tcW w:w="56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158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r>
      <w:tr>
        <w:trPr>
          <w:trHeight w:val="566" w:hRule="atLeast"/>
        </w:trPr>
        <w:tc>
          <w:tcPr>
            <w:tcW w:w="67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8962" w:type="dxa"/>
            <w:gridSpan w:val="10"/>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Vairāk viedokļu un ideju par Eiropas nākotni:</w:t>
            </w:r>
          </w:p>
        </w:tc>
      </w:tr>
      <w:tr>
        <w:trPr>
          <w:trHeight w:val="851" w:hRule="atLeast"/>
        </w:trPr>
        <w:tc>
          <w:tcPr>
            <w:tcW w:w="234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Dialogi ar pilsoņiem</w:t>
            </w:r>
          </w:p>
        </w:tc>
        <w:tc>
          <w:tcPr>
            <w:tcW w:w="8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sz w:val="16"/>
              </w:rPr>
            </w:pPr>
            <w:r>
              <w:rPr>
                <w:color w:val="000000"/>
                <w:sz w:val="16"/>
              </w:rPr>
            </w:r>
          </w:p>
        </w:tc>
        <w:tc>
          <w:tcPr>
            <w:tcW w:w="2610"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Eiropas pilsoņu paneļdiskusija</w:t>
            </w:r>
          </w:p>
        </w:tc>
        <w:tc>
          <w:tcPr>
            <w:tcW w:w="3840"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15"/>
              <w:spacing w:before="57" w:after="57"/>
              <w:jc w:val="left"/>
              <w:rPr>
                <w:rFonts w:ascii="Times New Roman" w:hAnsi="Times New Roman"/>
                <w:color w:val="000000"/>
                <w:sz w:val="16"/>
              </w:rPr>
            </w:pPr>
            <w:r>
              <w:rPr/>
              <w:t>Eiropas digitālā platforma (arī Nīderlandes pilsoņiem)</w:t>
            </w:r>
          </w:p>
        </w:tc>
      </w:tr>
    </w:tbl>
    <w:p>
      <w:pPr>
        <w:pStyle w:val="Normal"/>
        <w:spacing w:lineRule="auto" w:line="240"/>
        <w:rPr/>
      </w:pPr>
      <w:r>
        <w:rPr/>
      </w:r>
    </w:p>
    <w:p>
      <w:pPr>
        <w:pStyle w:val="P68B1DB1Normal107"/>
        <w:spacing w:lineRule="auto" w:line="240"/>
        <w:ind w:left="0" w:right="0" w:hanging="0"/>
        <w:rPr>
          <w:rFonts w:ascii="Calibri" w:hAnsi="Calibri"/>
          <w:i/>
          <w:i/>
          <w:color w:val="000000"/>
          <w:sz w:val="24"/>
        </w:rPr>
      </w:pPr>
      <w:r>
        <w:rPr/>
        <w:t xml:space="preserve">Skaidrojumi, lai atvieglotu lasīšanu </w:t>
      </w:r>
    </w:p>
    <w:p>
      <w:pPr>
        <w:pStyle w:val="P68B1DB1Normal104"/>
        <w:widowControl w:val="false"/>
        <w:spacing w:lineRule="auto" w:line="240" w:before="125" w:after="0"/>
        <w:ind w:left="0" w:right="0" w:hanging="0"/>
        <w:jc w:val="left"/>
        <w:rPr/>
      </w:pPr>
      <w:r>
        <w:rPr/>
        <w:t xml:space="preserve">Šajā ziņojumā mēs apspriedām piecas tēmas. Par katru tēmu mēs esam secīgi iekļāvuši: </w:t>
      </w:r>
    </w:p>
    <w:p>
      <w:pPr>
        <w:pStyle w:val="P68B1DB1Normal104"/>
        <w:widowControl w:val="false"/>
        <w:spacing w:lineRule="auto" w:line="240"/>
        <w:ind w:left="0" w:right="0" w:hanging="0"/>
        <w:jc w:val="left"/>
        <w:rPr>
          <w:rFonts w:ascii="Calibri" w:hAnsi="Calibri"/>
          <w:color w:val="000000"/>
          <w:sz w:val="21"/>
        </w:rPr>
      </w:pPr>
      <w:r>
        <w:rPr/>
        <w:t xml:space="preserve">ieteikumi, kuru pamatā ir visi pilsoņu dialoga aspekti; </w:t>
      </w:r>
    </w:p>
    <w:p>
      <w:pPr>
        <w:pStyle w:val="P68B1DB1Normal104"/>
        <w:widowControl w:val="false"/>
        <w:spacing w:lineRule="auto" w:line="240" w:before="1" w:after="0"/>
        <w:ind w:left="0" w:right="0" w:hanging="0"/>
        <w:jc w:val="left"/>
        <w:rPr/>
      </w:pPr>
      <w:r>
        <w:rPr/>
        <w:t xml:space="preserve">pārskats par viedokļiem, idejām un viedokļiem, ar kuriem (tiešsaistē un klātienē) apmainījās tematiskos dialogos un tiešsaistes aptaujas ieteikumos, vārdos un attēlos.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Apsekojumā izmantotās metodikas apraksts ir atrodams šā ziņojuma beigās. </w:t>
      </w:r>
    </w:p>
    <w:p>
      <w:pPr>
        <w:pStyle w:val="P68B1DB1Normal19"/>
        <w:widowControl w:val="false"/>
        <w:spacing w:lineRule="exact" w:line="388"/>
        <w:ind w:left="0" w:right="0" w:hanging="0"/>
        <w:jc w:val="left"/>
        <w:rPr>
          <w:rFonts w:ascii="Times New Roman" w:hAnsi="Times New Roman"/>
          <w:color w:val="000000"/>
          <w:sz w:val="24"/>
        </w:rPr>
      </w:pPr>
      <w:r>
        <w:rPr/>
        <w:t xml:space="preserve"> </w:t>
      </w:r>
    </w:p>
    <w:p>
      <w:pPr>
        <w:pStyle w:val="Normal"/>
        <w:spacing w:lineRule="auto" w:line="240"/>
        <w:rPr/>
      </w:pPr>
      <w:r>
        <w:rPr/>
      </w:r>
      <w:r>
        <w:br w:type="page"/>
      </w:r>
    </w:p>
    <w:p>
      <w:pPr>
        <w:pStyle w:val="P68B1DB1Normal117"/>
        <w:spacing w:lineRule="auto" w:line="240"/>
        <w:ind w:left="0" w:right="0" w:hanging="0"/>
        <w:rPr>
          <w:rFonts w:ascii="Calibri" w:hAnsi="Calibri"/>
          <w:b/>
          <w:b/>
          <w:i/>
          <w:i/>
          <w:color w:val="000000"/>
          <w:sz w:val="28"/>
        </w:rPr>
      </w:pPr>
      <w:r>
        <w:rPr/>
        <w:t xml:space="preserve">Vērtības un tiesības, tiesiskums un drošība </w:t>
      </w:r>
    </w:p>
    <w:p>
      <w:pPr>
        <w:pStyle w:val="P68B1DB1Normal104"/>
        <w:widowControl w:val="false"/>
        <w:spacing w:lineRule="auto" w:line="240" w:before="36" w:after="0"/>
        <w:ind w:left="0" w:right="0" w:hanging="0"/>
        <w:jc w:val="both"/>
        <w:rPr/>
      </w:pPr>
      <w:r>
        <w:rPr/>
        <w:t xml:space="preserve">ES uzrauga tiesiskumu visās ES valstīs un cenšas samazināt nevienlīdzību ES. ES arī vēlas aizsargāt visus eiropiešus no terorisma un noziedzības. Lai to panāktu, ES ievieš pasākumus un noteikumus, un ES valstis intensīvi sadarbojas. </w:t>
      </w:r>
    </w:p>
    <w:p>
      <w:pPr>
        <w:pStyle w:val="P68B1DB1Normal104"/>
        <w:widowControl w:val="false"/>
        <w:spacing w:lineRule="auto" w:line="240" w:before="32" w:after="0"/>
        <w:ind w:left="0" w:right="0" w:hanging="0"/>
        <w:jc w:val="left"/>
        <w:rPr>
          <w:rFonts w:ascii="Calibri" w:hAnsi="Calibri"/>
          <w:color w:val="000000"/>
          <w:sz w:val="21"/>
        </w:rPr>
      </w:pPr>
      <w:r>
        <w:rPr/>
        <w:t xml:space="preserve"> </w:t>
      </w:r>
      <w:r>
        <w:rPr/>
        <w:t xml:space="preserve">Kāds ir Nīderlandes redzējums par to? </w:t>
      </w:r>
    </w:p>
    <w:p>
      <w:pPr>
        <w:pStyle w:val="P68B1DB1Normal19"/>
        <w:widowControl w:val="false"/>
        <w:spacing w:lineRule="auto" w:line="240" w:before="23"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Ieteikumi — mūsu redzējums par drošību un tiesiskumu </w:t>
      </w:r>
    </w:p>
    <w:p>
      <w:pPr>
        <w:pStyle w:val="P68B1DB1Normal69"/>
        <w:widowControl w:val="false"/>
        <w:spacing w:lineRule="auto" w:line="240" w:before="41" w:after="0"/>
        <w:ind w:left="0" w:right="0" w:hanging="0"/>
        <w:jc w:val="left"/>
        <w:rPr/>
      </w:pPr>
      <w:r>
        <w:rPr/>
        <w:t xml:space="preserve">68 % Nīderlandes uzskata, ka drošība un tiesiskums ir svarīgs jautājums un ka ES ir jāiejaucas šajā jomā. </w:t>
      </w:r>
    </w:p>
    <w:p>
      <w:pPr>
        <w:pStyle w:val="P68B1DB1Normal111"/>
        <w:widowControl w:val="false"/>
        <w:spacing w:lineRule="auto" w:line="240" w:before="16" w:after="0"/>
        <w:ind w:left="0" w:right="0" w:hanging="0"/>
        <w:jc w:val="left"/>
        <w:rPr>
          <w:rFonts w:ascii="Calibri" w:hAnsi="Calibri"/>
          <w:b/>
          <w:b/>
          <w:color w:val="000000"/>
          <w:sz w:val="22"/>
        </w:rPr>
      </w:pPr>
      <w:r>
        <w:rPr/>
        <w:t xml:space="preserve">1. Nodrošināt, ka ikviens var justies brīvi un droši </w:t>
      </w:r>
    </w:p>
    <w:p>
      <w:pPr>
        <w:pStyle w:val="P68B1DB1Normal104"/>
        <w:widowControl w:val="false"/>
        <w:spacing w:lineRule="auto" w:line="240" w:before="25" w:after="0"/>
        <w:ind w:left="0" w:right="0" w:hanging="0"/>
        <w:jc w:val="left"/>
        <w:rPr/>
      </w:pPr>
      <w:r>
        <w:rPr/>
        <w:t xml:space="preserve">78 % Nīderlandes uzskata, ka ir svarīgi, lai ES aizsargātu tiesiskumu un mūsu pamattiesības un brīvības. Un mēs piešķiram nozīmi arī patērētāju tiesību aizsardzībai: lielākā daļa iedzīvotāju uzskata, ka ir labi, ka ES pieprasa ražotājiem visās valstīs iekļaut vienu un to pašu informāciju marķējumā. Tomēr liels skaits Nīderlandes uzskata, ka ES ir jāpievērš uzmanība atšķirībām (pārvaldības) tradīcijās un kultūrās Eiropā. Un tas, cita starpā, jo pretējā gadījumā būtu grūti efektīvi sadarboties. Mēs uzskatām, ka ir īpaši svarīgi, lai ikviens Eiropā justos brīvi un droši. Tas ietver jumta pār jūsu galvu, bet arī izglītību un aprūpi. Un tas attiecas arī uz to, ka Eiropas veikalos atrastie produkti ir </w:t>
      </w:r>
    </w:p>
    <w:p>
      <w:pPr>
        <w:pStyle w:val="P68B1DB1Normal104"/>
        <w:widowControl w:val="false"/>
        <w:spacing w:lineRule="auto" w:line="240"/>
        <w:ind w:left="0" w:right="0" w:hanging="0"/>
        <w:jc w:val="left"/>
        <w:rPr>
          <w:rFonts w:ascii="Calibri" w:hAnsi="Calibri"/>
          <w:color w:val="000000"/>
          <w:sz w:val="21"/>
        </w:rPr>
      </w:pPr>
      <w:r>
        <w:rPr/>
        <w:t xml:space="preserve">vienmēr esmu pārliecināts. </w:t>
      </w:r>
    </w:p>
    <w:p>
      <w:pPr>
        <w:pStyle w:val="P68B1DB1Normal111"/>
        <w:widowControl w:val="false"/>
        <w:spacing w:lineRule="auto" w:line="240" w:before="29" w:after="0"/>
        <w:ind w:left="0" w:right="0" w:hanging="0"/>
        <w:jc w:val="left"/>
        <w:rPr>
          <w:rFonts w:ascii="Calibri" w:hAnsi="Calibri"/>
          <w:b/>
          <w:b/>
          <w:color w:val="000000"/>
          <w:sz w:val="22"/>
        </w:rPr>
      </w:pPr>
      <w:r>
        <w:rPr/>
        <w:t xml:space="preserve">2. Paplašināt ES tikai tad, ja tā sniedz pievienoto vērtību </w:t>
      </w:r>
    </w:p>
    <w:p>
      <w:pPr>
        <w:pStyle w:val="P68B1DB1Normal104"/>
        <w:widowControl w:val="false"/>
        <w:spacing w:lineRule="auto" w:line="240" w:before="25" w:after="0"/>
        <w:ind w:left="0" w:right="0" w:hanging="0"/>
        <w:jc w:val="left"/>
        <w:rPr/>
      </w:pPr>
      <w:r>
        <w:rPr/>
        <w:t xml:space="preserve">44 % Nīderlandes iedzīvotāju neuzskata, ka ES būtu jāpaplašina, aptverot vairāk valstu. No otras puses, 25 % atbalsta paplašināšanos. Mēs atzīmējam, ka starp pašreizējām dalībvalstīm jau ir daudz debašu. Daudzi Nīderlandes iedzīvotāji uzskata, ka mums vispirms jākoncentrējas uz šo jautājumu. Un, ja Eiropas Savienībai pievienosies jaunas valstis, tām patiešām jāspēj izpildīt mūsu nosacījumus. Šodien un nākotnē. Daudzas Nīderlandes iestādes uzskata, ka pašreizējām dalībvalstīm ir jāņem vērā arī paplašināšanās pievienotā vērtība. Mēs arī uzskatām, ka ir arī citas iespējas sadarboties kā valsts drošības un stabilitātes jomā. Piemēram, mēs dažkārt esam nobažījušies par Krievijas ietekmi uz valstīm uz ES austrumu robežas. Ir svarīgi, lai ES pievērstu uzmanību. </w:t>
      </w:r>
    </w:p>
    <w:p>
      <w:pPr>
        <w:pStyle w:val="P68B1DB1Normal19"/>
        <w:widowControl w:val="false"/>
        <w:spacing w:lineRule="auto" w:line="240" w:before="21" w:after="0"/>
        <w:ind w:left="0" w:right="0" w:hanging="0"/>
        <w:jc w:val="left"/>
        <w:rPr>
          <w:rFonts w:ascii="Times New Roman" w:hAnsi="Times New Roman"/>
          <w:color w:val="000000"/>
          <w:sz w:val="24"/>
        </w:rPr>
      </w:pPr>
      <w:r>
        <w:rPr/>
        <w:t xml:space="preserve"> </w:t>
      </w:r>
    </w:p>
    <w:p>
      <w:pPr>
        <w:pStyle w:val="P68B1DB1Normal113"/>
        <w:widowControl w:val="false"/>
        <w:spacing w:lineRule="auto" w:line="240" w:before="28" w:after="0"/>
        <w:ind w:left="0" w:right="0" w:hanging="0"/>
        <w:jc w:val="center"/>
        <w:rPr/>
      </w:pPr>
      <w:r>
        <w:rPr/>
        <w:t>“</w:t>
      </w:r>
      <w:r>
        <w:rPr/>
        <w:t xml:space="preserve">Paplašināšanā galvenā uzmanība nebūtu jāpievērš izmaksām un ieguvumiem, bet gan stabilitātes redzējumam.” </w:t>
      </w:r>
    </w:p>
    <w:p>
      <w:pPr>
        <w:pStyle w:val="P68B1DB1Normal111"/>
        <w:widowControl w:val="false"/>
        <w:spacing w:lineRule="auto" w:line="240" w:before="40" w:after="0"/>
        <w:ind w:left="0" w:right="0" w:hanging="0"/>
        <w:jc w:val="left"/>
        <w:rPr/>
      </w:pPr>
      <w:r>
        <w:rPr/>
        <w:t xml:space="preserve">3. Sadarbība galvenokārt cīņā pret starptautisko noziedzību un terorismu </w:t>
      </w:r>
    </w:p>
    <w:p>
      <w:pPr>
        <w:pStyle w:val="P68B1DB1Normal104"/>
        <w:widowControl w:val="false"/>
        <w:spacing w:lineRule="auto" w:line="240" w:before="26" w:after="0"/>
        <w:ind w:left="0" w:right="0" w:hanging="0"/>
        <w:jc w:val="left"/>
        <w:rPr/>
      </w:pPr>
      <w:r>
        <w:rPr/>
        <w:t xml:space="preserve">68 % Nīderlandes iedzīvotāju uzskata, ka ES drošības dienestiem būtu jāapmainās ar savu informāciju. Tomēr mēs uzskatām, ka ir svarīgi, lai valstis varētu arī turpmāk pašas daļēji izlemt, kādu informāciju tās vēlas sniegt vai ne. Visas informācijas apmaiņa ātri padara sadarbību neefektīvu. Un ES šodien ir tik liela, ka mums jāturpina kritiski izvērtēt, kur nonāk vai, iespējams, notiks sensitīva informācija. Mēs vēlamies arī turpmāk uzticēties, ka mūsu privātums ir aizsargāts. Mēs uzskatām, ka vispirms ir lietderīgi sadarboties cīņā pret smagiem starptautiskiem noziegumiem, piemēram, kibernoziedzību, narkotiku tirdzniecību un terorismu. </w:t>
      </w:r>
    </w:p>
    <w:p>
      <w:pPr>
        <w:pStyle w:val="P68B1DB1Normal113"/>
        <w:widowControl w:val="false"/>
        <w:spacing w:lineRule="auto" w:line="240" w:before="28" w:after="0"/>
        <w:ind w:left="0" w:right="0" w:hanging="0"/>
        <w:jc w:val="center"/>
        <w:rPr/>
      </w:pPr>
      <w:r>
        <w:rPr/>
        <w:t xml:space="preserve">Ja jūs sadedzināt vienreiz sarkanā gaisma Nīderlandē, nav īsti iemesla, lai tas būtu zināms Spānijā. </w:t>
      </w:r>
    </w:p>
    <w:p>
      <w:pPr>
        <w:pStyle w:val="P68B1DB1Normal19"/>
        <w:widowControl w:val="false"/>
        <w:spacing w:lineRule="auto" w:line="240" w:before="44" w:after="0"/>
        <w:ind w:left="0" w:right="0" w:hanging="0"/>
        <w:jc w:val="left"/>
        <w:rPr>
          <w:rFonts w:ascii="Times New Roman" w:hAnsi="Times New Roman"/>
          <w:color w:val="000000"/>
          <w:sz w:val="24"/>
        </w:rPr>
      </w:pPr>
      <w:r>
        <w:rPr/>
        <w:t xml:space="preserve"> </w:t>
      </w:r>
    </w:p>
    <w:p>
      <w:pPr>
        <w:pStyle w:val="P68B1DB1Normal108"/>
        <w:spacing w:lineRule="auto" w:line="240"/>
        <w:ind w:left="0" w:right="0" w:hanging="0"/>
        <w:rPr>
          <w:rFonts w:ascii="Calibri" w:hAnsi="Calibri"/>
          <w:b/>
          <w:b/>
          <w:i/>
          <w:i/>
          <w:color w:val="000000"/>
          <w:sz w:val="24"/>
        </w:rPr>
      </w:pPr>
      <w:r>
        <w:rPr/>
        <w:t xml:space="preserve">Diskusijas un idejas tiešsaistē un uz vietas </w:t>
      </w:r>
    </w:p>
    <w:p>
      <w:pPr>
        <w:pStyle w:val="P68B1DB1Normal118"/>
        <w:widowControl w:val="false"/>
        <w:spacing w:lineRule="auto" w:line="240" w:before="118" w:after="0"/>
        <w:ind w:left="0" w:right="0" w:hanging="0"/>
        <w:jc w:val="left"/>
        <w:rPr>
          <w:rFonts w:ascii="Calibri" w:hAnsi="Calibri"/>
          <w:i/>
          <w:i/>
          <w:color w:val="000000"/>
          <w:sz w:val="21"/>
        </w:rPr>
      </w:pPr>
      <w:r>
        <w:rPr/>
        <w:t xml:space="preserve">Ja jūs sodāt valsti, kas neievēro noteikumus, pirmie upuri ir šīs valsts nabadzīgākie iedzīvotāji. Tāpēc es domāju, ka labāk ir runāt par sankcijām. </w:t>
      </w:r>
    </w:p>
    <w:p>
      <w:pPr>
        <w:pStyle w:val="P68B1DB1Normal118"/>
        <w:widowControl w:val="false"/>
        <w:spacing w:lineRule="auto" w:line="240" w:before="87" w:after="0"/>
        <w:ind w:left="0" w:right="0" w:hanging="0"/>
        <w:jc w:val="left"/>
        <w:rPr>
          <w:rFonts w:ascii="Calibri" w:hAnsi="Calibri"/>
          <w:i/>
          <w:i/>
          <w:color w:val="000000"/>
          <w:sz w:val="21"/>
        </w:rPr>
      </w:pPr>
      <w:r>
        <w:rPr/>
        <w:t xml:space="preserve">Mums vispirms ir jānodrošina stabilitāte pašreizējā klubā. Un tad domā tikai par paplašināšanos. </w:t>
      </w:r>
    </w:p>
    <w:p>
      <w:pPr>
        <w:pStyle w:val="P68B1DB1Normal118"/>
        <w:widowControl w:val="false"/>
        <w:spacing w:lineRule="auto" w:line="240" w:before="85" w:after="0"/>
        <w:ind w:left="0" w:right="392" w:hanging="0"/>
        <w:jc w:val="left"/>
        <w:rPr/>
      </w:pPr>
      <w:r>
        <w:rPr/>
        <w:t xml:space="preserve">Mums ir arī kritiski jāizvērtē mūsu pašu tiesiskums. Protams, ir viens vai otrs darbības traucējums. </w:t>
      </w:r>
    </w:p>
    <w:p>
      <w:pPr>
        <w:pStyle w:val="P68B1DB1Normal118"/>
        <w:widowControl w:val="false"/>
        <w:spacing w:lineRule="auto" w:line="240" w:before="85" w:after="0"/>
        <w:ind w:left="0" w:right="244" w:hanging="0"/>
        <w:jc w:val="left"/>
        <w:rPr/>
      </w:pPr>
      <w:r>
        <w:rPr/>
        <w:t xml:space="preserve">IDEJA: “Izveidot stingrus integritātes noteikumus politiķiem visā Eiropā, lai novērstu viņu pārāk vieglu ietekmi.” </w:t>
      </w:r>
    </w:p>
    <w:p>
      <w:pPr>
        <w:pStyle w:val="P68B1DB1Normal118"/>
        <w:widowControl w:val="false"/>
        <w:spacing w:lineRule="auto" w:line="240" w:before="85" w:after="0"/>
        <w:ind w:left="0" w:right="0" w:hanging="0"/>
        <w:jc w:val="left"/>
        <w:rPr>
          <w:rFonts w:ascii="Calibri" w:hAnsi="Calibri"/>
          <w:i/>
          <w:i/>
          <w:color w:val="000000"/>
          <w:sz w:val="21"/>
        </w:rPr>
      </w:pPr>
      <w:r>
        <w:rPr/>
        <w:t xml:space="preserve">IDEJA: “Stiprināt sadarbību starp policiju un tiesu iestādēm ES valstīs.” </w:t>
      </w:r>
    </w:p>
    <w:p>
      <w:pPr>
        <w:pStyle w:val="P68B1DB1Normal111"/>
        <w:widowControl w:val="false"/>
        <w:spacing w:lineRule="auto" w:line="240" w:before="84" w:after="0"/>
        <w:ind w:left="0" w:right="67" w:hanging="0"/>
        <w:jc w:val="left"/>
        <w:rPr/>
      </w:pPr>
      <w:r>
        <w:rPr/>
        <w:t xml:space="preserve">Doetinchem Profesionālās vidusskolas studenti: Tiem, kas vēlas būt daļa no ES, ir jāievēro noteikumi. </w:t>
      </w:r>
    </w:p>
    <w:p>
      <w:pPr>
        <w:pStyle w:val="P68B1DB1Normal104"/>
        <w:widowControl w:val="false"/>
        <w:spacing w:lineRule="auto" w:line="240" w:before="100" w:after="0"/>
        <w:ind w:left="0" w:right="0" w:hanging="0"/>
        <w:jc w:val="left"/>
        <w:rPr/>
      </w:pPr>
      <w:r>
        <w:rPr/>
        <w:t xml:space="preserve">Graafschap koledžā Doetinchem aptuveni 20 māsu audzēkņu apsprieda jautājumu par to, kas, viņuprāt, ir lielākais ieguvums ES: brīvais tirgus, eiro kā vienota valūta un tas, ka Eiropas līmenī var viegli apmesties un strādāt citās ES valstīs. Un fakts, ka ES valstis var atbalstīt cita citu. Savienība ir spēks, "teica viens no klātesošajiem studentiem. Tika apspriesta arī noteikumu nozīme. Ja valstis tos neievēro, bieži vien ir grūti tās bargi sodīt. Pēc studentu domām, tas varētu būt noderīgi, lai tas kļūtu nedaudz vieglāk. Viens no tiem minēja arī preventīvo ietekmi. Ja jūs piemērojat smagas sankcijas, citas valstis redz, kas var notikt, ja neievērojat noteikumus. </w:t>
      </w:r>
    </w:p>
    <w:p>
      <w:pPr>
        <w:pStyle w:val="P68B1DB1Normal111"/>
        <w:widowControl w:val="false"/>
        <w:spacing w:lineRule="auto" w:line="240" w:before="88" w:after="0"/>
        <w:ind w:left="0" w:right="0" w:hanging="0"/>
        <w:jc w:val="left"/>
        <w:rPr>
          <w:rFonts w:ascii="Calibri" w:hAnsi="Calibri"/>
          <w:b/>
          <w:b/>
          <w:color w:val="000000"/>
          <w:sz w:val="22"/>
        </w:rPr>
      </w:pPr>
      <w:r>
        <w:rPr/>
        <w:t xml:space="preserve">Hindutanis no Surinamas līdz Utrehtai: Dažreiz trūkst uzticēšanās tiesiskumam </w:t>
      </w:r>
    </w:p>
    <w:p>
      <w:pPr>
        <w:pStyle w:val="Normal"/>
        <w:widowControl w:val="false"/>
        <w:spacing w:lineRule="auto" w:line="240" w:before="97" w:after="0"/>
        <w:ind w:left="0" w:right="34" w:hanging="0"/>
        <w:jc w:val="left"/>
        <w:rPr/>
      </w:pPr>
      <w:r>
        <w:rPr>
          <w:rFonts w:ascii="Calibri" w:hAnsi="Calibri"/>
          <w:color w:val="000000"/>
          <w:sz w:val="21"/>
        </w:rPr>
        <w:t xml:space="preserve">Asha fonds ir Hindustanis brīvprātīgo organizācija no Surinamas Utrehtas pašvaldībā. Tematiskā dialoga dalībnieki jo īpaši apsprieda pilsoņu tiesību nozīmi: tiesības uz jumtu virs galvas, kā arī, piemēram, tiesības uz nediskrimināciju. Saskaņā ar klātesošo brīvprātīgo teikto ir jābūt noteikumiem, kas aizsargā šīs tiesības visiem Eiropas pilsoņiem. Ne vienmēr ir zināms, kas pašlaik tiek reglamentēts Nīderlandē un kas pašlaik tiek regulēts Eiropas līmenī. Tā rezultātā dažkārt ir grūti uzticēties valsts iestādēm. Jo īpaši tāpēc, ka dažkārt valsts iestādēs ir daži darbības traucējumi. “Jūs varat teikt, ka iestādēm ir jāaizstāv mani, bet tām dažreiz izdodas sēt bradāt, kā tas bija gadījumā ar pabalsta lietu,” teica viens no dalībniekiem. “ES būtu jānodrošina, ka noteikumi tiek faktiski ievēroti,” sacīja cits dalībnieks. </w:t>
      </w:r>
      <w:r>
        <w:br w:type="page"/>
      </w:r>
    </w:p>
    <w:p>
      <w:pPr>
        <w:pStyle w:val="P68B1DB1Normal117"/>
        <w:spacing w:lineRule="auto" w:line="240"/>
        <w:ind w:left="0" w:right="0" w:hanging="0"/>
        <w:rPr>
          <w:rFonts w:ascii="Calibri" w:hAnsi="Calibri"/>
          <w:b/>
          <w:b/>
          <w:i/>
          <w:i/>
          <w:color w:val="000000"/>
          <w:sz w:val="28"/>
        </w:rPr>
      </w:pPr>
      <w:r>
        <w:rPr/>
        <w:t xml:space="preserve">Spēcīgāka ekonomika, sociālais taisnīgums un nodarbinātība </w:t>
      </w:r>
    </w:p>
    <w:p>
      <w:pPr>
        <w:pStyle w:val="P68B1DB1Normal104"/>
        <w:widowControl w:val="false"/>
        <w:spacing w:lineRule="auto" w:line="240" w:before="139" w:after="0"/>
        <w:ind w:left="0" w:right="0" w:hanging="0"/>
        <w:jc w:val="left"/>
        <w:rPr/>
      </w:pPr>
      <w:r>
        <w:rPr/>
        <w:t xml:space="preserve">Mazie un vidējie uzņēmumi ir Eiropas ekonomikas pamats. Tāpēc ES vēlas, lai ES valstis sadarbotos pie atveseļošanas plāniem, kas pēc Covid-19 krīzes kļūtu ekonomiski spēcīgāki. Ilgtermiņā ES mērķis ir padarīt Eiropas ekonomiku veselīgāku, zaļāku un digitālāku. Kāds ir Nīderlandes redzējums par to?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8" w:after="0"/>
        <w:ind w:left="0" w:right="0" w:hanging="0"/>
        <w:jc w:val="left"/>
        <w:rPr>
          <w:rFonts w:ascii="Calibri" w:hAnsi="Calibri"/>
          <w:b/>
          <w:b/>
          <w:i/>
          <w:i/>
          <w:color w:val="000000"/>
          <w:sz w:val="24"/>
        </w:rPr>
      </w:pPr>
      <w:r>
        <w:rPr/>
        <w:t xml:space="preserve">Ieteikumi — mūsu redzējums par ekonomiku un nodarbinātību </w:t>
      </w:r>
    </w:p>
    <w:p>
      <w:pPr>
        <w:pStyle w:val="P68B1DB1Normal35"/>
        <w:widowControl w:val="false"/>
        <w:spacing w:lineRule="auto" w:line="240" w:before="123" w:after="0"/>
        <w:ind w:left="0" w:right="0" w:hanging="0"/>
        <w:jc w:val="left"/>
        <w:rPr/>
      </w:pPr>
      <w:r>
        <w:rPr>
          <w:rFonts w:ascii="Calibri" w:hAnsi="Calibri"/>
          <w:sz w:val="20"/>
        </w:rPr>
        <w:t>61 % Nīderlandes iedzīvotāju uzskata, ka ekonomika un nodarbinātība ir svarīgs temats un ka ES ir jāiejaucas šajā jomā.</w:t>
      </w:r>
      <w:r>
        <w:rPr>
          <w:rFonts w:ascii="Times New Roman" w:hAnsi="Times New Roman"/>
          <w:sz w:val="24"/>
        </w:rPr>
        <w:t xml:space="preserve"> </w:t>
      </w:r>
    </w:p>
    <w:p>
      <w:pPr>
        <w:pStyle w:val="P68B1DB1Normal111"/>
        <w:widowControl w:val="false"/>
        <w:spacing w:lineRule="auto" w:line="240" w:before="6" w:after="0"/>
        <w:ind w:left="0" w:right="0" w:hanging="0"/>
        <w:jc w:val="left"/>
        <w:rPr>
          <w:rFonts w:ascii="Calibri" w:hAnsi="Calibri"/>
          <w:b/>
          <w:b/>
          <w:color w:val="000000"/>
          <w:sz w:val="22"/>
        </w:rPr>
      </w:pPr>
      <w:r>
        <w:rPr/>
        <w:t xml:space="preserve">1. Ņemt vērā kopīgās iezīmes un atšķirības </w:t>
      </w:r>
    </w:p>
    <w:p>
      <w:pPr>
        <w:pStyle w:val="P68B1DB1Normal104"/>
        <w:widowControl w:val="false"/>
        <w:spacing w:lineRule="auto" w:line="240" w:before="97" w:after="0"/>
        <w:ind w:left="0" w:right="0" w:hanging="0"/>
        <w:jc w:val="left"/>
        <w:rPr/>
      </w:pPr>
      <w:r>
        <w:rPr/>
        <w:t xml:space="preserve">71 % Nīderlandes uzskata, ka ES būtu jānodrošina, ka uzņēmumi vairāk sadarbojas, tādējādi stiprinot Eiropas ekonomiku. Tomēr no šiem cilvēkiem tikai neliela daļa uzskata, ka ES ir jāmaksā vairāk naudas uzņēmumiem. Pirmkārt, mēs uzskatām, ka sadarbība var būt efektīvāka. Šodien mēs redzam, ka dažādi uzņēmumi iegulda vienās un tajās pašās jaunajās tehnoloģijās, dažreiz pat ar valsts līdzekļiem. Ja mums būtu Eiropas redzējums par ekonomiku, mēs varētu efektīvāk izmantot šo naudu. Tomēr, to darot, īpaša uzmanība būtu jāpievērš atšķirībām starp valstīm. </w:t>
      </w:r>
    </w:p>
    <w:p>
      <w:pPr>
        <w:pStyle w:val="P68B1DB1Normal113"/>
        <w:widowControl w:val="false"/>
        <w:spacing w:lineRule="auto" w:line="240" w:before="306" w:after="0"/>
        <w:ind w:left="0" w:right="0" w:hanging="0"/>
        <w:jc w:val="center"/>
        <w:rPr/>
      </w:pPr>
      <w:r>
        <w:rPr/>
        <w:t xml:space="preserve">Lauksaimniecības nozare Nīderlandē ir tik moderna. Ne vienmēr ir iespējams salīdzināt to ar citu valstu datiem. </w:t>
      </w:r>
    </w:p>
    <w:p>
      <w:pPr>
        <w:pStyle w:val="P68B1DB1Normal111"/>
        <w:widowControl w:val="false"/>
        <w:spacing w:lineRule="auto" w:line="240" w:before="297" w:after="0"/>
        <w:ind w:left="0" w:right="0" w:hanging="0"/>
        <w:jc w:val="left"/>
        <w:rPr>
          <w:rFonts w:ascii="Calibri" w:hAnsi="Calibri"/>
          <w:b/>
          <w:b/>
          <w:color w:val="000000"/>
          <w:sz w:val="22"/>
        </w:rPr>
      </w:pPr>
      <w:r>
        <w:rPr/>
        <w:t xml:space="preserve">2. Vairāk izmantot Eiropas stiprās puses </w:t>
      </w:r>
    </w:p>
    <w:p>
      <w:pPr>
        <w:pStyle w:val="P68B1DB1Normal104"/>
        <w:widowControl w:val="false"/>
        <w:spacing w:lineRule="auto" w:line="240" w:before="97" w:after="0"/>
        <w:ind w:left="0" w:right="0" w:hanging="0"/>
        <w:jc w:val="left"/>
        <w:rPr/>
      </w:pPr>
      <w:r>
        <w:rPr/>
        <w:t>Nīderlande uzskata, ka ir daudz iespēju stiprināt Eiropas ekonomiku, taču ir jāizdara izvēle. Tāpēc mēs uzskatām, ka ES pirmām kārtām būtu jākoncentrējas uz savām stiprajām pusēm. Piemēram, mēs uzskatām, ka Eiropa ir laba</w:t>
      </w:r>
    </w:p>
    <w:p>
      <w:pPr>
        <w:pStyle w:val="P68B1DB1Normal104"/>
        <w:widowControl w:val="false"/>
        <w:spacing w:lineRule="auto" w:line="240"/>
        <w:ind w:left="0" w:right="0" w:hanging="0"/>
        <w:jc w:val="left"/>
        <w:rPr/>
      </w:pPr>
      <w:r>
        <w:rPr/>
        <w:t xml:space="preserve"> </w:t>
      </w:r>
      <w:r>
        <w:rPr/>
        <w:t xml:space="preserve">tādas jomas kā digitālā pārkārtošanās, ilgtspēja un infrastruktūra. Un kas, iespējams, ir svarīgāks: mēs aizstāvam kvalitāti un daudzveidību. Tieši mūsu kontinenta daudzveidība ar atšķirīgiem viedokļiem un idejām mums ir jāizmanto daudz vairāk kā ekonomiska priekšrocība. Tas var ļaut Eiropai atšķirties, piemēram, no Ķīnas ekonomikas. </w:t>
      </w:r>
    </w:p>
    <w:p>
      <w:pPr>
        <w:pStyle w:val="P68B1DB1Normal111"/>
        <w:widowControl w:val="false"/>
        <w:spacing w:lineRule="auto" w:line="240" w:before="40" w:after="0"/>
        <w:ind w:left="0" w:right="0" w:hanging="0"/>
        <w:jc w:val="left"/>
        <w:rPr>
          <w:rFonts w:ascii="Calibri" w:hAnsi="Calibri"/>
          <w:b/>
          <w:b/>
          <w:color w:val="000000"/>
          <w:sz w:val="22"/>
        </w:rPr>
      </w:pPr>
      <w:r>
        <w:rPr/>
        <w:t xml:space="preserve">3. Izveidot taisnīgu un skaidru nodokļu sistēmu </w:t>
      </w:r>
    </w:p>
    <w:p>
      <w:pPr>
        <w:pStyle w:val="P68B1DB1Normal104"/>
        <w:widowControl w:val="false"/>
        <w:spacing w:lineRule="auto" w:line="240" w:before="95" w:after="0"/>
        <w:ind w:left="0" w:right="0" w:hanging="0"/>
        <w:jc w:val="left"/>
        <w:rPr/>
      </w:pPr>
      <w:r>
        <w:rPr/>
        <w:t xml:space="preserve">82 % Nīderlandes iedzīvotāju uzskata, ka ES valstīm ir kopīgi jānodrošina, ka visi ES uzņēmumi maksā taisnīgus nodokļus. Tas ietver ļoti lielus uzņēmumus. Šodien viņi dažreiz apmetas uz dzīvi citās valstīs vienkārša iemesla dēļ, ka viņi maksā mazāk nodokļu. ES būtu jāapkaro šī parādība, piemēram, nosakot minimālo likmi visām valstīm. No otras puses, mēs uzskatām, ka nodokļi ir kompetence, kas pieder valstīm, kurām ir savi mērķi un konteksts. Mēs uzskatām, ka nodokļu uzlikšana parasti ir sarežģīts jautājums. Tieši šī iemesla dēļ mēs vēlētos labāku nodokļu sistēmu, kas ir taisnīga un skaidra ikvienam Eiropā. </w:t>
      </w:r>
    </w:p>
    <w:p>
      <w:pPr>
        <w:pStyle w:val="P68B1DB1Normal113"/>
        <w:widowControl w:val="false"/>
        <w:spacing w:lineRule="auto" w:line="240" w:before="256" w:after="0"/>
        <w:ind w:left="0" w:right="0" w:hanging="0"/>
        <w:jc w:val="center"/>
        <w:rPr/>
      </w:pPr>
      <w:r>
        <w:rPr/>
        <w:t xml:space="preserve">Gurķiem jābūt vienādai formai visur, bet nodokļu noteikumi ir atšķirīgi. Tas ir traki, vai ne? </w:t>
      </w:r>
    </w:p>
    <w:p>
      <w:pPr>
        <w:pStyle w:val="P68B1DB1Normal111"/>
        <w:widowControl w:val="false"/>
        <w:spacing w:lineRule="auto" w:line="240" w:before="297" w:after="0"/>
        <w:ind w:left="0" w:right="0" w:hanging="0"/>
        <w:jc w:val="left"/>
        <w:rPr>
          <w:rFonts w:ascii="Calibri" w:hAnsi="Calibri"/>
          <w:b/>
          <w:b/>
          <w:color w:val="000000"/>
          <w:sz w:val="22"/>
        </w:rPr>
      </w:pPr>
      <w:r>
        <w:rPr/>
        <w:t xml:space="preserve">4. Nodrošināt, ka ikviens var piedalīties </w:t>
      </w:r>
    </w:p>
    <w:p>
      <w:pPr>
        <w:pStyle w:val="P68B1DB1Normal104"/>
        <w:widowControl w:val="false"/>
        <w:spacing w:lineRule="auto" w:line="240" w:before="97" w:after="0"/>
        <w:ind w:left="0" w:right="0" w:hanging="0"/>
        <w:jc w:val="left"/>
        <w:rPr/>
      </w:pPr>
      <w:r>
        <w:rPr/>
        <w:t xml:space="preserve">71 % Nīderlandes uzskata, ka ES būtu jāpalīdz veicināt nodarbinātību. Šajā sakarā mēs uzskatām, ka īpaša uzmanība būtu jāpievērš konkrētām grupām, piemēram, jauniešiem un cilvēkiem, kas ir attālināti no darba tirgus. To var panākt, izmantojot noteikumus vai subsīdijas uzņēmumiem, kā arī sniedzot īpašu atbalstu darba devējiem un darba ņēmējiem. Mēs domājam, piemēram, par izpratnes veicināšanas pasākumiem vai ļoti praktiskiem jautājumiem. Iespējams, ka dažos gadījumos šādu atbalstu var efektīvāk organizēt ES līmenī, bet citos tas var būt uzdevums, nevis pašām dalībvalstīm. ES valstīm galu galā būtu jāsadarbojas, lai nodrošinātu vienlīdzīgas iespējas Eiropas darba tirgū. </w:t>
      </w:r>
    </w:p>
    <w:p>
      <w:pPr>
        <w:pStyle w:val="P68B1DB1Normal108"/>
        <w:widowControl w:val="false"/>
        <w:spacing w:lineRule="auto" w:line="240" w:before="40" w:after="0"/>
        <w:ind w:left="0" w:right="0" w:hanging="0"/>
        <w:jc w:val="left"/>
        <w:rPr>
          <w:rFonts w:ascii="Calibri" w:hAnsi="Calibri"/>
          <w:b/>
          <w:b/>
          <w:i/>
          <w:i/>
          <w:color w:val="000000"/>
          <w:sz w:val="24"/>
        </w:rPr>
      </w:pPr>
      <w:r>
        <w:rPr/>
        <w:t xml:space="preserve">Diskusijas un idejas tiešsaistē un uz vietas </w:t>
      </w:r>
    </w:p>
    <w:p>
      <w:pPr>
        <w:pStyle w:val="P68B1DB1Normal118"/>
        <w:widowControl w:val="false"/>
        <w:spacing w:lineRule="auto" w:line="240" w:before="115" w:after="0"/>
        <w:ind w:left="0" w:right="0" w:hanging="0"/>
        <w:jc w:val="left"/>
        <w:rPr>
          <w:rFonts w:ascii="Calibri" w:hAnsi="Calibri"/>
          <w:i/>
          <w:i/>
          <w:color w:val="000000"/>
          <w:sz w:val="21"/>
        </w:rPr>
      </w:pPr>
      <w:r>
        <w:rPr/>
        <w:t xml:space="preserve">Paātrināt automatizāciju Eiropā, lai preces, kas pašlaik nāk no Ķīnas, šeit atkal tiktu ražotas. </w:t>
      </w:r>
    </w:p>
    <w:p>
      <w:pPr>
        <w:pStyle w:val="P68B1DB1Normal118"/>
        <w:widowControl w:val="false"/>
        <w:spacing w:lineRule="auto" w:line="240" w:before="85" w:after="0"/>
        <w:ind w:left="0" w:right="0" w:hanging="0"/>
        <w:jc w:val="left"/>
        <w:rPr/>
      </w:pPr>
      <w:r>
        <w:rPr/>
        <w:t xml:space="preserve">Veikt revolūciju bitcoins un citas kriptovalūtas nopietni. Cilvēki, kurus interesē tas, tiek uzskatīti par nodokļu krāpniekiem, bet šāda veida blockchain tehnoloģija ir nākotne. </w:t>
      </w:r>
    </w:p>
    <w:p>
      <w:pPr>
        <w:pStyle w:val="P68B1DB1Normal118"/>
        <w:widowControl w:val="false"/>
        <w:spacing w:lineRule="auto" w:line="240" w:before="87" w:after="0"/>
        <w:ind w:left="0" w:right="0" w:hanging="0"/>
        <w:jc w:val="left"/>
        <w:rPr/>
      </w:pPr>
      <w:r>
        <w:rPr/>
        <w:t xml:space="preserve">Akcionāri nav vienīgie Eiropas ekonomikas dalībnieki. Bez darbiniekiem nekas nav iespējams.“”Eiropai jādara vairāk cilvēku ar invaliditāti. Šodien viņiem ir pārāk grūti atrast piemērotu darbu. </w:t>
      </w:r>
    </w:p>
    <w:p>
      <w:pPr>
        <w:pStyle w:val="P68B1DB1Normal118"/>
        <w:widowControl w:val="false"/>
        <w:spacing w:lineRule="auto" w:line="240" w:before="85" w:after="0"/>
        <w:ind w:left="0" w:right="0" w:hanging="0"/>
        <w:jc w:val="left"/>
        <w:rPr/>
      </w:pPr>
      <w:r>
        <w:rPr/>
        <w:t xml:space="preserve">Daudzi Eiropas noteikumi ir sarežģīti un regulāri mainās. Tāpēc uzņēmumiem ir grūti ieviest jauninājumus. </w:t>
      </w:r>
    </w:p>
    <w:p>
      <w:pPr>
        <w:pStyle w:val="P68B1DB1Normal118"/>
        <w:widowControl w:val="false"/>
        <w:spacing w:lineRule="auto" w:line="240" w:before="85" w:after="0"/>
        <w:ind w:left="0" w:right="0" w:hanging="0"/>
        <w:jc w:val="both"/>
        <w:rPr/>
      </w:pPr>
      <w:r>
        <w:rPr/>
        <w:t xml:space="preserve">Ja manā uzņēmumā notiek pārveides darbi, mans vietējais darbuzņēmējs jau sen būtu varējis sākt darbu. Bet vispirms man bija jāizsludina Eiropas uzaicinājums iesniegt piedāvājumus. Tas ir kauns. </w:t>
      </w:r>
    </w:p>
    <w:p>
      <w:pPr>
        <w:pStyle w:val="P68B1DB1Normal111"/>
        <w:widowControl w:val="false"/>
        <w:spacing w:lineRule="auto" w:line="240" w:before="85" w:after="0"/>
        <w:ind w:left="0" w:right="0" w:hanging="0"/>
        <w:jc w:val="both"/>
        <w:rPr>
          <w:rFonts w:ascii="Calibri" w:hAnsi="Calibri"/>
          <w:b/>
          <w:b/>
          <w:color w:val="000000"/>
          <w:sz w:val="22"/>
        </w:rPr>
      </w:pPr>
      <w:r>
        <w:rPr/>
        <w:t xml:space="preserve">Tiešsaistes dialoga dalībnieki: “Kopīgi apsverot jautājumu par lieliem uzņēmumiem” </w:t>
      </w:r>
    </w:p>
    <w:p>
      <w:pPr>
        <w:pStyle w:val="P68B1DB1Normal104"/>
        <w:widowControl w:val="false"/>
        <w:spacing w:lineRule="auto" w:line="240" w:before="97" w:after="0"/>
        <w:ind w:left="0" w:right="0" w:hanging="0"/>
        <w:jc w:val="left"/>
        <w:rPr/>
      </w:pPr>
      <w:r>
        <w:rPr/>
        <w:t>Vienā no tiešsaistes tematiskajiem dialogiem radās debates par lielo uzņēmumu pieaugošo ietekmi. Daži dalībnieki vēlētos,</w:t>
      </w:r>
      <w:r>
        <w:rPr/>
        <w:commentReference w:id="22"/>
      </w:r>
      <w:r>
        <w:rPr/>
        <w:t xml:space="preserve"> lai ES šajā sakarā veiktu stingrākus pasākumus. Patiešām, daži uzņēmumi dažreiz gūst ievērojamu peļņu, par kuru tie maksā maz nodokļu, pateicoties sarežģītiem pasākumiem. Citi dalībnieki aicināja aplūkot lietas kopumā: šie uzņēmumi rada augstu nodarbinātības līmeni un dod labumu valsts ekonomikai. “Jūs nevajadzētu tos tramdīt,” kāds teica. Cits dalībnieks uzskatīja, ka jebkurā gadījumā ir svarīgi, lai ES valstis kopīgi apspriestu šo jautājumu. Lielie uzņēmumi pašlaik var konkurēt starp valstīm. Tāpēc mums kā ES ir jāparāda vienotāka fronte. </w:t>
      </w:r>
    </w:p>
    <w:p>
      <w:pPr>
        <w:pStyle w:val="P68B1DB1Normal111"/>
        <w:widowControl w:val="false"/>
        <w:spacing w:lineRule="auto" w:line="240" w:before="97" w:after="0"/>
        <w:ind w:left="0" w:right="0" w:hanging="0"/>
        <w:jc w:val="left"/>
        <w:rPr>
          <w:rFonts w:ascii="Calibri" w:hAnsi="Calibri"/>
          <w:b/>
          <w:b/>
          <w:color w:val="000000"/>
          <w:sz w:val="22"/>
        </w:rPr>
      </w:pPr>
      <w:r>
        <w:rPr/>
        <w:t xml:space="preserve">Lauksaimnieki, kas ņem vērā dabu: “Noteikti mērķrādītāji, nevis kvotas” </w:t>
      </w:r>
    </w:p>
    <w:p>
      <w:pPr>
        <w:pStyle w:val="P68B1DB1Normal104"/>
        <w:widowControl w:val="false"/>
        <w:spacing w:lineRule="auto" w:line="240" w:before="95" w:after="0"/>
        <w:ind w:left="0" w:right="0" w:hanging="0"/>
        <w:jc w:val="left"/>
        <w:rPr/>
      </w:pPr>
      <w:r>
        <w:rPr/>
        <w:t xml:space="preserve">BoerenNatuur ir lauksaimniecības grupu apvienība. Neliela locekļu grupa cita starpā apsprieda ES noteikumus lauksaimniekiem. No vienas puses, viņi uzskata, ka ES nes daudz pozitīvu lietu, piemēram, atvieglotu eksportu uz citām valstīm. No otras puses, viņi uzskata, ka politika bieži vien varētu būt vēl skaidrāka. “Bet visi jau strādā arvien vairāk vienā virzienā,” kāds teica par to. Jo īpaši ir iespējami procedūru uzlabojumi: tie bieži ir ļoti administratīvi un laikietilpīgi. Viens dalībnieks uzskata, ka noteikumiem nevajadzētu būt pārāk detalizētiem. Dod priekšroku skaidriem mērķiem, piemēram, tīram ūdenim. Tad mēs varam paši izlemt, kā rezultātā platums grāvis.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17"/>
        <w:widowControl w:val="false"/>
        <w:spacing w:lineRule="auto" w:line="240"/>
        <w:ind w:left="0" w:right="0" w:hanging="0"/>
        <w:jc w:val="left"/>
        <w:rPr>
          <w:rFonts w:ascii="Calibri" w:hAnsi="Calibri"/>
          <w:b/>
          <w:b/>
          <w:i/>
          <w:i/>
          <w:color w:val="000000"/>
          <w:sz w:val="28"/>
        </w:rPr>
      </w:pPr>
      <w:r>
        <w:rPr/>
        <w:t xml:space="preserve">Eiropas demokrātija </w:t>
      </w:r>
    </w:p>
    <w:p>
      <w:pPr>
        <w:pStyle w:val="P68B1DB1Normal104"/>
        <w:widowControl w:val="false"/>
        <w:spacing w:lineRule="auto" w:line="240"/>
        <w:ind w:left="0" w:right="0" w:hanging="0"/>
        <w:jc w:val="left"/>
        <w:rPr/>
      </w:pPr>
      <w:r>
        <w:rPr/>
        <w:t xml:space="preserve">ES mudina eiropiešus balsot un vēlas iesaistīt viņus Eiropas lēmumu pieņemšanā un politikā ārpus vēlēšanu perioda. ES arī īsteno iniciatīvas, lai stiprinātu demokrātiju, piemēram, izstrādājot rīcības plānu, kurā galvenā uzmanība pievērsta brīvām un godīgām vēlēšanām un preses brīvībai. Kāds ir Nīderlandes redzējums par to?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15" w:after="0"/>
        <w:ind w:left="0" w:right="0" w:hanging="0"/>
        <w:jc w:val="left"/>
        <w:rPr>
          <w:rFonts w:ascii="Calibri" w:hAnsi="Calibri"/>
          <w:b/>
          <w:b/>
          <w:i/>
          <w:i/>
          <w:color w:val="000000"/>
          <w:sz w:val="24"/>
        </w:rPr>
      </w:pPr>
      <w:r>
        <w:rPr/>
        <w:t xml:space="preserve">Ieteikumi — mūsu redzējums par Eiropas demokrātiju </w:t>
      </w:r>
    </w:p>
    <w:p>
      <w:pPr>
        <w:pStyle w:val="P68B1DB1Normal69"/>
        <w:widowControl w:val="false"/>
        <w:spacing w:lineRule="auto" w:line="240"/>
        <w:ind w:left="0" w:right="0" w:hanging="0"/>
        <w:jc w:val="left"/>
        <w:rPr/>
      </w:pPr>
      <w:r>
        <w:rPr/>
        <w:t xml:space="preserve">60 % Nīderlandes iedzīvotāju uzskata, ka Eiropas demokrātija ir svarīgs jautājums un ka ES ir jāiejaucas šajā jomā. </w:t>
      </w:r>
    </w:p>
    <w:p>
      <w:pPr>
        <w:pStyle w:val="P68B1DB1Normal111"/>
        <w:widowControl w:val="false"/>
        <w:spacing w:lineRule="auto" w:line="240" w:before="13" w:after="0"/>
        <w:ind w:left="0" w:right="0" w:hanging="0"/>
        <w:jc w:val="left"/>
        <w:rPr>
          <w:rFonts w:ascii="Calibri" w:hAnsi="Calibri"/>
          <w:b/>
          <w:b/>
          <w:color w:val="000000"/>
          <w:sz w:val="22"/>
        </w:rPr>
      </w:pPr>
      <w:r>
        <w:rPr/>
        <w:t xml:space="preserve">1. Labāks pārskats par Eiropu </w:t>
      </w:r>
    </w:p>
    <w:p>
      <w:pPr>
        <w:pStyle w:val="P68B1DB1Normal104"/>
        <w:widowControl w:val="false"/>
        <w:spacing w:lineRule="auto" w:line="240"/>
        <w:ind w:left="0" w:right="0" w:hanging="0"/>
        <w:jc w:val="left"/>
        <w:rPr/>
      </w:pPr>
      <w:r>
        <w:rPr/>
        <w:t xml:space="preserve">Nīderlandietis norāda, ka bieži vien plašsaziņas līdzekļos parādās krīze. No otras puses, mums ir maz informācijas par ikdienas lēmumiem. Mums kā pilsoņiem nav jāzina viss, bet, lai veidotu labu viedokli, būtu labi gūt labāku pārskatu. Piemēram, būtu interesanti biežāk uzklausīt citu valstu viedokļus par ES. Šajā ziņā liela nozīme var būt plašsaziņas līdzekļiem un izglītībai. Bet plašsaziņas līdzekļiem arī turpmāk ir jābūt iespējai izdarīt pašiem savu izvēli. Jo Nīderlande uzskata, ka preses brīvība ir ļoti svarīga mūsu demokrātijā. </w:t>
      </w:r>
    </w:p>
    <w:p>
      <w:pPr>
        <w:pStyle w:val="P68B1DB1Normal113"/>
        <w:widowControl w:val="false"/>
        <w:spacing w:lineRule="auto" w:line="240" w:before="184" w:after="0"/>
        <w:ind w:left="0" w:right="0" w:hanging="0"/>
        <w:jc w:val="center"/>
        <w:rPr/>
      </w:pPr>
      <w:r>
        <w:rPr/>
        <w:t>“</w:t>
      </w:r>
      <w:r>
        <w:rPr/>
        <w:t xml:space="preserve">Lielākā daļa laika mēs dzirdam par ES tikai krīzes gadījumā. Šā iemesla dēļ noskaņojums pret Eiropu joprojām ir negatīvs. </w:t>
      </w:r>
    </w:p>
    <w:p>
      <w:pPr>
        <w:pStyle w:val="P68B1DB1Normal111"/>
        <w:widowControl w:val="false"/>
        <w:spacing w:lineRule="auto" w:line="240" w:before="153" w:after="0"/>
        <w:ind w:left="0" w:right="0" w:hanging="0"/>
        <w:jc w:val="left"/>
        <w:rPr>
          <w:rFonts w:ascii="Calibri" w:hAnsi="Calibri"/>
          <w:b/>
          <w:b/>
          <w:color w:val="000000"/>
          <w:sz w:val="22"/>
        </w:rPr>
      </w:pPr>
      <w:r>
        <w:rPr/>
        <w:t xml:space="preserve">2. Atrast jaunus veidus, kā pastāvīgi uzklausīt iedzīvotājus </w:t>
      </w:r>
    </w:p>
    <w:p>
      <w:pPr>
        <w:pStyle w:val="P68B1DB1Normal104"/>
        <w:widowControl w:val="false"/>
        <w:spacing w:lineRule="auto" w:line="240"/>
        <w:ind w:left="0" w:right="0" w:hanging="0"/>
        <w:jc w:val="left"/>
        <w:rPr/>
      </w:pPr>
      <w:r>
        <w:rPr/>
        <w:t xml:space="preserve">51 % Nīderlandes uzskata, ka ES nav pietiekami informēta par to, kas notiek sabiedrībā. Lai uzlabotu šo situāciju, ES būtu biežāk un, vēlams, pastāvīgi jāiesaistās dialogā ar pilsoņiem. Tāpēc daudzi holandiešu uzskata, ka konference par Eiropas nākotni ir laba iniciatīva. Arī referendumi var būt vērtīgs instruments, bet holandiešu viedokļi par to ir atšķirīgi. Dažiem tematiem dažreiz ir nepieciešamas arī specializētas zināšanas. Jebkurā gadījumā runāšanai ar pilsoņiem nevajadzētu būt vienkāršai formalitātei. Mēs uzskatām, ka ir svarīgi, lai mēs tiktu uztverti nopietni. </w:t>
      </w:r>
    </w:p>
    <w:p>
      <w:pPr>
        <w:pStyle w:val="P68B1DB1Normal111"/>
        <w:widowControl w:val="false"/>
        <w:spacing w:lineRule="auto" w:line="240" w:before="21" w:after="0"/>
        <w:ind w:left="0" w:right="0" w:hanging="0"/>
        <w:jc w:val="left"/>
        <w:rPr>
          <w:rFonts w:ascii="Calibri" w:hAnsi="Calibri"/>
          <w:b/>
          <w:b/>
          <w:color w:val="000000"/>
          <w:sz w:val="22"/>
        </w:rPr>
      </w:pPr>
      <w:r>
        <w:rPr/>
        <w:t xml:space="preserve">3. Lielāka pārredzamība un skaidrība par pieņemtajiem lēmumiem </w:t>
      </w:r>
    </w:p>
    <w:p>
      <w:pPr>
        <w:pStyle w:val="P68B1DB1Normal104"/>
        <w:widowControl w:val="false"/>
        <w:spacing w:lineRule="auto" w:line="240"/>
        <w:ind w:left="0" w:right="0" w:hanging="0"/>
        <w:jc w:val="left"/>
        <w:rPr/>
      </w:pPr>
      <w:r>
        <w:rPr/>
        <w:t xml:space="preserve">Nīderlandieši dažkārt uzskata, ka Eiropa ir diezgan sarežģīta. Ne visiem ir vienāds pamatzināšanu līmenis. ES tas ir vairāk jāņem vērā. Mēs vēlamies, lai ES kļūtu pārredzamāka un atvieglotu atjaunināšanu. Šajā ziņā nozīme ir arī Nīderlandes iestādēm. Daudzi Nīderlandes iedzīvotāji ir ieinteresēti Eiropas lēmumu pieņemšanā, bet uzskata, ka oficiālos kanālus ir pārāk grūti atrast vai arī tie ir pārāk sarežģīti. Turklāt ikvienam ir atšķirīgas intereses un vajadzības. Tāpēc būtu jāvar izvēlēties tematus, par kuriem mēs vēlētos uzzināt vairāk. Jaunieši bieži vien ir ieinteresēti Eiropā, bet, piemēram, sociālajos tīklos viņi par to saskata maz informācijas. </w:t>
      </w:r>
    </w:p>
    <w:p>
      <w:pPr>
        <w:pStyle w:val="P68B1DB1Normal113"/>
        <w:widowControl w:val="false"/>
        <w:spacing w:lineRule="auto" w:line="240" w:before="184" w:after="0"/>
        <w:ind w:left="0" w:right="0" w:hanging="0"/>
        <w:jc w:val="center"/>
        <w:rPr/>
      </w:pPr>
      <w:r>
        <w:rPr/>
        <w:t xml:space="preserve">Kamēr es biju atvaļinājumā Ungārijā, es redzēju lielu zīmi netālu no jaunas meža plantācijas, norādot: “Šī plantācija bija iespējama, pateicoties ES.” Lai gan es esmu skeptiķis par Eiropu, es joprojām jutos lepns. </w:t>
      </w:r>
    </w:p>
    <w:p>
      <w:pPr>
        <w:pStyle w:val="P68B1DB1Normal19"/>
        <w:widowControl w:val="false"/>
        <w:spacing w:lineRule="auto" w:line="240" w:before="155" w:after="0"/>
        <w:ind w:left="0" w:right="0" w:hanging="0"/>
        <w:jc w:val="left"/>
        <w:rPr>
          <w:rFonts w:ascii="Times New Roman" w:hAnsi="Times New Roman"/>
          <w:color w:val="000000"/>
          <w:sz w:val="24"/>
        </w:rPr>
      </w:pPr>
      <w:r>
        <w:rPr/>
        <w:t xml:space="preserve"> </w:t>
      </w:r>
    </w:p>
    <w:p>
      <w:pPr>
        <w:pStyle w:val="P68B1DB1Normal111"/>
        <w:widowControl w:val="false"/>
        <w:spacing w:lineRule="auto" w:line="240" w:before="172" w:after="0"/>
        <w:ind w:left="0" w:right="0" w:hanging="0"/>
        <w:jc w:val="left"/>
        <w:rPr>
          <w:rFonts w:ascii="Calibri" w:hAnsi="Calibri"/>
          <w:b/>
          <w:b/>
          <w:color w:val="000000"/>
          <w:sz w:val="22"/>
        </w:rPr>
      </w:pPr>
      <w:r>
        <w:rPr/>
        <w:t xml:space="preserve">4. Nodrošināt, ka sarežģītos jautājumus var atrisināt ātrāk </w:t>
      </w:r>
    </w:p>
    <w:p>
      <w:pPr>
        <w:pStyle w:val="P68B1DB1Normal104"/>
        <w:widowControl w:val="false"/>
        <w:spacing w:lineRule="auto" w:line="240"/>
        <w:ind w:left="0" w:right="0" w:hanging="0"/>
        <w:jc w:val="left"/>
        <w:rPr/>
      </w:pPr>
      <w:r>
        <w:rPr/>
        <w:t>Nīderlandiešiem ir grūti saprast, kā darbojas Eiropas demokrātija, bet viņiem šķiet, ka lēmumu pieņemšana Eiropas Savienībā bieži vien ir ļoti lēna. Eiropas Parlamenta vēlēšanās mēs redzam galvenokārt</w:t>
      </w:r>
      <w:r>
        <w:rPr/>
        <w:commentReference w:id="23"/>
      </w:r>
      <w:r>
        <w:rPr/>
        <w:t xml:space="preserve"> valstu partiju apvienības. Var būt arī citi veidi, kā risināt Eiropas intereses. Aptuveni trešdaļa Nīderlandes uzskata, ka Eiropas Parlamenta vēlēšanās vajadzētu būt iespējai balsot par ārvalstu kandidātiem. Aptuveni vienāds iedzīvotāju skaits uzskata, ka tam nevajadzētu būt iespējamam. Vissvarīgākais ir tas, ka tiek pietiekami ņemtas vērā dažādās iesaistītās intereses. Tajā pašā laikā ir iespējams atrisināt sarežģītos jautājumus ātrāk, nekā tas ir šodien. </w:t>
      </w:r>
    </w:p>
    <w:p>
      <w:pPr>
        <w:pStyle w:val="P68B1DB1Normal113"/>
        <w:widowControl w:val="false"/>
        <w:spacing w:lineRule="auto" w:line="240" w:before="201" w:after="0"/>
        <w:ind w:left="0" w:right="0" w:hanging="0"/>
        <w:jc w:val="center"/>
        <w:rPr/>
      </w:pPr>
      <w:r>
        <w:rPr/>
        <w:t xml:space="preserve">ES vēlos, lai vēlēšanās es varētu identificēties ar kādu un zināt, ko viņš vai viņa aizstāv. Tam nav obligāti jābūt tautietim. </w:t>
      </w:r>
    </w:p>
    <w:p>
      <w:pPr>
        <w:pStyle w:val="P68B1DB1Normal108"/>
        <w:widowControl w:val="false"/>
        <w:spacing w:lineRule="auto" w:line="240" w:before="171" w:after="0"/>
        <w:ind w:left="0" w:right="0" w:hanging="0"/>
        <w:jc w:val="left"/>
        <w:rPr>
          <w:rFonts w:ascii="Calibri" w:hAnsi="Calibri"/>
          <w:b/>
          <w:b/>
          <w:i/>
          <w:i/>
          <w:color w:val="000000"/>
          <w:sz w:val="24"/>
        </w:rPr>
      </w:pPr>
      <w:r>
        <w:rPr/>
        <w:t xml:space="preserve">Diskusijas un idejas tiešsaistē un uz vietas </w:t>
      </w:r>
    </w:p>
    <w:p>
      <w:pPr>
        <w:pStyle w:val="P68B1DB1Normal118"/>
        <w:widowControl w:val="false"/>
        <w:spacing w:lineRule="auto" w:line="240" w:before="3" w:after="0"/>
        <w:ind w:left="0" w:right="0" w:hanging="0"/>
        <w:jc w:val="left"/>
        <w:rPr>
          <w:rFonts w:ascii="Calibri" w:hAnsi="Calibri"/>
          <w:i/>
          <w:i/>
          <w:color w:val="000000"/>
          <w:sz w:val="21"/>
        </w:rPr>
      </w:pPr>
      <w:r>
        <w:rPr/>
        <w:t xml:space="preserve">Noņemiet veto varu valstīs. Vairākumam ir jāizlemj. </w:t>
      </w:r>
    </w:p>
    <w:p>
      <w:pPr>
        <w:pStyle w:val="Normal"/>
        <w:widowControl w:val="false"/>
        <w:spacing w:lineRule="auto" w:line="240" w:before="85" w:after="0"/>
        <w:ind w:left="0" w:right="0" w:hanging="0"/>
        <w:jc w:val="left"/>
        <w:rPr/>
      </w:pPr>
      <w:r>
        <w:rPr>
          <w:rFonts w:ascii="Calibri" w:hAnsi="Calibri"/>
          <w:i/>
          <w:color w:val="000000"/>
          <w:sz w:val="21"/>
        </w:rPr>
        <w:t xml:space="preserve">Attiecībā uz svarīgiem lēmumiem izveidot diskusiju grupas, </w:t>
      </w:r>
      <w:commentRangeStart w:id="24"/>
      <w:r>
        <w:rPr>
          <w:rFonts w:ascii="Calibri" w:hAnsi="Calibri"/>
          <w:i/>
          <w:color w:val="000000"/>
          <w:sz w:val="21"/>
        </w:rPr>
        <w:t xml:space="preserve">kuru </w:t>
      </w:r>
      <w:r>
        <w:rPr>
          <w:rFonts w:ascii="Calibri" w:hAnsi="Calibri"/>
          <w:i/>
          <w:color w:val="000000"/>
          <w:sz w:val="21"/>
        </w:rPr>
      </w:r>
      <w:commentRangeEnd w:id="24"/>
      <w:r>
        <w:commentReference w:id="24"/>
      </w:r>
      <w:r>
        <w:rPr>
          <w:rFonts w:ascii="Calibri" w:hAnsi="Calibri"/>
          <w:i/>
          <w:color w:val="000000"/>
          <w:sz w:val="21"/>
        </w:rPr>
        <w:t>sastāvā būtu pilsoņi, iespējams, uz (daļēji) obligāta pamata, kā tas tiek darīts Amerikas Savienoto Valstu žūrijās.</w:t>
      </w:r>
    </w:p>
    <w:p>
      <w:pPr>
        <w:pStyle w:val="P68B1DB1Normal118"/>
        <w:widowControl w:val="false"/>
        <w:spacing w:lineRule="auto" w:line="240" w:before="85" w:after="0"/>
        <w:ind w:left="0" w:right="0" w:hanging="0"/>
        <w:jc w:val="left"/>
        <w:rPr/>
      </w:pPr>
      <w:r>
        <w:rPr/>
        <w:t>“</w:t>
      </w:r>
      <w:r>
        <w:rPr/>
        <w:t xml:space="preserve">Nodrošināt, ka ES politiķi un amatpersonas regulāri apmeklē iekšzemi” un nepaliek pilnīgi aizskarti savā Briseles burbuļā. </w:t>
      </w:r>
    </w:p>
    <w:p>
      <w:pPr>
        <w:pStyle w:val="P68B1DB1Normal118"/>
        <w:widowControl w:val="false"/>
        <w:spacing w:lineRule="auto" w:line="240" w:before="85" w:after="0"/>
        <w:ind w:left="0" w:right="0" w:hanging="0"/>
        <w:jc w:val="left"/>
        <w:rPr/>
      </w:pPr>
      <w:r>
        <w:rPr/>
        <w:t xml:space="preserve">IDEJA: Patiesībā TV ziņām vajadzētu veltīt dažas minūtes Eiropai katrā no tās izdevumiem. Vai arī mēs varētu publicēt Eiropai veltītu dienas vai nedēļas laikrakstu. </w:t>
      </w:r>
    </w:p>
    <w:p>
      <w:pPr>
        <w:pStyle w:val="P68B1DB1Normal118"/>
        <w:widowControl w:val="false"/>
        <w:spacing w:lineRule="auto" w:line="240" w:before="85" w:after="0"/>
        <w:ind w:left="0" w:right="0" w:hanging="0"/>
        <w:jc w:val="left"/>
        <w:rPr/>
      </w:pPr>
      <w:r>
        <w:rPr/>
        <w:t xml:space="preserve">IDEJA: Varbūt Eiropas politiķiem vajadzētu biežāk piedalīties televīzijas programmās. </w:t>
      </w:r>
    </w:p>
    <w:p>
      <w:pPr>
        <w:pStyle w:val="P68B1DB1Normal118"/>
        <w:widowControl w:val="false"/>
        <w:spacing w:lineRule="auto" w:line="240" w:before="85" w:after="0"/>
        <w:ind w:left="0" w:right="0" w:hanging="0"/>
        <w:jc w:val="left"/>
        <w:rPr/>
      </w:pPr>
      <w:r>
        <w:rPr/>
        <w:t xml:space="preserve">Kā jaunietis es gandrīz nekad neko nelasīju par Eiropu. Tomēr es esmu ziņkārīgs zināt vairāk, bet bez pārāk daudz pūļu, lai iegūtu informāciju. </w:t>
      </w:r>
    </w:p>
    <w:p>
      <w:pPr>
        <w:pStyle w:val="P68B1DB1Normal111"/>
        <w:widowControl w:val="false"/>
        <w:spacing w:lineRule="auto" w:line="240" w:before="84" w:after="0"/>
        <w:ind w:left="0" w:right="0" w:hanging="0"/>
        <w:jc w:val="left"/>
        <w:rPr>
          <w:rFonts w:ascii="Calibri" w:hAnsi="Calibri"/>
          <w:b/>
          <w:b/>
          <w:color w:val="000000"/>
          <w:sz w:val="22"/>
        </w:rPr>
      </w:pPr>
      <w:r>
        <w:rPr/>
        <w:t xml:space="preserve">Jaunie Coalitie-Y locekļi Utrehtā: diskusija par referendumu izmantošanu </w:t>
      </w:r>
    </w:p>
    <w:p>
      <w:pPr>
        <w:pStyle w:val="P68B1DB1Normal104"/>
        <w:widowControl w:val="false"/>
        <w:spacing w:lineRule="auto" w:line="240"/>
        <w:ind w:left="0" w:right="0" w:hanging="0"/>
        <w:jc w:val="left"/>
        <w:rPr/>
      </w:pPr>
      <w:r>
        <w:rPr/>
        <w:t xml:space="preserve">Coalitie-Y — sadarbība starp dažādām jaunatnes organizācijām — dalībnieki rīkoja aktīvas debates par referendumu izmantošanu. Pretinieki minēja risku, ka būs debates, kur viss ir melns vai balts, bet tēmas bieži ir daudz sarežģītākas. Viens no dalībniekiem arī norādīja: Mēs varam balsot par ES un kandidēt. Referendumi faktiski grauj šo principu." referenduma atbalstītāji teica, ka politikas veidotājiem ir lietderīgi zināt, ko pilsoņi domā par konkrētu tematu: tas varētu palīdzēt sniegt norādījumus. Referendumi varētu arī palīdzēt uzlabot sabiedrības informētību par ES kopumā: kādi ir darba kārtības jautājumi un kādas ir izvēles iespējas? </w:t>
      </w:r>
    </w:p>
    <w:p>
      <w:pPr>
        <w:pStyle w:val="P68B1DB1Normal111"/>
        <w:widowControl w:val="false"/>
        <w:spacing w:lineRule="auto" w:line="240" w:before="38" w:after="0"/>
        <w:ind w:left="0" w:right="0" w:hanging="0"/>
        <w:jc w:val="left"/>
        <w:rPr>
          <w:rFonts w:ascii="Calibri" w:hAnsi="Calibri"/>
          <w:b/>
          <w:b/>
          <w:color w:val="000000"/>
          <w:sz w:val="22"/>
        </w:rPr>
      </w:pPr>
      <w:r>
        <w:rPr/>
        <w:t xml:space="preserve">Sociālie brīvprātīgie: Ir vajadzīga labāka savstarpēja sapratne starp valstīm. </w:t>
      </w:r>
    </w:p>
    <w:p>
      <w:pPr>
        <w:pStyle w:val="Normal"/>
        <w:widowControl w:val="false"/>
        <w:spacing w:lineRule="auto" w:line="240"/>
        <w:ind w:left="0" w:right="0" w:hanging="0"/>
        <w:jc w:val="left"/>
        <w:rPr/>
      </w:pPr>
      <w:r>
        <w:rPr>
          <w:rFonts w:ascii="Calibri" w:hAnsi="Calibri"/>
          <w:color w:val="000000"/>
          <w:sz w:val="21"/>
        </w:rPr>
        <w:t xml:space="preserve">Piëzo fondu Zoetermeer veido brīvprātīgie, kas dažādos veidos aktīvi darbojas sociālās līdzdalības jomā. Tematiskā dialoga dalībnieki pauda bažas par pieaugošo plaisu Eiropā. Tie ir, piemēram, valstu uzskati par LGBTIK kopienu. Ja valstis nesaprot savu attiecīgo viedokli, ir grūti sadarboties. “Šā iemesla dēļ ir svarīgi labāk iepazīt viens otru,” teica viens dalībnieks. Šodien mēs vienkārši nezinām, ko cilvēki domā citās valstīs. Mēs pietiekami neizprotam mūsu attiecīgo valstu kultūru un kontekstu. Tas ir būtiski, ja mēs vēlamies kopīgi pieņemt labus lēmumus. </w:t>
      </w:r>
      <w:r>
        <w:br w:type="page"/>
      </w:r>
    </w:p>
    <w:p>
      <w:pPr>
        <w:pStyle w:val="P68B1DB1Normal117"/>
        <w:spacing w:lineRule="auto" w:line="240"/>
        <w:ind w:left="0" w:right="0" w:hanging="0"/>
        <w:rPr>
          <w:rFonts w:ascii="Calibri" w:hAnsi="Calibri"/>
          <w:b/>
          <w:b/>
          <w:i/>
          <w:i/>
          <w:color w:val="000000"/>
          <w:sz w:val="28"/>
        </w:rPr>
      </w:pPr>
      <w:r>
        <w:rPr/>
        <w:t xml:space="preserve">Digitālā pārveide </w:t>
      </w:r>
    </w:p>
    <w:p>
      <w:pPr>
        <w:pStyle w:val="P68B1DB1Normal104"/>
        <w:widowControl w:val="false"/>
        <w:spacing w:lineRule="auto" w:line="240" w:before="62" w:after="0"/>
        <w:ind w:left="0" w:right="0" w:hanging="0"/>
        <w:jc w:val="left"/>
        <w:rPr/>
      </w:pPr>
      <w:r>
        <w:rPr/>
        <w:t xml:space="preserve">Virtuālajā pasaulē pieaug prasības attiecībā uz interneta savienojamību, drošību un privātumu. ES šajā ziņā jūtas atbildīga un ir apņēmusies nodrošināt, ka digitālajā sabiedrībā neviens netiek atstāts novārtā. Turklāt ES investē sabiedrības problēmu digitālos risinājumos. Kāds ir Nīderlandes redzējums par to? </w:t>
      </w:r>
    </w:p>
    <w:p>
      <w:pPr>
        <w:pStyle w:val="P68B1DB1Normal108"/>
        <w:widowControl w:val="false"/>
        <w:spacing w:lineRule="auto" w:line="240" w:before="57" w:after="0"/>
        <w:ind w:left="0" w:right="0" w:hanging="0"/>
        <w:jc w:val="left"/>
        <w:rPr>
          <w:rFonts w:ascii="Calibri" w:hAnsi="Calibri"/>
          <w:b/>
          <w:b/>
          <w:i/>
          <w:i/>
          <w:color w:val="000000"/>
          <w:sz w:val="24"/>
        </w:rPr>
      </w:pPr>
      <w:r>
        <w:rPr/>
        <w:t xml:space="preserve">Ieteikumi — Mūsu virtuālais pasaules skatījums </w:t>
      </w:r>
    </w:p>
    <w:p>
      <w:pPr>
        <w:pStyle w:val="P68B1DB1Normal69"/>
        <w:widowControl w:val="false"/>
        <w:spacing w:lineRule="auto" w:line="240" w:before="65" w:after="0"/>
        <w:ind w:left="0" w:right="0" w:hanging="0"/>
        <w:jc w:val="left"/>
        <w:rPr/>
      </w:pPr>
      <w:r>
        <w:rPr/>
        <w:t xml:space="preserve">45 % Nīderlandes iedzīvotāju uzskata, ka virtuālā pasaule ir svarīgs temats un ka ES ir jāiejaucas šajā jomā. </w:t>
      </w:r>
    </w:p>
    <w:p>
      <w:pPr>
        <w:pStyle w:val="P68B1DB1Normal111"/>
        <w:widowControl w:val="false"/>
        <w:spacing w:lineRule="auto" w:line="240" w:before="47" w:after="0"/>
        <w:ind w:left="0" w:right="0" w:hanging="0"/>
        <w:jc w:val="left"/>
        <w:rPr>
          <w:rFonts w:ascii="Calibri" w:hAnsi="Calibri"/>
          <w:b/>
          <w:b/>
          <w:color w:val="000000"/>
          <w:sz w:val="22"/>
        </w:rPr>
      </w:pPr>
      <w:r>
        <w:rPr/>
        <w:t xml:space="preserve">1. Ātra, droša un stabila interneta nodrošināšana visur </w:t>
      </w:r>
    </w:p>
    <w:p>
      <w:pPr>
        <w:pStyle w:val="P68B1DB1Normal104"/>
        <w:widowControl w:val="false"/>
        <w:spacing w:lineRule="auto" w:line="240" w:before="49" w:after="0"/>
        <w:ind w:left="0" w:right="0" w:hanging="0"/>
        <w:jc w:val="left"/>
        <w:rPr/>
      </w:pPr>
      <w:r>
        <w:rPr/>
        <w:t xml:space="preserve">61 % Nīderlandes iedzīvotāju uzskata, ka ES būtu jānodrošina, lai ikvienam Eiropā būtu pieejams ātrs un stabils internets. Mēs visi redzam, ka internetam ir arvien lielāka nozīme mūsu dzīvē. Mūsu bērni aug līdz ar digitālo izglītību. Un komunikācija arvien vairāk notiek, izmantojot internetu gan valsts, gan starptautiskā mērogā. Dažreiz mēs esam nobažījušies par lielo atkarību no interneta. Tāpēc daudzas Nīderlandes uzskata, ka ES ir vispiemērotākā, lai tai atvēlētu līdzekļus, ar nosacījumu, ka tie tiek izmantoti efektīvi. Mēs uzskatām, ka aizsardzība pret noziedzību tiešsaistē ir vissvarīgākais jautājums, kas jārisina Eiropas līmenī. Tomēr uzmanība būtu jāpievērš arī cīņai pret noziedzību internetā valstu līmenī. </w:t>
      </w:r>
    </w:p>
    <w:p>
      <w:pPr>
        <w:pStyle w:val="P68B1DB1Normal113"/>
        <w:widowControl w:val="false"/>
        <w:spacing w:lineRule="auto" w:line="240" w:before="54" w:after="0"/>
        <w:ind w:left="0" w:right="0" w:hanging="0"/>
        <w:jc w:val="center"/>
        <w:rPr/>
      </w:pPr>
      <w:r>
        <w:rPr/>
        <w:t xml:space="preserve">Ideja par kiberuzbrukumu mūsu ūdens aizsardzības sistēmai liek man justies neaizsargātiem. </w:t>
      </w:r>
    </w:p>
    <w:p>
      <w:pPr>
        <w:pStyle w:val="P68B1DB1Normal111"/>
        <w:widowControl w:val="false"/>
        <w:spacing w:lineRule="auto" w:line="240" w:before="71" w:after="0"/>
        <w:ind w:left="0" w:right="0" w:hanging="0"/>
        <w:jc w:val="left"/>
        <w:rPr>
          <w:rFonts w:ascii="Calibri" w:hAnsi="Calibri"/>
          <w:b/>
          <w:b/>
          <w:color w:val="000000"/>
          <w:sz w:val="22"/>
        </w:rPr>
      </w:pPr>
      <w:r>
        <w:rPr/>
        <w:t xml:space="preserve">2. Skaidru noteikumu un standartu noteikšana interneta uzņēmumiem </w:t>
      </w:r>
    </w:p>
    <w:p>
      <w:pPr>
        <w:pStyle w:val="P68B1DB1Normal104"/>
        <w:widowControl w:val="false"/>
        <w:spacing w:lineRule="auto" w:line="240" w:before="49" w:after="0"/>
        <w:ind w:left="0" w:right="0" w:hanging="0"/>
        <w:jc w:val="left"/>
        <w:rPr/>
      </w:pPr>
      <w:r>
        <w:rPr/>
        <w:t xml:space="preserve">75 % Nīderlandes uzskata, ka ES būtu jānodrošina, ka pirkumi tiešsaistē var tikt veikti ar vienādu drošības līmeni visās ES valstīs. Mēs visi pērkam arvien vairāk un vairāk ārzemēs un šādā veidā dalāmies ar sensitīviem personas datiem. Dažreiz tas šķiet bīstami. Ir grūti noteikt, kuras tīmekļa vietnes ir uzticamas. Ir labi, ka ES izstrādā Eiropas privātuma noteikumus un standartus, ko ikviens var saprast. Lielu interneta uzņēmumu spēks ir arī regulārs iemesls bažām mums. Mēs uzskatām, ka mūsu pienākums ir ievērot piesardzību, izmantojot mūsu datus. Taču mēs arī uzskatām, ka šajā ziņā ES var būt nozīmīga loma. ES valstīm ir jāsadarbojas, lai nodrošinātu, ka tādiem uzņēmumiem kā Google un Facebook nav pārāk lielas varas. </w:t>
      </w:r>
    </w:p>
    <w:p>
      <w:pPr>
        <w:pStyle w:val="P68B1DB1Normal113"/>
        <w:widowControl w:val="false"/>
        <w:spacing w:lineRule="auto" w:line="240" w:before="54" w:after="0"/>
        <w:ind w:left="0" w:right="0" w:hanging="0"/>
        <w:jc w:val="center"/>
        <w:rPr/>
      </w:pPr>
      <w:r>
        <w:rPr/>
        <w:t xml:space="preserve">Saskaroties ar globālu spēlētāju, piemēram, Facebook, mēs esam salīdzinoši nabadzīgi kā maza valsts. </w:t>
      </w:r>
    </w:p>
    <w:p>
      <w:pPr>
        <w:pStyle w:val="P68B1DB1Normal111"/>
        <w:widowControl w:val="false"/>
        <w:spacing w:lineRule="auto" w:line="240" w:before="71" w:after="0"/>
        <w:ind w:left="0" w:right="0" w:hanging="0"/>
        <w:jc w:val="left"/>
        <w:rPr/>
      </w:pPr>
      <w:r>
        <w:rPr/>
        <w:t xml:space="preserve">3. Privātuma noteikumiem pievienot īstenošanas un praktiskus paskaidrojumus </w:t>
      </w:r>
    </w:p>
    <w:p>
      <w:pPr>
        <w:pStyle w:val="Normal"/>
        <w:widowControl w:val="false"/>
        <w:spacing w:lineRule="auto" w:line="240" w:before="49" w:after="0"/>
        <w:ind w:left="0" w:right="0" w:hanging="0"/>
        <w:jc w:val="left"/>
        <w:rPr/>
      </w:pPr>
      <w:r>
        <w:rPr>
          <w:rFonts w:ascii="Calibri" w:hAnsi="Calibri"/>
          <w:color w:val="000000"/>
          <w:sz w:val="21"/>
        </w:rPr>
        <w:t xml:space="preserve">Ieviešot Vispārīgo datu aizsardzības regulu (VDAR), Nīderlande zina, ka visām valstīm ir jāievēro vieni un tie paši privātuma likumi un noteikumi. Mēs uzskatām, ka ir labi uz to paļauties, jo privātums ir svarīgs jautājums. Tomēr daži holandiešu uzskata, ka privātuma noteikumi dažreiz ir pārspīlēti vai neloģiski. Turklāt šie tiesību akti uzņēmējiem var radīt daudz darba. Tāpēc mēs uzskatām, ka lielāka uzmanība būtu jāpievērš privātuma tiesību aktu praktiskai īstenošanai: atbalsts un informācija gan iedzīvotājiem, gan uzņēmumiem. Jo īpaši mēs uzskatām, ka dalībvalstīm ir sava loma. Privātuma jautājumus vai jautājumus vislabāk var pārvaldīt mūsu valsts iestādes mūsu dzimtajā valodā. </w:t>
      </w:r>
      <w:r>
        <w:br w:type="page"/>
      </w:r>
    </w:p>
    <w:p>
      <w:pPr>
        <w:pStyle w:val="P68B1DB1Normal108"/>
        <w:spacing w:lineRule="auto" w:line="240"/>
        <w:ind w:left="0" w:right="0" w:hanging="0"/>
        <w:rPr>
          <w:rFonts w:ascii="Calibri" w:hAnsi="Calibri"/>
          <w:b/>
          <w:b/>
          <w:i/>
          <w:i/>
          <w:color w:val="000000"/>
          <w:sz w:val="24"/>
        </w:rPr>
      </w:pPr>
      <w:r>
        <w:rPr/>
        <w:t xml:space="preserve">Diskusijas un idejas tiešsaistē un uz vietas </w:t>
      </w:r>
    </w:p>
    <w:p>
      <w:pPr>
        <w:pStyle w:val="P68B1DB1Normal118"/>
        <w:widowControl w:val="false"/>
        <w:spacing w:lineRule="auto" w:line="240" w:before="120" w:after="0"/>
        <w:ind w:left="0" w:right="889" w:hanging="0"/>
        <w:jc w:val="left"/>
        <w:rPr/>
      </w:pPr>
      <w:r>
        <w:rPr/>
        <w:t xml:space="preserve">IDEJA: Noteikt stingrākus kritērijus programmētājiem un uzņēmumiem, aizliedzot bīstamas programmēšanas valodas. </w:t>
      </w:r>
    </w:p>
    <w:p>
      <w:pPr>
        <w:pStyle w:val="P68B1DB1Normal118"/>
        <w:widowControl w:val="false"/>
        <w:spacing w:lineRule="auto" w:line="240" w:before="87" w:after="0"/>
        <w:ind w:left="0" w:right="0" w:hanging="0"/>
        <w:jc w:val="left"/>
        <w:rPr>
          <w:rFonts w:ascii="Calibri" w:hAnsi="Calibri"/>
          <w:i/>
          <w:i/>
          <w:color w:val="000000"/>
          <w:sz w:val="21"/>
        </w:rPr>
      </w:pPr>
      <w:r>
        <w:rPr/>
        <w:t xml:space="preserve">Ierosināt bezmaksas Eiropas pretvīrusu programmatūru, lai izveidotu Eiropas ugunsmūri. </w:t>
      </w:r>
    </w:p>
    <w:p>
      <w:pPr>
        <w:pStyle w:val="P68B1DB1Normal118"/>
        <w:widowControl w:val="false"/>
        <w:spacing w:lineRule="auto" w:line="240" w:before="85" w:after="0"/>
        <w:ind w:left="0" w:right="42" w:hanging="0"/>
        <w:jc w:val="left"/>
        <w:rPr/>
      </w:pPr>
      <w:r>
        <w:rPr/>
        <w:t xml:space="preserve">Kad es šķērsoju robežu Vācijā, pēkšņi man vairs nav tīkla manā mobilajā tālrunī. Tam vairs nevajadzētu notikt, vai tas būtu jādara? </w:t>
      </w:r>
    </w:p>
    <w:p>
      <w:pPr>
        <w:pStyle w:val="P68B1DB1Normal118"/>
        <w:widowControl w:val="false"/>
        <w:spacing w:lineRule="auto" w:line="240" w:before="85" w:after="0"/>
        <w:ind w:left="0" w:right="959" w:hanging="0"/>
        <w:jc w:val="left"/>
        <w:rPr/>
      </w:pPr>
      <w:r>
        <w:rPr/>
        <w:t xml:space="preserve">Ar mūsu iPhone, mēs varam izsekot visus mūsu ceļojumus. Mums ir arī sava atbildības daļa. </w:t>
      </w:r>
    </w:p>
    <w:p>
      <w:pPr>
        <w:pStyle w:val="P68B1DB1Normal118"/>
        <w:widowControl w:val="false"/>
        <w:spacing w:lineRule="auto" w:line="240" w:before="83" w:after="0"/>
        <w:ind w:left="0" w:right="0" w:hanging="0"/>
        <w:jc w:val="left"/>
        <w:rPr/>
      </w:pPr>
      <w:r>
        <w:rPr/>
        <w:t xml:space="preserve">Nav ērti katrā valstī aizpildīt cita veida privātuma veidlapu. </w:t>
      </w:r>
    </w:p>
    <w:p>
      <w:pPr>
        <w:pStyle w:val="P68B1DB1Normal118"/>
        <w:widowControl w:val="false"/>
        <w:spacing w:lineRule="auto" w:line="240" w:before="87" w:after="0"/>
        <w:ind w:left="0" w:right="0" w:hanging="0"/>
        <w:jc w:val="left"/>
        <w:rPr>
          <w:rFonts w:ascii="Calibri" w:hAnsi="Calibri"/>
          <w:i/>
          <w:i/>
          <w:color w:val="000000"/>
          <w:sz w:val="21"/>
        </w:rPr>
      </w:pPr>
      <w:r>
        <w:rPr/>
        <w:t xml:space="preserve">IDEJA: Mums būtu jāizveido Eiropas kiberpolicija. Skaidrs, ka tas ir kaut kas ES. </w:t>
      </w:r>
    </w:p>
    <w:p>
      <w:pPr>
        <w:pStyle w:val="P68B1DB1Normal111"/>
        <w:widowControl w:val="false"/>
        <w:spacing w:lineRule="auto" w:line="240" w:before="84" w:after="0"/>
        <w:ind w:left="0" w:right="823" w:hanging="0"/>
        <w:jc w:val="left"/>
        <w:rPr/>
      </w:pPr>
      <w:r>
        <w:rPr/>
        <w:t xml:space="preserve">Tiešsaistes dialoga dalībnieki: Kvalitatīvs interneta pieslēgums visur ir arī mūsu pašu interesēs. </w:t>
      </w:r>
    </w:p>
    <w:p>
      <w:pPr>
        <w:pStyle w:val="P68B1DB1Normal104"/>
        <w:widowControl w:val="false"/>
        <w:spacing w:lineRule="auto" w:line="240" w:before="97" w:after="0"/>
        <w:ind w:left="0" w:right="236" w:hanging="0"/>
        <w:jc w:val="left"/>
        <w:rPr/>
      </w:pPr>
      <w:r>
        <w:rPr/>
        <w:t xml:space="preserve">Vienā no tiešsaistes tematiskajiem dialogiem radās interesantas debates par ES lomu virtuālajā pasaulē. Visi dalībnieki piekrita, ka ir labi un svarīgi nodrošināt labu interneta pieslēgumu visā Eiropā. Bet vai tas ir ES ziņā, lai to risinātu? Vairāki dalībnieki norādīja, ka tas ir galvenokārt atsevišķu dalībvalstu uzdevums. Cits dalībnieks uzsvēra, ka stabils un kvalitatīvs internets ārvalstīs ir arī Nīderlandes priekšrocība: Mēs veidojam miljardiem dolāru no tirdzniecības ar citām ES valstīm. Tāpēc mūsu interesēs ir, lai šīs valstis darbotos labi. </w:t>
      </w:r>
    </w:p>
    <w:p>
      <w:pPr>
        <w:pStyle w:val="P68B1DB1Normal111"/>
        <w:widowControl w:val="false"/>
        <w:spacing w:lineRule="auto" w:line="240" w:before="40" w:after="0"/>
        <w:ind w:left="0" w:right="0" w:hanging="0"/>
        <w:jc w:val="left"/>
        <w:rPr>
          <w:rFonts w:ascii="Calibri" w:hAnsi="Calibri"/>
          <w:b/>
          <w:b/>
          <w:color w:val="000000"/>
          <w:sz w:val="22"/>
        </w:rPr>
      </w:pPr>
      <w:r>
        <w:rPr/>
        <w:t xml:space="preserve">Helmondas studenti: Identiski noteikumi un sankcijas kibernoziedzniekiem </w:t>
      </w:r>
    </w:p>
    <w:p>
      <w:pPr>
        <w:pStyle w:val="Normal"/>
        <w:widowControl w:val="false"/>
        <w:spacing w:lineRule="auto" w:line="240" w:before="95" w:after="0"/>
        <w:ind w:left="0" w:right="32" w:hanging="0"/>
        <w:jc w:val="left"/>
        <w:rPr/>
      </w:pPr>
      <w:r>
        <w:rPr>
          <w:rFonts w:ascii="Calibri" w:hAnsi="Calibri"/>
          <w:color w:val="000000"/>
          <w:sz w:val="21"/>
        </w:rPr>
        <w:t xml:space="preserve">Dr. Knippenberga koledžā Helmondā 15 un 16 gadus veci skolēni apsprieda interneta noziedzības problēmu. Viņi regulāri dzird ziņas. Piemēram, ja uzņēmumā ir notikusi datu noplūde. Vai tad, kad tāda valsts kā Krievija vai Ķīna mēģina nozagt datus. Tā kā kibernoziedznieki bieži strādā pāri robežām, viņi uzskata, ka ir loģiski, ka Eiropas valstis sadarbojas. Šajā kontekstā tās apsver ne tikai noteikumu izstrādi, bet arī sankciju definēšanu. Ja Krievijas kiberpirāti mēģina ielauzties mūsu mājās, ES ir stingri jārīkojas, lai tos novērstu. </w:t>
      </w:r>
      <w:r>
        <w:br w:type="page"/>
      </w:r>
    </w:p>
    <w:p>
      <w:pPr>
        <w:pStyle w:val="P68B1DB1Normal117"/>
        <w:spacing w:lineRule="auto" w:line="240"/>
        <w:ind w:left="0" w:right="0" w:hanging="0"/>
        <w:rPr>
          <w:rFonts w:ascii="Calibri" w:hAnsi="Calibri"/>
          <w:b/>
          <w:b/>
          <w:i/>
          <w:i/>
          <w:color w:val="000000"/>
          <w:sz w:val="28"/>
        </w:rPr>
      </w:pPr>
      <w:r>
        <w:rPr/>
        <w:t xml:space="preserve">Izglītība, kultūra, jaunatne un sports </w:t>
      </w:r>
    </w:p>
    <w:p>
      <w:pPr>
        <w:pStyle w:val="P68B1DB1Normal104"/>
        <w:widowControl w:val="false"/>
        <w:spacing w:lineRule="auto" w:line="240" w:before="93" w:after="0"/>
        <w:ind w:left="0" w:right="0" w:hanging="0"/>
        <w:jc w:val="left"/>
        <w:rPr/>
      </w:pPr>
      <w:r>
        <w:rPr/>
        <w:t xml:space="preserve">ES valstis ir tieši atbildīgas par izglītību, kultūru, jaunatni un sportu. ES var un vēlētos palīdzēt viņiem šajā jomā, piemēram, veicinot kvalitatīvu izglītību, daudzvalodību, kultūras mantojuma aizsardzību un atbalstu kultūras un sporta nozarēm. Kāds ir Nīderlandes redzējums par to? </w:t>
      </w:r>
    </w:p>
    <w:p>
      <w:pPr>
        <w:pStyle w:val="P68B1DB1Normal108"/>
        <w:widowControl w:val="false"/>
        <w:spacing w:lineRule="auto" w:line="240" w:before="90" w:after="0"/>
        <w:ind w:left="0" w:right="0" w:hanging="0"/>
        <w:jc w:val="left"/>
        <w:rPr>
          <w:rFonts w:ascii="Calibri" w:hAnsi="Calibri"/>
          <w:b/>
          <w:b/>
          <w:i/>
          <w:i/>
          <w:color w:val="000000"/>
          <w:sz w:val="24"/>
        </w:rPr>
      </w:pPr>
      <w:r>
        <w:rPr/>
        <w:t xml:space="preserve">Ieteikumi — Mūsu redzējums par izglītību, kultūru, jaunatni un sportu </w:t>
      </w:r>
    </w:p>
    <w:p>
      <w:pPr>
        <w:pStyle w:val="P68B1DB1Normal69"/>
        <w:widowControl w:val="false"/>
        <w:spacing w:lineRule="auto" w:line="240" w:before="123" w:after="0"/>
        <w:ind w:left="0" w:right="0" w:hanging="0"/>
        <w:jc w:val="left"/>
        <w:rPr/>
      </w:pPr>
      <w:r>
        <w:rPr/>
        <w:t xml:space="preserve">45 % Nīderlandes uzskata, ka izglītība ir svarīgs jautājums un ka ES ir jāiejaucas šajā jomā. Jauniešiem, kultūrai un sportam šis rādītājs ir attiecīgi 39 %, 23 % un 19 %. </w:t>
      </w:r>
    </w:p>
    <w:p>
      <w:pPr>
        <w:pStyle w:val="P68B1DB1Normal69"/>
        <w:widowControl w:val="false"/>
        <w:spacing w:lineRule="auto" w:line="240"/>
        <w:ind w:left="0" w:right="0" w:hanging="0"/>
        <w:jc w:val="left"/>
        <w:rPr>
          <w:rFonts w:ascii="Calibri" w:hAnsi="Calibri"/>
          <w:b/>
          <w:b/>
          <w:color w:val="000000"/>
          <w:sz w:val="20"/>
        </w:rPr>
      </w:pPr>
      <w:r>
        <w:rPr/>
        <w:t xml:space="preserve"> </w:t>
      </w:r>
    </w:p>
    <w:p>
      <w:pPr>
        <w:pStyle w:val="P68B1DB1Normal111"/>
        <w:widowControl w:val="false"/>
        <w:spacing w:lineRule="auto" w:line="240" w:before="28" w:after="0"/>
        <w:ind w:left="0" w:right="0" w:hanging="0"/>
        <w:jc w:val="left"/>
        <w:rPr>
          <w:rFonts w:ascii="Calibri" w:hAnsi="Calibri"/>
          <w:b/>
          <w:b/>
          <w:color w:val="000000"/>
          <w:sz w:val="22"/>
        </w:rPr>
      </w:pPr>
      <w:r>
        <w:rPr/>
        <w:t xml:space="preserve">1. Mudināt studentus inteliģenti studēt ārzemēs </w:t>
      </w:r>
    </w:p>
    <w:p>
      <w:pPr>
        <w:pStyle w:val="P68B1DB1Normal104"/>
        <w:widowControl w:val="false"/>
        <w:spacing w:lineRule="auto" w:line="240"/>
        <w:ind w:left="0" w:right="0" w:hanging="0"/>
        <w:jc w:val="left"/>
        <w:rPr/>
      </w:pPr>
      <w:r>
        <w:rPr/>
        <w:t xml:space="preserve">Daudzi holandiešu uzskata, ka studijām ārzemēs ir pozitīva ietekme uz jauniešiem. Tas veicina personīgo attīstību. Turklāt studijas ārzemēs var palīdzēt eiropiešiem labāk saprast viens otru. Tā var arī veicināt labāku integrāciju. Tāpēc daudzi nīderlandieši pozitīvi vērtē to, ka pastāv Erasmus programma, kas veicina studijas ārzemēs. Taču mēs uzskatām, ka ES arī jāturpina kritiski risināt šo jautājumu. Praksē, piemēram, šķiet, ka starptautiskie studenti lielākoties paliek viens ar otru un ne vienmēr daudz mācās par valsti, kurā viņi atrodas. ES ir arī jāliedz valstīm ar zemāku zināšanu līmeni “iztukšot”, jo visi talanti studēs ārzemēs. </w:t>
      </w:r>
    </w:p>
    <w:p>
      <w:pPr>
        <w:pStyle w:val="P68B1DB1Normal113"/>
        <w:widowControl w:val="false"/>
        <w:spacing w:lineRule="auto" w:line="240" w:before="167" w:after="0"/>
        <w:ind w:left="0" w:right="0" w:hanging="0"/>
        <w:jc w:val="center"/>
        <w:rPr/>
      </w:pPr>
      <w:r>
        <w:rPr/>
        <w:t>“</w:t>
      </w:r>
      <w:r>
        <w:rPr/>
        <w:t xml:space="preserve">Attīstīt apmaiņas programmas arī profesionālās vidējās izglītības līmenī.” </w:t>
      </w:r>
    </w:p>
    <w:p>
      <w:pPr>
        <w:pStyle w:val="Normal"/>
        <w:widowControl w:val="false"/>
        <w:spacing w:lineRule="auto" w:line="240" w:before="136" w:after="0"/>
        <w:ind w:left="0" w:right="0" w:hanging="0"/>
        <w:jc w:val="left"/>
        <w:rPr/>
      </w:pPr>
      <w:r>
        <w:rPr>
          <w:rFonts w:ascii="Calibri" w:hAnsi="Calibri"/>
          <w:b/>
          <w:color w:val="000000"/>
        </w:rPr>
        <w:t>2. Ļaut dalībvalstīm koncentrēties uz tādiem jautājumiem kā kultūra un sports</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58 % Nīderlandes uzskata, ka ES būtu labāk jāaizsargā kultūras mantojums Eiropā. Mēs domājam, piemēram, par tempļiem Grieķijā. No otras puses, mēs uzskatām, ka vietējā kultūra galvenokārt ir pašu valstu atbildība. Tas pats attiecas, piemēram, uz ļaunprātīgu izmantošanu sportā. Mēs uzskatām, ka tas ir svarīgs jautājums, bet ne galvenā ES misija. Eiropai noteikti jānosaka prioritātes, un citiem jautājumiem ir vajadzīgi ievērojami finanšu resursi. Dažreiz mēs varam sniegt finansiālu ieguldījumu, bet dažreiz mēs varam sadarboties arī citos veidos, piemēram, apmainoties ar zināšanām un idejām. </w:t>
      </w:r>
    </w:p>
    <w:p>
      <w:pPr>
        <w:pStyle w:val="P68B1DB1Normal113"/>
        <w:widowControl w:val="false"/>
        <w:spacing w:lineRule="auto" w:line="240" w:before="167" w:after="0"/>
        <w:ind w:left="0" w:right="0" w:hanging="0"/>
        <w:jc w:val="center"/>
        <w:rPr/>
      </w:pPr>
      <w:r>
        <w:rPr/>
        <w:t xml:space="preserve">Kultūras aizsardzība ir pašu valstu ziņā. Bet, ja pasaules mantojums tiek atstāts novārtā, tad es domāju, ka ES ir jāiejaucas.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Nodrošināt, lai eiropieši labāk iepazītos un cienītu viens otru </w:t>
      </w:r>
    </w:p>
    <w:p>
      <w:pPr>
        <w:pStyle w:val="P68B1DB1Normal104"/>
        <w:widowControl w:val="false"/>
        <w:spacing w:lineRule="auto" w:line="240"/>
        <w:ind w:left="0" w:right="0" w:hanging="0"/>
        <w:jc w:val="left"/>
        <w:rPr/>
      </w:pPr>
      <w:r>
        <w:rPr/>
        <w:t xml:space="preserve">Nīderlandieši novērtē, kad citi eiropieši labi runā angļu valodā. Tas vienkāršo lietas, kad mēs esam ārzemēs. Un kad, piemēram, mēs vēlamies sazināties ar migrējošiem darba ņēmējiem Nīderlandē. Tajā pašā laikā daudzi holandiešu uzskata, ka ir ļoti svarīgi, lai mēs turpinātu runāt un novērtēt mūsu pašu valodu. Tāpēc mēs vēlamies, lai tiktu ievērotas arī citas atšķirības Eiropā. Neatkarīgi no tā, vai runa ir par kultūru, izglītību vai sportu, katram cilvēkam ir jājūtas brīvi un jāspēj būt pašam. Atšķirības dažkārt var izraisīt spriedzi, bet tās arī padara Eiropas kontinentu bagātu. Daudzi holandiešu uzskata, ka valstīm būtu jādod laiks iepazīties ar saviem attiecīgajiem ieradumiem un idejām. </w:t>
      </w:r>
    </w:p>
    <w:p>
      <w:pPr>
        <w:pStyle w:val="P68B1DB1Normal113"/>
        <w:widowControl w:val="false"/>
        <w:spacing w:lineRule="auto" w:line="240" w:before="167" w:after="0"/>
        <w:ind w:left="0" w:right="0" w:hanging="0"/>
        <w:jc w:val="center"/>
        <w:rPr/>
      </w:pPr>
      <w:r>
        <w:rPr/>
        <w:t xml:space="preserve">Man ES ir kā draugu grupa. Mēs cienām mūsu atšķirības, un es varu lūgt palīdzību, ja man tās ir vajadzīgas. </w:t>
      </w:r>
    </w:p>
    <w:p>
      <w:pPr>
        <w:pStyle w:val="P68B1DB1Normal108"/>
        <w:widowControl w:val="false"/>
        <w:spacing w:lineRule="auto" w:line="240" w:before="135" w:after="0"/>
        <w:ind w:left="0" w:right="0" w:hanging="0"/>
        <w:jc w:val="left"/>
        <w:rPr>
          <w:rFonts w:ascii="Calibri" w:hAnsi="Calibri"/>
          <w:b/>
          <w:b/>
          <w:i/>
          <w:i/>
          <w:color w:val="000000"/>
          <w:sz w:val="24"/>
        </w:rPr>
      </w:pPr>
      <w:r>
        <w:rPr/>
        <w:t xml:space="preserve">Diskusijas un idejas tiešsaistē un uz vietas </w:t>
      </w:r>
    </w:p>
    <w:p>
      <w:pPr>
        <w:pStyle w:val="P68B1DB1Normal118"/>
        <w:widowControl w:val="false"/>
        <w:spacing w:lineRule="auto" w:line="240" w:before="120" w:after="0"/>
        <w:ind w:left="0" w:right="0" w:hanging="0"/>
        <w:jc w:val="left"/>
        <w:rPr/>
      </w:pPr>
      <w:r>
        <w:rPr/>
        <w:t xml:space="preserve">IDEJA: Papildus vietējai mācību programmai visos izglītības līmeņos būtu jāievieš kopēja Eiropas mācību programma. </w:t>
      </w:r>
    </w:p>
    <w:p>
      <w:pPr>
        <w:pStyle w:val="P68B1DB1Normal118"/>
        <w:widowControl w:val="false"/>
        <w:spacing w:lineRule="auto" w:line="240" w:before="254" w:after="0"/>
        <w:ind w:left="0" w:right="0" w:hanging="0"/>
        <w:jc w:val="left"/>
        <w:rPr>
          <w:rFonts w:ascii="Calibri" w:hAnsi="Calibri"/>
          <w:i/>
          <w:i/>
          <w:color w:val="000000"/>
          <w:sz w:val="21"/>
        </w:rPr>
      </w:pPr>
      <w:r>
        <w:rPr/>
        <w:t xml:space="preserve">IDEJA: Papildus kultūras galvaspilsētai katru gadu jāizvēlas galvaspilsēta (vai valsts) izglītības, jaunatnes un sporta jomā. </w:t>
      </w:r>
    </w:p>
    <w:p>
      <w:pPr>
        <w:pStyle w:val="P68B1DB1Normal118"/>
        <w:widowControl w:val="false"/>
        <w:spacing w:lineRule="auto" w:line="240" w:before="85" w:after="0"/>
        <w:ind w:left="0" w:right="0" w:hanging="0"/>
        <w:jc w:val="left"/>
        <w:rPr/>
      </w:pPr>
      <w:r>
        <w:rPr/>
        <w:t xml:space="preserve">Tas, kas mūs vieno Eiropas Savienībā, ir tieši tas, ka mums visiem ir sava nacionālā kultūra. Un tāpēc nevar tikt savākti zem vienas kultūras reklāmkaroga. </w:t>
      </w:r>
    </w:p>
    <w:p>
      <w:pPr>
        <w:pStyle w:val="P68B1DB1Normal118"/>
        <w:widowControl w:val="false"/>
        <w:spacing w:lineRule="auto" w:line="240" w:before="87" w:after="0"/>
        <w:ind w:left="0" w:right="0" w:hanging="0"/>
        <w:jc w:val="left"/>
        <w:rPr>
          <w:rFonts w:ascii="Calibri" w:hAnsi="Calibri"/>
          <w:i/>
          <w:i/>
          <w:color w:val="000000"/>
          <w:sz w:val="21"/>
        </w:rPr>
      </w:pPr>
      <w:r>
        <w:rPr/>
        <w:t xml:space="preserve">Tā vietā, lai izceltu negatīvās lietas, labāk ir mēģināt veicināt sportu. </w:t>
      </w:r>
    </w:p>
    <w:p>
      <w:pPr>
        <w:pStyle w:val="P68B1DB1Normal118"/>
        <w:widowControl w:val="false"/>
        <w:spacing w:lineRule="auto" w:line="240" w:before="85" w:after="0"/>
        <w:ind w:left="0" w:right="0" w:hanging="0"/>
        <w:jc w:val="left"/>
        <w:rPr/>
      </w:pPr>
      <w:r>
        <w:rPr/>
        <w:t xml:space="preserve">ES esmu šeit integrēts, es maksāju nodokļus, bet es esmu un palieku Latīņamerika. ES mīlu savu mēli, mūziku un ēdienu. Tas nav par Eiropu. </w:t>
      </w:r>
    </w:p>
    <w:p>
      <w:pPr>
        <w:pStyle w:val="P68B1DB1Normal118"/>
        <w:widowControl w:val="false"/>
        <w:spacing w:lineRule="auto" w:line="240" w:before="87" w:after="0"/>
        <w:ind w:left="0" w:right="0" w:hanging="0"/>
        <w:jc w:val="left"/>
        <w:rPr>
          <w:rFonts w:ascii="Calibri" w:hAnsi="Calibri"/>
          <w:i/>
          <w:i/>
          <w:color w:val="000000"/>
          <w:sz w:val="21"/>
        </w:rPr>
      </w:pPr>
      <w:r>
        <w:rPr/>
        <w:t xml:space="preserve">Mēs pārāk daudz runājam par ekonomiku Eiropā. Un pārāk maz labsajūtas. </w:t>
      </w:r>
    </w:p>
    <w:p>
      <w:pPr>
        <w:pStyle w:val="P68B1DB1Normal111"/>
        <w:widowControl w:val="false"/>
        <w:spacing w:lineRule="auto" w:line="240" w:before="84" w:after="0"/>
        <w:ind w:left="0" w:right="0" w:hanging="0"/>
        <w:jc w:val="left"/>
        <w:rPr>
          <w:rFonts w:ascii="Calibri" w:hAnsi="Calibri"/>
          <w:b/>
          <w:b/>
          <w:color w:val="000000"/>
          <w:sz w:val="22"/>
        </w:rPr>
      </w:pPr>
      <w:r>
        <w:rPr/>
        <w:t xml:space="preserve">Leidenes Universitātes studenti: Valoda ir svarīga, bet tai jāpaliek brīvai izvēlei </w:t>
      </w:r>
    </w:p>
    <w:p>
      <w:pPr>
        <w:pStyle w:val="P68B1DB1Normal104"/>
        <w:widowControl w:val="false"/>
        <w:spacing w:lineRule="auto" w:line="240" w:before="100" w:after="0"/>
        <w:ind w:left="0" w:right="0" w:hanging="0"/>
        <w:jc w:val="left"/>
        <w:rPr/>
      </w:pPr>
      <w:r>
        <w:rPr/>
        <w:t xml:space="preserve">Leidenes universitātē vēstures studenti runāja savā starpā. Viņi uzskata, ka ir svarīgi, lai cilvēki runātu vairākās valodās. Viņi uzskata, ka vairāku valodu prasme ir lieliska personiskajai attīstībai un labai tirdzniecībai un politiskajām attiecībām Eiropas Savienībā. Tomēr viņi uzskata, ka valodas ir jāpiedāvā skolā, nevis jāpadara obligātas. Viņi arī uzskata, ka otrajai valodai nav obligāti jābūt Eiropas valodai. “Ja jūs dzīvojat Austrumeiropā un izvēlaties mācīties krievu valodu, tas ir jūsu tiesības,” teica viens no dalībniekiem. </w:t>
      </w:r>
    </w:p>
    <w:p>
      <w:pPr>
        <w:pStyle w:val="P68B1DB1Normal110"/>
        <w:widowControl w:val="false"/>
        <w:spacing w:lineRule="auto" w:line="240" w:before="223" w:after="0"/>
        <w:ind w:left="0" w:right="0" w:hanging="0"/>
        <w:jc w:val="left"/>
        <w:rPr/>
      </w:pPr>
      <w:r>
        <w:rPr>
          <w:b/>
        </w:rPr>
        <w:t xml:space="preserve">Šīdamas Turcijas kopiena: </w:t>
      </w:r>
      <w:r>
        <w:rPr>
          <w:sz w:val="21"/>
        </w:rPr>
        <w:t xml:space="preserve">Hakder fondā Schiedam vietējā turku kopiena apsprieda, cik svarīgas ir taisnīgas nodarbinātības iespējas visiem. Visi dalībnieki vienojās, ka ES būtu jāuzliek uzņēmumiem par pienākumu piedāvāt stažēšanās vai darbu jauniešiem ar ierobežotām izredzēm. Viņi norādīja, ka jo īpaši gados jauniem migrantiem ir grūti atrast stažēšanos vai darbu. Dažreiz viņi pat neuzdrošinās doties uz GP, jo viņi baidās maksāt par apmeklējumu paši. Nemaz nerunājot par drosmi pieteikties praksei vai darbam, "teica viens no dalībniekiem. “Uzņēmumiem ir jābūt uzmanīgākiem, un ES var mudināt tos to darīt.” </w:t>
      </w:r>
    </w:p>
    <w:p>
      <w:pPr>
        <w:pStyle w:val="Normal"/>
        <w:spacing w:lineRule="auto" w:line="240"/>
        <w:ind w:left="0" w:right="0" w:hanging="0"/>
        <w:rPr/>
      </w:pPr>
      <w:r>
        <w:rPr/>
      </w:r>
    </w:p>
    <w:p>
      <w:pPr>
        <w:pStyle w:val="Normal"/>
        <w:spacing w:lineRule="auto" w:line="240"/>
        <w:ind w:left="0" w:right="0" w:hanging="0"/>
        <w:rPr/>
      </w:pPr>
      <w:r>
        <w:rPr/>
      </w:r>
      <w:r>
        <w:br w:type="page"/>
      </w:r>
    </w:p>
    <w:p>
      <w:pPr>
        <w:pStyle w:val="P68B1DB1Normal18"/>
        <w:spacing w:lineRule="auto" w:line="240"/>
        <w:ind w:left="0" w:right="0" w:hanging="0"/>
        <w:rPr/>
      </w:pPr>
      <w:r>
        <w:rPr>
          <w:b/>
          <w:i/>
          <w:color w:val="000000"/>
        </w:rPr>
        <w:t>Apsekojumā izmantotās metodikas apraksts</w:t>
      </w:r>
      <w:r>
        <w:rPr>
          <w:color w:val="365F91"/>
        </w:rPr>
        <w:t xml:space="preserve"> </w:t>
      </w:r>
    </w:p>
    <w:p>
      <w:pPr>
        <w:pStyle w:val="P68B1DB1Normal104"/>
        <w:widowControl w:val="false"/>
        <w:spacing w:lineRule="auto" w:line="240" w:before="137" w:after="0"/>
        <w:ind w:left="0" w:right="0" w:hanging="0"/>
        <w:jc w:val="left"/>
        <w:rPr/>
      </w:pPr>
      <w:r>
        <w:rPr/>
        <w:t xml:space="preserve">Aptauja “Eiropas redzējums” sastāv no dažāda veida saistītā dialoga, lai apkopotu Nīderlandes iedzīvotāju viedokļus un idejas par Eiropas un ES nākotni. Šajā nodaļā ir aprakstīta metodika, kas izmantota, lai nodrošinātu, ka saistītie dialoga veidi atbilst valstu pilsoņu paneļdiskusiju pamatnostādnēm saistībā ar konferenci par Eiropas nākotni. </w:t>
      </w:r>
    </w:p>
    <w:p>
      <w:pPr>
        <w:pStyle w:val="P68B1DB1Normal110"/>
        <w:widowControl w:val="false"/>
        <w:spacing w:lineRule="auto" w:line="240" w:before="236" w:after="0"/>
        <w:ind w:left="0" w:right="0" w:hanging="0"/>
        <w:jc w:val="both"/>
        <w:rPr/>
      </w:pPr>
      <w:r>
        <w:rPr>
          <w:sz w:val="21"/>
        </w:rPr>
        <w:t>Saistīto</w:t>
      </w:r>
      <w:r>
        <w:rPr>
          <w:b/>
          <w:i/>
          <w:sz w:val="24"/>
        </w:rPr>
        <w:t xml:space="preserve">dialoga formu izstrāde </w:t>
      </w:r>
      <w:r>
        <w:rPr>
          <w:sz w:val="21"/>
        </w:rPr>
        <w:t xml:space="preserve">Tiek izmantotas šādas dialoga formas: </w:t>
      </w:r>
    </w:p>
    <w:p>
      <w:pPr>
        <w:pStyle w:val="P68B1DB1Normal119"/>
        <w:widowControl w:val="false"/>
        <w:spacing w:lineRule="auto" w:line="240" w:before="236" w:after="0"/>
        <w:ind w:left="0" w:right="0" w:hanging="0"/>
        <w:jc w:val="both"/>
        <w:rPr/>
      </w:pPr>
      <w:r>
        <w:rPr>
          <w:rFonts w:ascii="Calibri" w:hAnsi="Calibri"/>
        </w:rPr>
        <w:t>4.</w:t>
      </w:r>
      <w:r>
        <w:rPr/>
        <w:t xml:space="preserve"> </w:t>
      </w:r>
      <w:r>
        <w:rPr>
          <w:rFonts w:ascii="Calibri" w:hAnsi="Calibri"/>
        </w:rPr>
        <w:t>Paneļdiskusijas apsekojums</w:t>
      </w:r>
    </w:p>
    <w:p>
      <w:pPr>
        <w:pStyle w:val="P68B1DB1Normal104"/>
        <w:widowControl w:val="false"/>
        <w:spacing w:lineRule="auto" w:line="240"/>
        <w:ind w:left="0" w:right="0" w:hanging="0"/>
        <w:jc w:val="left"/>
        <w:rPr>
          <w:rFonts w:ascii="Calibri" w:hAnsi="Calibri"/>
          <w:color w:val="000000"/>
          <w:sz w:val="21"/>
        </w:rPr>
      </w:pPr>
      <w:r>
        <w:rPr/>
        <w:t xml:space="preserve">Nīderlandes iedzīvotāju reprezentatīvas izlases apsekojums. </w:t>
      </w:r>
    </w:p>
    <w:p>
      <w:pPr>
        <w:pStyle w:val="P68B1DB1Normal119"/>
        <w:widowControl w:val="false"/>
        <w:spacing w:lineRule="auto" w:line="240"/>
        <w:ind w:left="0" w:right="0" w:hanging="0"/>
        <w:jc w:val="left"/>
        <w:rPr/>
      </w:pPr>
      <w:r>
        <w:rPr>
          <w:rFonts w:ascii="Calibri" w:hAnsi="Calibri"/>
        </w:rPr>
        <w:t>5.</w:t>
      </w:r>
      <w:r>
        <w:rPr/>
        <w:t xml:space="preserve"> </w:t>
      </w:r>
      <w:r>
        <w:rPr>
          <w:rFonts w:ascii="Calibri" w:hAnsi="Calibri"/>
        </w:rPr>
        <w:t>Tiešsaistes tematiskie dialogi padziļināšanai</w:t>
      </w:r>
    </w:p>
    <w:p>
      <w:pPr>
        <w:pStyle w:val="P68B1DB1Normal104"/>
        <w:widowControl w:val="false"/>
        <w:spacing w:lineRule="auto" w:line="240"/>
        <w:ind w:left="0" w:right="0" w:hanging="0"/>
        <w:jc w:val="left"/>
        <w:rPr/>
      </w:pPr>
      <w:r>
        <w:rPr/>
        <w:t xml:space="preserve">Dialogi, ko katru reizi organizē ar nīderlandiešu grupu, lai padziļinātu pirmā starpposma ziņojuma “Mūsu redzējums Eiropai” secinājumus (2021. gada 8. oktobris), sniedzot sākotnēju pārskatu par rezultātiem un papildu jautājumiem.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Dialogi ar konkrētām grupām</w:t>
      </w:r>
    </w:p>
    <w:p>
      <w:pPr>
        <w:pStyle w:val="P68B1DB1Normal104"/>
        <w:widowControl w:val="false"/>
        <w:spacing w:lineRule="auto" w:line="240"/>
        <w:ind w:left="0" w:right="0" w:hanging="0"/>
        <w:jc w:val="left"/>
        <w:rPr>
          <w:rFonts w:ascii="Calibri" w:hAnsi="Calibri"/>
          <w:color w:val="000000"/>
          <w:sz w:val="21"/>
        </w:rPr>
      </w:pPr>
      <w:r>
        <w:rPr/>
        <w:t xml:space="preserve">Tikšanās ar nīderlandiešiem, kuri nepiedalījās aptaujās un paneļdiskusijās (tiešsaistē).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Dialogi ar jauniešiem</w:t>
      </w:r>
    </w:p>
    <w:p>
      <w:pPr>
        <w:pStyle w:val="P68B1DB1Normal104"/>
        <w:widowControl w:val="false"/>
        <w:spacing w:lineRule="auto" w:line="240"/>
        <w:ind w:left="0" w:right="0" w:hanging="0"/>
        <w:jc w:val="left"/>
        <w:rPr>
          <w:rFonts w:ascii="Calibri" w:hAnsi="Calibri"/>
          <w:color w:val="000000"/>
          <w:sz w:val="21"/>
        </w:rPr>
      </w:pPr>
      <w:r>
        <w:rPr/>
        <w:t xml:space="preserve">Sanāksmes, kurās galvenā uzmanība pievērsta jauniešiem aktuālākajiem Eiropas tematiem. </w:t>
      </w:r>
    </w:p>
    <w:p>
      <w:pPr>
        <w:pStyle w:val="Normal"/>
        <w:widowControl w:val="false"/>
        <w:spacing w:lineRule="auto" w:line="240"/>
        <w:ind w:left="0" w:right="0" w:hanging="0"/>
        <w:jc w:val="left"/>
        <w:rPr/>
      </w:pPr>
      <w:r>
        <w:rPr>
          <w:rFonts w:ascii="Calibri" w:hAnsi="Calibri"/>
          <w:b/>
          <w:color w:val="000000"/>
          <w:sz w:val="21"/>
        </w:rPr>
        <w:t>8.</w:t>
      </w:r>
      <w:r>
        <w:rPr>
          <w:b/>
          <w:color w:val="000000"/>
          <w:sz w:val="21"/>
        </w:rPr>
        <w:t xml:space="preserve"> </w:t>
      </w:r>
      <w:r>
        <w:rPr>
          <w:rFonts w:ascii="Calibri" w:hAnsi="Calibri"/>
          <w:b/>
          <w:color w:val="000000"/>
          <w:sz w:val="21"/>
        </w:rPr>
        <w:t>Tiešsaistes sabiedriskā aptauja: Anketa un “Swipen naar de toekomst”</w:t>
      </w:r>
      <w:commentRangeStart w:id="25"/>
      <w:r>
        <w:rPr>
          <w:rFonts w:ascii="Calibri" w:hAnsi="Calibri"/>
          <w:b/>
          <w:color w:val="000000"/>
          <w:sz w:val="21"/>
        </w:rPr>
        <w:t xml:space="preserve">( </w:t>
      </w:r>
      <w:r>
        <w:rPr>
          <w:rFonts w:ascii="Calibri" w:hAnsi="Calibri"/>
          <w:b/>
          <w:color w:val="000000"/>
          <w:sz w:val="21"/>
        </w:rPr>
      </w:r>
      <w:commentRangeEnd w:id="25"/>
      <w:r>
        <w:commentReference w:id="25"/>
      </w:r>
      <w:r>
        <w:rPr>
          <w:rFonts w:ascii="Calibri" w:hAnsi="Calibri"/>
          <w:b/>
          <w:color w:val="000000"/>
          <w:sz w:val="21"/>
        </w:rPr>
        <w:t xml:space="preserve">pārslēgties uz nākotni) </w:t>
      </w:r>
    </w:p>
    <w:p>
      <w:pPr>
        <w:pStyle w:val="P68B1DB1Normal104"/>
        <w:widowControl w:val="false"/>
        <w:spacing w:lineRule="auto" w:line="240"/>
        <w:ind w:left="0" w:right="0" w:hanging="0"/>
        <w:jc w:val="left"/>
        <w:rPr/>
      </w:pPr>
      <w:r>
        <w:rPr/>
        <w:t xml:space="preserve">Paneļdiskusijas aptaujas anketu varētu aizpildīt arī visi nīderlandieši, tostarp tie, kas dzīvo ārvalstīs. Šī anketa bija pieejama no 2021. gada 1. septembra līdz 2021. gada 14. novembrim. Turklāt tajā pašā laikposmā katrs holandietis varēja piedalīties darbībā “Swipen naar de toekomst” (Swiper to the future), kas ir tiešsaistes rīks, kurā tika iesniegtas 20 prasības. </w:t>
      </w:r>
    </w:p>
    <w:p>
      <w:pPr>
        <w:pStyle w:val="P68B1DB1Normal108"/>
        <w:widowControl w:val="false"/>
        <w:spacing w:lineRule="auto" w:line="240" w:before="229" w:after="0"/>
        <w:ind w:left="0" w:right="0" w:hanging="0"/>
        <w:jc w:val="left"/>
        <w:rPr>
          <w:rFonts w:ascii="Calibri" w:hAnsi="Calibri"/>
          <w:b/>
          <w:b/>
          <w:i/>
          <w:i/>
          <w:color w:val="000000"/>
          <w:sz w:val="24"/>
        </w:rPr>
      </w:pPr>
      <w:r>
        <w:rPr/>
        <w:t xml:space="preserve">1. Paneļdiskusijas apsekojums </w:t>
      </w:r>
    </w:p>
    <w:p>
      <w:pPr>
        <w:pStyle w:val="P68B1DB1Normal104"/>
        <w:widowControl w:val="false"/>
        <w:spacing w:lineRule="auto" w:line="240" w:before="118" w:after="0"/>
        <w:ind w:left="0" w:right="0" w:hanging="0"/>
        <w:jc w:val="left"/>
        <w:rPr/>
      </w:pPr>
      <w:r>
        <w:rPr/>
        <w:t xml:space="preserve">Nīderlandes pilsoņu dialogs “Eiropas redzējums” sākās 1. septembrī ar paneļdiskusiju. Šajā aptaujas metodikas aprakstā mēs īsi izskaidrojam šīs aptaujas struktūru un īstenošanu komisijai. </w:t>
      </w:r>
    </w:p>
    <w:p>
      <w:pPr>
        <w:pStyle w:val="P68B1DB1Normal107"/>
        <w:widowControl w:val="false"/>
        <w:spacing w:lineRule="auto" w:line="240" w:before="43" w:after="0"/>
        <w:ind w:left="0" w:right="0" w:hanging="0"/>
        <w:jc w:val="left"/>
        <w:rPr>
          <w:rFonts w:ascii="Calibri" w:hAnsi="Calibri"/>
          <w:i/>
          <w:i/>
          <w:color w:val="000000"/>
          <w:sz w:val="24"/>
        </w:rPr>
      </w:pPr>
      <w:r>
        <w:rPr/>
        <w:t xml:space="preserve">Mērķgrupa un mērķgrupa </w:t>
      </w:r>
    </w:p>
    <w:p>
      <w:pPr>
        <w:pStyle w:val="Normal"/>
        <w:widowControl w:val="false"/>
        <w:spacing w:lineRule="auto" w:line="240" w:before="123" w:after="0"/>
        <w:ind w:left="0" w:right="0" w:hanging="0"/>
        <w:jc w:val="left"/>
        <w:rPr/>
      </w:pPr>
      <w:r>
        <w:rPr>
          <w:rFonts w:ascii="Calibri" w:hAnsi="Calibri"/>
          <w:color w:val="000000"/>
          <w:sz w:val="21"/>
        </w:rPr>
        <w:t>Aptauja “Vision of Europe” sākās ar tiešsaistes anketu par to, kā Nīderlandes iedzīvotāji redz Eiropas nākotni. Šī anketa ir iesniegta pārstāvju grupai, un tā ir pieejama arī visiem nīderlandiešiem (tostarp tiem, kas dzīvo ārvalstīs). Turklāt katra persona varēja piedalīties darbībā “Swipen naar de toekomst”</w:t>
      </w:r>
      <w:commentRangeStart w:id="26"/>
      <w:r>
        <w:rPr>
          <w:rFonts w:ascii="Calibri" w:hAnsi="Calibri"/>
          <w:color w:val="000000"/>
          <w:sz w:val="21"/>
        </w:rPr>
        <w:t>(Swipen naar de toekomst) (Swipen</w:t>
      </w:r>
      <w:r>
        <w:rPr>
          <w:rFonts w:ascii="Calibri" w:hAnsi="Calibri"/>
          <w:color w:val="000000"/>
          <w:sz w:val="21"/>
        </w:rPr>
      </w:r>
      <w:commentRangeEnd w:id="26"/>
      <w:r>
        <w:commentReference w:id="26"/>
      </w:r>
      <w:r>
        <w:rPr>
          <w:rFonts w:ascii="Calibri" w:hAnsi="Calibri"/>
          <w:color w:val="000000"/>
          <w:sz w:val="21"/>
        </w:rPr>
        <w:t xml:space="preserve"> naar de toekomst) — tiešsaistes rīks, kas piedāvā 20 prasības. Paneļdiskusijas rezultāti veicināja vairākus tematiskos dialogus, kas tika organizēti kā turpinājums pilsoņu dialoga procesam “Eiropas redzējums”.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Paneļdiskusija aptver visus Nīderlandes iedzīvotājus vecumā no 18 gadiem, kuri bija reģistrēti kā iedzīvotāji iedzīvotāju reģistrā laikā, kad sākās lauka darbs. Saskaņā ar Nīderlandes Valsts statistikas biroja (Centraal Bureau voor de Statistiek — CBS) datiem šai mērķgrupai 2021. gada 1. janvārī bija 14 190 874 cilvēki. Minimālais 18 gadu ierobežojums atbilst vēlēšanu vairākumam. Mēs to saucam par paneļdiskusiju populāciju.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07"/>
        <w:spacing w:lineRule="auto" w:line="240"/>
        <w:ind w:left="0" w:right="0" w:hanging="0"/>
        <w:rPr>
          <w:rFonts w:ascii="Calibri" w:hAnsi="Calibri"/>
          <w:i/>
          <w:i/>
          <w:color w:val="000000"/>
          <w:sz w:val="24"/>
        </w:rPr>
      </w:pPr>
      <w:r>
        <w:rPr/>
        <w:t xml:space="preserve">Darbs uz vietas </w:t>
      </w:r>
    </w:p>
    <w:p>
      <w:pPr>
        <w:pStyle w:val="P68B1DB1Normal104"/>
        <w:widowControl w:val="false"/>
        <w:spacing w:lineRule="auto" w:line="240" w:before="127" w:after="0"/>
        <w:ind w:left="0" w:right="0" w:hanging="0"/>
        <w:jc w:val="left"/>
        <w:rPr/>
      </w:pPr>
      <w:r>
        <w:rPr/>
        <w:t xml:space="preserve">Vairāk nekā 100 000 dalībnieku no visas valsts (ISO sertificēts, Research Keurmerk groep, Nederlandse marktonderzoek Associatie) tika izmantots, lai iegūtu “Medium Dutch” digitālo attēlu. Šie dalībnieki piedalījās aptaujas paneļdiskusijā, lai regulāri paustu savu viedokli par plašu tematu loku. Papildus viņu patiesajai motivācijai sniegt ieguldījumu viņiem tiek maksāts, lai atbildētu uz anketas jautājumiem. Vairāki zinātniskie pētījumi liecina, ka respondenti, kuri saņem kompensāciju par anketas aizpildīšanu, nesniedz būtiski atšķirīgas atbildes (avots: Vai apsekojumu stimulu izmantošana pasliktina datu kvalitāti?Cole,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Darbs uz vietas sākās 2021. gada 11. augustā un beidzās 2021. gada 19. septembrī. Ieviešanai tika izmantota tikai viena datu vākšanas metode, t. i., interneta apsekojums. Aptaujas komisijas locekļi saņēma e-pastu ar personisku saiti uz tiešsaistes anketu. Pēc divām nedēļām žūrijas dalībnieki saņēma atgādinājumu. Uzaicinājumi piedalīties tika nosūtīti pa partijām un stratificēti (nodrošinot vienādu apakšgrupu sadalījumu), līdz tika sasniegts nepieciešamais respondentu skaits. </w:t>
      </w:r>
    </w:p>
    <w:p>
      <w:pPr>
        <w:pStyle w:val="P68B1DB1Normal107"/>
        <w:widowControl w:val="false"/>
        <w:spacing w:lineRule="auto" w:line="240" w:before="42" w:after="0"/>
        <w:ind w:left="0" w:right="0" w:hanging="0"/>
        <w:jc w:val="left"/>
        <w:rPr>
          <w:rFonts w:ascii="Calibri" w:hAnsi="Calibri"/>
          <w:i/>
          <w:i/>
          <w:color w:val="000000"/>
          <w:sz w:val="24"/>
        </w:rPr>
      </w:pPr>
      <w:r>
        <w:rPr/>
        <w:t xml:space="preserve">Paraugu ņemšana un izplatīšana </w:t>
      </w:r>
    </w:p>
    <w:p>
      <w:pPr>
        <w:pStyle w:val="P68B1DB1Normal104"/>
        <w:widowControl w:val="false"/>
        <w:spacing w:lineRule="auto" w:line="240" w:before="123" w:after="0"/>
        <w:ind w:left="0" w:right="0" w:hanging="0"/>
        <w:jc w:val="left"/>
        <w:rPr/>
      </w:pPr>
      <w:r>
        <w:rPr/>
        <w:t xml:space="preserve">Apsekojuma pamatā ir princips, ka apsekojumā jāpiedalās vismaz 3600 respondentu, lai nodrošinātu labu statistisko ticamību. Turklāt šis skaitlis nodrošina labu sadalījumu starp dažādām iedzīvotāju vispārējām iezīmēm. Nav tikai viena veida holandietis. Tāpēc mēs jau iepriekš esam nodrošinājuši, ka izlase ir labi sadalīta vairākās īpašībās. Nīderlande ir salīdzinoši maza valsts, taču viedokļi var atšķirties atkarībā no reģiona. Tēmu pozicionēšanu un nozīmi (daļēji) var noteikt reģions, kurā dzīvojat. Piemēram, cilvēki, kas dzīvo lauku apvidos, tādu tematu kā drošība var saprast citādi nekā pilsētu teritorijās. Nīderlandes Sociālās un kultūras plānošanas biroja pētījumi arī liecina, ka cilvēki ar augstāku studiju līmeni biežāk atbalsta ES nekā tie, kuriem ir zemāks studiju līmenis, un ka jaunieši vairāk atbalsta ES nekā vecāka gadagājuma cilvēki (avots: Wat willen Nederlanders van de Europese Unie?Nīderlandes Sociālais un kultūras birojs, Hāga,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Tāpēc, lai nodrošinātu izlases reprezentativitāti, iepriekš esam proporcionāli iedalījuši šādus trīs raksturlielumus: 1) dzīvesvieta COROP reģionos, 2) vecuma un 3) izglītības līmenis. Parauga sadalījums tika atspoguļots arī saskaņā ar šādiem vispārīgiem raksturlielumiem: dzimums, izcelsme, galvenā nodarbošanās, politiskā orientācija.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 reģioni ir izveidoti, pamatojoties uz mezgla principu (“sirds” ar pievilcības zonu vai reģionālu funkciju), pamatojoties uz to cilvēku plūsmu, kuri pārvietojas. Ir pieļauti daži mezgla principa pārkāpumi, lai reģioni ievērotu provinču robežas. Pēc pašvaldību reorganizācijas ārpus COROP robežām sadalījums tika koriģēts (avots: Nīderlandes Valsts statistikas birojs). COROP reģionos mēs esam nodrošinājuši labu sadalījumu starp vecuma grupām ar šādu sadalījumu: vecumā no 18 līdz 34 gadiem, 35–54 gadu vecumā, 55–75 gadu vecumā un virs 75 gadiem.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Visbeidzot, mēs nodrošinājām reprezentatīvu izglītības līmeņu sadalījumu. Izlasē respondentu sadalījums atbilst augstākā izglītības līmeņa sadalījumam valsts līmenī, kas ir šāds: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r>
      <w:r>
        <w:br w:type="page"/>
      </w:r>
    </w:p>
    <w:p>
      <w:pPr>
        <w:pStyle w:val="P68B1DB1Normal120"/>
        <w:spacing w:lineRule="auto" w:line="240"/>
        <w:ind w:left="0" w:right="0" w:hanging="0"/>
        <w:rPr>
          <w:rFonts w:ascii="Calibri" w:hAnsi="Calibri"/>
          <w:b/>
          <w:b/>
          <w:color w:val="000000"/>
          <w:sz w:val="21"/>
        </w:rPr>
      </w:pPr>
      <w:r>
        <w:rPr/>
        <w:t xml:space="preserve">Augstākais izglītības līmenis </w:t>
      </w:r>
    </w:p>
    <w:tbl>
      <w:tblPr>
        <w:tblW w:w="9180"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7649"/>
        <w:gridCol w:w="1530"/>
      </w:tblGrid>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Zema cena: pamatizglītība, sagatavošanas profesionālā izglītība, vispārējās vidējās izglītības/pirmsuniversitātes 1.-3. klase, vidējās profesionālās izglītības līmenis 1</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Starpprodukts: Vispārējā vidējā izglītība/pirmsuniversitātes izglītība, vidējā profesionālā izglītība no 2. līdz 4. līmenim</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Augstais augstums: augstākā profesionālā izglītība vai universitātes izglītība</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76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Nav zināms</w:t>
            </w:r>
          </w:p>
        </w:tc>
        <w:tc>
          <w:tcPr>
            <w:tcW w:w="153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Atbildes reakcijas rādītājs </w:t>
      </w:r>
    </w:p>
    <w:p>
      <w:pPr>
        <w:pStyle w:val="P68B1DB1Normal104"/>
        <w:widowControl w:val="false"/>
        <w:spacing w:lineRule="exact" w:line="283" w:before="87" w:after="0"/>
        <w:ind w:left="0" w:right="368" w:hanging="0"/>
        <w:jc w:val="left"/>
        <w:rPr/>
      </w:pPr>
      <w:r>
        <w:rPr/>
        <w:t xml:space="preserve">Aptaujā piedalījās 4086 cilvēki no katras paneļdiskusijas. Tāpēc ir sasniegts mērķis — pilnībā aizpildītas 3600 anketas. </w:t>
      </w:r>
    </w:p>
    <w:tbl>
      <w:tblPr>
        <w:tblW w:w="9638" w:type="dxa"/>
        <w:jc w:val="left"/>
        <w:tblInd w:w="0" w:type="dxa"/>
        <w:tblBorders/>
        <w:tblCellMar>
          <w:top w:w="28" w:type="dxa"/>
          <w:left w:w="28" w:type="dxa"/>
          <w:bottom w:w="28" w:type="dxa"/>
          <w:right w:w="28" w:type="dxa"/>
        </w:tblCellMar>
      </w:tblPr>
      <w:tblGrid>
        <w:gridCol w:w="4016"/>
        <w:gridCol w:w="1348"/>
        <w:gridCol w:w="1348"/>
        <w:gridCol w:w="1574"/>
        <w:gridCol w:w="1352"/>
      </w:tblGrid>
      <w:tr>
        <w:trPr>
          <w:trHeight w:val="356" w:hRule="atLeast"/>
        </w:trPr>
        <w:tc>
          <w:tcPr>
            <w:tcW w:w="4016" w:type="dxa"/>
            <w:tcBorders/>
            <w:shd w:fill="auto" w:val="clear"/>
            <w:vAlign w:val="bottom"/>
          </w:tcPr>
          <w:p>
            <w:pPr>
              <w:pStyle w:val="P68B1DB1Contenudetableau122"/>
              <w:spacing w:before="57" w:after="57"/>
              <w:jc w:val="left"/>
              <w:rPr>
                <w:b/>
                <w:b/>
                <w:color w:val="000000"/>
              </w:rPr>
            </w:pPr>
            <w:r>
              <w:rPr/>
              <w:t>COROP reģionu un vecuma atbildes</w:t>
            </w:r>
          </w:p>
        </w:tc>
        <w:tc>
          <w:tcPr>
            <w:tcW w:w="1348" w:type="dxa"/>
            <w:tcBorders/>
            <w:shd w:fill="auto" w:val="clear"/>
            <w:vAlign w:val="bottom"/>
          </w:tcPr>
          <w:p>
            <w:pPr>
              <w:pStyle w:val="P68B1DB1Contenudetableau122"/>
              <w:spacing w:before="57" w:after="57"/>
              <w:jc w:val="left"/>
              <w:rPr>
                <w:b/>
                <w:b/>
                <w:color w:val="000000"/>
              </w:rPr>
            </w:pPr>
            <w:r>
              <w:rPr/>
              <w:t>Vecumā no 18 līdz 34 gadiem</w:t>
            </w:r>
          </w:p>
        </w:tc>
        <w:tc>
          <w:tcPr>
            <w:tcW w:w="1348" w:type="dxa"/>
            <w:tcBorders/>
            <w:shd w:fill="auto" w:val="clear"/>
            <w:vAlign w:val="bottom"/>
          </w:tcPr>
          <w:p>
            <w:pPr>
              <w:pStyle w:val="P68B1DB1Contenudetableau122"/>
              <w:spacing w:before="57" w:after="57"/>
              <w:jc w:val="left"/>
              <w:rPr>
                <w:b/>
                <w:b/>
                <w:color w:val="000000"/>
              </w:rPr>
            </w:pPr>
            <w:r>
              <w:rPr/>
              <w:t>Vecumā no 35 līdz 54 gadiem</w:t>
            </w:r>
          </w:p>
        </w:tc>
        <w:tc>
          <w:tcPr>
            <w:tcW w:w="1574" w:type="dxa"/>
            <w:tcBorders/>
            <w:shd w:fill="auto" w:val="clear"/>
            <w:vAlign w:val="bottom"/>
          </w:tcPr>
          <w:p>
            <w:pPr>
              <w:pStyle w:val="P68B1DB1Contenudetableau122"/>
              <w:spacing w:before="57" w:after="57"/>
              <w:jc w:val="left"/>
              <w:rPr>
                <w:b/>
                <w:b/>
                <w:color w:val="000000"/>
              </w:rPr>
            </w:pPr>
            <w:r>
              <w:rPr/>
              <w:t>Vecumā no 55 līdz 75 gadiem</w:t>
            </w:r>
          </w:p>
        </w:tc>
        <w:tc>
          <w:tcPr>
            <w:tcW w:w="1352" w:type="dxa"/>
            <w:tcBorders/>
            <w:shd w:fill="auto" w:val="clear"/>
            <w:vAlign w:val="bottom"/>
          </w:tcPr>
          <w:p>
            <w:pPr>
              <w:pStyle w:val="P68B1DB1Contenudetableau122"/>
              <w:spacing w:before="57" w:after="57"/>
              <w:jc w:val="left"/>
              <w:rPr>
                <w:b/>
                <w:b/>
                <w:color w:val="000000"/>
              </w:rPr>
            </w:pPr>
            <w:r>
              <w:rPr/>
              <w:t xml:space="preserve"> </w:t>
            </w:r>
            <w:r>
              <w:rPr/>
              <w:t>vairāk nekā 75 gadus vecs</w:t>
            </w:r>
          </w:p>
        </w:tc>
      </w:tr>
      <w:tr>
        <w:trPr>
          <w:trHeight w:val="53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Ziemeļu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Drentes dienvidaustrumi</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Dienvidrietumi no Drenthe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 (Flevoland)</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Ziemeļfrīzlenda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Dienvidaustrumi no Frīzlandes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Dienvidrietumi no Frīzlandes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 Achterhoek Sistēmas Prasības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 Veluwe</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Gelderlandes dienvidrietumu daļa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Austrumu Groningena (Austrumu Groningena)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Atpūta Groningen</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Centrālā Limburga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Limburgas ziemeļu daļa</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Limburgas dienvidu daļa </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38</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06" w:hRule="atLeast"/>
        </w:trPr>
        <w:tc>
          <w:tcPr>
            <w:tcW w:w="40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Ziemeļu Brabantes centrs</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34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57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35</w:t>
            </w:r>
          </w:p>
        </w:tc>
        <w:tc>
          <w:tcPr>
            <w:tcW w:w="135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bl>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4106"/>
        <w:gridCol w:w="1393"/>
        <w:gridCol w:w="1393"/>
        <w:gridCol w:w="1370"/>
        <w:gridCol w:w="1376"/>
      </w:tblGrid>
      <w:tr>
        <w:trPr>
          <w:trHeight w:val="356" w:hRule="atLeast"/>
        </w:trPr>
        <w:tc>
          <w:tcPr>
            <w:tcW w:w="4106" w:type="dxa"/>
            <w:tcBorders/>
            <w:shd w:fill="auto" w:val="clear"/>
            <w:vAlign w:val="bottom"/>
          </w:tcPr>
          <w:p>
            <w:pPr>
              <w:pStyle w:val="P68B1DB1Contenudetableau122"/>
              <w:spacing w:before="57" w:after="57"/>
              <w:jc w:val="left"/>
              <w:rPr>
                <w:b/>
                <w:b/>
                <w:color w:val="000000"/>
              </w:rPr>
            </w:pPr>
            <w:r>
              <w:rPr/>
              <w:t xml:space="preserve">COROP reģionu un vecuma atbildes </w:t>
            </w:r>
          </w:p>
        </w:tc>
        <w:tc>
          <w:tcPr>
            <w:tcW w:w="1393" w:type="dxa"/>
            <w:tcBorders/>
            <w:shd w:fill="auto" w:val="clear"/>
            <w:vAlign w:val="bottom"/>
          </w:tcPr>
          <w:p>
            <w:pPr>
              <w:pStyle w:val="P68B1DB1Contenudetableau122"/>
              <w:spacing w:before="57" w:after="57"/>
              <w:jc w:val="left"/>
              <w:rPr>
                <w:b/>
                <w:b/>
                <w:color w:val="000000"/>
              </w:rPr>
            </w:pPr>
            <w:r>
              <w:rPr/>
              <w:t>Vecumā no 18 līdz 34 gadiem</w:t>
            </w:r>
          </w:p>
        </w:tc>
        <w:tc>
          <w:tcPr>
            <w:tcW w:w="1393" w:type="dxa"/>
            <w:tcBorders/>
            <w:shd w:fill="auto" w:val="clear"/>
            <w:vAlign w:val="bottom"/>
          </w:tcPr>
          <w:p>
            <w:pPr>
              <w:pStyle w:val="P68B1DB1Contenudetableau122"/>
              <w:spacing w:before="57" w:after="57"/>
              <w:jc w:val="left"/>
              <w:rPr>
                <w:b/>
                <w:b/>
                <w:color w:val="000000"/>
              </w:rPr>
            </w:pPr>
            <w:r>
              <w:rPr/>
              <w:t>Vecumā no 35 līdz 54 gadiem</w:t>
            </w:r>
          </w:p>
        </w:tc>
        <w:tc>
          <w:tcPr>
            <w:tcW w:w="1370" w:type="dxa"/>
            <w:tcBorders/>
            <w:shd w:fill="auto" w:val="clear"/>
            <w:vAlign w:val="bottom"/>
          </w:tcPr>
          <w:p>
            <w:pPr>
              <w:pStyle w:val="P68B1DB1Contenudetableau122"/>
              <w:spacing w:before="57" w:after="57"/>
              <w:jc w:val="left"/>
              <w:rPr>
                <w:b/>
                <w:b/>
                <w:color w:val="000000"/>
              </w:rPr>
            </w:pPr>
            <w:r>
              <w:rPr/>
              <w:t>Vecumā no 55 līdz 75 gadiem</w:t>
            </w:r>
          </w:p>
        </w:tc>
        <w:tc>
          <w:tcPr>
            <w:tcW w:w="1376" w:type="dxa"/>
            <w:tcBorders/>
            <w:shd w:fill="auto" w:val="clear"/>
            <w:vAlign w:val="bottom"/>
          </w:tcPr>
          <w:p>
            <w:pPr>
              <w:pStyle w:val="P68B1DB1Contenudetableau122"/>
              <w:spacing w:before="57" w:after="57"/>
              <w:jc w:val="left"/>
              <w:rPr>
                <w:b/>
                <w:b/>
                <w:color w:val="000000"/>
              </w:rPr>
            </w:pPr>
            <w:r>
              <w:rPr/>
              <w:t>vairāk nekā 75 gadus vecs</w:t>
            </w:r>
          </w:p>
        </w:tc>
      </w:tr>
      <w:tr>
        <w:trPr>
          <w:trHeight w:val="53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Uz ziemeļaustrumiem no Ziemeļbrabantes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Uz rietumiem no Ziemeļbrabantes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Ziemeļaustrumu Brabantes dienvidaustrumi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Hārlemas aglomerācija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un tās apkārtne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Lieliska Amsterdama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88</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un Vechtstreek</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 IJmond</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Ziemeļholandes tips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reģions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Ziemeļu Overeisela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 Twente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41</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Dienvidrietumi no Overijssel</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Utrehta (Utrehta)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Pārējā Zēlande</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23</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Zēlandes Flandrija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Leidenas aglomerācija un sīpolu reģions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30</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Hāgas aglomerācija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70</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57</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Delfta un Vestlenda</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19</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 Sistēmas Prasības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103</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107</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99</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w:t>
            </w:r>
          </w:p>
        </w:tc>
      </w:tr>
      <w:tr>
        <w:trPr>
          <w:trHeight w:val="521"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Uz austrumiem no Dienvidholandes</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06" w:hRule="atLeast"/>
        </w:trPr>
        <w:tc>
          <w:tcPr>
            <w:tcW w:w="410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Dienvidholandes dienvidaustrumi</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24</w:t>
            </w:r>
          </w:p>
        </w:tc>
        <w:tc>
          <w:tcPr>
            <w:tcW w:w="139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37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w:t>
            </w:r>
          </w:p>
        </w:tc>
      </w:tr>
    </w:tbl>
    <w:p>
      <w:pPr>
        <w:pStyle w:val="Normal"/>
        <w:spacing w:lineRule="auto" w:line="240"/>
        <w:ind w:left="0" w:right="0" w:hanging="0"/>
        <w:rPr/>
      </w:pPr>
      <w:r>
        <w:rPr/>
      </w:r>
    </w:p>
    <w:p>
      <w:pPr>
        <w:pStyle w:val="P68B1DB1Normal120"/>
        <w:spacing w:lineRule="auto" w:line="240"/>
        <w:ind w:left="0" w:right="0" w:hanging="0"/>
        <w:rPr>
          <w:rFonts w:ascii="Calibri" w:hAnsi="Calibri"/>
          <w:b/>
          <w:b/>
          <w:color w:val="000000"/>
          <w:sz w:val="21"/>
        </w:rPr>
      </w:pPr>
      <w:r>
        <w:rPr/>
        <w:t xml:space="preserve">Atbildes atkarībā no izglītības līmeņa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5937"/>
        <w:gridCol w:w="1863"/>
        <w:gridCol w:w="1838"/>
      </w:tblGrid>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Zema cena</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Starpnieks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Augstas kvalitātes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Nav zināms</w:t>
            </w:r>
          </w:p>
        </w:tc>
        <w:tc>
          <w:tcPr>
            <w:tcW w:w="18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07"/>
        <w:spacing w:lineRule="auto" w:line="240"/>
        <w:ind w:left="0" w:right="0" w:hanging="0"/>
        <w:rPr>
          <w:rFonts w:ascii="Calibri" w:hAnsi="Calibri"/>
          <w:i/>
          <w:i/>
          <w:color w:val="000000"/>
          <w:sz w:val="24"/>
        </w:rPr>
      </w:pPr>
      <w:r>
        <w:rPr/>
        <w:t xml:space="preserve">Uzticamība un reprezentativitāte </w:t>
      </w:r>
    </w:p>
    <w:p>
      <w:pPr>
        <w:pStyle w:val="P68B1DB1Normal104"/>
        <w:widowControl w:val="false"/>
        <w:spacing w:lineRule="auto" w:line="240" w:before="87" w:after="0"/>
        <w:ind w:left="0" w:right="0" w:hanging="0"/>
        <w:jc w:val="left"/>
        <w:rPr/>
      </w:pPr>
      <w:r>
        <w:rPr/>
        <w:t xml:space="preserve">4086 respondentu skaits ļauj veikt novērojumus visai datu kopai ar 95 % ticamības līmeni un 1,53 % kļūdu. Rezultātu ticamības līmeni un kļūdas robežu nosaka pēc izlases lieluma. Jo lielāks paraugs, jo ticamāki un precīzāki rezultāti var tikt ekstrapolēti uz visu datu kopu.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Ticamības līmenis ir definēts kā 1 (100 %) mīnus nozīmes līmenis. Ir vispārpieņemts, ka pamatā ir 5 % nozīmes līmenis. Mēs runājam par 95 % uzticības līmeni. Citiem vārdiem sakot, ja apsekojums tiktu atkārtots tādā pašā veidā un ar tādiem pašiem nosacījumiem, 95 % gadījumu rezultāti būtu tādi paši. </w:t>
      </w:r>
    </w:p>
    <w:p>
      <w:pPr>
        <w:pStyle w:val="P68B1DB1Normal104"/>
        <w:widowControl w:val="false"/>
        <w:spacing w:lineRule="auto" w:line="240"/>
        <w:ind w:left="0" w:right="0" w:hanging="0"/>
        <w:jc w:val="left"/>
        <w:rPr/>
      </w:pPr>
      <w:r>
        <w:rPr/>
        <w:t xml:space="preserve">Precizitāte (izteikta ar kļūdas robežu) norāda vērtību diapazonu, kurā atrodas faktiskā vērtība datu kopā. Citiem vārdiem sakot: kāda būtu maksimālā atšķirība starp izlases rezultātiem un rezultātiem, kas tiktu iegūti no kopas kopumā? Kļūdas robeža 1,53 % nozīmē, ka faktiskā vērtība kopējā datu kopā var būt par 1,53 % lielāka vai mazāka par izlases vērtību. Piemēram, ja cilvēku izlases apsekojums liecina, ka 50 % respondentu uzskata, ka konkrēta tēma ir svarīga, faktiskā procentuālā daļa ir 1,53 % lielāka vai mazāka par šo 50 %, t. i., no 48,47 līdz 51,53 %. Maksimālā kļūdas robeža 5 % apmērā ir izplatīta un vispārpieņemta kvantitatīvos pētījumos (statistika). </w:t>
      </w:r>
    </w:p>
    <w:p>
      <w:pPr>
        <w:pStyle w:val="P68B1DB1Normal104"/>
        <w:widowControl w:val="false"/>
        <w:spacing w:lineRule="auto" w:line="240"/>
        <w:ind w:left="0" w:right="0" w:hanging="0"/>
        <w:jc w:val="left"/>
        <w:rPr/>
      </w:pPr>
      <w:r>
        <w:rPr/>
        <w:t xml:space="preserve">Papildus uzticamībai svarīga ir izlases reprezentativitāte. Tā kā uzaicinājumi piedalīties ir nosūtīti pa partijām un stratificēti, rezultāti ir reprezentatīvi attiecībā uz COROP reģiona un vecuma grupu īpašībām pa COROP reģioniem. Atbildes ir reprezentatīvas arī no izglītības līmeņa viedokļa salīdzinājumā ar augstāko izglītības līmeni, kas sasniegts valsts līmenī. </w:t>
      </w:r>
    </w:p>
    <w:p>
      <w:pPr>
        <w:pStyle w:val="P68B1DB1Normal107"/>
        <w:widowControl w:val="false"/>
        <w:spacing w:lineRule="auto" w:line="240"/>
        <w:ind w:left="0" w:right="0" w:hanging="0"/>
        <w:jc w:val="left"/>
        <w:rPr>
          <w:rFonts w:ascii="Calibri" w:hAnsi="Calibri"/>
          <w:i/>
          <w:i/>
          <w:color w:val="000000"/>
          <w:sz w:val="24"/>
        </w:rPr>
      </w:pPr>
      <w:r>
        <w:rPr/>
        <w:t xml:space="preserve">Citas vispārīgas īpašības </w:t>
      </w:r>
    </w:p>
    <w:p>
      <w:pPr>
        <w:pStyle w:val="P68B1DB1Normal104"/>
        <w:widowControl w:val="false"/>
        <w:spacing w:lineRule="auto" w:line="240" w:before="5" w:after="0"/>
        <w:ind w:left="0" w:right="0" w:hanging="0"/>
        <w:jc w:val="left"/>
        <w:rPr/>
      </w:pPr>
      <w:r>
        <w:rPr/>
        <w:t xml:space="preserve">Paneļdiskusijā tika uzdoti vairāki papildu kontekstuāli jautājumi, lai aptaujātu dalībniekus. To vidū ir dzimums, ES pozicionēšana, izcelsme, galvenā nodarbošanās un politiskā partija, par kuru persona balsotu vēlēšanu gadījumā. </w:t>
      </w:r>
    </w:p>
    <w:p>
      <w:pPr>
        <w:pStyle w:val="P68B1DB1Normal104"/>
        <w:widowControl w:val="false"/>
        <w:spacing w:lineRule="auto" w:line="240"/>
        <w:ind w:left="0" w:right="0" w:hanging="0"/>
        <w:jc w:val="left"/>
        <w:rPr/>
      </w:pPr>
      <w:r>
        <w:rPr/>
        <w:t xml:space="preserve">49 % respondentu ir vīrieši, 50 % ir sievietes un 1 % nevēlas atbildēt uz šo jautājumu. </w:t>
      </w:r>
    </w:p>
    <w:p>
      <w:pPr>
        <w:pStyle w:val="Normal"/>
        <w:widowControl w:val="false"/>
        <w:spacing w:lineRule="auto" w:line="240"/>
        <w:ind w:left="0" w:right="0" w:hanging="0"/>
        <w:jc w:val="left"/>
        <w:rPr/>
      </w:pPr>
      <w:r>
        <w:rPr>
          <w:rFonts w:ascii="Calibri" w:hAnsi="Calibri"/>
          <w:color w:val="000000"/>
          <w:sz w:val="21"/>
        </w:rPr>
        <w:t xml:space="preserve">51 % respondentu uzskata, ka ir labi, ja Nīderlande būtu ES dalībvalsts, 13 % uzskata, ka tas ir slikti, un 36 % ir neitrāli vai tiem nav viedokļa. </w:t>
      </w:r>
      <w:r>
        <w:br w:type="page"/>
      </w:r>
    </w:p>
    <w:p>
      <w:pPr>
        <w:pStyle w:val="P68B1DB1Normal104"/>
        <w:spacing w:lineRule="auto" w:line="240"/>
        <w:ind w:left="0" w:right="0" w:hanging="0"/>
        <w:rPr/>
      </w:pPr>
      <w:r>
        <w:rPr/>
        <w:t xml:space="preserve">95 % respondentu ir dzimuši Nīderlandē. 89 % respondentu norādīja, ka abi vecāki ir dzimuši Nīderlandē. 5 % ir dzimuši diviem vecākiem, kas paši ir dzimuši ārvalstīs.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P68B1DB1Normal107"/>
        <w:widowControl w:val="false"/>
        <w:spacing w:lineRule="exact" w:line="375" w:before="33" w:after="0"/>
        <w:ind w:left="1" w:right="0" w:hanging="0"/>
        <w:jc w:val="left"/>
        <w:rPr>
          <w:rFonts w:ascii="Calibri" w:hAnsi="Calibri"/>
          <w:i/>
          <w:i/>
          <w:color w:val="000000"/>
          <w:sz w:val="24"/>
        </w:rPr>
      </w:pPr>
      <w:r>
        <w:rPr/>
        <w:t xml:space="preserve">Respondentu pašreizējā politiskā orientācija </w:t>
      </w:r>
    </w:p>
    <w:p>
      <w:pPr>
        <w:pStyle w:val="P68B1DB1Normal120"/>
        <w:widowControl w:val="false"/>
        <w:spacing w:lineRule="exact" w:line="352" w:before="34" w:after="0"/>
        <w:ind w:left="63" w:right="0" w:hanging="0"/>
        <w:jc w:val="left"/>
        <w:rPr>
          <w:rFonts w:ascii="Calibri" w:hAnsi="Calibri"/>
          <w:b/>
          <w:b/>
          <w:color w:val="000000"/>
          <w:sz w:val="21"/>
        </w:rPr>
      </w:pPr>
      <w:r>
        <w:rPr/>
        <w:t xml:space="preserve">Skatīt visas atsauksmes </w:t>
        <w:tab/>
        <w:tab/>
        <w:tab/>
        <w:tab/>
        <w:tab/>
        <w:tab/>
        <w:tab/>
        <w:tab/>
        <w:tab/>
        <w:tab/>
        <w:t>%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(Tautas partija brīvībai un demokrātijai)</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(Brīvības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(Sociālistu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(Demokrāti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(Kristīgo demokrātu izsaukums)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(Darba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(Dzīvnieku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(Zaļais kreisais)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(Kristīgā savienība)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 SISTĒMAS PRASĪBAS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(lauksaimniecības pilsoņu kustība)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(Demokrātijas forums)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VPS (Reformēta politiskā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 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 DENK SISTĒMAS PRASĪBAS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 Sistēmas Prasības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Citas preces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Baltā balsošana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8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 nevēlos atbildēt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6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 nebalsoju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P68B1DB1Normal107"/>
        <w:spacing w:lineRule="auto" w:line="240"/>
        <w:ind w:left="0" w:right="0" w:hanging="0"/>
        <w:rPr>
          <w:rFonts w:ascii="Calibri" w:hAnsi="Calibri"/>
          <w:i/>
          <w:i/>
          <w:color w:val="000000"/>
          <w:sz w:val="24"/>
        </w:rPr>
      </w:pPr>
      <w:r>
        <w:rPr/>
        <w:t xml:space="preserve">Kāda šobrīd ir jūsu galvenā nodarbošanās? </w:t>
      </w:r>
    </w:p>
    <w:p>
      <w:pPr>
        <w:pStyle w:val="Normal"/>
        <w:spacing w:lineRule="auto" w:line="240"/>
        <w:ind w:left="0" w:right="0" w:hanging="0"/>
        <w:rPr/>
      </w:pPr>
      <w:r>
        <w:rPr/>
      </w:r>
    </w:p>
    <w:tbl>
      <w:tblPr>
        <w:tblW w:w="9638" w:type="dxa"/>
        <w:jc w:val="left"/>
        <w:tblInd w:w="0" w:type="dxa"/>
        <w:tblBorders/>
        <w:tblCellMar>
          <w:top w:w="28" w:type="dxa"/>
          <w:left w:w="28" w:type="dxa"/>
          <w:bottom w:w="28" w:type="dxa"/>
          <w:right w:w="28" w:type="dxa"/>
        </w:tblCellMar>
      </w:tblPr>
      <w:tblGrid>
        <w:gridCol w:w="6123"/>
        <w:gridCol w:w="3514"/>
      </w:tblGrid>
      <w:tr>
        <w:trPr>
          <w:trHeight w:val="356" w:hRule="atLeast"/>
        </w:trPr>
        <w:tc>
          <w:tcPr>
            <w:tcW w:w="6123" w:type="dxa"/>
            <w:tcBorders/>
            <w:shd w:fill="auto" w:val="clear"/>
            <w:vAlign w:val="bottom"/>
          </w:tcPr>
          <w:p>
            <w:pPr>
              <w:pStyle w:val="P68B1DB1Contenudetableau122"/>
              <w:spacing w:before="57" w:after="57"/>
              <w:jc w:val="left"/>
              <w:rPr>
                <w:b/>
                <w:b/>
                <w:color w:val="000000"/>
              </w:rPr>
            </w:pPr>
            <w:r>
              <w:rPr/>
              <w:t xml:space="preserve">Nodarbošanās ar profesiju </w:t>
            </w:r>
          </w:p>
        </w:tc>
        <w:tc>
          <w:tcPr>
            <w:tcW w:w="3514" w:type="dxa"/>
            <w:tcBorders/>
            <w:shd w:fill="auto" w:val="clear"/>
            <w:vAlign w:val="bottom"/>
          </w:tcPr>
          <w:p>
            <w:pPr>
              <w:pStyle w:val="P68B1DB1Contenudetableau122"/>
              <w:spacing w:before="57" w:after="57"/>
              <w:jc w:val="left"/>
              <w:rPr>
                <w:b/>
                <w:b/>
                <w:color w:val="000000"/>
              </w:rPr>
            </w:pPr>
            <w:r>
              <w:rPr/>
              <w:t>%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Students/students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Nepilna darba laika darbinieks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Pilna laika darbinieks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Neatkarīgais darbuzņēmējs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Persona mājās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Darba meklētājs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Brīvprātīgais brīvprātīgais darbs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Darba nespēja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Pensionēts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2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Citas preces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0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 nevēlos atbildēt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34"/>
        <w:spacing w:lineRule="auto" w:line="240"/>
        <w:ind w:left="0" w:right="0" w:hanging="0"/>
        <w:rPr/>
      </w:pPr>
      <w:r>
        <w:rPr>
          <w:rFonts w:ascii="Calibri" w:hAnsi="Calibri"/>
          <w:i/>
        </w:rPr>
        <w:t>Anketa</w:t>
      </w:r>
      <w:r>
        <w:rPr>
          <w:rFonts w:ascii="Times New Roman" w:hAnsi="Times New Roman"/>
        </w:rPr>
        <w:t xml:space="preserve"> </w:t>
      </w:r>
    </w:p>
    <w:p>
      <w:pPr>
        <w:pStyle w:val="P68B1DB1Normal104"/>
        <w:widowControl w:val="false"/>
        <w:spacing w:lineRule="auto" w:line="240" w:before="79" w:after="0"/>
        <w:ind w:left="0" w:right="0" w:hanging="0"/>
        <w:jc w:val="left"/>
        <w:rPr/>
      </w:pPr>
      <w:r>
        <w:rPr/>
        <w:t xml:space="preserve">Anketu un šo ziņojumu pēc Ārlietu ministrijas pieprasījuma sagatavoja neatkarīga ārēja organizācija. Anketa ir modulāra struktūra un ietver šādus jautājumu blokus saskaņā ar konferences par Eiropas nākotni tematiem: Svarīgas tēmas un Eiropas loma </w:t>
      </w:r>
    </w:p>
    <w:p>
      <w:pPr>
        <w:pStyle w:val="P68B1DB1Normal104"/>
        <w:widowControl w:val="false"/>
        <w:spacing w:lineRule="auto" w:line="240" w:before="1" w:after="0"/>
        <w:ind w:left="0" w:right="0" w:hanging="0"/>
        <w:jc w:val="left"/>
        <w:rPr>
          <w:rFonts w:ascii="Calibri" w:hAnsi="Calibri"/>
          <w:color w:val="000000"/>
          <w:sz w:val="21"/>
        </w:rPr>
      </w:pPr>
      <w:r>
        <w:rPr/>
        <w:t xml:space="preserve">Klimata pārmaiņas un vide </w:t>
      </w:r>
    </w:p>
    <w:p>
      <w:pPr>
        <w:pStyle w:val="P68B1DB1Normal104"/>
        <w:widowControl w:val="false"/>
        <w:spacing w:lineRule="auto" w:line="240"/>
        <w:ind w:left="0" w:right="0" w:hanging="0"/>
        <w:jc w:val="left"/>
        <w:rPr>
          <w:rFonts w:ascii="Calibri" w:hAnsi="Calibri"/>
          <w:color w:val="000000"/>
          <w:sz w:val="21"/>
        </w:rPr>
      </w:pPr>
      <w:r>
        <w:rPr/>
        <w:t xml:space="preserve">Veselība un veselība </w:t>
      </w:r>
    </w:p>
    <w:p>
      <w:pPr>
        <w:pStyle w:val="P68B1DB1Normal104"/>
        <w:widowControl w:val="false"/>
        <w:spacing w:lineRule="auto" w:line="240" w:before="1" w:after="0"/>
        <w:ind w:left="0" w:right="0" w:hanging="0"/>
        <w:jc w:val="left"/>
        <w:rPr>
          <w:rFonts w:ascii="Calibri" w:hAnsi="Calibri"/>
          <w:color w:val="000000"/>
          <w:sz w:val="21"/>
        </w:rPr>
      </w:pPr>
      <w:r>
        <w:rPr/>
        <w:t xml:space="preserve">Ekonomika un nodarbinātība </w:t>
      </w:r>
    </w:p>
    <w:p>
      <w:pPr>
        <w:pStyle w:val="P68B1DB1Normal104"/>
        <w:widowControl w:val="false"/>
        <w:spacing w:lineRule="auto" w:line="240"/>
        <w:ind w:left="0" w:right="0" w:hanging="0"/>
        <w:jc w:val="left"/>
        <w:rPr>
          <w:rFonts w:ascii="Calibri" w:hAnsi="Calibri"/>
          <w:color w:val="000000"/>
          <w:sz w:val="21"/>
        </w:rPr>
      </w:pPr>
      <w:r>
        <w:rPr/>
        <w:t xml:space="preserve">Eiropas Savienības loma pasaulē </w:t>
      </w:r>
    </w:p>
    <w:p>
      <w:pPr>
        <w:pStyle w:val="P68B1DB1Normal104"/>
        <w:widowControl w:val="false"/>
        <w:spacing w:lineRule="auto" w:line="240" w:before="1" w:after="0"/>
        <w:ind w:left="0" w:right="0" w:hanging="0"/>
        <w:jc w:val="left"/>
        <w:rPr>
          <w:rFonts w:ascii="Calibri" w:hAnsi="Calibri"/>
          <w:color w:val="000000"/>
          <w:sz w:val="21"/>
        </w:rPr>
      </w:pPr>
      <w:r>
        <w:rPr/>
        <w:t xml:space="preserve">Drošība un tiesiskums </w:t>
      </w:r>
    </w:p>
    <w:p>
      <w:pPr>
        <w:pStyle w:val="P68B1DB1Normal104"/>
        <w:widowControl w:val="false"/>
        <w:spacing w:lineRule="auto" w:line="240"/>
        <w:ind w:left="0" w:right="0" w:hanging="0"/>
        <w:jc w:val="left"/>
        <w:rPr>
          <w:rFonts w:ascii="Calibri" w:hAnsi="Calibri"/>
          <w:color w:val="000000"/>
          <w:sz w:val="21"/>
        </w:rPr>
      </w:pPr>
      <w:r>
        <w:rPr/>
        <w:t xml:space="preserve">Virtuālā pasaule </w:t>
      </w:r>
    </w:p>
    <w:p>
      <w:pPr>
        <w:pStyle w:val="P68B1DB1Normal104"/>
        <w:widowControl w:val="false"/>
        <w:spacing w:lineRule="auto" w:line="240" w:before="1" w:after="0"/>
        <w:ind w:left="0" w:right="0" w:hanging="0"/>
        <w:jc w:val="left"/>
        <w:rPr>
          <w:rFonts w:ascii="Calibri" w:hAnsi="Calibri"/>
          <w:color w:val="000000"/>
          <w:sz w:val="21"/>
        </w:rPr>
      </w:pPr>
      <w:r>
        <w:rPr/>
        <w:t xml:space="preserve">Eiropas demokrātija </w:t>
      </w:r>
    </w:p>
    <w:p>
      <w:pPr>
        <w:pStyle w:val="P68B1DB1Normal104"/>
        <w:widowControl w:val="false"/>
        <w:spacing w:lineRule="auto" w:line="240"/>
        <w:ind w:left="0" w:right="0" w:hanging="0"/>
        <w:jc w:val="left"/>
        <w:rPr>
          <w:rFonts w:ascii="Calibri" w:hAnsi="Calibri"/>
          <w:color w:val="000000"/>
          <w:sz w:val="21"/>
        </w:rPr>
      </w:pPr>
      <w:r>
        <w:rPr/>
        <w:t xml:space="preserve">Migrācija un bēgļi </w:t>
      </w:r>
    </w:p>
    <w:p>
      <w:pPr>
        <w:pStyle w:val="P68B1DB1Normal104"/>
        <w:widowControl w:val="false"/>
        <w:spacing w:lineRule="auto" w:line="240" w:before="1" w:after="0"/>
        <w:ind w:left="0" w:right="0" w:hanging="0"/>
        <w:jc w:val="left"/>
        <w:rPr>
          <w:rFonts w:ascii="Calibri" w:hAnsi="Calibri"/>
          <w:color w:val="000000"/>
          <w:sz w:val="21"/>
        </w:rPr>
      </w:pPr>
      <w:r>
        <w:rPr/>
        <w:t xml:space="preserve">Izglītība/kultūra/jaunatnes/sports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Sagatavojot anketu, liela uzmanība tika pievērsta jautājumu kvalitātei, uzticamībai un pamatotībai. Šā iemesla dēļ tika meklēts neitrāls, bez norādījumiem formulēti jautājumi, apgalvojumi un atbildes varianti, un tika pārbaudīts, vai jautājumi ir formulēti saprotamā valodā (B1 līmenis).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Anketai tika veikti kvalitātes testi, veicot klātienes intervijas ar testa dalībniekiem, kas pieder pie mērķgrupas. Tas ļāva mums izpētīt, kā jautājumus saprot dažāda veida respondenti. Ja jautājums, šķiet, pārstāv pārāk lielu (pārāk sarežģītu) kognitīvo slodzi, tas bija piemērots. </w:t>
      </w:r>
      <w:r>
        <w:br w:type="page"/>
      </w:r>
    </w:p>
    <w:p>
      <w:pPr>
        <w:pStyle w:val="P68B1DB1Normal107"/>
        <w:spacing w:lineRule="auto" w:line="240"/>
        <w:ind w:left="0" w:right="0" w:hanging="0"/>
        <w:rPr>
          <w:rFonts w:ascii="Calibri" w:hAnsi="Calibri"/>
          <w:i/>
          <w:i/>
          <w:color w:val="000000"/>
          <w:sz w:val="24"/>
        </w:rPr>
      </w:pPr>
      <w:r>
        <w:rPr/>
        <w:t xml:space="preserve">Analīzes metodes </w:t>
      </w:r>
    </w:p>
    <w:p>
      <w:pPr>
        <w:pStyle w:val="P68B1DB1Normal104"/>
        <w:widowControl w:val="false"/>
        <w:spacing w:lineRule="auto" w:line="240" w:before="127" w:after="0"/>
        <w:ind w:left="0" w:right="0" w:hanging="0"/>
        <w:jc w:val="left"/>
        <w:rPr>
          <w:rFonts w:ascii="Calibri" w:hAnsi="Calibri"/>
          <w:color w:val="000000"/>
          <w:sz w:val="21"/>
        </w:rPr>
      </w:pPr>
      <w:r>
        <w:rPr/>
        <w:t xml:space="preserve">Šajā apsekojumā tika izmantotas divas analīzes metodes: </w:t>
      </w:r>
    </w:p>
    <w:p>
      <w:pPr>
        <w:pStyle w:val="P68B1DB1Normal111"/>
        <w:widowControl w:val="false"/>
        <w:spacing w:lineRule="auto" w:line="240" w:before="38" w:after="0"/>
        <w:ind w:left="0" w:right="0" w:hanging="0"/>
        <w:jc w:val="left"/>
        <w:rPr>
          <w:rFonts w:ascii="Calibri" w:hAnsi="Calibri"/>
          <w:b/>
          <w:b/>
          <w:color w:val="000000"/>
          <w:sz w:val="22"/>
        </w:rPr>
      </w:pPr>
      <w:r>
        <w:rPr/>
        <w:t xml:space="preserve">Viendabīgas analīzes </w:t>
      </w:r>
    </w:p>
    <w:p>
      <w:pPr>
        <w:pStyle w:val="P68B1DB1Normal104"/>
        <w:widowControl w:val="false"/>
        <w:spacing w:lineRule="auto" w:line="240" w:before="97" w:after="0"/>
        <w:ind w:left="0" w:right="0" w:hanging="0"/>
        <w:jc w:val="left"/>
        <w:rPr/>
      </w:pPr>
      <w:r>
        <w:rPr/>
        <w:t xml:space="preserve">Lai aprakstītu apsekojuma mainīgos lielumus, izmanto aprakstošu statistiku. Šajā aptaujā izmanto frekvences un vidējos rādītājus. </w:t>
      </w:r>
    </w:p>
    <w:p>
      <w:pPr>
        <w:pStyle w:val="P68B1DB1Normal111"/>
        <w:widowControl w:val="false"/>
        <w:spacing w:lineRule="auto" w:line="240" w:before="41" w:after="0"/>
        <w:ind w:left="0" w:right="0" w:hanging="0"/>
        <w:jc w:val="left"/>
        <w:rPr>
          <w:rFonts w:ascii="Calibri" w:hAnsi="Calibri"/>
          <w:b/>
          <w:b/>
          <w:color w:val="000000"/>
          <w:sz w:val="22"/>
        </w:rPr>
      </w:pPr>
      <w:r>
        <w:rPr/>
        <w:t xml:space="preserve">Bivariāta analīzes </w:t>
      </w:r>
    </w:p>
    <w:p>
      <w:pPr>
        <w:pStyle w:val="P68B1DB1Normal104"/>
        <w:widowControl w:val="false"/>
        <w:spacing w:lineRule="auto" w:line="240" w:before="95" w:after="0"/>
        <w:ind w:left="0" w:right="0" w:hanging="0"/>
        <w:jc w:val="left"/>
        <w:rPr/>
      </w:pPr>
      <w:r>
        <w:rPr/>
        <w:t xml:space="preserve">Bivariālās analīzes ļauj izvērtēt saistību starp diviem mainīgajiem lielumiem, šajā gadījumā saikni starp dažādu tematu nozīmi un jautājumu par to, vai ES būtu jāiejaucas šajā jomā, un vispārējo vecuma iezīmi. Tika veikta pārskatīšana, lai noteiktu, vai dažādas vecuma grupas piešķir tēmai atšķirīgu nozīmi un vai pastāv atšķirīgi viedokļi par to, cik lielā mērā tie ir jautājumi, kuros ES būtu jāiesaistās. </w:t>
      </w:r>
    </w:p>
    <w:p>
      <w:pPr>
        <w:pStyle w:val="P68B1DB1Normal107"/>
        <w:widowControl w:val="false"/>
        <w:spacing w:lineRule="auto" w:line="240" w:before="43" w:after="0"/>
        <w:ind w:left="0" w:right="0" w:hanging="0"/>
        <w:jc w:val="left"/>
        <w:rPr>
          <w:rFonts w:ascii="Calibri" w:hAnsi="Calibri"/>
          <w:i/>
          <w:i/>
          <w:color w:val="000000"/>
          <w:sz w:val="24"/>
        </w:rPr>
      </w:pPr>
      <w:r>
        <w:rPr/>
        <w:t xml:space="preserve">Informācijas publicēšana un pilnīgums </w:t>
      </w:r>
    </w:p>
    <w:p>
      <w:pPr>
        <w:pStyle w:val="P68B1DB1Normal104"/>
        <w:widowControl w:val="false"/>
        <w:spacing w:lineRule="auto" w:line="240" w:before="123" w:after="0"/>
        <w:ind w:left="0" w:right="0" w:hanging="0"/>
        <w:jc w:val="left"/>
        <w:rPr/>
      </w:pPr>
      <w:r>
        <w:rPr/>
        <w:t xml:space="preserve">Šajā ziņojumā ir (vizuāli) atspoguļoti rezultāti par visiem jautājumiem, kas uzdoti aptaujas grupas respondentiem. Attiecībā uz dažiem jautājumiem respondentam tika dota iespēja sniegt “atvērtas” (t. i., iepriekš nenoteiktas) atbildes. Pēc tam atklātās atbildes tika iedalītas kategorijās un iekļautas publikācijā. Idejas, ar kurām respondenti dalījās bezmaksas komentāros, tiek izmantotas, lai ņemtu vērā dažādos tematiskos dialogus, kas organizēti kā turpinājums pilsoņu dialoga procesam “Eiropas redzējums”. </w:t>
      </w:r>
    </w:p>
    <w:p>
      <w:pPr>
        <w:pStyle w:val="P68B1DB1Normal108"/>
        <w:widowControl w:val="false"/>
        <w:spacing w:lineRule="auto" w:line="240" w:before="35" w:after="0"/>
        <w:ind w:left="0" w:right="0" w:hanging="0"/>
        <w:jc w:val="left"/>
        <w:rPr>
          <w:rFonts w:ascii="Calibri" w:hAnsi="Calibri"/>
          <w:b/>
          <w:b/>
          <w:i/>
          <w:i/>
          <w:color w:val="000000"/>
          <w:sz w:val="24"/>
        </w:rPr>
      </w:pPr>
      <w:r>
        <w:rPr/>
        <w:t xml:space="preserve">2. Tiešsaistes tematiskie dialogi padziļināšanai </w:t>
      </w:r>
    </w:p>
    <w:p>
      <w:pPr>
        <w:pStyle w:val="P68B1DB1Normal104"/>
        <w:widowControl w:val="false"/>
        <w:spacing w:lineRule="auto" w:line="240" w:before="17" w:after="0"/>
        <w:ind w:left="0" w:right="0" w:hanging="0"/>
        <w:jc w:val="left"/>
        <w:rPr/>
      </w:pPr>
      <w:r>
        <w:rPr/>
        <w:t xml:space="preserve">Konferences par Eiropas nākotni galvenās tēmas ir padziļinātas astoņos tiešsaistes tematiskajos dialogos. Šo dialogu mērķis bija noskaidrot pausto viedokļu iemeslus, kā arī to motivāciju un jūtas. Kādas ir šķietamās bažas un iespējas? Diskusiju sesijas arī ļāva dalībniekiem formulēt ierosinājumus un idejas par šiem tematiem, kā arī izvirzīt jautājumus, kas nav daļa no konferences, bet joprojām viņiem ir svarīgi. </w:t>
      </w:r>
    </w:p>
    <w:p>
      <w:pPr>
        <w:pStyle w:val="P68B1DB1Normal24"/>
        <w:widowControl w:val="false"/>
        <w:spacing w:lineRule="auto" w:line="240" w:before="2" w:after="0"/>
        <w:ind w:left="0" w:right="0" w:hanging="0"/>
        <w:jc w:val="left"/>
        <w:rPr>
          <w:rFonts w:ascii="Times New Roman" w:hAnsi="Times New Roman"/>
          <w:color w:val="000000"/>
          <w:sz w:val="22"/>
        </w:rPr>
      </w:pPr>
      <w:r>
        <w:rPr/>
        <w:t xml:space="preserve"> </w:t>
      </w:r>
    </w:p>
    <w:p>
      <w:pPr>
        <w:pStyle w:val="P68B1DB1Normal104"/>
        <w:widowControl w:val="false"/>
        <w:spacing w:lineRule="auto" w:line="240" w:before="8" w:after="0"/>
        <w:ind w:left="0" w:right="0" w:hanging="0"/>
        <w:jc w:val="left"/>
        <w:rPr/>
      </w:pPr>
      <w:r>
        <w:rPr/>
        <w:t xml:space="preserve">Tematiskie dialogi notika 12.–14. oktobrī un 9.–11. novembrī. Oktobrī tika organizēti četri tiešsaistes tematiskie dialogi par tematiem “Ekonomika” un “Demokrātija”. Novembrī notika četri tiešsaistes tematiskie dialogi par tematiem “Klimats” un “ES pasaulē”. Katrā diskusiju sesijā piedalījās vidēji 29 cilvēki (kopā 231 cilvēki). Dalībnieki tika pieņemti darbā no žūrijas locekļu vidus (sk. 1. punktu) un ar sociālo plašsaziņas līdzekļu starpniecību. </w:t>
      </w:r>
    </w:p>
    <w:p>
      <w:pPr>
        <w:pStyle w:val="P68B1DB1Normal19"/>
        <w:widowControl w:val="false"/>
        <w:spacing w:lineRule="auto" w:line="240" w:before="1"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 w:after="0"/>
        <w:ind w:left="0" w:right="0" w:hanging="0"/>
        <w:jc w:val="left"/>
        <w:rPr>
          <w:rFonts w:ascii="Calibri" w:hAnsi="Calibri"/>
          <w:b/>
          <w:b/>
          <w:i/>
          <w:i/>
          <w:color w:val="000000"/>
          <w:sz w:val="24"/>
        </w:rPr>
      </w:pPr>
      <w:r>
        <w:rPr/>
        <w:t xml:space="preserve">3. Dialogi ar konkrētām grupām </w:t>
      </w:r>
    </w:p>
    <w:p>
      <w:pPr>
        <w:pStyle w:val="P68B1DB1Normal104"/>
        <w:widowControl w:val="false"/>
        <w:spacing w:lineRule="auto" w:line="240" w:before="12" w:after="0"/>
        <w:ind w:left="0" w:right="0" w:hanging="0"/>
        <w:jc w:val="left"/>
        <w:rPr/>
      </w:pPr>
      <w:r>
        <w:rPr/>
        <w:t xml:space="preserve">Dažas Nīderlandes grupas ir mazāk pieradušas piedalīties apsekojumos un paneļdiskusijās (tiešsaistē). Lai iegūtu “Nīderlandes balss” reprezentatīvu tēlu, bija svarīgi, lai šie pilsoņi arī varētu paust savas idejas un viedokļus. Tāpēc mēs organizējām arī vairākus dialogus uz vietas apsekojumam “Eiropas redzējums”. Viedokļi un idejas, ko mēs varējām apkopot, tika izmantoti kā pamats (cita starpā), lai formulētu ieteikumus. </w:t>
      </w:r>
    </w:p>
    <w:p>
      <w:pPr>
        <w:pStyle w:val="P68B1DB1Normal24"/>
        <w:widowControl w:val="false"/>
        <w:spacing w:lineRule="auto" w:line="240" w:before="4" w:after="0"/>
        <w:ind w:left="0" w:right="0" w:hanging="0"/>
        <w:jc w:val="left"/>
        <w:rPr>
          <w:rFonts w:ascii="Times New Roman" w:hAnsi="Times New Roman"/>
          <w:color w:val="000000"/>
          <w:sz w:val="22"/>
        </w:rPr>
      </w:pPr>
      <w:r>
        <w:rPr/>
        <w:t xml:space="preserve"> </w:t>
      </w:r>
    </w:p>
    <w:p>
      <w:pPr>
        <w:pStyle w:val="Normal"/>
        <w:spacing w:lineRule="auto" w:line="240"/>
        <w:ind w:left="0" w:right="0" w:hanging="0"/>
        <w:rPr/>
      </w:pPr>
      <w:r>
        <w:rPr/>
      </w:r>
      <w:r>
        <w:br w:type="page"/>
      </w:r>
    </w:p>
    <w:p>
      <w:pPr>
        <w:pStyle w:val="P68B1DB1Normal107"/>
        <w:spacing w:lineRule="auto" w:line="240"/>
        <w:ind w:left="0" w:right="0" w:hanging="0"/>
        <w:rPr>
          <w:rFonts w:ascii="Calibri" w:hAnsi="Calibri"/>
          <w:i/>
          <w:i/>
          <w:color w:val="000000"/>
          <w:sz w:val="24"/>
        </w:rPr>
      </w:pPr>
      <w:r>
        <w:rPr/>
        <w:t xml:space="preserve">Mērķgrupas </w:t>
      </w:r>
    </w:p>
    <w:p>
      <w:pPr>
        <w:pStyle w:val="P68B1DB1Normal110"/>
        <w:widowControl w:val="false"/>
        <w:spacing w:lineRule="auto" w:line="240" w:before="22" w:after="0"/>
        <w:ind w:left="0" w:right="0" w:hanging="0"/>
        <w:jc w:val="left"/>
        <w:rPr/>
      </w:pPr>
      <w:r>
        <w:rPr>
          <w:sz w:val="21"/>
        </w:rPr>
        <w:t>Grūti sasniedzamas mērķgrupas nevar viennozīmīgi definēt. Pētījumi un pieredze ļauj mums zināt, ka nīderlandieši ar izcelsmi</w:t>
      </w:r>
      <w:r>
        <w:rPr>
          <w:b/>
          <w:sz w:val="21"/>
        </w:rPr>
        <w:t>, kas nav Rietumu izcelsmes</w:t>
      </w:r>
      <w:r>
        <w:rPr>
          <w:sz w:val="21"/>
        </w:rPr>
        <w:t>, ievērojami mazāk piedalās izmeklēšanā un diskusijās. Tā kā tā pārstāv lielu grupu (14 % no Nīderlandes</w:t>
      </w:r>
      <w:r>
        <w:rPr>
          <w:position w:val="6"/>
          <w:sz w:val="14"/>
        </w:rPr>
        <w:t>1</w:t>
      </w:r>
      <w:r>
        <w:rPr>
          <w:sz w:val="21"/>
        </w:rPr>
        <w:t xml:space="preserve">), tās tika izraudzītas dalībai Eiropas redzējuma dialogā. Tāds pats pamatojums tika ievērots attiecībā uz </w:t>
      </w:r>
      <w:r>
        <w:rPr>
          <w:b/>
          <w:sz w:val="21"/>
        </w:rPr>
        <w:t>personām ar zemu izglītības līmeni</w:t>
      </w:r>
      <w:r>
        <w:rPr>
          <w:sz w:val="21"/>
        </w:rPr>
        <w:t>. Tā ir arī liela grupa (2,5 miljoni holandiešu</w:t>
      </w:r>
      <w:r>
        <w:rPr>
          <w:position w:val="6"/>
          <w:sz w:val="14"/>
        </w:rPr>
        <w:t>2</w:t>
      </w:r>
      <w:r>
        <w:rPr>
          <w:sz w:val="21"/>
        </w:rPr>
        <w:t xml:space="preserve">), kas daļēji pārklājas ar migrantu grupu (39 %). Visbeidzot, ir noticis dialogs ar tādu cilvēku grupu, kuri reti sastopami aptaujās un diskusijās, </w:t>
      </w:r>
      <w:r>
        <w:rPr>
          <w:b/>
          <w:sz w:val="21"/>
        </w:rPr>
        <w:t>kuri kritizē Eiropu, bet kuriem Eiropai ir svarīga loma profesionālajā jomā.</w:t>
      </w:r>
      <w:r>
        <w:rPr>
          <w:sz w:val="21"/>
        </w:rPr>
        <w:t xml:space="preserve"> Tika atlasīti uzņēmēji no lauksaimniecības nozares.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pPr>
      <w:r>
        <w:rPr/>
        <w:t xml:space="preserve">Iepriekš minētās grupas ir vērsušās organizācijās, kurās tās ir locekles, piemēram, migrantu organizācijās, aizstāvības asociācijās un profesionālajās organizācijās. Tā kā mēs ierobežojām dialogu skaitu līdz astoņiem, mēs nevarējām būt pilnīgi “izsmeļoši”. Tas padara dalībnieku izvēli nedaudz patvaļīgu. Lai izdarītu šo izvēli, mēs arī ņēmām vērā entuziasmu piedalīties un palīdzēt mobilizēt savu bāzi, kā arī praktiskus jautājumus, piemēram, pieejamību saskaņā ar datumiem un atrašanās vietu.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5" w:after="0"/>
        <w:ind w:left="0" w:right="0" w:hanging="0"/>
        <w:jc w:val="left"/>
        <w:rPr>
          <w:rFonts w:ascii="Calibri" w:hAnsi="Calibri"/>
          <w:color w:val="000000"/>
          <w:sz w:val="21"/>
        </w:rPr>
      </w:pPr>
      <w:r>
        <w:rPr/>
        <w:t xml:space="preserve">Uz vietas notika dialogi ar šādu organizāciju locekļiem: </w:t>
      </w:r>
    </w:p>
    <w:p>
      <w:pPr>
        <w:pStyle w:val="P68B1DB1Normal105"/>
        <w:widowControl w:val="false"/>
        <w:spacing w:lineRule="auto" w:line="240" w:before="19" w:after="0"/>
        <w:ind w:left="0" w:right="0" w:hanging="0"/>
        <w:jc w:val="left"/>
        <w:rPr/>
      </w:pPr>
      <w:r>
        <w:rPr>
          <w:rFonts w:ascii="Verdana" w:hAnsi="Verdana"/>
        </w:rPr>
        <w:t>•</w:t>
      </w:r>
      <w:r>
        <w:rPr/>
        <w:t xml:space="preserve"> </w:t>
      </w:r>
      <w:r>
        <w:rPr>
          <w:rFonts w:ascii="Calibri" w:hAnsi="Calibri"/>
        </w:rPr>
        <w:t xml:space="preserve">Hakder Foundation, Alevi kopiena,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fonds, hindu kopiena, Utrehta (divas diskusiju sesijas)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pilsoniskās sabiedrības organizācija,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organizācija mazizglītotiem cilvēkiem, Utrehta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lauksaimniecības grupu apvienība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Marokas kopiena, Utrehta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Sievietes brīvībai, migrantu izcelsmes sieviešu aizstāvības organizācija, Hāga </w:t>
      </w:r>
    </w:p>
    <w:p>
      <w:pPr>
        <w:pStyle w:val="P68B1DB1Normal104"/>
        <w:widowControl w:val="false"/>
        <w:spacing w:lineRule="auto" w:line="240" w:before="12" w:after="0"/>
        <w:ind w:left="0" w:right="0" w:hanging="0"/>
        <w:jc w:val="left"/>
        <w:rPr>
          <w:rFonts w:ascii="Calibri" w:hAnsi="Calibri"/>
          <w:color w:val="000000"/>
          <w:sz w:val="21"/>
        </w:rPr>
      </w:pPr>
      <w:r>
        <w:rPr/>
        <w:t xml:space="preserve"> </w:t>
      </w:r>
    </w:p>
    <w:p>
      <w:pPr>
        <w:pStyle w:val="P68B1DB1Normal104"/>
        <w:widowControl w:val="false"/>
        <w:spacing w:lineRule="auto" w:line="240" w:before="101" w:after="0"/>
        <w:ind w:left="0" w:right="0" w:hanging="0"/>
        <w:jc w:val="left"/>
        <w:rPr>
          <w:rFonts w:ascii="Calibri" w:hAnsi="Calibri"/>
          <w:color w:val="000000"/>
          <w:sz w:val="21"/>
        </w:rPr>
      </w:pPr>
      <w:r>
        <w:rPr/>
        <w:t xml:space="preserve">Kopumā šajās diskusiju sanāksmēs piedalījās 110 cilvēki. </w:t>
      </w:r>
    </w:p>
    <w:p>
      <w:pPr>
        <w:pStyle w:val="P68B1DB1Normal19"/>
        <w:widowControl w:val="false"/>
        <w:spacing w:lineRule="auto" w:line="240" w:before="90" w:after="0"/>
        <w:ind w:left="0" w:right="0" w:hanging="0"/>
        <w:jc w:val="left"/>
        <w:rPr>
          <w:rFonts w:ascii="Times New Roman" w:hAnsi="Times New Roman"/>
          <w:color w:val="000000"/>
          <w:sz w:val="24"/>
        </w:rPr>
      </w:pPr>
      <w:r>
        <w:rPr/>
        <w:t xml:space="preserve"> </w:t>
      </w:r>
    </w:p>
    <w:p>
      <w:pPr>
        <w:pStyle w:val="P68B1DB1Normal108"/>
        <w:widowControl w:val="false"/>
        <w:spacing w:lineRule="auto" w:line="240" w:before="339" w:after="0"/>
        <w:ind w:left="0" w:right="0" w:hanging="0"/>
        <w:jc w:val="left"/>
        <w:rPr>
          <w:rFonts w:ascii="Calibri" w:hAnsi="Calibri"/>
          <w:b/>
          <w:b/>
          <w:i/>
          <w:i/>
          <w:color w:val="000000"/>
          <w:sz w:val="24"/>
        </w:rPr>
      </w:pPr>
      <w:r>
        <w:rPr/>
        <w:t xml:space="preserve">4. Dialogi ar jauniešiem </w:t>
      </w:r>
    </w:p>
    <w:p>
      <w:pPr>
        <w:pStyle w:val="P68B1DB1Normal104"/>
        <w:widowControl w:val="false"/>
        <w:spacing w:lineRule="auto" w:line="240" w:before="118" w:after="0"/>
        <w:ind w:left="0" w:right="0" w:hanging="0"/>
        <w:jc w:val="both"/>
        <w:rPr/>
      </w:pPr>
      <w:r>
        <w:rPr/>
        <w:t xml:space="preserve">Jaunieši ir konferences par Eiropas nākotni prioritārā mērķgrupa. Lai aktīvi veicinātu viņu dalību pilsoņu dialogā “Eiropas redzējums” un lai labi uzklausītu šīs grupas viedokļus un idejas, tika organizētas piecas fiziskas diskusiju sanāksmes, kas bija īpaši paredzētas jauniešiem. Sestā plānotā sanāksme ar jauniešiem nevarēja notikt ar koronavīrusu saistīto ierobežojošo pasākumu dēļ.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rFonts w:ascii="Calibri" w:hAnsi="Calibri"/>
          <w:color w:val="000000"/>
          <w:sz w:val="21"/>
        </w:rPr>
      </w:pPr>
      <w:r>
        <w:rPr/>
        <w:t xml:space="preserve">Sanāksmes notika šādās iestādēs: </w:t>
      </w:r>
    </w:p>
    <w:p>
      <w:pPr>
        <w:pStyle w:val="P68B1DB1Normal104"/>
        <w:widowControl w:val="false"/>
        <w:spacing w:lineRule="auto" w:line="240"/>
        <w:ind w:left="0" w:right="0" w:hanging="0"/>
        <w:jc w:val="both"/>
        <w:rPr>
          <w:rFonts w:ascii="Calibri" w:hAnsi="Calibri"/>
          <w:color w:val="000000"/>
          <w:sz w:val="21"/>
        </w:rPr>
      </w:pPr>
      <w:r>
        <w:rPr/>
        <w:t xml:space="preserve">Vēstures studentu asociācija, Leidenes Universitāte </w:t>
      </w:r>
    </w:p>
    <w:p>
      <w:pPr>
        <w:pStyle w:val="P68B1DB1Normal104"/>
        <w:widowControl w:val="false"/>
        <w:spacing w:lineRule="auto" w:line="240"/>
        <w:ind w:left="0" w:right="0" w:hanging="0"/>
        <w:jc w:val="both"/>
        <w:rPr>
          <w:rFonts w:ascii="Calibri" w:hAnsi="Calibri"/>
          <w:color w:val="000000"/>
          <w:sz w:val="21"/>
        </w:rPr>
      </w:pPr>
      <w:r>
        <w:rPr/>
        <w:t xml:space="preserve">Dr. Knippenberg koledža, vidusskola, Helmond </w:t>
      </w:r>
    </w:p>
    <w:p>
      <w:pPr>
        <w:pStyle w:val="P68B1DB1Normal104"/>
        <w:widowControl w:val="false"/>
        <w:spacing w:lineRule="auto" w:line="240" w:before="1" w:after="0"/>
        <w:ind w:left="0" w:right="0" w:hanging="0"/>
        <w:jc w:val="left"/>
        <w:rPr>
          <w:rFonts w:ascii="Calibri" w:hAnsi="Calibri"/>
          <w:color w:val="000000"/>
          <w:sz w:val="21"/>
        </w:rPr>
      </w:pPr>
      <w:r>
        <w:rPr/>
        <w:t xml:space="preserve">Coalitie-Y, Ekonomikas un sociālo lietu padomes Jaunatnes platforma </w:t>
      </w:r>
    </w:p>
    <w:p>
      <w:pPr>
        <w:pStyle w:val="P68B1DB1Normal104"/>
        <w:widowControl w:val="false"/>
        <w:spacing w:lineRule="auto" w:line="240"/>
        <w:ind w:left="0" w:right="0" w:hanging="0"/>
        <w:jc w:val="left"/>
        <w:rPr>
          <w:rFonts w:ascii="Calibri" w:hAnsi="Calibri"/>
          <w:color w:val="000000"/>
          <w:sz w:val="21"/>
        </w:rPr>
      </w:pPr>
      <w:r>
        <w:rPr/>
        <w:t xml:space="preserve">Graafschap koledža, profesionālā vidējā izglītība, Doetinchem </w:t>
      </w:r>
    </w:p>
    <w:p>
      <w:pPr>
        <w:pStyle w:val="P68B1DB1Normal104"/>
        <w:widowControl w:val="false"/>
        <w:spacing w:lineRule="auto" w:line="240" w:before="1" w:after="0"/>
        <w:ind w:left="0" w:right="0" w:hanging="0"/>
        <w:jc w:val="left"/>
        <w:rPr>
          <w:rFonts w:ascii="Calibri" w:hAnsi="Calibri"/>
          <w:color w:val="000000"/>
          <w:sz w:val="21"/>
        </w:rPr>
      </w:pPr>
      <w:r>
        <w:rPr/>
        <w:t xml:space="preserve">CSG Jan Arentsz, vidējā izglītība, koncentrējoties uz tehnoloģiskiem priekšmetiem, Alkmaar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rFonts w:ascii="Calibri" w:hAnsi="Calibri"/>
          <w:color w:val="000000"/>
          <w:sz w:val="21"/>
        </w:rPr>
      </w:pPr>
      <w:r>
        <w:rPr>
          <w:rFonts w:ascii="Calibri" w:hAnsi="Calibri"/>
          <w:color w:val="000000"/>
          <w:sz w:val="21"/>
        </w:rPr>
        <w:t xml:space="preserve">Kopumā diskusiju sanāksmēs piedalījās 95 jaunieši. </w:t>
      </w:r>
      <w:r>
        <w:br w:type="page"/>
      </w:r>
    </w:p>
    <w:p>
      <w:pPr>
        <w:pStyle w:val="P68B1DB1Normal107"/>
        <w:spacing w:lineRule="auto" w:line="240"/>
        <w:ind w:left="0" w:right="0" w:hanging="0"/>
        <w:rPr>
          <w:rFonts w:ascii="Calibri" w:hAnsi="Calibri"/>
          <w:i/>
          <w:i/>
          <w:color w:val="000000"/>
          <w:sz w:val="24"/>
        </w:rPr>
      </w:pPr>
      <w:r>
        <w:rPr/>
        <w:t xml:space="preserve">Izmantotās tehniskās apkopes metodes </w:t>
      </w:r>
    </w:p>
    <w:p>
      <w:pPr>
        <w:pStyle w:val="P68B1DB1Normal104"/>
        <w:widowControl w:val="false"/>
        <w:spacing w:lineRule="auto" w:line="240" w:before="10" w:after="0"/>
        <w:ind w:left="0" w:right="0" w:hanging="0"/>
        <w:jc w:val="left"/>
        <w:rPr/>
      </w:pPr>
      <w:r>
        <w:rPr/>
        <w:t xml:space="preserve">Tiešsaistes tematiskie dialogi, dialogi ar konkrētām grupām un dialogi ar jauniešiem tika veikti, izmantojot tā saukto “sokrātisko” intervijas metodi. Šī metode ir izmantota daudzus gadus Dialoga dienā, kad cilvēki visā Nīderlandē mijiedarbojas ar jautājumiem, kas viņus skar. Sokrātiskās apkopes metodes kontekstā moderators ņem vērā šādus principus: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5"/>
        <w:widowControl w:val="false"/>
        <w:spacing w:lineRule="auto" w:line="240" w:before="7" w:after="0"/>
        <w:ind w:left="0" w:right="0" w:hanging="0"/>
        <w:jc w:val="left"/>
        <w:rPr/>
      </w:pPr>
      <w:r>
        <w:rPr>
          <w:rFonts w:ascii="Verdana" w:hAnsi="Verdana"/>
        </w:rPr>
        <w:t>•</w:t>
      </w:r>
      <w:r>
        <w:rPr/>
        <w:t xml:space="preserve"> </w:t>
      </w:r>
      <w:r>
        <w:rPr/>
        <w:t xml:space="preserve">Ļaujiet otram pastāstīt savu stāstu </w:t>
      </w:r>
      <w:r>
        <w:rPr>
          <w:rFonts w:ascii="Calibri" w:hAnsi="Calibri"/>
        </w:rPr>
        <w:t xml:space="preserve"> </w:t>
      </w:r>
    </w:p>
    <w:p>
      <w:pPr>
        <w:pStyle w:val="P68B1DB1Normal105"/>
        <w:widowControl w:val="false"/>
        <w:spacing w:lineRule="auto" w:line="240" w:before="2" w:after="0"/>
        <w:ind w:left="0" w:right="0" w:hanging="0"/>
        <w:jc w:val="left"/>
        <w:rPr/>
      </w:pPr>
      <w:r>
        <w:rPr>
          <w:rFonts w:ascii="Verdana" w:hAnsi="Verdana"/>
        </w:rPr>
        <w:t>Nereaģējiet</w:t>
      </w:r>
      <w:r>
        <w:rPr/>
        <w:t xml:space="preserve"> </w:t>
      </w:r>
      <w:r>
        <w:rPr>
          <w:rFonts w:ascii="Calibri" w:hAnsi="Calibri"/>
        </w:rPr>
        <w:t xml:space="preserve">uz to uzreiz ar citu stāstu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Izturieties pret sevi ar cieņu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Runāt par savu viedokli (“Es atrodu”, nevis “viņi saka”)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Lūgt sīkākus paskaidrojumus, ja paustie viedokļi aprobežojas ar vispārinājumiem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Izvairieties no spriedumiem un analizējiet tos </w:t>
      </w:r>
    </w:p>
    <w:p>
      <w:pPr>
        <w:pStyle w:val="P68B1DB1Normal105"/>
        <w:widowControl w:val="false"/>
        <w:spacing w:lineRule="auto" w:line="240" w:before="5" w:after="0"/>
        <w:ind w:left="0" w:right="0" w:hanging="0"/>
        <w:jc w:val="left"/>
        <w:rPr/>
      </w:pPr>
      <w:r>
        <w:rPr>
          <w:rFonts w:ascii="Verdana" w:hAnsi="Verdana"/>
        </w:rPr>
        <w:t>•</w:t>
      </w:r>
      <w:r>
        <w:rPr/>
        <w:t xml:space="preserve"> </w:t>
      </w:r>
      <w:r>
        <w:rPr>
          <w:rFonts w:ascii="Calibri" w:hAnsi="Calibri"/>
        </w:rPr>
        <w:t xml:space="preserve">Piešķirt klusuma brīžus, ja cilvēkiem ir nepieciešams domāt uz brīdi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Dialogos izmanto šādu ritmu: atšķirības — konverģence — atšķirības. Princips ir tāds, ka vispirms ir jāatšķiras (tieši jāizsaka individuālās jūtas un viedokļi), pirms jūs varat vienoties (runāt iespējamos ceļus) un pēc tam atkal jāatšķiras (piemēram, savākt individuālus ieteikumus). Pieredze un teorija rāda, ka šis ritms nodrošina optimālu dialoga plūsmu.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Visus dialogus vadīja profesionāli koordinatori.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08"/>
        <w:widowControl w:val="false"/>
        <w:spacing w:lineRule="auto" w:line="240" w:before="229" w:after="0"/>
        <w:ind w:left="0" w:right="0" w:hanging="0"/>
        <w:jc w:val="both"/>
        <w:rPr/>
      </w:pPr>
      <w:r>
        <w:rPr/>
        <w:t>5. Tiešsaistes sabiedriskā aptauja: Anketa un “Swipen naar de toekomst” (Swiper to the future)</w:t>
      </w:r>
    </w:p>
    <w:p>
      <w:pPr>
        <w:pStyle w:val="P68B1DB1Normal104"/>
        <w:widowControl w:val="false"/>
        <w:spacing w:lineRule="auto" w:line="240" w:before="229" w:after="0"/>
        <w:ind w:left="0" w:right="0" w:hanging="0"/>
        <w:jc w:val="both"/>
        <w:rPr/>
      </w:pPr>
      <w:r>
        <w:rPr/>
        <w:t xml:space="preserve">Paneļdiskusijas aptaujas anketa bija pieejama arī visiem nīderlandiešiem, tostarp tiem, kas dzīvo ārvalstīs. Šī anketa bija pieejama no 2021. gada 1. septembra līdz 2021. gada 14. novembrim. Turklāt tajā pašā laikposmā katrs holandietis varēja piedalīties darbībā “Swipen naar de toekomst” (Swiper to the future), kas ir tiešsaistes rīks, kurā tika iesniegtas 20 prasības. </w:t>
      </w:r>
    </w:p>
    <w:p>
      <w:pPr>
        <w:pStyle w:val="P68B1DB1Normal107"/>
        <w:widowControl w:val="false"/>
        <w:spacing w:lineRule="auto" w:line="240" w:before="41" w:after="0"/>
        <w:ind w:left="0" w:right="0" w:hanging="0"/>
        <w:jc w:val="left"/>
        <w:rPr>
          <w:rFonts w:ascii="Calibri" w:hAnsi="Calibri"/>
          <w:i/>
          <w:i/>
          <w:color w:val="000000"/>
          <w:sz w:val="24"/>
        </w:rPr>
      </w:pPr>
      <w:r>
        <w:rPr/>
        <w:t xml:space="preserve">Atbildes un lietošana </w:t>
      </w:r>
    </w:p>
    <w:p>
      <w:pPr>
        <w:pStyle w:val="P68B1DB1Normal104"/>
        <w:widowControl w:val="false"/>
        <w:spacing w:lineRule="auto" w:line="240" w:before="7" w:after="0"/>
        <w:ind w:left="0" w:right="0" w:hanging="0"/>
        <w:jc w:val="left"/>
        <w:rPr/>
      </w:pPr>
      <w:r>
        <w:rPr/>
        <w:t xml:space="preserve">Anketu aizpildīja pavisam 1967 dalībnieki, bet ekrāna skenēšanas rīka beigās — 6968 dalībnieki. Gan anketa, gan ekrāna skenēšanas rīks bija pieejami visiem: dalībai nebija nekādu priekšnoteikumu vai atlases kritēriju. Anketā bija iespējams uzdot jautājumus (nebija obligāti jautājumi), lai maksimāli palielinātu atbilžu skaitu. Dalībnieki izvēlējās “Es negribu atbildēt” daudz biežāk nekā reprezentatīvajā paneļdiskusijā. </w:t>
      </w:r>
    </w:p>
    <w:p>
      <w:pPr>
        <w:pStyle w:val="P68B1DB1Normal104"/>
        <w:widowControl w:val="false"/>
        <w:spacing w:lineRule="auto" w:line="240"/>
        <w:ind w:left="0" w:right="0" w:hanging="0"/>
        <w:jc w:val="left"/>
        <w:rPr/>
      </w:pPr>
      <w:r>
        <w:rPr/>
        <w:t xml:space="preserve">Atklātās anketas un ekrāna skenēšanas rīka dalībnieku vispārīgās iezīmes vairākos aspektos atšķiras no reprezentatīvajā paneļdiskusijā iesaistīto dalībnieku īpašībām. Atšķirībā no paneļa aptaujas atvērtās anketas un ekrāna skenēšanas rīka rezultāti nav reprezentatīvi. Tiešsaistes atklātās aptaujas rezultāti tika izmantoti, lai papildinātu paneļdiskusiju. Viņi sniedz pārskatu par jūtām un idejām, kas cirkulē Nīderlandē. Ieteikumi uzlabojumiem, kas minēti ievades laukos, tika izmantoti sadaļā “Diskusijas un idejas tiešsaistē un uz vietas”. Ekrāna skenēšanas rīks ir izmantots, lai labāk izprastu dažas sajūtas, kas cirkulē Nīderlandē. Šie rezultāti tika ņemti vērā, sagatavojot ieteikumus. Reprezentativitātes prasības dēļ tiešsaistē uzsāktās izmeklēšanas rezultāti šajā ziņojumā ir ņemti vērā tikai nedaudz.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Šo ziņojumu publicē Ārlietu ministrija. </w:t>
      </w:r>
      <w:hyperlink r:id="rId118">
        <w:r>
          <w:rPr>
            <w:rStyle w:val="LienInternet"/>
          </w:rPr>
          <w:t>www.kijkopeuropa.nl</w:t>
        </w:r>
      </w:hyperlink>
      <w:r>
        <w:rPr>
          <w:rFonts w:ascii="Calibri" w:hAnsi="Calibri"/>
          <w:color w:val="000000"/>
          <w:sz w:val="21"/>
        </w:rPr>
        <w:t xml:space="preserve"> </w:t>
      </w:r>
      <w:r>
        <w:rPr/>
        <w:t xml:space="preserve"> </w:t>
      </w:r>
      <w:r>
        <w:br w:type="page"/>
      </w:r>
    </w:p>
    <w:p>
      <w:pPr>
        <w:pStyle w:val="Normal"/>
        <w:spacing w:lineRule="auto" w:line="240"/>
        <w:ind w:left="0" w:right="0" w:hanging="0"/>
        <w:rPr/>
      </w:pPr>
      <w:r>
        <w:rPr/>
        <w:drawing>
          <wp:anchor behindDoc="0" distT="0" distB="0" distL="0" distR="0" simplePos="0" locked="0" layoutInCell="1" allowOverlap="1" relativeHeight="49">
            <wp:simplePos x="0" y="0"/>
            <wp:positionH relativeFrom="column">
              <wp:align>center</wp:align>
            </wp:positionH>
            <wp:positionV relativeFrom="paragraph">
              <wp:posOffset>635</wp:posOffset>
            </wp:positionV>
            <wp:extent cx="3114040" cy="2009775"/>
            <wp:effectExtent l="0" t="0" r="0" b="0"/>
            <wp:wrapTopAndBottom/>
            <wp:docPr id="110" name="Fotoattēls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Fotoattēls47" descr=""/>
                    <pic:cNvPicPr>
                      <a:picLocks noChangeAspect="1" noChangeArrowheads="1"/>
                    </pic:cNvPicPr>
                  </pic:nvPicPr>
                  <pic:blipFill>
                    <a:blip r:embed="rId119"/>
                    <a:stretch>
                      <a:fillRect/>
                    </a:stretch>
                  </pic:blipFill>
                  <pic:spPr bwMode="auto">
                    <a:xfrm>
                      <a:off x="0" y="0"/>
                      <a:ext cx="3114040" cy="2009775"/>
                    </a:xfrm>
                    <a:prstGeom prst="rect">
                      <a:avLst/>
                    </a:prstGeom>
                  </pic:spPr>
                </pic:pic>
              </a:graphicData>
            </a:graphic>
          </wp:anchor>
        </w:drawing>
      </w:r>
    </w:p>
    <w:p>
      <w:pPr>
        <w:pStyle w:val="P68B1DB1Normal123"/>
        <w:spacing w:lineRule="auto" w:line="240"/>
        <w:ind w:left="0" w:right="0" w:hanging="0"/>
        <w:rPr>
          <w:rFonts w:ascii="Calibri" w:hAnsi="Calibri"/>
          <w:color w:val="000000"/>
          <w:sz w:val="32"/>
        </w:rPr>
      </w:pPr>
      <w:r>
        <w:rPr/>
        <w:t xml:space="preserve">Nīderlandes valdība </w:t>
      </w:r>
    </w:p>
    <w:p>
      <w:pPr>
        <w:pStyle w:val="P68B1DB1Normal124"/>
        <w:widowControl w:val="false"/>
        <w:spacing w:lineRule="exact" w:line="1199" w:before="278" w:after="0"/>
        <w:ind w:left="0" w:right="0" w:hanging="0"/>
        <w:jc w:val="left"/>
        <w:rPr>
          <w:rFonts w:ascii="Calibri" w:hAnsi="Calibri"/>
          <w:b/>
          <w:b/>
          <w:color w:val="0070C0"/>
          <w:sz w:val="72"/>
        </w:rPr>
      </w:pPr>
      <w:r>
        <w:rPr/>
        <w:t xml:space="preserve">Mūsu redzējums par Eiropu </w:t>
      </w:r>
    </w:p>
    <w:p>
      <w:pPr>
        <w:pStyle w:val="Titre4"/>
        <w:numPr>
          <w:ilvl w:val="3"/>
          <w:numId w:val="2"/>
        </w:numPr>
        <w:rPr/>
      </w:pPr>
      <w:bookmarkStart w:id="237" w:name="__RefHeading___Toc298386_1346298689"/>
      <w:bookmarkEnd w:id="237"/>
      <w:r>
        <w:rPr/>
        <w:t>2022. gada janvāra ziņojums</w:t>
      </w:r>
    </w:p>
    <w:p>
      <w:pPr>
        <w:pStyle w:val="P68B1DB1Normal20"/>
        <w:widowControl w:val="false"/>
        <w:spacing w:lineRule="auto" w:line="240" w:before="105" w:after="0"/>
        <w:ind w:left="0" w:right="0" w:hanging="0"/>
        <w:jc w:val="left"/>
        <w:rPr>
          <w:rFonts w:ascii="Calibri" w:hAnsi="Calibri"/>
          <w:color w:val="000000"/>
          <w:sz w:val="24"/>
        </w:rPr>
      </w:pPr>
      <w:r>
        <w:rPr/>
        <w:t xml:space="preserve">Atzinumi, idejas un ieteikumi </w:t>
      </w:r>
    </w:p>
    <w:p>
      <w:pPr>
        <w:pStyle w:val="P68B1DB1Normal104"/>
        <w:widowControl w:val="false"/>
        <w:spacing w:lineRule="auto" w:line="240" w:before="116"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20"/>
        <w:widowControl w:val="false"/>
        <w:spacing w:lineRule="auto" w:line="240"/>
        <w:ind w:left="0" w:right="0" w:hanging="0"/>
        <w:jc w:val="left"/>
        <w:rPr>
          <w:rFonts w:ascii="Calibri" w:hAnsi="Calibri"/>
          <w:b/>
          <w:b/>
          <w:color w:val="000000"/>
          <w:sz w:val="21"/>
        </w:rPr>
      </w:pPr>
      <w:r>
        <w:rPr/>
        <w:t xml:space="preserve">Tēmas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Klimata pārmaiņas un vide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Migrācija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Veselība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ES pasaulē </w:t>
      </w:r>
    </w:p>
    <w:p>
      <w:pPr>
        <w:pStyle w:val="P68B1DB1Normal105"/>
        <w:widowControl w:val="false"/>
        <w:spacing w:lineRule="auto" w:line="240" w:before="7" w:after="0"/>
        <w:ind w:left="0" w:right="0" w:hanging="0"/>
        <w:jc w:val="left"/>
        <w:rPr/>
      </w:pPr>
      <w:r>
        <w:rPr>
          <w:rFonts w:ascii="Verdana" w:hAnsi="Verdana"/>
        </w:rPr>
        <w:t>• •</w:t>
      </w:r>
      <w:r>
        <w:rPr/>
        <w:t xml:space="preserv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2022. gada 14. janvāris </w:t>
      </w:r>
    </w:p>
    <w:p>
      <w:pPr>
        <w:pStyle w:val="P68B1DB1Normal105"/>
        <w:widowControl w:val="false"/>
        <w:spacing w:lineRule="auto" w:line="240" w:before="5" w:after="0"/>
        <w:ind w:left="0" w:right="0" w:hanging="0"/>
        <w:jc w:val="left"/>
        <w:rPr/>
      </w:pPr>
      <w:r>
        <w:rPr>
          <w:rFonts w:ascii="Verdana" w:hAnsi="Verdana"/>
        </w:rPr>
        <w:t>• •</w:t>
      </w:r>
      <w:r>
        <w:rPr/>
        <w:t xml:space="preserve"> </w:t>
      </w:r>
    </w:p>
    <w:p>
      <w:pPr>
        <w:pStyle w:val="P68B1DB1Normal105"/>
        <w:widowControl w:val="false"/>
        <w:spacing w:lineRule="auto" w:line="240" w:before="2" w:after="0"/>
        <w:ind w:left="0" w:right="0" w:hanging="0"/>
        <w:jc w:val="left"/>
        <w:rPr/>
      </w:pPr>
      <w:r>
        <w:rPr>
          <w:rFonts w:ascii="Verdana" w:hAnsi="Verdana"/>
        </w:rPr>
        <w:t>•</w:t>
      </w:r>
      <w:r>
        <w:rPr/>
        <w:t xml:space="preserve"> </w:t>
      </w:r>
      <w:r>
        <w:rPr>
          <w:rFonts w:ascii="Calibri" w:hAnsi="Calibri"/>
        </w:rPr>
        <w:t xml:space="preserve">Šis dokuments ir ziņojuma “Elze kijk op Europa” tulkojums; Meningen, ideeën en Aanbevelingen“(”Mūsu redzējums par Eiropu: atzinumi, idejas un ieteikumi"), kas tika publicēts holandiešu valodā 2022. gada 14. janvārī www.kijkopeuropa.nl. Šis tulkojums ir vienkāršota ziņojuma versija, kurā tulkošanai ir mainīts sākotnējais noformējums (ilustrācijas un citi grafiskie elementi). </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spacing w:lineRule="auto" w:line="240"/>
        <w:ind w:left="0" w:right="0" w:hanging="0"/>
        <w:rPr/>
      </w:pPr>
      <w:r>
        <w:rPr/>
      </w:r>
      <w:r>
        <w:br w:type="page"/>
      </w:r>
    </w:p>
    <w:p>
      <w:pPr>
        <w:pStyle w:val="P68B1DB1Normal125"/>
        <w:spacing w:lineRule="auto" w:line="240"/>
        <w:ind w:left="0" w:right="0" w:hanging="0"/>
        <w:rPr>
          <w:rFonts w:ascii="Calibri" w:hAnsi="Calibri"/>
          <w:b/>
          <w:b/>
          <w:color w:val="0070C0"/>
          <w:sz w:val="32"/>
        </w:rPr>
      </w:pPr>
      <w:r>
        <w:rPr/>
        <w:t xml:space="preserve">Mūsu redzējums par... </w:t>
      </w:r>
    </w:p>
    <w:p>
      <w:pPr>
        <w:pStyle w:val="P68B1DB1Normal126"/>
        <w:widowControl w:val="false"/>
        <w:spacing w:lineRule="auto" w:line="240" w:before="101" w:after="0"/>
        <w:ind w:left="0" w:right="0" w:hanging="0"/>
        <w:jc w:val="left"/>
        <w:rPr>
          <w:rFonts w:ascii="Calibri" w:hAnsi="Calibri"/>
          <w:color w:val="0070C0"/>
          <w:sz w:val="24"/>
        </w:rPr>
      </w:pPr>
      <w:r>
        <w:rPr/>
        <w:t xml:space="preserve">Ziņojuma kopsavilkums: visi ieteikumi īsumā </w:t>
      </w:r>
    </w:p>
    <w:p>
      <w:pPr>
        <w:pStyle w:val="P68B1DB1Normal104"/>
        <w:widowControl w:val="false"/>
        <w:spacing w:lineRule="auto" w:line="240" w:before="109" w:after="0"/>
        <w:ind w:left="0" w:right="0" w:hanging="0"/>
        <w:jc w:val="both"/>
        <w:rPr/>
      </w:pPr>
      <w:r>
        <w:rPr/>
        <w:t xml:space="preserve">Pilsoņu dialogā, kas tika organizēts par tematu “Eiropas redzējums”, mēs apkopojām Nīderlandes iedzīvotāju viedokļus un idejas par Eiropas nākotni. Tā rezultātā Eiropas Savienībai tika sniegti šādi ieteikumi par pēdējiem četriem tematiem (no visiem deviņiem tematiem). </w:t>
      </w:r>
    </w:p>
    <w:p>
      <w:pPr>
        <w:pStyle w:val="P68B1DB1Normal126"/>
        <w:widowControl w:val="false"/>
        <w:spacing w:lineRule="auto" w:line="240" w:before="108" w:after="0"/>
        <w:ind w:left="0" w:right="0" w:hanging="0"/>
        <w:jc w:val="left"/>
        <w:rPr>
          <w:rFonts w:ascii="Calibri" w:hAnsi="Calibri"/>
          <w:color w:val="0070C0"/>
          <w:sz w:val="24"/>
        </w:rPr>
      </w:pPr>
      <w:r>
        <w:rPr/>
        <w:t xml:space="preserve">Klimata pārmaiņas un vide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Izvēlēties skaidru virzienu Eiropas pieejai klimata pārmaiņām</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Nodrošināt, ka valstis un uzņēmumi ciešāk sadarbojas, lai rastu mērķtiecīgus risinājumus 3.</w:t>
      </w:r>
      <w:r>
        <w:rPr/>
        <w:t xml:space="preserve"> </w:t>
      </w:r>
      <w:r>
        <w:rPr>
          <w:rFonts w:ascii="Calibri" w:hAnsi="Calibri"/>
        </w:rPr>
        <w:t>Izveidot taisnīgu un praktiski īstenojamu CO2 sistēmu</w:t>
      </w:r>
    </w:p>
    <w:p>
      <w:pPr>
        <w:pStyle w:val="P68B1DB1Normal119"/>
        <w:widowControl w:val="false"/>
        <w:spacing w:lineRule="auto" w:line="240"/>
        <w:ind w:left="0" w:right="0" w:hanging="0"/>
        <w:jc w:val="left"/>
        <w:rPr/>
      </w:pPr>
      <w:r>
        <w:rPr>
          <w:rFonts w:ascii="Calibri" w:hAnsi="Calibri"/>
        </w:rPr>
        <w:t>4.</w:t>
      </w:r>
      <w:r>
        <w:rPr/>
        <w:t xml:space="preserve"> </w:t>
      </w:r>
      <w:r>
        <w:rPr>
          <w:rFonts w:ascii="Calibri" w:hAnsi="Calibri"/>
        </w:rPr>
        <w:t>Skaidrāk un pozitīvāk informēt par klimata pieeju</w:t>
      </w:r>
    </w:p>
    <w:p>
      <w:pPr>
        <w:pStyle w:val="P68B1DB1Normal104"/>
        <w:widowControl w:val="false"/>
        <w:spacing w:lineRule="auto" w:line="240" w:before="93" w:after="0"/>
        <w:ind w:left="0" w:right="0" w:hanging="0"/>
        <w:jc w:val="left"/>
        <w:rPr/>
      </w:pPr>
      <w:r>
        <w:rPr/>
        <w:t xml:space="preserve">Nīderlande uzskata, ka ES ir jāuzņemas vadošā loma cīņā pret klimata pārmaiņām. Dalībvalstīm ir jāspēj pašām izdarīt izvēli, tomēr tām jāsadarbojas, lai sasniegtu tos pašus mērķus. Tā vietā, lai cita citai norādītu, ES valstīm vairāk enerģijas būtu jāvelta zināšanu apmaiņai un kopīgu risinājumu rašanai. Sistēma CO2 emisiju aplikšanai ar nodokli var būt efektīva, taču tai jābūt arī taisnīgai, praktiskai un skaidrai. Parasti Nīderlande uzskata, ka ES būtu efektīvāk un pozitīvāk jāinformē par klimata jautājumiem. </w:t>
      </w:r>
    </w:p>
    <w:p>
      <w:pPr>
        <w:pStyle w:val="P68B1DB1Normal126"/>
        <w:widowControl w:val="false"/>
        <w:spacing w:lineRule="auto" w:line="240" w:before="108" w:after="0"/>
        <w:ind w:left="0" w:right="0" w:hanging="0"/>
        <w:jc w:val="left"/>
        <w:rPr>
          <w:rFonts w:ascii="Calibri" w:hAnsi="Calibri"/>
          <w:color w:val="0070C0"/>
          <w:sz w:val="24"/>
        </w:rPr>
      </w:pPr>
      <w:r>
        <w:rPr/>
        <w:t xml:space="preserve">Migrēšana </w:t>
      </w:r>
    </w:p>
    <w:p>
      <w:pPr>
        <w:pStyle w:val="P68B1DB1Normal119"/>
        <w:widowControl w:val="false"/>
        <w:spacing w:lineRule="auto" w:line="240" w:before="105" w:after="0"/>
        <w:ind w:left="0" w:right="0" w:hanging="0"/>
        <w:jc w:val="left"/>
        <w:rPr/>
      </w:pPr>
      <w:r>
        <w:rPr>
          <w:rFonts w:ascii="Calibri" w:hAnsi="Calibri"/>
        </w:rPr>
        <w:t>1.</w:t>
      </w:r>
      <w:r>
        <w:rPr/>
        <w:t xml:space="preserve"> </w:t>
      </w:r>
      <w:r>
        <w:rPr>
          <w:rFonts w:ascii="Calibri" w:hAnsi="Calibri"/>
        </w:rPr>
        <w:t>Novērst to, ka debates par bēgļu jautājumu kļūst mazāk niansētas</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Noteikt, kas ir taisnīgs un praktisks bēgļu sadalījums</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Iegūto zināšanu un pieredzes izmantošana, lai palīdzētu reģioniem, no kuriem bēgļi nāk no</w:t>
      </w:r>
    </w:p>
    <w:p>
      <w:pPr>
        <w:pStyle w:val="P68B1DB1Normal104"/>
        <w:widowControl w:val="false"/>
        <w:spacing w:lineRule="auto" w:line="240"/>
        <w:ind w:left="0" w:right="0" w:hanging="0"/>
        <w:jc w:val="left"/>
        <w:rPr/>
      </w:pPr>
      <w:r>
        <w:rPr/>
        <w:t xml:space="preserve">Nīderlande uzskata, ka ir svarīgi nošķirt cilvēkus, kas bēg no bīstamām teritorijām, un ekonomiskos bēgļus. Debatēs par migrāciju un integrāciju bieži vien trūkst nianses. Lai Eiropā panāktu taisnīgu bēgļu sadalījumu, Eiropas Savienībā ir jāvienojas par skaidriem kritērijiem, kuros ņemtas vērā gan dalībvalstis, gan personas, kas aizbēgušas. Visbeidzot, Nīderlande ierosina ES atbalstīt reģionus, no kuriem bēgļi ierodas ne tikai finansiāli, bet arī ar zināšanām. </w:t>
      </w:r>
    </w:p>
    <w:p>
      <w:pPr>
        <w:pStyle w:val="P68B1DB1Normal126"/>
        <w:widowControl w:val="false"/>
        <w:spacing w:lineRule="auto" w:line="240" w:before="108" w:after="0"/>
        <w:ind w:left="0" w:right="0" w:hanging="0"/>
        <w:jc w:val="left"/>
        <w:rPr>
          <w:rFonts w:ascii="Calibri" w:hAnsi="Calibri"/>
          <w:color w:val="0070C0"/>
          <w:sz w:val="24"/>
        </w:rPr>
      </w:pPr>
      <w:r>
        <w:rPr/>
        <w:t xml:space="preserve">Veselība un veselība </w:t>
      </w:r>
    </w:p>
    <w:p>
      <w:pPr>
        <w:pStyle w:val="P68B1DB1Normal119"/>
        <w:widowControl w:val="false"/>
        <w:spacing w:lineRule="auto" w:line="240" w:before="103" w:after="0"/>
        <w:ind w:left="0" w:right="0" w:hanging="0"/>
        <w:jc w:val="left"/>
        <w:rPr/>
      </w:pPr>
      <w:r>
        <w:rPr>
          <w:rFonts w:ascii="Calibri" w:hAnsi="Calibri"/>
        </w:rPr>
        <w:t>1.</w:t>
      </w:r>
      <w:r>
        <w:rPr/>
        <w:t xml:space="preserve"> </w:t>
      </w:r>
      <w:r>
        <w:rPr>
          <w:rFonts w:ascii="Calibri" w:hAnsi="Calibri"/>
        </w:rPr>
        <w:t>Labāk kontrolēt pandēmijas pārvaldību</w:t>
      </w:r>
    </w:p>
    <w:p>
      <w:pPr>
        <w:pStyle w:val="P68B1DB1Normal119"/>
        <w:widowControl w:val="false"/>
        <w:spacing w:lineRule="auto" w:line="240"/>
        <w:ind w:left="0" w:right="0" w:hanging="0"/>
        <w:jc w:val="left"/>
        <w:rPr/>
      </w:pPr>
      <w:r>
        <w:rPr>
          <w:rFonts w:ascii="Calibri" w:hAnsi="Calibri"/>
        </w:rPr>
        <w:t>2.</w:t>
      </w:r>
      <w:r>
        <w:rPr/>
        <w:t xml:space="preserve"> </w:t>
      </w:r>
      <w:r>
        <w:rPr>
          <w:rFonts w:ascii="Calibri" w:hAnsi="Calibri"/>
        </w:rPr>
        <w:t>Nodrošināt pieejamu un uzticamu zāļu pieejamību visiem</w:t>
      </w:r>
    </w:p>
    <w:p>
      <w:pPr>
        <w:pStyle w:val="P68B1DB1Normal119"/>
        <w:widowControl w:val="false"/>
        <w:spacing w:lineRule="auto" w:line="240"/>
        <w:ind w:left="0" w:right="0" w:hanging="0"/>
        <w:jc w:val="left"/>
        <w:rPr/>
      </w:pPr>
      <w:r>
        <w:rPr>
          <w:rFonts w:ascii="Calibri" w:hAnsi="Calibri"/>
        </w:rPr>
        <w:t>3.</w:t>
      </w:r>
      <w:r>
        <w:rPr/>
        <w:t xml:space="preserve"> </w:t>
      </w:r>
      <w:r>
        <w:rPr>
          <w:rFonts w:ascii="Calibri" w:hAnsi="Calibri"/>
        </w:rPr>
        <w:t>Valstīm ir jākoncentrējas uz to, lai uzlabotu savas veselības aprūpes sistēmas un padarītu to taisnīgāku</w:t>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Normal"/>
        <w:widowControl w:val="false"/>
        <w:spacing w:lineRule="auto" w:line="240"/>
        <w:ind w:left="0" w:right="0" w:hanging="0"/>
        <w:jc w:val="both"/>
        <w:rPr/>
      </w:pPr>
      <w:r>
        <w:rPr>
          <w:rFonts w:ascii="Calibri" w:hAnsi="Calibri"/>
          <w:color w:val="000000"/>
          <w:sz w:val="21"/>
        </w:rPr>
        <w:t xml:space="preserve">Nīderlande uzskata, ka ES valstīm ir vairāk jāsadarbojas, lai cīnītos pret pandēmiju. Koronavīrusa krīzes risināšana dažkārt rada neskaidrību. Noteikumiem vajadzētu būt savstarpēji saskaņotākiem, un tiem nav jābūt vienādiem visur. Attiecībā uz vakcīnām vai zālēm Nīderlande vēlas, lai cenas paliktu pēc iespējas zemākas, bet vēlas paļauties uz kvalitatīvu un atbildīgu ražošanu. Turklāt mēs uzskatām, ka ir svarīgi, lai lielie uzņēmumi ļaunprātīgi neizmantotu savas pilnvaras, un mēs uzskatām, ka veselības aprūpei arī turpmāk jābūt valsts līmenī. </w:t>
      </w:r>
      <w:r>
        <w:br w:type="page"/>
      </w:r>
    </w:p>
    <w:p>
      <w:pPr>
        <w:pStyle w:val="P68B1DB1Normal126"/>
        <w:widowControl w:val="false"/>
        <w:spacing w:lineRule="auto" w:line="240"/>
        <w:ind w:left="0" w:right="0" w:hanging="0"/>
        <w:jc w:val="left"/>
        <w:rPr>
          <w:rFonts w:ascii="Calibri" w:hAnsi="Calibri"/>
          <w:color w:val="0070C0"/>
          <w:sz w:val="24"/>
        </w:rPr>
      </w:pPr>
      <w:r>
        <w:rPr/>
        <w:t xml:space="preserve">ES loma pasaulē </w:t>
      </w:r>
    </w:p>
    <w:p>
      <w:pPr>
        <w:pStyle w:val="P68B1DB1Normal119"/>
        <w:widowControl w:val="false"/>
        <w:spacing w:lineRule="auto" w:line="240" w:before="112" w:after="0"/>
        <w:ind w:left="0" w:right="0" w:hanging="0"/>
        <w:jc w:val="left"/>
        <w:rPr/>
      </w:pPr>
      <w:r>
        <w:rPr>
          <w:rFonts w:ascii="Calibri" w:hAnsi="Calibri"/>
        </w:rPr>
        <w:t>1.</w:t>
      </w:r>
      <w:r>
        <w:rPr/>
        <w:t xml:space="preserve"> </w:t>
      </w:r>
      <w:r>
        <w:rPr>
          <w:rFonts w:ascii="Calibri" w:hAnsi="Calibri"/>
        </w:rPr>
        <w:t>ES spēka izmantošana galvenajās starptautiskajās tēmās, galvenokārt</w:t>
      </w:r>
    </w:p>
    <w:p>
      <w:pPr>
        <w:pStyle w:val="P68B1DB1Normal119"/>
        <w:widowControl w:val="false"/>
        <w:spacing w:lineRule="auto" w:line="240" w:before="112" w:after="0"/>
        <w:ind w:left="0" w:right="0" w:hanging="0"/>
        <w:jc w:val="left"/>
        <w:rPr/>
      </w:pPr>
      <w:r>
        <w:rPr>
          <w:rFonts w:ascii="Calibri" w:hAnsi="Calibri"/>
        </w:rPr>
        <w:t>2.</w:t>
      </w:r>
      <w:r>
        <w:rPr/>
        <w:t xml:space="preserve"> </w:t>
      </w:r>
      <w:r>
        <w:rPr>
          <w:rFonts w:ascii="Calibri" w:hAnsi="Calibri"/>
        </w:rPr>
        <w:t>Gan Eiropā, gan ārpus tās, izvēlēties sadarbību, nevis cīnīties</w:t>
      </w:r>
    </w:p>
    <w:p>
      <w:pPr>
        <w:pStyle w:val="P68B1DB1Normal119"/>
        <w:widowControl w:val="false"/>
        <w:spacing w:lineRule="auto" w:line="240" w:before="112" w:after="0"/>
        <w:ind w:left="0" w:right="0" w:hanging="0"/>
        <w:jc w:val="left"/>
        <w:rPr/>
      </w:pPr>
      <w:r>
        <w:rPr>
          <w:rFonts w:ascii="Calibri" w:hAnsi="Calibri"/>
        </w:rPr>
        <w:t>3.</w:t>
      </w:r>
      <w:r>
        <w:rPr/>
        <w:t xml:space="preserve"> </w:t>
      </w:r>
      <w:r>
        <w:rPr>
          <w:rFonts w:ascii="Calibri" w:hAnsi="Calibri"/>
        </w:rPr>
        <w:t>Pārdomātā veidā piedāvājot palīdzību konflikta gadījumā</w:t>
      </w:r>
    </w:p>
    <w:p>
      <w:pPr>
        <w:pStyle w:val="P68B1DB1Normal104"/>
        <w:widowControl w:val="false"/>
        <w:spacing w:lineRule="auto" w:line="240" w:before="84" w:after="0"/>
        <w:ind w:left="0" w:right="0" w:hanging="0"/>
        <w:jc w:val="left"/>
        <w:rPr/>
      </w:pPr>
      <w:r>
        <w:rPr/>
        <w:t xml:space="preserve">Nīderlande uzskata, ka Eiropas sadarbībai būtu jākoncentrējas galvenokārt uz galvenajām kopīgajām interesēm. Šajā pieejā jāiekļauj arī ES sadarbība ar trešām valstīm. Papildus klimata pārmaiņām un koronavīrusa pandēmijai tās ietver, piemēram, starptautisko drošību un Eiropas ekonomikas aizsardzību pret negodīgu tirdzniecības praksi. Eiropā un ārpus tās nīderlandieši dod priekšroku sadarbībai, nevis cīņai. Attiecībā uz pieeju konfliktiem vienmēr ir vēlams tos atrisināt, neizmantojot vardarbību. </w:t>
      </w:r>
    </w:p>
    <w:p>
      <w:pPr>
        <w:pStyle w:val="P68B1DB1Normal125"/>
        <w:widowControl w:val="false"/>
        <w:spacing w:lineRule="auto" w:line="240" w:before="96" w:after="0"/>
        <w:ind w:left="0" w:right="0" w:hanging="0"/>
        <w:jc w:val="left"/>
        <w:rPr>
          <w:rFonts w:ascii="Calibri" w:hAnsi="Calibri"/>
          <w:b/>
          <w:b/>
          <w:color w:val="0070C0"/>
          <w:sz w:val="32"/>
        </w:rPr>
      </w:pPr>
      <w:r>
        <w:rPr/>
        <w:t xml:space="preserve">Ievads Ievads </w:t>
      </w:r>
    </w:p>
    <w:p>
      <w:pPr>
        <w:pStyle w:val="P68B1DB1Normal104"/>
        <w:widowControl w:val="false"/>
        <w:spacing w:lineRule="auto" w:line="240" w:before="183" w:after="0"/>
        <w:ind w:left="0" w:right="0" w:hanging="0"/>
        <w:jc w:val="left"/>
        <w:rPr/>
      </w:pPr>
      <w:r>
        <w:rPr/>
        <w:t xml:space="preserve">Pilsoņu dialogs “Eiropas redzējums”, kas notika no 1. septembra līdz novembra vidum, ļāva visiem nīderlandiešiem paust savu viedokli un idejas par Eiropas nākotni. Nīderlande iesniedz Eiropas Savienībai (ES) ieteikumus, kas ir dialoga pamatā, kā arī paustās idejas un viedokļus. Šajā ziņojumā mēs pievēršamies pēdējiem četriem tematiem (no visiem deviņiem tematiem). Pirmie pieci temati jau ir aplūkoti 2021. gada 3. decembrī publicētajā ziņojumā. </w:t>
      </w:r>
    </w:p>
    <w:p>
      <w:pPr>
        <w:pStyle w:val="P68B1DB1Normal126"/>
        <w:widowControl w:val="false"/>
        <w:spacing w:lineRule="auto" w:line="240" w:before="79" w:after="0"/>
        <w:ind w:left="0" w:right="0" w:hanging="0"/>
        <w:jc w:val="left"/>
        <w:rPr>
          <w:rFonts w:ascii="Calibri" w:hAnsi="Calibri"/>
          <w:color w:val="0070C0"/>
          <w:sz w:val="24"/>
        </w:rPr>
      </w:pPr>
      <w:r>
        <w:rPr/>
        <w:t xml:space="preserve">Par Eiropas redzējumu </w:t>
      </w:r>
    </w:p>
    <w:p>
      <w:pPr>
        <w:pStyle w:val="P68B1DB1Normal104"/>
        <w:widowControl w:val="false"/>
        <w:spacing w:lineRule="auto" w:line="240" w:before="78" w:after="0"/>
        <w:ind w:left="0" w:right="0" w:hanging="0"/>
        <w:jc w:val="left"/>
        <w:rPr/>
      </w:pPr>
      <w:r>
        <w:rPr/>
        <w:t xml:space="preserve">Eiropas Savienība vēlas, lai tās pilsoņi dalītos ar to, ko viņi domā par Eiropu. Tāpēc ES organizē konferenci par Eiropas nākotni. Pēc tam Eiropas Savienības iedzīvotāju viedokļi un idejas tiks izmantotas Eiropas nākotnes plānos. Konferences ietvaros Nīderlande valsts līmenī organizēja pilsoņu dialogu “Eiropas redzējums”. </w:t>
      </w:r>
    </w:p>
    <w:p>
      <w:pPr>
        <w:pStyle w:val="P68B1DB1Normal104"/>
        <w:widowControl w:val="false"/>
        <w:spacing w:lineRule="auto" w:line="240"/>
        <w:ind w:left="0" w:right="0" w:hanging="0"/>
        <w:jc w:val="left"/>
        <w:rPr/>
      </w:pPr>
      <w:r>
        <w:rPr/>
        <w:t xml:space="preserve">Dialogs par Eiropas redzējumu sākās 1. septembrī ar viedokļu un ideju apkopošanu tiešsaistē, izmantojot reprezentatīvas žūrijas aptauju. Lai padziļinātu paneļdiskusiju pirmos rezultātus un sniegtu konkrētus ieteikumus, mēs tiešsaistē organizējām tematiskus dialogus. Var piedalīties ikviens, kurš vēlējās piedalīties. Mēs arī ceļojām uz valsti, lai rīkotu diskusijas ar jauniešiem un citām grupām (grūti sasniegt).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 xml:space="preserve">No skolēniem, arodskolu skolēniem un skolēniem līdz ministram, lauksaimniekiem un migrantiem </w:t>
      </w:r>
    </w:p>
    <w:p>
      <w:pPr>
        <w:pStyle w:val="P68B1DB1Normal104"/>
        <w:widowControl w:val="false"/>
        <w:spacing w:lineRule="auto" w:line="240" w:before="91" w:after="0"/>
        <w:ind w:left="0" w:right="0" w:hanging="0"/>
        <w:jc w:val="both"/>
        <w:rPr/>
      </w:pPr>
      <w:r>
        <w:rPr/>
        <w:t xml:space="preserve">Oktobrī un novembrī kopumā notika astoņi tiešsaistes tematiskie dialogi, kuros katrā sanāksmē piedalījās vidēji 30 dalībnieki. Mēs arī organizējām tiešsaistes tematisko dialogu un septiņus tematiskos dialogus uz vietas ar dažādām Nīderlandes pilsoņu grupām. Mēs runājām ar turku kopienu Schiedam, un Piëzo fonda brīvprātīgie viņus uzaicināja uz Zoetermeer. Pēdējā gadījumā dialoga beigās piedalījās arī ārlietu ministrs Bens Knapens (Ben Knapen). Ministrs diskutēja ar dalībniekiem par dialogu un paustajiem viedokļiem par Eiropas nākotni. Visbeidzot, mēs organizējām sešas sanāksmes ar dažādām jauniešu grupām. Piemēram, mēs bijām gaidīti vidusskolā Helmondā, profesionālās vidusskolas Doetinchem un Leidenes Universitātē. </w:t>
      </w:r>
    </w:p>
    <w:p>
      <w:pPr>
        <w:pStyle w:val="P68B1DB1Normal113"/>
        <w:widowControl w:val="false"/>
        <w:spacing w:lineRule="auto" w:line="240" w:before="160" w:after="0"/>
        <w:ind w:left="0" w:right="0" w:hanging="0"/>
        <w:jc w:val="center"/>
        <w:rPr/>
      </w:pPr>
      <w:r>
        <w:rPr/>
        <w:t xml:space="preserve">Tā ir mūsu bērnu nākotne. Tāpēc es domāju, ka ir svarīgi piedalīties. </w:t>
      </w:r>
    </w:p>
    <w:p>
      <w:pPr>
        <w:pStyle w:val="P68B1DB1Normal104"/>
        <w:widowControl w:val="false"/>
        <w:spacing w:lineRule="auto" w:line="240" w:before="127" w:after="0"/>
        <w:ind w:left="0" w:right="0" w:hanging="0"/>
        <w:jc w:val="left"/>
        <w:rPr>
          <w:rFonts w:ascii="Calibri" w:hAnsi="Calibri"/>
          <w:color w:val="000000"/>
          <w:sz w:val="21"/>
        </w:rPr>
      </w:pPr>
      <w:r>
        <w:rPr/>
        <w:t xml:space="preserve">Tematiskā dialoga dalībnieks </w:t>
      </w:r>
    </w:p>
    <w:p>
      <w:pPr>
        <w:pStyle w:val="Normal"/>
        <w:widowControl w:val="false"/>
        <w:spacing w:lineRule="auto" w:line="240" w:before="92" w:after="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Par šo ziņojumu </w:t>
      </w:r>
    </w:p>
    <w:p>
      <w:pPr>
        <w:pStyle w:val="P68B1DB1Normal104"/>
        <w:widowControl w:val="false"/>
        <w:spacing w:lineRule="auto" w:line="240" w:before="88" w:after="0"/>
        <w:ind w:left="0" w:right="0" w:hanging="0"/>
        <w:jc w:val="left"/>
        <w:rPr/>
      </w:pPr>
      <w:r>
        <w:rPr/>
        <w:t xml:space="preserve">Pamatojoties uz idejām un viedokļiem, ko esam apkopojuši pēdējos mēnešos, mēs esam izstrādājuši virkni ieteikumu, ko Nīderlandes pilsoņi sniedz Eiropas Savienībai. Diskusijās starp Nīderlandes pilsoņiem notika interesanta viedokļu apmaiņa un tika izteiktas inovatīvas idejas un ierosinājumi. Dažas no šīm idejām un ierosinājumiem ir iekļautas šajā ziņojumā. Tādēļ šā ziņojuma saturs ir Nīderlandes viedoklis: mūsu redzējums par Eiropu.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Tāpat kā pastāv viedokļu atšķirības starp valstīm un Eiropas pilsoņiem, arī mēs ne vienmēr vienojamies savā starpā Nīderlandē. Tieši šīs viedokļu atšķirības ir vērtīgas: tie ir svarīga demokrātijas iezīme. Ieteikumi ir ņemti no aptaujas “Vision of Europe” dalībnieku visbiežāk paustajām idejām un viedokļiem. Mēs arī aprakstām bažas, idejas un jūtas, kas var būt mazāk izplatītas, bet kuras ir piesaistījušas mūsu uzmanību dialogos un tiešsaistes aptaujā. </w:t>
      </w:r>
    </w:p>
    <w:p>
      <w:pPr>
        <w:pStyle w:val="P68B1DB1Normal113"/>
        <w:widowControl w:val="false"/>
        <w:spacing w:lineRule="auto" w:line="240" w:before="181" w:after="0"/>
        <w:ind w:left="0" w:right="0" w:hanging="0"/>
        <w:jc w:val="center"/>
        <w:rPr/>
      </w:pPr>
      <w:r>
        <w:rPr/>
        <w:t xml:space="preserve">Man patika iespēja izteikt savu viedokli par tēmām, kas, manuprāt, ir svarīgas. Un ir bijusi sajūta, ka tiek uzklausīts. </w:t>
      </w:r>
    </w:p>
    <w:p>
      <w:pPr>
        <w:pStyle w:val="P68B1DB1Normal104"/>
        <w:widowControl w:val="false"/>
        <w:spacing w:lineRule="auto" w:line="240" w:before="300" w:after="0"/>
        <w:ind w:left="0" w:right="0" w:hanging="0"/>
        <w:jc w:val="left"/>
        <w:rPr>
          <w:rFonts w:ascii="Calibri" w:hAnsi="Calibri"/>
          <w:color w:val="000000"/>
          <w:sz w:val="21"/>
        </w:rPr>
      </w:pPr>
      <w:r>
        <w:rPr/>
        <w:t xml:space="preserve">Tematiskā dialoga dalībnieks </w:t>
      </w:r>
    </w:p>
    <w:p>
      <w:pPr>
        <w:pStyle w:val="P68B1DB1Normal104"/>
        <w:widowControl w:val="false"/>
        <w:spacing w:lineRule="auto" w:line="240"/>
        <w:ind w:left="0" w:right="0" w:hanging="0"/>
        <w:jc w:val="left"/>
        <w:rPr/>
      </w:pPr>
      <w:r>
        <w:rPr/>
        <w:t xml:space="preserve">Konferencei par Eiropas nākotni tika noteiktas deviņas tēmas. Šīs tēmas ir arī Eiropas redzējuma dialoga ar Nīderlandes pilsoņiem pamatā. Oktobrī mēs publicējām starpposma ziņojumu, kurā sniegts sākotnējs pārskats par rezultātiem un papildu jautājumiem, pamatojoties uz paneļdiskusiju. Decembra sākumā tika publicēts jauns ziņojums, kurā izklāstīti atzinumi, idejas un ieteikumi par pirmajiem pieciem tematiem. Šajā ziņojumā aplūkoti atlikušie četri temati.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rFonts w:ascii="Calibri" w:hAnsi="Calibri"/>
          <w:b/>
          <w:b/>
          <w:color w:val="000000"/>
          <w:sz w:val="22"/>
        </w:rPr>
      </w:pPr>
      <w:r>
        <w:rPr/>
        <w:t xml:space="preserve">Iepriekšējais ziņojums — 2021. gada decembris </w:t>
      </w:r>
    </w:p>
    <w:p>
      <w:pPr>
        <w:pStyle w:val="P68B1DB1Normal104"/>
        <w:widowControl w:val="false"/>
        <w:spacing w:lineRule="auto" w:line="240"/>
        <w:ind w:left="0" w:right="0" w:hanging="0"/>
        <w:jc w:val="left"/>
        <w:rPr>
          <w:rFonts w:ascii="Calibri" w:hAnsi="Calibri"/>
          <w:color w:val="000000"/>
          <w:sz w:val="21"/>
        </w:rPr>
      </w:pPr>
      <w:r>
        <w:rPr/>
        <w:t xml:space="preserve">Vērtības un tiesības, tiesiskums un drošība </w:t>
      </w:r>
    </w:p>
    <w:p>
      <w:pPr>
        <w:pStyle w:val="P68B1DB1Normal104"/>
        <w:widowControl w:val="false"/>
        <w:spacing w:lineRule="auto" w:line="240"/>
        <w:ind w:left="0" w:right="0" w:hanging="0"/>
        <w:jc w:val="left"/>
        <w:rPr/>
      </w:pPr>
      <w:r>
        <w:rPr/>
        <w:t xml:space="preserve">Spēcīgāka ekonomika, sociālais taisnīgums un nodarbinātība Eiropas demokrātija </w:t>
      </w:r>
    </w:p>
    <w:p>
      <w:pPr>
        <w:pStyle w:val="P68B1DB1Normal104"/>
        <w:widowControl w:val="false"/>
        <w:spacing w:lineRule="auto" w:line="240"/>
        <w:ind w:left="0" w:right="0" w:hanging="0"/>
        <w:jc w:val="left"/>
        <w:rPr>
          <w:rFonts w:ascii="Calibri" w:hAnsi="Calibri"/>
          <w:color w:val="000000"/>
          <w:sz w:val="21"/>
        </w:rPr>
      </w:pPr>
      <w:r>
        <w:rPr/>
        <w:t xml:space="preserve">Digitālā pārveide </w:t>
      </w:r>
    </w:p>
    <w:p>
      <w:pPr>
        <w:pStyle w:val="P68B1DB1Normal104"/>
        <w:widowControl w:val="false"/>
        <w:spacing w:lineRule="auto" w:line="240"/>
        <w:ind w:left="0" w:right="0" w:hanging="0"/>
        <w:jc w:val="left"/>
        <w:rPr>
          <w:rFonts w:ascii="Calibri" w:hAnsi="Calibri"/>
          <w:color w:val="000000"/>
          <w:sz w:val="21"/>
        </w:rPr>
      </w:pPr>
      <w:r>
        <w:rPr/>
        <w:t xml:space="preserve">Izglītība, kultūra, jaunatne un sports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1"/>
        <w:widowControl w:val="false"/>
        <w:spacing w:lineRule="auto" w:line="240"/>
        <w:ind w:left="0" w:right="0" w:hanging="0"/>
        <w:jc w:val="left"/>
        <w:rPr/>
      </w:pPr>
      <w:r>
        <w:rPr/>
        <w:t>Pašreizējais ziņojums — 2022. gada janvāris</w:t>
      </w:r>
    </w:p>
    <w:p>
      <w:pPr>
        <w:pStyle w:val="P68B1DB1Normal104"/>
        <w:widowControl w:val="false"/>
        <w:spacing w:lineRule="auto" w:line="240"/>
        <w:ind w:left="0" w:right="0" w:hanging="0"/>
        <w:jc w:val="left"/>
        <w:rPr/>
      </w:pPr>
      <w:r>
        <w:rPr/>
        <w:t xml:space="preserve">Klimata pārmaiņas un vide </w:t>
      </w:r>
    </w:p>
    <w:p>
      <w:pPr>
        <w:pStyle w:val="P68B1DB1Normal104"/>
        <w:widowControl w:val="false"/>
        <w:spacing w:lineRule="auto" w:line="240"/>
        <w:ind w:left="0" w:right="0" w:hanging="0"/>
        <w:jc w:val="left"/>
        <w:rPr>
          <w:rFonts w:ascii="Calibri" w:hAnsi="Calibri"/>
          <w:color w:val="000000"/>
          <w:sz w:val="21"/>
        </w:rPr>
      </w:pPr>
      <w:r>
        <w:rPr/>
        <w:t xml:space="preserve">Migrēšana </w:t>
      </w:r>
    </w:p>
    <w:p>
      <w:pPr>
        <w:pStyle w:val="P68B1DB1Normal104"/>
        <w:widowControl w:val="false"/>
        <w:spacing w:lineRule="auto" w:line="240"/>
        <w:ind w:left="0" w:right="0" w:hanging="0"/>
        <w:jc w:val="left"/>
        <w:rPr>
          <w:rFonts w:ascii="Calibri" w:hAnsi="Calibri"/>
          <w:color w:val="000000"/>
          <w:sz w:val="21"/>
        </w:rPr>
      </w:pPr>
      <w:r>
        <w:rPr/>
        <w:t xml:space="preserve">Veselība un veselība </w:t>
      </w:r>
    </w:p>
    <w:p>
      <w:pPr>
        <w:pStyle w:val="P68B1DB1Normal104"/>
        <w:widowControl w:val="false"/>
        <w:spacing w:lineRule="auto" w:line="240"/>
        <w:ind w:left="0" w:right="0" w:hanging="0"/>
        <w:jc w:val="left"/>
        <w:rPr>
          <w:rFonts w:ascii="Calibri" w:hAnsi="Calibri"/>
          <w:color w:val="000000"/>
          <w:sz w:val="21"/>
        </w:rPr>
      </w:pPr>
      <w:r>
        <w:rPr/>
        <w:t xml:space="preserve">ES pasaulē </w:t>
      </w:r>
    </w:p>
    <w:p>
      <w:pPr>
        <w:pStyle w:val="P68B1DB1Normal126"/>
        <w:widowControl w:val="false"/>
        <w:spacing w:lineRule="auto" w:line="240" w:before="105" w:after="0"/>
        <w:ind w:left="0" w:right="0" w:hanging="0"/>
        <w:jc w:val="left"/>
        <w:rPr>
          <w:rFonts w:ascii="Calibri" w:hAnsi="Calibri"/>
          <w:color w:val="0070C0"/>
          <w:sz w:val="24"/>
        </w:rPr>
      </w:pPr>
      <w:r>
        <w:rPr/>
        <w:t xml:space="preserve">Nākamie soļi </w:t>
      </w:r>
    </w:p>
    <w:p>
      <w:pPr>
        <w:pStyle w:val="Normal"/>
        <w:widowControl w:val="false"/>
        <w:spacing w:lineRule="auto" w:line="240" w:before="107" w:after="0"/>
        <w:ind w:left="0" w:right="0" w:hanging="0"/>
        <w:jc w:val="left"/>
        <w:rPr/>
      </w:pPr>
      <w:r>
        <w:rPr>
          <w:rFonts w:ascii="Calibri" w:hAnsi="Calibri"/>
          <w:color w:val="000000"/>
          <w:sz w:val="21"/>
        </w:rPr>
        <w:t xml:space="preserve">Konference par Eiropas nākotni apvieno visu ES iedzīvotāju idejas, viedokļus un ieteikumus. Sanāksmes tiks veltītas ne tikai visu valsts līmeņa pilsoņu dialogu rezultātiem, bet arī citu saistībā ar konferenci uzsākto iniciatīvu rezultātiem. Piemēram, ir arī Eiropas pilsoņu paneļdiskusija, un visi ES pilsoņi (tostarp Nīderlandes pilsoņi) var piekļūt Eiropas digitālajai platformai. </w:t>
      </w:r>
      <w:r>
        <w:br w:type="page"/>
      </w:r>
    </w:p>
    <w:p>
      <w:pPr>
        <w:pStyle w:val="P68B1DB1Normal19"/>
        <w:widowControl w:val="false"/>
        <w:spacing w:lineRule="auto" w:line="240"/>
        <w:ind w:left="0" w:right="0" w:hanging="0"/>
        <w:jc w:val="left"/>
        <w:rPr>
          <w:rFonts w:ascii="Times New Roman" w:hAnsi="Times New Roman"/>
          <w:color w:val="000000"/>
          <w:sz w:val="24"/>
        </w:rPr>
      </w:pPr>
      <w:r>
        <w:rPr/>
        <w:t xml:space="preserve"> </w:t>
      </w:r>
    </w:p>
    <w:p>
      <w:pPr>
        <w:pStyle w:val="P68B1DB1Normal113"/>
        <w:widowControl w:val="false"/>
        <w:spacing w:lineRule="auto" w:line="240"/>
        <w:ind w:left="0" w:right="0" w:hanging="0"/>
        <w:jc w:val="center"/>
        <w:rPr/>
      </w:pPr>
      <w:r>
        <w:rPr/>
        <w:t>“</w:t>
      </w:r>
      <w:r>
        <w:rPr/>
        <w:t xml:space="preserve">ES ceru, ka ES vadītāji ņems vērā manu viedokli. Un ka tas palīdzēs viņiem izdarīt pareizo izvēli. </w:t>
      </w:r>
    </w:p>
    <w:p>
      <w:pPr>
        <w:pStyle w:val="P68B1DB1Normal104"/>
        <w:widowControl w:val="false"/>
        <w:spacing w:lineRule="auto" w:line="240" w:before="300" w:after="0"/>
        <w:ind w:left="0" w:right="0" w:hanging="0"/>
        <w:jc w:val="left"/>
        <w:rPr>
          <w:rFonts w:ascii="Calibri" w:hAnsi="Calibri"/>
          <w:color w:val="000000"/>
          <w:sz w:val="21"/>
        </w:rPr>
      </w:pPr>
      <w:r>
        <w:rPr/>
        <w:t xml:space="preserve">Tematiskā dialoga dalībnieks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Konference beigsies 2022. gada pavasarī. Pēc tam Nīderlande sagatavos galīgo ziņojumu par pilsoņu dialogu: šā ziņojuma un iepriekšējā ziņojuma apkopojums, tostarp ieteikumi par visām deviņām tēmām. Pēc konferences konferences priekšsēdētājam tiks sniegti šādi ieteikumi: Eiropas Parlamenta, Ministru padomes un Eiropas Komisijas priekšsēdētāji. Viņi apņēmās izpētīt ieteikumu īstenošanas veidus un līdzekļus. Nīderlandes valdībai rezultāti ir arī vērtīgs ieguldījums Nīderlandes Eiropas politikas attīstībā.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t xml:space="preserve">Kopumā process līdz 2022. gada pavasarim tiks organizēts šādi: </w:t>
      </w:r>
      <w:r>
        <w:br w:type="page"/>
      </w:r>
    </w:p>
    <w:p>
      <w:pPr>
        <w:pStyle w:val="P68B1DB1Normal127"/>
        <w:widowControl w:val="false"/>
        <w:spacing w:lineRule="auto" w:line="240" w:before="0" w:after="0"/>
        <w:ind w:left="0" w:right="0" w:hanging="0"/>
        <w:jc w:val="left"/>
        <w:rPr/>
      </w:pPr>
      <w:r>
        <w:rPr>
          <w:color w:val="0070C0"/>
          <w:sz w:val="24"/>
        </w:rPr>
        <w:t>Hronoloģija</w:t>
      </w:r>
      <w:r>
        <w:rPr>
          <w:color w:val="365F91"/>
          <w:sz w:val="28"/>
        </w:rPr>
        <w:t xml:space="preserve"> </w:t>
      </w:r>
    </w:p>
    <w:p>
      <w:pPr>
        <w:pStyle w:val="P68B1DB1Normal35"/>
        <w:widowControl w:val="false"/>
        <w:spacing w:lineRule="auto" w:line="240" w:before="0" w:after="0"/>
        <w:ind w:left="24" w:right="0" w:hanging="0"/>
        <w:jc w:val="left"/>
        <w:rPr/>
      </w:pPr>
      <w:r>
        <w:rPr>
          <w:rFonts w:ascii="Times New Roman" w:hAnsi="Times New Roman"/>
          <w:sz w:val="24"/>
        </w:rPr>
        <w:t xml:space="preserve"> </w:t>
      </w:r>
      <w:r>
        <w:rPr>
          <w:rFonts w:ascii="Calibri" w:hAnsi="Calibri"/>
          <w:position w:val="2"/>
          <w:sz w:val="21"/>
        </w:rPr>
        <w:t>Eiropas redzējums</w:t>
      </w:r>
    </w:p>
    <w:tbl>
      <w:tblPr>
        <w:tblW w:w="9645"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146"/>
        <w:gridCol w:w="355"/>
        <w:gridCol w:w="416"/>
        <w:gridCol w:w="915"/>
        <w:gridCol w:w="41"/>
        <w:gridCol w:w="512"/>
        <w:gridCol w:w="292"/>
        <w:gridCol w:w="443"/>
        <w:gridCol w:w="657"/>
        <w:gridCol w:w="854"/>
        <w:gridCol w:w="1"/>
        <w:gridCol w:w="706"/>
        <w:gridCol w:w="1"/>
        <w:gridCol w:w="853"/>
        <w:gridCol w:w="1"/>
        <w:gridCol w:w="852"/>
        <w:gridCol w:w="913"/>
        <w:gridCol w:w="340"/>
        <w:gridCol w:w="1346"/>
      </w:tblGrid>
      <w:tr>
        <w:trPr>
          <w:trHeight w:val="115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 septembris</w:t>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12. oktobris</w:t>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22./23. oktobris</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15. novembris</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3. decembris</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14. janvāris</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21/22 janvāris</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Februāris Februāris</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18/19 februāris</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11.-12. marts</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22/24 aprīlis</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21" w:hRule="atLeast"/>
        </w:trPr>
        <w:tc>
          <w:tcPr>
            <w:tcW w:w="2385" w:type="dxa"/>
            <w:gridSpan w:val="6"/>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Ideju vākšana tiešsaistē</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884"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Tematiskie dialogi</w:t>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902"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Starprezultāti (starpposma ziņojums)</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Starpposma ziņojums “Ekonomika” un “Demokrātija”</w:t>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Starpposma ziņojums “Klimats” un “ES pasaulē”</w:t>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Nobeiguma ziņojums “Mūsu redzējums Eiropai”</w:t>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SKATĪT VISAS VIESNĪCAS VIETĀ </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SKATĪT VISAS VIESNĪCAS VIETĀ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SKATĪT VISAS VIESNĪCAS VIETĀ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SKATĪT VISAS VIESNĪCAS VIETĀ </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SKATĪT VISAS VIESNĪCAS VIETĀ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1879"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Konferences sēde</w:t>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Konferences sēde</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Latvijas Republikas </w:t>
              <w:br/>
              <w:t>konference</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(iespējams) konferences sanāksme</w:t>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Konferences noslēguma pasākums</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MĀJAS LAPA → </w:t>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 xml:space="preserve">Ieteikumi priekšsēdētājiem </w:t>
            </w:r>
          </w:p>
          <w:p>
            <w:pPr>
              <w:pStyle w:val="P68B1DB1Contenudetableau128"/>
              <w:spacing w:before="57" w:after="57"/>
              <w:jc w:val="left"/>
              <w:rPr>
                <w:color w:val="000000"/>
                <w:sz w:val="14"/>
              </w:rPr>
            </w:pPr>
            <w:r>
              <w:rPr/>
              <w:t xml:space="preserve">• </w:t>
            </w:r>
            <w:r>
              <w:rPr/>
              <w:t xml:space="preserve">Eiropas Parlaments </w:t>
              <w:br/>
              <w:t xml:space="preserve">• Eiropas Komisija </w:t>
              <w:br/>
              <w:t>• Ministru padome</w:t>
            </w:r>
          </w:p>
        </w:tc>
      </w:tr>
      <w:tr>
        <w:trPr>
          <w:trHeight w:val="491" w:hRule="atLeast"/>
        </w:trPr>
        <w:tc>
          <w:tcPr>
            <w:tcW w:w="501"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1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5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8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1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xml:space="preserve">↑ </w:t>
            </w:r>
          </w:p>
        </w:tc>
        <w:tc>
          <w:tcPr>
            <w:tcW w:w="340"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3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r>
      <w:tr>
        <w:trPr>
          <w:trHeight w:val="506" w:hRule="atLeast"/>
        </w:trPr>
        <w:tc>
          <w:tcPr>
            <w:tcW w:w="14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5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41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956"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0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6967" w:type="dxa"/>
            <w:gridSpan w:val="1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Vairāk viedokļu un ideju par Eiropas nākotni:</w:t>
            </w:r>
          </w:p>
        </w:tc>
      </w:tr>
      <w:tr>
        <w:trPr>
          <w:trHeight w:val="941" w:hRule="atLeast"/>
        </w:trPr>
        <w:tc>
          <w:tcPr>
            <w:tcW w:w="91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Dialogi ar pilsoņiem</w:t>
            </w:r>
          </w:p>
        </w:tc>
        <w:tc>
          <w:tcPr>
            <w:tcW w:w="915"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55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735"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1512"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Eiropas pilsoņu paneļdiskusija</w:t>
            </w:r>
          </w:p>
        </w:tc>
        <w:tc>
          <w:tcPr>
            <w:tcW w:w="707"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85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Contenudetableau"/>
              <w:spacing w:before="57" w:after="57"/>
              <w:rPr>
                <w:color w:val="000000"/>
              </w:rPr>
            </w:pPr>
            <w:r>
              <w:rPr>
                <w:color w:val="000000"/>
              </w:rPr>
            </w:r>
          </w:p>
        </w:tc>
        <w:tc>
          <w:tcPr>
            <w:tcW w:w="3451" w:type="dxa"/>
            <w:gridSpan w:val="4"/>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8"/>
              <w:spacing w:before="57" w:after="57"/>
              <w:jc w:val="left"/>
              <w:rPr>
                <w:color w:val="000000"/>
                <w:sz w:val="14"/>
              </w:rPr>
            </w:pPr>
            <w:r>
              <w:rPr/>
              <w:t>Eiropas digitālā platforma (arī Nīderlandes pilsoņiem)</w:t>
            </w:r>
          </w:p>
        </w:tc>
      </w:tr>
    </w:tbl>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p>
    <w:p>
      <w:pPr>
        <w:pStyle w:val="P68B1DB1Normal126"/>
        <w:widowControl w:val="false"/>
        <w:spacing w:lineRule="auto" w:line="240"/>
        <w:ind w:left="0" w:right="0" w:hanging="0"/>
        <w:jc w:val="left"/>
        <w:rPr>
          <w:rFonts w:ascii="Calibri" w:hAnsi="Calibri"/>
          <w:color w:val="0070C0"/>
          <w:sz w:val="24"/>
        </w:rPr>
      </w:pPr>
      <w:r>
        <w:rPr/>
        <w:t xml:space="preserve">Skaidrojumi, lai atvieglotu lasīšanu </w:t>
      </w:r>
    </w:p>
    <w:p>
      <w:pPr>
        <w:pStyle w:val="P68B1DB1Normal104"/>
        <w:widowControl w:val="false"/>
        <w:spacing w:lineRule="exact" w:line="281" w:before="116" w:after="0"/>
        <w:ind w:left="0" w:right="772" w:hanging="0"/>
        <w:jc w:val="left"/>
        <w:rPr/>
      </w:pPr>
      <w:r>
        <w:rPr/>
        <w:t xml:space="preserve">Šajā ziņojumā mēs apspriedām četrus tematus. Par katru tēmu mēs esam secīgi iekļāvuši: </w:t>
      </w:r>
    </w:p>
    <w:p>
      <w:pPr>
        <w:pStyle w:val="P68B1DB1Normal104"/>
        <w:widowControl w:val="false"/>
        <w:spacing w:lineRule="exact" w:line="339" w:before="1" w:after="0"/>
        <w:ind w:left="0" w:right="0" w:hanging="0"/>
        <w:jc w:val="left"/>
        <w:rPr>
          <w:rFonts w:ascii="Calibri" w:hAnsi="Calibri"/>
          <w:color w:val="000000"/>
          <w:sz w:val="21"/>
        </w:rPr>
      </w:pPr>
      <w:r>
        <w:rPr/>
        <w:t xml:space="preserve">ieteikumi, kuru pamatā ir visi pilsoņu dialoga aspekti; </w:t>
      </w:r>
    </w:p>
    <w:p>
      <w:pPr>
        <w:pStyle w:val="P68B1DB1Normal104"/>
        <w:widowControl w:val="false"/>
        <w:spacing w:lineRule="exact" w:line="283"/>
        <w:ind w:left="0" w:right="137" w:hanging="0"/>
        <w:jc w:val="left"/>
        <w:rPr/>
      </w:pPr>
      <w:r>
        <w:rPr/>
        <w:t xml:space="preserve">diskusijas un idejas tiešsaistē un uz vietas: pārskats par viedokļiem, idejām un viedokļiem, ar kuriem (tiešsaistē un klātienē) apmainījās tematisko dialogu laikā. </w:t>
      </w:r>
    </w:p>
    <w:p>
      <w:pPr>
        <w:pStyle w:val="P68B1DB1Normal104"/>
        <w:widowControl w:val="false"/>
        <w:spacing w:lineRule="exact" w:line="339"/>
        <w:ind w:left="0" w:right="0" w:hanging="0"/>
        <w:jc w:val="left"/>
        <w:rPr>
          <w:rFonts w:ascii="Calibri" w:hAnsi="Calibri"/>
          <w:color w:val="000000"/>
          <w:sz w:val="21"/>
        </w:rPr>
      </w:pPr>
      <w:r>
        <w:rPr/>
        <w:t xml:space="preserve"> </w:t>
      </w:r>
    </w:p>
    <w:p>
      <w:pPr>
        <w:pStyle w:val="Normal"/>
        <w:widowControl w:val="false"/>
        <w:spacing w:lineRule="exact" w:line="339" w:before="1" w:after="0"/>
        <w:ind w:left="0" w:right="0" w:hanging="0"/>
        <w:jc w:val="left"/>
        <w:rPr>
          <w:rFonts w:ascii="Calibri" w:hAnsi="Calibri"/>
          <w:color w:val="000000"/>
          <w:sz w:val="21"/>
        </w:rPr>
      </w:pPr>
      <w:r>
        <w:rPr>
          <w:rFonts w:ascii="Calibri" w:hAnsi="Calibri"/>
          <w:color w:val="000000"/>
          <w:sz w:val="21"/>
        </w:rPr>
        <w:t xml:space="preserve">Apsekojumā izmantotās metodikas apraksts ir atrodams šā ziņojuma beigās.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Klimata pārmaiņas un vide </w:t>
      </w:r>
    </w:p>
    <w:p>
      <w:pPr>
        <w:pStyle w:val="P68B1DB1Normal126"/>
        <w:widowControl w:val="false"/>
        <w:spacing w:lineRule="auto" w:line="240" w:before="48" w:after="0"/>
        <w:ind w:left="0" w:right="0" w:hanging="0"/>
        <w:jc w:val="left"/>
        <w:rPr>
          <w:rFonts w:ascii="Calibri" w:hAnsi="Calibri"/>
          <w:color w:val="0070C0"/>
          <w:sz w:val="24"/>
        </w:rPr>
      </w:pPr>
      <w:r>
        <w:rPr/>
        <w:t xml:space="preserve">Ieteikumi — mūsu redzējums par klimata pārmaiņām un vidi </w:t>
      </w:r>
    </w:p>
    <w:p>
      <w:pPr>
        <w:pStyle w:val="P68B1DB1Normal120"/>
        <w:widowControl w:val="false"/>
        <w:spacing w:lineRule="auto" w:line="240" w:before="61" w:after="0"/>
        <w:ind w:left="0" w:right="0" w:hanging="0"/>
        <w:jc w:val="left"/>
        <w:rPr/>
      </w:pPr>
      <w:r>
        <w:rPr/>
        <w:t xml:space="preserve">71 % Nīderlandes uzskata, ka klimata pārmaiņas un vide ir svarīgs jautājums un ka ES ir jāiejaucas šajā jomā. </w:t>
      </w:r>
    </w:p>
    <w:p>
      <w:pPr>
        <w:pStyle w:val="P68B1DB1Normal110"/>
        <w:widowControl w:val="false"/>
        <w:spacing w:lineRule="auto" w:line="240" w:before="57" w:after="0"/>
        <w:ind w:left="0" w:right="0" w:hanging="0"/>
        <w:jc w:val="left"/>
        <w:rPr/>
      </w:pPr>
      <w:r>
        <w:rPr>
          <w:b/>
        </w:rPr>
        <w:t xml:space="preserve">1. Izvēloties skaidru virzienu Eiropas pieejai klimata pārmaiņām, </w:t>
      </w:r>
      <w:r>
        <w:rPr>
          <w:sz w:val="21"/>
        </w:rPr>
        <w:t xml:space="preserve">68 % Nīderlandes uzskata, ka ES ir jāuzņemas vadošā loma cīņā pret klimata pārmaiņām. Globālā sasilšana ir problēma, un neviena valsts to nevar atrisināt viena pati. Pat ja ne visi nīderlandieši piekrīt klimata pārmaiņām, mēs uzskatām, ka ES jebkurā gadījumā ir jābūt skaidrākam redzējumam par nākotni. Neraugoties uz zaļo kursu, mēs pašlaik redzam, ka dalībvalstis bieži vien nav saskaņotas. Lai gan valstīm ir jābūt iespējai turpināt pašām izdarīt izvēli, tām tomēr jāsadarbojas, lai sasniegtu tos pašus mērķus. Mēs arī uzskatām, ka mums kā pilsoņiem ir arī sava atbildības daļa, piemēram, attiecībā uz mūsu patēriņa paradumu pielāgošanu. </w:t>
      </w:r>
    </w:p>
    <w:p>
      <w:pPr>
        <w:pStyle w:val="P68B1DB1Normal113"/>
        <w:widowControl w:val="false"/>
        <w:spacing w:lineRule="auto" w:line="240" w:before="135" w:after="0"/>
        <w:ind w:left="0" w:right="0" w:hanging="0"/>
        <w:jc w:val="center"/>
        <w:rPr/>
      </w:pPr>
      <w:r>
        <w:rPr/>
        <w:t xml:space="preserve">Nīderlande vēlas atteikties no dabasgāzes, bet Vācijā tā tiek tieši mudināta to izmantot. Dažreiz tas nav saprast neko. </w:t>
      </w:r>
    </w:p>
    <w:p>
      <w:pPr>
        <w:pStyle w:val="P68B1DB1Normal111"/>
        <w:widowControl w:val="false"/>
        <w:spacing w:lineRule="auto" w:line="240" w:before="109" w:after="0"/>
        <w:ind w:left="0" w:right="0" w:hanging="0"/>
        <w:jc w:val="left"/>
        <w:rPr/>
      </w:pPr>
      <w:r>
        <w:rPr/>
        <w:t xml:space="preserve">2. Nodrošināt, ka valstis un uzņēmumi ciešāk sadarbojas, lai rastu mērķtiecīgus risinājumus </w:t>
      </w:r>
    </w:p>
    <w:p>
      <w:pPr>
        <w:pStyle w:val="P68B1DB1Normal104"/>
        <w:widowControl w:val="false"/>
        <w:spacing w:lineRule="auto" w:line="240"/>
        <w:ind w:left="0" w:right="0" w:hanging="0"/>
        <w:jc w:val="left"/>
        <w:rPr/>
      </w:pPr>
      <w:r>
        <w:rPr/>
        <w:t xml:space="preserve">Runājot par klimata pārmaiņām un vidi, nīderlandieši uzskata, ka valstis bieži norāda uz saviem pirkstiem. Bieži uzsvars tiek likts uz atšķirībām, piemēram, starp nabadzīgajām un bagātajām ES valstīm. Vai starp augsti industrializētām vai vāji industrializētām valstīm. Mēs labprātāk mēģinātu panākt vienošanos. Piemēram, līdzīgi uzņēmumi dažādās valstīs varētu apmainīties ar zināšanām un kopīgi domāt par risinājumiem. Ja tas notiktu, nabadzīgākās valstis varētu vairāk iesaistīties pieejā klimata pārmaiņām. Viņi varētu piedalīties pārdomās un varētu arī izmantot kopīgos risinājumus. </w:t>
      </w:r>
    </w:p>
    <w:p>
      <w:pPr>
        <w:pStyle w:val="P68B1DB1Normal113"/>
        <w:widowControl w:val="false"/>
        <w:spacing w:lineRule="auto" w:line="240" w:before="143" w:after="0"/>
        <w:ind w:left="0" w:right="0" w:hanging="0"/>
        <w:jc w:val="center"/>
        <w:rPr/>
      </w:pPr>
      <w:r>
        <w:rPr/>
        <w:t xml:space="preserve">Pieejai klimata pārmaiņām nevajadzētu būt rasei, bet gan sadarbībai. </w:t>
      </w:r>
    </w:p>
    <w:p>
      <w:pPr>
        <w:pStyle w:val="P68B1DB1Normal111"/>
        <w:widowControl w:val="false"/>
        <w:spacing w:lineRule="auto" w:line="240" w:before="107" w:after="0"/>
        <w:ind w:left="0" w:right="0" w:hanging="0"/>
        <w:jc w:val="left"/>
        <w:rPr>
          <w:rFonts w:ascii="Calibri" w:hAnsi="Calibri"/>
          <w:b/>
          <w:b/>
          <w:color w:val="000000"/>
          <w:sz w:val="22"/>
        </w:rPr>
      </w:pPr>
      <w:r>
        <w:rPr/>
        <w:t xml:space="preserve">3. Izveidot taisnīgu un praktiski īstenojamu CO2 sistēmu </w:t>
      </w:r>
    </w:p>
    <w:p>
      <w:pPr>
        <w:pStyle w:val="P68B1DB1Normal104"/>
        <w:widowControl w:val="false"/>
        <w:spacing w:lineRule="auto" w:line="240"/>
        <w:ind w:left="0" w:right="0" w:hanging="0"/>
        <w:jc w:val="left"/>
        <w:rPr/>
      </w:pPr>
      <w:r>
        <w:rPr/>
        <w:t xml:space="preserve">ES pieeja klimata pārmaiņām pievērš lielu uzmanību CO2 emisiju samazināšanai. Nīderlande uzskata, ka šajā nolūkā ir vajadzīga labāka sistēma, kas ļautu taisnīgi aplikt gan ražotājus, gan patērētājus. Holandiešu valoda ir sadalīta jautājumā par to, vai valstīm, kurās ir visvairāk iedzīvotāju, ir tiesības emitēt vairāk CO2. Dažās valstīs, piemēram, ir ļoti piesārņojoša rūpniecība. No otras puses, citām valstīm ir daudz iespēju ražot zaļo enerģiju. Šīs atšķirības būtu jāņem vērā. Bez tā kļūst pārāk sarežģīta, jo sistēmai ir jābūt saprotamai ikvienam. </w:t>
      </w:r>
    </w:p>
    <w:p>
      <w:pPr>
        <w:pStyle w:val="P68B1DB1Normal129"/>
        <w:widowControl w:val="false"/>
        <w:spacing w:lineRule="auto" w:line="240" w:before="135" w:after="0"/>
        <w:ind w:left="0" w:right="0" w:hanging="0"/>
        <w:jc w:val="center"/>
        <w:rPr/>
      </w:pPr>
      <w:r>
        <w:rPr>
          <w:sz w:val="26"/>
        </w:rPr>
        <w:t>Rūpnieciski attīstītās valstis eksportē daudz. Vai tāpēc tām ir jāmaksā tikai CO2</w:t>
      </w:r>
      <w:r>
        <w:rPr>
          <w:position w:val="0"/>
          <w:sz w:val="17"/>
        </w:rPr>
        <w:t>nodoklis</w:t>
      </w:r>
      <w:r>
        <w:rPr>
          <w:sz w:val="26"/>
        </w:rPr>
        <w:t xml:space="preserve">? Manuprāt, arī patērētājam būtu jāmaksā. </w:t>
      </w:r>
    </w:p>
    <w:p>
      <w:pPr>
        <w:pStyle w:val="P68B1DB1Normal120"/>
        <w:widowControl w:val="false"/>
        <w:spacing w:lineRule="auto" w:line="240" w:before="107" w:after="0"/>
        <w:ind w:left="0" w:right="0" w:hanging="0"/>
        <w:jc w:val="left"/>
        <w:rPr>
          <w:rFonts w:ascii="Calibri" w:hAnsi="Calibri"/>
          <w:b/>
          <w:b/>
          <w:color w:val="000000"/>
          <w:sz w:val="21"/>
        </w:rPr>
      </w:pPr>
      <w:r>
        <w:rPr/>
        <w:t xml:space="preserve"> </w:t>
      </w:r>
    </w:p>
    <w:p>
      <w:pPr>
        <w:pStyle w:val="P68B1DB1Normal110"/>
        <w:widowControl w:val="false"/>
        <w:spacing w:lineRule="auto" w:line="240"/>
        <w:ind w:left="0" w:right="0" w:hanging="0"/>
        <w:jc w:val="both"/>
        <w:rPr/>
      </w:pPr>
      <w:r>
        <w:rPr>
          <w:b/>
        </w:rPr>
        <w:t xml:space="preserve">4. Komunicēt skaidrāk un pozitīvāk par klimata pieeju </w:t>
      </w:r>
      <w:r>
        <w:rPr>
          <w:sz w:val="21"/>
        </w:rPr>
        <w:t xml:space="preserve">Holandes iedzīvotāji daudz dzird par klimata pārmaiņām un par tām lasa daudz. Tomēr daudziem cilvēkiem tas joprojām ir abstrakts un sarežģīts temats. Tas bieži tiek uztverts kā kaut kas, kas maksā daudz naudas, bet pieeja klimata pārmaiņām arī rada iespējas. Mēs domājam, piemēram, par vietējās pārtikas ražošanas veicināšanu un jaunu un ilgtspējīgu tehnoloģiju izstrādi. ES šo aspektu varētu atklāt biežāk un efektīvāk. Mēs arī uzskatām, ka dalībvalstu valdību vadītāji paši varētu būt labāks piemērs. Mazāk ceļošana (piemēram, starp Briseli un Strasbūru) un biežāka tikšanās tiešsaistē varētu, piemēram, veicināt ilgtspēju. </w:t>
      </w:r>
    </w:p>
    <w:p>
      <w:pPr>
        <w:pStyle w:val="P68B1DB1Normal113"/>
        <w:widowControl w:val="false"/>
        <w:spacing w:lineRule="auto" w:line="240" w:before="61" w:after="0"/>
        <w:ind w:left="0" w:right="0" w:hanging="0"/>
        <w:jc w:val="center"/>
        <w:rPr/>
      </w:pPr>
      <w:r>
        <w:rPr/>
        <w:t xml:space="preserve">Ilgtspēja joprojām pārāk bieži tiek uztverta kā izmaksas. Tā būtu jāuztver kā iespēja, nevis draudi. </w:t>
      </w:r>
    </w:p>
    <w:p>
      <w:pPr>
        <w:pStyle w:val="P68B1DB1Normal126"/>
        <w:widowControl w:val="false"/>
        <w:spacing w:lineRule="auto" w:line="240" w:before="129" w:after="0"/>
        <w:ind w:left="0" w:right="0" w:hanging="0"/>
        <w:jc w:val="left"/>
        <w:rPr>
          <w:rFonts w:ascii="Calibri" w:hAnsi="Calibri"/>
          <w:color w:val="0070C0"/>
          <w:sz w:val="24"/>
        </w:rPr>
      </w:pPr>
      <w:r>
        <w:rPr/>
        <w:t xml:space="preserve">Diskusijas un idejas tiešsaistē un uz vietas </w:t>
      </w:r>
    </w:p>
    <w:p>
      <w:pPr>
        <w:pStyle w:val="P68B1DB1Normal129"/>
        <w:widowControl w:val="false"/>
        <w:spacing w:lineRule="auto" w:line="240" w:before="78" w:after="0"/>
        <w:ind w:left="0" w:right="0" w:hanging="0"/>
        <w:jc w:val="left"/>
        <w:rPr/>
      </w:pPr>
      <w:r>
        <w:rPr>
          <w:sz w:val="21"/>
        </w:rPr>
        <w:t>Mums nevajadzētu uzskatīt CO2 emisijas</w:t>
      </w:r>
      <w:r>
        <w:rPr>
          <w:position w:val="0"/>
          <w:sz w:val="14"/>
        </w:rPr>
        <w:t>par</w:t>
      </w:r>
      <w:r>
        <w:rPr>
          <w:sz w:val="21"/>
        </w:rPr>
        <w:t xml:space="preserve"> tiesībām, bet gan par neērtām sekām. </w:t>
      </w:r>
    </w:p>
    <w:p>
      <w:pPr>
        <w:pStyle w:val="P68B1DB1Normal104"/>
        <w:widowControl w:val="false"/>
        <w:spacing w:lineRule="auto" w:line="240" w:before="87"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Man ir iespaids, ka Eiropā mēs tērējam vairāk laika runāt par klimata pārmaiņām, nevis veikt reālus pasākumus, lai risinātu šīs problēmas.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Arī stingrāki klimata noteikumi galu galā varētu būt noderīgi mums. Kā kontinents, kas nodarbojas ar tirdzniecību, mums ir jācenšas redzēt iespējas tur.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Mēs nevaram gaidīt citus kontinentus. Mums nav laika gaidīt.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Atalgojot valstis finansiāli, ja tās pierāda, ka to daba un bioloģiskā daudzveidība pieaug.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“Nabadzīga tūrisma stimulēšana ES nabadzīgos reģionos.”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Doetinchem Profesionālās vidusskolas studenti: Tāliem braucieniem jābūt pieejamiem visiem.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Darbs, ka lidojumiem ES vajadzētu kļūt dārgākam, tika iesniegts studentiem Graafschap koledžā Doetinchem. Daži studenti piekrita, ka dārgākas biļetes mudinātu cilvēkus meklēt lētākas alternatīvas. Turklāt tika uzsvērts, ka tad ES būtu jānodrošina videi draudzīgākas iespējas, piemēram, labāki dzelzceļa savienojumi. Citi dalībnieki norādīja, ka neatbalsta augstākas gaisa pārvadājumu cenas. “Bagāti cilvēki ir tie, kas ceļo visvairāk šodien, un viņi varēs par to maksāt viegli,” teica viens dalībnieks. Augstas cenas neliegs viņiem ceļot. Lai gan tālas brīvdienas tad kļūs neiespējamas “parastiem” pilsoņiem. </w:t>
      </w:r>
    </w:p>
    <w:p>
      <w:pPr>
        <w:pStyle w:val="P68B1DB1Normal118"/>
        <w:widowControl w:val="false"/>
        <w:spacing w:lineRule="auto" w:line="240"/>
        <w:ind w:left="0" w:right="0" w:hanging="0"/>
        <w:jc w:val="left"/>
        <w:rPr/>
      </w:pPr>
      <w:r>
        <w:rPr/>
        <w:t xml:space="preserve">Dabai draudzīgi lauksaimnieki: “ES varētu palīdzēt izplatīt zināšanas par ilgtspējīgiem risinājumiem.”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BoerenNatuur ir lauksaimnieku grupu apvienība. Tematiskā dialoga laikā saruna bija vērsta uz klimata pārmaiņām un vidi. </w:t>
      </w:r>
    </w:p>
    <w:p>
      <w:pPr>
        <w:pStyle w:val="Normal"/>
        <w:widowControl w:val="false"/>
        <w:spacing w:lineRule="auto" w:line="240"/>
        <w:ind w:left="0" w:right="0" w:hanging="0"/>
        <w:jc w:val="left"/>
        <w:rPr/>
      </w:pPr>
      <w:r>
        <w:rPr>
          <w:rFonts w:ascii="Calibri" w:hAnsi="Calibri"/>
          <w:color w:val="000000"/>
          <w:sz w:val="21"/>
        </w:rPr>
        <w:t>Dalībnieki, visticamāk, uzlabos ES tiesību aktu un noteikumu piemērošanu dažādās valstīs. Kā piemēru minēja slāpekļa dokumentāciju. “ES tiesību aktos ir tikai noteikts, ka dabas teritorija nevar pasliktināties”. Bet Dienvideiropā šis jēdziens tiek interpretēts citādi nekā Nīderlandē. " Lielākā daļa klātesošo piekrīt, ka Eiropai ir jāuzņemas vadošā loma cīņā pret klimata pārmaiņām. Un mēs nedrīkstam būt apmierināti ar runu, mums ir jāsasniedz rezultāti. Jo īpaši, apmainoties ar zināšanām, lauksaimnieki tic. Lauksaimniecības nozarē mēs strādājam pie risinājumiem, lai</w:t>
      </w:r>
      <w:r>
        <w:rPr>
          <w:rFonts w:ascii="Calibri" w:hAnsi="Calibri"/>
          <w:color w:val="000000"/>
          <w:sz w:val="21"/>
        </w:rPr>
        <w:commentReference w:id="27"/>
      </w:r>
      <w:r>
        <w:rPr>
          <w:rFonts w:ascii="Calibri" w:hAnsi="Calibri"/>
          <w:color w:val="000000"/>
          <w:sz w:val="21"/>
        </w:rPr>
        <w:t xml:space="preserve"> panāktu tīrāku lauksaimniecību. ES ir jāpalīdz ātri izplatīt zināšanas šajā jomā.” </w:t>
      </w:r>
      <w:r>
        <w:br w:type="page"/>
      </w:r>
    </w:p>
    <w:p>
      <w:pPr>
        <w:pStyle w:val="P68B1DB1Normal127"/>
        <w:widowControl w:val="false"/>
        <w:spacing w:lineRule="auto" w:line="240"/>
        <w:ind w:left="0" w:right="0" w:hanging="0"/>
        <w:jc w:val="left"/>
        <w:rPr/>
      </w:pPr>
      <w:r>
        <w:rPr>
          <w:b/>
          <w:color w:val="0070C0"/>
          <w:sz w:val="32"/>
        </w:rPr>
        <w:t>Migrācija</w:t>
      </w:r>
      <w:r>
        <w:rPr>
          <w:color w:val="365F91"/>
          <w:sz w:val="28"/>
        </w:rPr>
        <w:t xml:space="preserve"> </w:t>
      </w:r>
      <w:r>
        <w:rPr>
          <w:color w:val="0070C0"/>
          <w:sz w:val="21"/>
        </w:rPr>
        <w:t xml:space="preserve">(migrācija un bēgļi) </w:t>
      </w:r>
    </w:p>
    <w:p>
      <w:pPr>
        <w:pStyle w:val="P68B1DB1Normal20"/>
        <w:widowControl w:val="false"/>
        <w:spacing w:lineRule="auto" w:line="240"/>
        <w:ind w:left="0" w:right="0" w:hanging="0"/>
        <w:jc w:val="left"/>
        <w:rPr>
          <w:rFonts w:ascii="Calibri" w:hAnsi="Calibri"/>
          <w:color w:val="000000"/>
          <w:sz w:val="24"/>
        </w:rPr>
      </w:pPr>
      <w:r>
        <w:rPr/>
        <w:t xml:space="preserve"> </w:t>
      </w:r>
    </w:p>
    <w:p>
      <w:pPr>
        <w:pStyle w:val="P68B1DB1Normal104"/>
        <w:widowControl w:val="false"/>
        <w:spacing w:lineRule="auto" w:line="240"/>
        <w:ind w:left="0" w:right="0" w:hanging="0"/>
        <w:jc w:val="left"/>
        <w:rPr/>
      </w:pPr>
      <w:r>
        <w:rPr/>
        <w:t xml:space="preserve">Robežas starp ES dalībvalstīm ir atvērtas. Tāpēc Eiropas Savienībā tiek īstenota sadarbība, piemēram, ārējo robežu pārvaldības un migrantu kontrabandas apkarošanas jomā. Tiek apspriests arī bēgļu taisnīgais sadalījums starp dažādām ES dalībvalstīm. Kāds ir Nīderlandes viedoklis šajā jautājumā? </w:t>
      </w:r>
    </w:p>
    <w:p>
      <w:pPr>
        <w:pStyle w:val="P68B1DB1Normal126"/>
        <w:widowControl w:val="false"/>
        <w:spacing w:lineRule="auto" w:line="240" w:before="93" w:after="0"/>
        <w:ind w:left="0" w:right="0" w:hanging="0"/>
        <w:jc w:val="left"/>
        <w:rPr>
          <w:rFonts w:ascii="Calibri" w:hAnsi="Calibri"/>
          <w:color w:val="0070C0"/>
          <w:sz w:val="24"/>
        </w:rPr>
      </w:pPr>
      <w:r>
        <w:rPr/>
        <w:t xml:space="preserve">Ieteikumi — Mūsu redzējums par migrāciju un bēgļiem </w:t>
      </w:r>
    </w:p>
    <w:p>
      <w:pPr>
        <w:pStyle w:val="P68B1DB1Normal120"/>
        <w:widowControl w:val="false"/>
        <w:spacing w:lineRule="auto" w:line="240" w:before="90" w:after="0"/>
        <w:ind w:left="0" w:right="0" w:hanging="0"/>
        <w:jc w:val="left"/>
        <w:rPr/>
      </w:pPr>
      <w:r>
        <w:rPr/>
        <w:t xml:space="preserve">65 % Nīderlandes iedzīvotāju uzskata, ka migrācija un bēgļi ir svarīgs jautājums un ka ES ir jāiejaucas šajā jomā. </w:t>
      </w:r>
    </w:p>
    <w:p>
      <w:pPr>
        <w:pStyle w:val="P68B1DB1Normal111"/>
        <w:widowControl w:val="false"/>
        <w:spacing w:lineRule="auto" w:line="240" w:before="83" w:after="0"/>
        <w:ind w:left="0" w:right="0" w:hanging="0"/>
        <w:jc w:val="left"/>
        <w:rPr>
          <w:rFonts w:ascii="Calibri" w:hAnsi="Calibri"/>
          <w:b/>
          <w:b/>
          <w:color w:val="000000"/>
          <w:sz w:val="22"/>
        </w:rPr>
      </w:pPr>
      <w:r>
        <w:rPr/>
        <w:t xml:space="preserve">1. Izvairieties no tā, ka debates par bēgļu jautājumu ir pārāk maz niansētas </w:t>
      </w:r>
    </w:p>
    <w:p>
      <w:pPr>
        <w:pStyle w:val="P68B1DB1Normal104"/>
        <w:widowControl w:val="false"/>
        <w:spacing w:lineRule="auto" w:line="240"/>
        <w:ind w:left="0" w:right="0" w:hanging="0"/>
        <w:jc w:val="left"/>
        <w:rPr/>
      </w:pPr>
      <w:r>
        <w:rPr/>
        <w:t xml:space="preserve">70 % Nīderlandes uzskata, ka Eiropas ārējās robežas ir jāaizsargā labāk. Un no tiem 72 procenti arī domā, ka tas nozīmē atgriešanos vairāk bēgļu uz nedrošām valstīm. Nīderlande uzskata, ka lielāka uzmanība jāpievērš iemesliem, kas liek cilvēkiem bēgt no nedrošas valsts. Šie iemesli dažkārt ir saistīti ar klimata pārmaiņām, reizēm ar kariem. Šie apstākļi bieži tiek pieminēti tikai ierobežotā veidā debatēs par bēgļu jautājumu. Reti tiek risināts jautājums par pievienoto vērtību, ko šie bēgļi dod valstij. Visbeidzot, mēs uzskatām, ka ES ir skaidrāk jānošķir cilvēki no nedrošiem reģioniem, kas ierodas pie robežām, un ekonomiskie bēgļi. Kopumā mēs uzskatām, ka debatēm par migrāciju un bēgļiem kopumā trūkst konteksta un nianses. Eiropas politiķi varētu labot šo situāciju, rādot piemēru. </w:t>
      </w:r>
    </w:p>
    <w:p>
      <w:pPr>
        <w:pStyle w:val="P68B1DB1Normal113"/>
        <w:widowControl w:val="false"/>
        <w:spacing w:lineRule="auto" w:line="240" w:before="173" w:after="0"/>
        <w:ind w:left="0" w:right="0" w:hanging="0"/>
        <w:jc w:val="center"/>
        <w:rPr/>
      </w:pPr>
      <w:r>
        <w:rPr/>
        <w:t xml:space="preserve">Mums jāturpina uzskatīt bēgļus par mūsu līdzpilsoņiem. Gandrīz neviens neatsakās no briesmās nonākušu personu. </w:t>
      </w:r>
    </w:p>
    <w:p>
      <w:pPr>
        <w:pStyle w:val="P68B1DB1Normal111"/>
        <w:widowControl w:val="false"/>
        <w:spacing w:lineRule="auto" w:line="240" w:before="138" w:after="0"/>
        <w:ind w:left="0" w:right="0" w:hanging="0"/>
        <w:jc w:val="left"/>
        <w:rPr>
          <w:rFonts w:ascii="Calibri" w:hAnsi="Calibri"/>
          <w:b/>
          <w:b/>
          <w:color w:val="000000"/>
          <w:sz w:val="22"/>
        </w:rPr>
      </w:pPr>
      <w:r>
        <w:rPr/>
        <w:t xml:space="preserve">2. Noteikt, kāda ir taisnīga un praktiska bēgļu sadale </w:t>
      </w:r>
    </w:p>
    <w:p>
      <w:pPr>
        <w:pStyle w:val="P68B1DB1Normal104"/>
        <w:widowControl w:val="false"/>
        <w:spacing w:lineRule="auto" w:line="240"/>
        <w:ind w:left="0" w:right="0" w:hanging="0"/>
        <w:jc w:val="both"/>
        <w:rPr/>
      </w:pPr>
      <w:r>
        <w:rPr/>
        <w:t xml:space="preserve">Eiropas imigrācijas dienestam būtu jānodrošina bēgļu taisnīga sadale starp ES dalībvalstīm. Nīderlande arī uzskata, ka būtu jānosaka skaidri kritēriji, lai definētu, kas ir taisnīga sadale. Laba sociālā sistēma, piemēram, var padarīt valsti pievilcīgu bēgļiem, bet arī citi faktori ir svarīgi gan bēgļiem, gan attiecīgajai valstij. Nīderlandē mēs saskaramies ar mājokļu trūkumu, bet dažās valstīs vai nozarēs vienkārši ir vajadzīgs vairāk migrējošo darba ņēmēju. Mēs uzskatām, ka ir svarīgi, lai ES to ņemtu vērā, sadalot bēgļus. Skaidri mehānismi ne tikai garantē pārredzamību, bet arī mazāk strīdu, kas galu galā ir ikviena interesēs. </w:t>
      </w:r>
    </w:p>
    <w:p>
      <w:pPr>
        <w:pStyle w:val="P68B1DB1Normal113"/>
        <w:widowControl w:val="false"/>
        <w:spacing w:lineRule="auto" w:line="240" w:before="173" w:after="0"/>
        <w:ind w:left="0" w:right="0" w:hanging="0"/>
        <w:jc w:val="center"/>
        <w:rPr/>
      </w:pPr>
      <w:r>
        <w:rPr/>
        <w:t xml:space="preserve">Bēgļiem jāspēj arī paust savus talantus galamērķa valstī. </w:t>
      </w:r>
    </w:p>
    <w:p>
      <w:pPr>
        <w:pStyle w:val="P68B1DB1Normal111"/>
        <w:widowControl w:val="false"/>
        <w:spacing w:lineRule="auto" w:line="240" w:before="136" w:after="0"/>
        <w:ind w:left="0" w:right="0" w:hanging="0"/>
        <w:jc w:val="left"/>
        <w:rPr>
          <w:rFonts w:ascii="Calibri" w:hAnsi="Calibri"/>
          <w:b/>
          <w:b/>
          <w:color w:val="000000"/>
          <w:sz w:val="22"/>
        </w:rPr>
      </w:pPr>
      <w:r>
        <w:rPr/>
        <w:t xml:space="preserve">3. Balstoties uz zināšanām un pieredzi, kas gūta, lai palīdzētu bēgļu izcelsmes reģioniem </w:t>
      </w:r>
    </w:p>
    <w:p>
      <w:pPr>
        <w:pStyle w:val="P68B1DB1Normal104"/>
        <w:widowControl w:val="false"/>
        <w:spacing w:lineRule="auto" w:line="240" w:before="86" w:after="0"/>
        <w:ind w:left="0" w:right="0" w:hanging="0"/>
        <w:jc w:val="left"/>
        <w:rPr/>
      </w:pPr>
      <w:r>
        <w:rPr/>
        <w:t xml:space="preserve">67 % Nīderlandes iedzīvotāju uzskata, ka ES ir jāturpina palīdzēt nestabiliem reģioniem, lai apturētu bēgļu plūsmas. Mēs saprotam, ka bēgļi nepamet savu valsti ar vienkāršu izvēli. Tāpēc mums ir jāpievērš uzmanība tādiem cēloņiem kā klimata pārmaiņas vai konflikti, kas padara reģionus nedrošus vai nederīgus. ES var palīdzēt bēgļu reģioniem ne tikai ar finansiālu atbalstu, bet arī ar zināšanām. Piemēram, Nīderlandē mums ir labas prasmes lauksaimniecībā. Ar modernām lauksaimniecības metodēm mēs varam palīdzēt citām valstīm labāk tikt galā ar sausumu un sasāļošanos. Un cilvēki, kas ir pametuši patvērumu Eiropā, var apmeklēt apmācību kādā Eiropas valstī un pēc tam paši palīdzēt savai izcelsmes valstij.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rFonts w:ascii="Times New Roman" w:hAnsi="Times New Roman"/>
          <w:color w:val="000000"/>
          <w:sz w:val="24"/>
        </w:rPr>
      </w:pPr>
      <w:r>
        <w:rPr>
          <w:rFonts w:ascii="Times New Roman" w:hAnsi="Times New Roman"/>
          <w:color w:val="000000"/>
          <w:sz w:val="24"/>
        </w:rPr>
      </w:r>
      <w:r>
        <w:br w:type="page"/>
      </w:r>
    </w:p>
    <w:p>
      <w:pPr>
        <w:pStyle w:val="P68B1DB1Normal126"/>
        <w:widowControl w:val="false"/>
        <w:spacing w:lineRule="auto" w:line="240"/>
        <w:ind w:left="0" w:right="0" w:hanging="0"/>
        <w:jc w:val="left"/>
        <w:rPr>
          <w:rFonts w:ascii="Calibri" w:hAnsi="Calibri"/>
          <w:color w:val="0070C0"/>
          <w:sz w:val="24"/>
        </w:rPr>
      </w:pPr>
      <w:r>
        <w:rPr/>
        <w:t xml:space="preserve">Diskusijas un idejas tiešsaistē un uz vietas </w:t>
      </w:r>
    </w:p>
    <w:p>
      <w:pPr>
        <w:pStyle w:val="P68B1DB1Normal118"/>
        <w:widowControl w:val="false"/>
        <w:spacing w:lineRule="auto" w:line="240" w:before="85" w:after="0"/>
        <w:ind w:left="0" w:right="0" w:hanging="0"/>
        <w:jc w:val="left"/>
        <w:rPr/>
      </w:pPr>
      <w:r>
        <w:rPr/>
        <w:t>“</w:t>
      </w:r>
      <w:r>
        <w:rPr/>
        <w:t xml:space="preserve">ES ir jāievieš ātrākas patvēruma procedūras. Tātad būs vairāk vietas cilvēkiem, kuriem tas patiešām ir nepieciešams. </w:t>
      </w:r>
    </w:p>
    <w:p>
      <w:pPr>
        <w:pStyle w:val="P68B1DB1Normal118"/>
        <w:widowControl w:val="false"/>
        <w:spacing w:lineRule="auto" w:line="240"/>
        <w:ind w:left="0" w:right="0" w:hanging="0"/>
        <w:jc w:val="left"/>
        <w:rPr/>
      </w:pPr>
      <w:r>
        <w:rPr/>
        <w:t xml:space="preserve">ES zinu daudzus jauniešus ap mani, kuri vēlas iegādāties māju, bet kuri neatrod neko pieejamu, kamēr bēgļi redz, ka viņi piedāvā mājokli. Man ir grūti pieņemt. </w:t>
      </w:r>
    </w:p>
    <w:p>
      <w:pPr>
        <w:pStyle w:val="P68B1DB1Normal118"/>
        <w:widowControl w:val="false"/>
        <w:spacing w:lineRule="auto" w:line="240"/>
        <w:ind w:left="0" w:right="0" w:hanging="0"/>
        <w:jc w:val="left"/>
        <w:rPr/>
      </w:pPr>
      <w:r>
        <w:rPr/>
        <w:t xml:space="preserve">Klimata pārmaiņas jebkurā gadījumā turpinās izraisīt iedzīvotāju pārvietošanu. Mēs nevaram apturēt šīs plūsmas, bet mēs, iespējams, varam tās labāk regulēt. </w:t>
      </w:r>
    </w:p>
    <w:p>
      <w:pPr>
        <w:pStyle w:val="P68B1DB1Normal118"/>
        <w:widowControl w:val="false"/>
        <w:spacing w:lineRule="auto" w:line="240"/>
        <w:ind w:left="0" w:right="0" w:hanging="0"/>
        <w:jc w:val="left"/>
        <w:rPr/>
      </w:pPr>
      <w:r>
        <w:rPr/>
        <w:t xml:space="preserve">ES dzīvoju Betuwe. Bumbieru un ābolu sezonā mums vienkārši vajag daudz migrējošu darba ņēmēju. </w:t>
      </w:r>
    </w:p>
    <w:p>
      <w:pPr>
        <w:pStyle w:val="P68B1DB1Normal118"/>
        <w:widowControl w:val="false"/>
        <w:spacing w:lineRule="auto" w:line="240"/>
        <w:ind w:left="0" w:right="0" w:hanging="0"/>
        <w:jc w:val="left"/>
        <w:rPr/>
      </w:pPr>
      <w:r>
        <w:rPr/>
        <w:t xml:space="preserve">Nedroši reģioni nav nedroši, valsts iestādes bieži vien ir neuzticamas. Kā mēs zinām, kur notiek mūsu palīdzība un nauda? </w:t>
      </w:r>
    </w:p>
    <w:p>
      <w:pPr>
        <w:pStyle w:val="P68B1DB1Normal104"/>
        <w:widowControl w:val="false"/>
        <w:spacing w:lineRule="auto" w:line="240"/>
        <w:ind w:left="0" w:right="0" w:hanging="0"/>
        <w:jc w:val="left"/>
        <w:rPr/>
      </w:pPr>
      <w:r>
        <w:rPr/>
        <w:t xml:space="preserve">IDEJA: </w:t>
      </w:r>
      <w:r>
        <w:rPr>
          <w:i/>
        </w:rPr>
        <w:t>Apsvērt arī vietējās stratēģijas, piemēram, iedzīvotāju līdzdalību bēgļu uzņemšanā vietējā līmenī un vietējās integrācijas iniciatīvu finansēšanu.</w:t>
      </w:r>
    </w:p>
    <w:p>
      <w:pPr>
        <w:pStyle w:val="P68B1DB1Normal104"/>
        <w:widowControl w:val="false"/>
        <w:spacing w:lineRule="auto" w:line="240"/>
        <w:ind w:left="0" w:right="0" w:hanging="0"/>
        <w:jc w:val="left"/>
        <w:rPr/>
      </w:pPr>
      <w:r>
        <w:rPr/>
        <w:t>IDEJA:</w:t>
      </w:r>
      <w:r>
        <w:rPr>
          <w:i/>
        </w:rPr>
        <w:t xml:space="preserve"> Izveidot minimājas pilsētās, kur bēgļi varētu dzīvot pēc ierašanās. Tas mazinātu spiedienu uz mājokļu tirgu un palielinātu sabiedrības atbalstu šo cilvēku uzņemšanai. </w:t>
      </w:r>
    </w:p>
    <w:p>
      <w:pPr>
        <w:pStyle w:val="P68B1DB1Normal118"/>
        <w:widowControl w:val="false"/>
        <w:spacing w:lineRule="auto" w:line="240"/>
        <w:ind w:left="0" w:right="0" w:hanging="0"/>
        <w:jc w:val="left"/>
        <w:rPr/>
      </w:pPr>
      <w:r>
        <w:rPr/>
        <w:t xml:space="preserve">Brīvprātīgie, kas paši bija bēgļi: Eiropā cilvēki bieži vien atrodas prom viens no otra.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Taal Doet Meer ir brīvprātīgo organizācija, kas nodrošina Utrehtas jauno Allophone iedzīvotāju līdzdalību sabiedrībā. Tematiskais dialogs ar šo organizāciju bija vērsts ne tikai uz migrāciju, bet galvenokārt uz integrāciju. Vairāki dalībnieki paši ieradās Nīderlandē kā bēgļi, tostarp viens no Sīrijas. Pēc septiņiem gadiem es joprojām nejūtos nīderlandietis. ES arī neatradu darbu, lai gan man ir maģistra grāds. ES atzīmēju, ka Eiropas valstis galvenokārt ir nobažījušās par sevi un nav ļoti atvērtas citām valstīm un kultūrām. " Vēl viens dalībnieks atzīmēja, ka eiropieši bieži vien ir tālu viens no otra. Lielākā daļa cilvēku ir vieni; visi paliek savā stūrī. ES no savas puses uzskatu, ka vienam ir jārunā savā starpā un ka viens var mācīties viens no otra.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Jaunieši no Nacionālās jaunatnes padomes: Jums vajadzētu ļaut cilvēkiem tikai tad, ja jūs varat rūpēties par viņiem. </w:t>
      </w:r>
    </w:p>
    <w:p>
      <w:pPr>
        <w:pStyle w:val="P68B1DB1Normal104"/>
        <w:widowControl w:val="false"/>
        <w:spacing w:lineRule="auto" w:line="240"/>
        <w:ind w:left="0" w:right="0" w:hanging="0"/>
        <w:jc w:val="both"/>
        <w:rPr/>
      </w:pPr>
      <w:r>
        <w:rPr/>
        <w:t xml:space="preserve">Utrehtā notika debates par dažādām Nacionālās jaunatnes padomes (CNJ) darba grupām. Dalībnieki (vecumā no 16 līdz 23 gadiem) uzskata, ka, sadalot bēgļus Eiropā, jāņem vērā vairāki aspekti, piemēram, iedzīvotāju skaits, valsts lielums, labklājība un patvēruma meklētāju centru skaits. “Bēgļiem jāļauj ieceļot valstī tikai tad, ja viņus var aprūpēt,” teica viens no viņiem. </w:t>
      </w:r>
    </w:p>
    <w:p>
      <w:pPr>
        <w:pStyle w:val="Normal"/>
        <w:widowControl w:val="false"/>
        <w:spacing w:lineRule="auto" w:line="240"/>
        <w:ind w:left="0" w:right="0" w:hanging="0"/>
        <w:jc w:val="left"/>
        <w:rPr/>
      </w:pPr>
      <w:r>
        <w:rPr>
          <w:rFonts w:ascii="Calibri" w:hAnsi="Calibri"/>
          <w:color w:val="000000"/>
          <w:sz w:val="21"/>
        </w:rPr>
        <w:t xml:space="preserve">Jaunieši arī uzskata, ka ir jābūt sekām, ja valstis nepilda savas saistības uzņemt bēgļus. Piemēram, tiem ir jāpiemēro naudas sods. “Un bēgļiem arī ir sakāms par to, kur viņi dosies,” kāds teica. Piemēram, ja viņiem kaut kur jau ir ģimene, mēs nevaram viņus nosūtīt kaut kur citur.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Veselība un veselība </w:t>
      </w:r>
    </w:p>
    <w:p>
      <w:pPr>
        <w:pStyle w:val="P68B1DB1Normal130"/>
        <w:widowControl w:val="false"/>
        <w:spacing w:lineRule="auto" w:line="240"/>
        <w:ind w:left="0" w:right="0" w:hanging="0"/>
        <w:jc w:val="left"/>
        <w:rPr>
          <w:rFonts w:ascii="Calibri" w:hAnsi="Calibri"/>
          <w:color w:val="0070C0"/>
          <w:sz w:val="21"/>
        </w:rPr>
      </w:pPr>
      <w:r>
        <w:rPr/>
        <w:t xml:space="preserve">(Veselības aprūpe) </w:t>
      </w:r>
    </w:p>
    <w:p>
      <w:pPr>
        <w:pStyle w:val="P68B1DB1Normal104"/>
        <w:widowControl w:val="false"/>
        <w:spacing w:lineRule="auto" w:line="240"/>
        <w:ind w:left="0" w:right="0" w:hanging="0"/>
        <w:jc w:val="left"/>
        <w:rPr/>
      </w:pPr>
      <w:r>
        <w:rPr/>
        <w:t xml:space="preserve">Lai gan veselības aprūpe galvenokārt ir atsevišķu valstu kompetencē, to var atbalstīt un stiprināt ar ES rīcībpolitikām, piemēram, reaģējot uz Covid-19 pandēmiju vai citām (nākotnes) veselības krīzēm, vai veicot partnerības pētījumus par nopietnām slimībām. Kāds ir Nīderlandes viedoklis šajā jautājumā? </w:t>
      </w:r>
    </w:p>
    <w:p>
      <w:pPr>
        <w:pStyle w:val="P68B1DB1Normal126"/>
        <w:widowControl w:val="false"/>
        <w:spacing w:lineRule="auto" w:line="240" w:before="14" w:after="0"/>
        <w:ind w:left="0" w:right="0" w:hanging="0"/>
        <w:jc w:val="left"/>
        <w:rPr>
          <w:rFonts w:ascii="Calibri" w:hAnsi="Calibri"/>
          <w:color w:val="0070C0"/>
          <w:sz w:val="24"/>
        </w:rPr>
      </w:pPr>
      <w:r>
        <w:rPr/>
        <w:t xml:space="preserve">Ieteikumi — Mūsu redzējums par veselības aprūpi </w:t>
      </w:r>
    </w:p>
    <w:p>
      <w:pPr>
        <w:pStyle w:val="P68B1DB1Normal120"/>
        <w:widowControl w:val="false"/>
        <w:spacing w:lineRule="auto" w:line="240"/>
        <w:ind w:left="0" w:right="0" w:hanging="0"/>
        <w:jc w:val="left"/>
        <w:rPr/>
      </w:pPr>
      <w:r>
        <w:rPr/>
        <w:t xml:space="preserve">64 % Nīderlandes uzskata, ka veselības aprūpe ir svarīgs jautājums un ka ES ir jāiejaucas šajā jomā. </w:t>
      </w:r>
    </w:p>
    <w:p>
      <w:pPr>
        <w:pStyle w:val="P68B1DB1Normal111"/>
        <w:widowControl w:val="false"/>
        <w:spacing w:lineRule="auto" w:line="240" w:before="2" w:after="0"/>
        <w:ind w:left="0" w:right="0" w:hanging="0"/>
        <w:jc w:val="left"/>
        <w:rPr>
          <w:rFonts w:ascii="Calibri" w:hAnsi="Calibri"/>
          <w:b/>
          <w:b/>
          <w:color w:val="000000"/>
          <w:sz w:val="22"/>
        </w:rPr>
      </w:pPr>
      <w:r>
        <w:rPr/>
        <w:t xml:space="preserve">1. Labāk kontrolēt pandēmijas pārvaldību </w:t>
      </w:r>
    </w:p>
    <w:p>
      <w:pPr>
        <w:pStyle w:val="P68B1DB1Normal104"/>
        <w:widowControl w:val="false"/>
        <w:spacing w:lineRule="auto" w:line="240"/>
        <w:ind w:left="0" w:right="0" w:hanging="0"/>
        <w:jc w:val="left"/>
        <w:rPr/>
      </w:pPr>
      <w:r>
        <w:rPr/>
        <w:t xml:space="preserve">83 % Nīderlandes uzskata, ka ES valstīm ir vairāk jāsadarbojas, lai novērstu lipīgas slimības izplatīšanos visā pasaulē. Jo vīruss nezina robežas. Mēs to varam redzēt pašreizējās pandēmijas laikā. Politikas jomas Eiropas Savienībā dažkārt ir neskaidras. Tas nav labi, lai nodrošinātu atbilstību noteikumiem. Mēs uzskatām, ka noteikumi cīņai pret vīrusa izplatīšanos Eiropā ir labāk jākoordinē, lai ne vienmēr būtu vienādi visur. Ir jābūt vietai vietējai izvēlei. Ne tikai tāpēc, ka piesārņojuma skaits var atšķirties, bet arī tāpēc, ka Eiropā ir dažādas kultūras. Daži pasākumi dažās valstīs darbojas labāk nekā citos. </w:t>
      </w:r>
    </w:p>
    <w:p>
      <w:pPr>
        <w:pStyle w:val="P68B1DB1Normal113"/>
        <w:widowControl w:val="false"/>
        <w:spacing w:lineRule="auto" w:line="240" w:before="164" w:after="0"/>
        <w:ind w:left="0" w:right="0" w:hanging="0"/>
        <w:jc w:val="center"/>
        <w:rPr/>
      </w:pPr>
      <w:r>
        <w:rPr/>
        <w:t xml:space="preserve">ES dzīvoju Nīderlandē, uz robežas ar Vāciju. Dažādie pasākumi, ko abas valstis pieņēmušas cīņai pret koronavīrusu, mani vada traks. </w:t>
      </w:r>
    </w:p>
    <w:p>
      <w:pPr>
        <w:pStyle w:val="Normal"/>
        <w:widowControl w:val="false"/>
        <w:spacing w:lineRule="auto" w:line="240" w:before="158" w:after="0"/>
        <w:ind w:left="0" w:right="0" w:hanging="0"/>
        <w:jc w:val="left"/>
        <w:rPr/>
      </w:pPr>
      <w:r>
        <w:rPr>
          <w:rFonts w:ascii="Cambria" w:hAnsi="Cambria"/>
          <w:color w:val="243F60"/>
          <w:sz w:val="24"/>
        </w:rPr>
        <w:t xml:space="preserve">2. </w:t>
      </w:r>
      <w:r>
        <w:rPr>
          <w:rFonts w:ascii="Calibri" w:hAnsi="Calibri"/>
          <w:b/>
          <w:color w:val="000000"/>
        </w:rPr>
        <w:t>Nodrošināt pieejamu un uzticamu zāļu pieejamību visiem</w:t>
      </w:r>
      <w:r>
        <w:rPr>
          <w:rFonts w:ascii="Cambria" w:hAnsi="Cambria"/>
          <w:color w:val="243F60"/>
          <w:sz w:val="24"/>
        </w:rPr>
        <w:t xml:space="preserve"> </w:t>
      </w:r>
    </w:p>
    <w:p>
      <w:pPr>
        <w:pStyle w:val="P68B1DB1Normal104"/>
        <w:widowControl w:val="false"/>
        <w:spacing w:lineRule="auto" w:line="240"/>
        <w:ind w:left="0" w:right="0" w:hanging="0"/>
        <w:jc w:val="left"/>
        <w:rPr/>
      </w:pPr>
      <w:r>
        <w:rPr/>
        <w:t xml:space="preserve">71 % Nīderlandes uzskata, ka ES ir jānodrošina, ka zāļu izstrādei, ražošanai un piegādei mums ir vajadzīgs mazāk trešo valstu. Bet, ja tas nozīmē ilgāk gaidīt zāles, viedokļi ir sadalīti. Nīderlande uzskata, ka zāļu ražošana un izplatīšana ir sarežģīts jautājums. No vienas puses, veselības aprūpes izmaksas Nīderlandē strauji pieaug, tāpēc mēs uzskatām, ka ir svarīgi tās saglabāt pēc iespējas zemākā līmenī. No otras puses, mēs vēlamies uzticēties narkotikām, pat ja tās nāk no tālienes. Tiem jābūt ne tikai kvalitatīviem, bet arī ilgtspējīgiem un ētiski atbildīgiem. Kopumā mēs uzskatām, ka svarīgām zālēm jābūt pieejamām ikvienam, tostarp nabadzīgākajās valstīs. </w:t>
      </w:r>
    </w:p>
    <w:p>
      <w:pPr>
        <w:pStyle w:val="P68B1DB1Normal113"/>
        <w:widowControl w:val="false"/>
        <w:spacing w:lineRule="auto" w:line="240" w:before="167" w:after="0"/>
        <w:ind w:left="0" w:right="0" w:hanging="0"/>
        <w:jc w:val="both"/>
        <w:rPr/>
      </w:pPr>
      <w:r>
        <w:rPr/>
        <w:t>Veselības aprūpes izmaksas jau nav pieejamas. Tāpēc mums ir arī jācenšas iegādāties jaunās zāles par zemāko iespējamo cenu.</w:t>
      </w:r>
      <w:r>
        <w:rPr>
          <w:b/>
        </w:rPr>
        <w:t xml:space="preserve"> </w:t>
      </w:r>
    </w:p>
    <w:p>
      <w:pPr>
        <w:pStyle w:val="P68B1DB1Normal111"/>
        <w:widowControl w:val="false"/>
        <w:spacing w:lineRule="auto" w:line="240" w:before="131" w:after="0"/>
        <w:ind w:left="0" w:right="0" w:hanging="0"/>
        <w:jc w:val="left"/>
        <w:rPr/>
      </w:pPr>
      <w:r>
        <w:rPr/>
        <w:t xml:space="preserve">3. Valstīm ir jākoncentrējas uz to, lai uzlabotu savas veselības aprūpes sistēmas un padarītu to taisnīgāku </w:t>
      </w:r>
    </w:p>
    <w:p>
      <w:pPr>
        <w:pStyle w:val="P68B1DB1Normal104"/>
        <w:widowControl w:val="false"/>
        <w:spacing w:lineRule="auto" w:line="240" w:before="85" w:after="0"/>
        <w:ind w:left="0" w:right="0" w:hanging="0"/>
        <w:jc w:val="left"/>
        <w:rPr/>
      </w:pPr>
      <w:r>
        <w:rPr/>
        <w:t xml:space="preserve">Nīderlande daudz rūpējas par veselības aprūpi, un šīs bažas pārsniedz Covid-19 pandēmijas ietekmi. Mēs zinām, piemēram, par strukturālo spēju problēmām slimnīcās. Daži Nīderlandes iedzīvotāji neuzticas tirgus spēku ietekmei veselības aprūpes nozarē. Mēs saprotam, ka farmācijas uzņēmumiem ir jāatgūst ieguldījumi un ka veselības apdrošināšanas fondi vēlas lētu veselības aprūpi, bet lieliem uzņēmumiem nevajadzētu ļaunprātīgi izmantot savas pilnvaras. ES būtu jāpieņem noteikumi šajā sakarā. Mēs arī uzskatām, ka veselības aprūpe galvenokārt ir valsts mēroga jautājums. Valstis labāk zina, kādas problēmas un prioritātes ir vietējā līmenī. Tomēr mēs uzskatām, ka ir svarīgi, lai Eiropas valstis varētu mācīties cita no citas, lai uzlabotu veselības aprūpi.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26"/>
        <w:widowControl w:val="false"/>
        <w:spacing w:lineRule="auto" w:line="240"/>
        <w:ind w:left="0" w:right="0" w:hanging="0"/>
        <w:jc w:val="left"/>
        <w:rPr>
          <w:rFonts w:ascii="Calibri" w:hAnsi="Calibri"/>
          <w:color w:val="0070C0"/>
          <w:sz w:val="24"/>
        </w:rPr>
      </w:pPr>
      <w:r>
        <w:rPr/>
        <w:t xml:space="preserve">Diskusijas un idejas tiešsaistē un uz vietas </w:t>
      </w:r>
    </w:p>
    <w:p>
      <w:pPr>
        <w:pStyle w:val="P68B1DB1Normal118"/>
        <w:widowControl w:val="false"/>
        <w:spacing w:lineRule="auto" w:line="240" w:before="95" w:after="0"/>
        <w:ind w:left="0" w:right="0" w:hanging="0"/>
        <w:jc w:val="left"/>
        <w:rPr/>
      </w:pPr>
      <w:r>
        <w:rPr/>
        <w:t xml:space="preserve">Attiecībā uz zāļu pieejamību Eiropā mēs varētu būt arī nedaudz ekonomiskāki. Mēs šodien izmetam pārāk daudz no tā. </w:t>
      </w:r>
    </w:p>
    <w:p>
      <w:pPr>
        <w:pStyle w:val="P68B1DB1Normal104"/>
        <w:widowControl w:val="false"/>
        <w:spacing w:lineRule="auto" w:line="240" w:before="104" w:after="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Ir ļoti labi, ka Vācija ir uzņēmusi pacientus no Nīderlandes ar Covid-19. ES vēlētos redzēt lielāku solidaritāti Eiropā.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Neatkarīgi no tā, vai dzīvojat ES un esat bagāti vai nabadzīgi, ikvienam ir tiesības uz kvalitatīvu aprūpi.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Pērkot narkotikas, jums ir jāņem vērā ne tikai izmaksas, bet arī ētika. Tas nozīmē, piemēram, ka bērnu darbu nevajadzētu izmantot.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“Eiropas iedzīvotāju veselības uzlabošana, nodrošinot, ka viņi ir pakļauti mazākam stresam. Piemēram, samazināt darba nedēļas ilgumu.”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Dot jauniešiem iespēju izdarīt veselīgāku izvēli, izmantojot nopietnas paplašinātās realitātes spēles.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Marokas izcelsmes Utrehtas iedzīvotāju skaits: Veselībai var būt noteikta cena.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Fonds “Marokkaans Dialoog Overvecht” (Marokkaans Dialoog Overvecht) (Marokkaans Dialoog Overvecht) (Marokkaans Dialoog Overvecht) (Marokkaans Dialoog Overvecht) (Marokkaans Dialoog Overvecht) (Marokkaans Dialoog Overvecht) (Marokkaans Dialoog Overvecht) (Marokkaans Dialoog Overvecht) (Marokkaans Dialoog Overvecht) (Marokkaans Dialoog Overvecht) (Marokkaans Dialoog Overvecht) (Marokkaans Dialoog Šajā nolūkā tā veicina dialogu kaimiņvalstīs un tādējādi cīnās pret nevienlīdzību. Eiropas redzējuma tematiskā dialoga dalībnieki uzskata, ka Eiropas sadarbība ir ļoti noderīga. Tomēr vairāki uzskata, ka Nīderlande dažkārt ir pārāk atkarīga no citām valstīm. Šajā sakarā kā piemērs tika minēta Covid-19 krīzes pārvaldība. Pēc dalībnieku domām, daudzās apspriešanās Eiropā izraisīja to, ka Nīderlande sāka vakcināciju pret Covid-19 pārāk vēlu. “Varbūt tas maksās vairāk, ja Nīderlande vēlas izlemt vairāk par savu,” kāds teica. Bet tas ir par veselību, tas var maksāt nedaudz vairāk.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No Helmonda studentiem: Labāk ir gudri mācīties viens no otra, nevis izmantot vienu un to pašu pieeju.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both"/>
        <w:rPr/>
      </w:pPr>
      <w:r>
        <w:rPr/>
        <w:t xml:space="preserve">Dr. Knippenberg koledžā Helmondā aptuveni 16 gadus veci skolēni apsprieda Covid-19 pandēmijas pārvaldību Eiropā. Daži uzskata, ka ES dalībvalstīm vakcinācijas programma bija jādefinē kopā. Lielākā daļa dalībnieku uzskatīja, ka valstīm pašām ir labāks priekšstats par to, kas ir vajadzīgs un kas darbojas. Tāpēc viņi labāk spēj, pēc viņu domām, izlemt, kas ir piemērots iedzīvotājiem. Viņi labāk zina, piemēram, kurām nozarēm vispirms ir nepieciešama vakcinācija un kuras var gaidīt. “Tas, protams, ir ļoti labi, ka valstis savstarpēji konsultējas,” teica viens no studentiem. Ja daudzām valstīm ir sava pieeja, tās var novērot, ko citas dara, un mācīties viena no otras.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5"/>
        <w:widowControl w:val="false"/>
        <w:spacing w:lineRule="auto" w:line="240"/>
        <w:ind w:left="0" w:right="0" w:hanging="0"/>
        <w:jc w:val="left"/>
        <w:rPr>
          <w:rFonts w:ascii="Calibri" w:hAnsi="Calibri"/>
          <w:b/>
          <w:b/>
          <w:color w:val="0070C0"/>
          <w:sz w:val="32"/>
        </w:rPr>
      </w:pPr>
      <w:r>
        <w:rPr/>
        <w:t xml:space="preserve">ES loma pasaulē </w:t>
      </w:r>
    </w:p>
    <w:p>
      <w:pPr>
        <w:pStyle w:val="P68B1DB1Normal104"/>
        <w:widowControl w:val="false"/>
        <w:spacing w:lineRule="auto" w:line="240" w:before="126" w:after="0"/>
        <w:ind w:left="0" w:right="0" w:hanging="0"/>
        <w:jc w:val="left"/>
        <w:rPr/>
      </w:pPr>
      <w:r>
        <w:rPr/>
        <w:t xml:space="preserve">Pasaule saskaras ar lielām problēmām. ES ir pārliecināta, ka tādus jautājumus kā klimata pārmaiņas un pandēmijas var risināt tikai ar globālu sadarbību. ES vēlas paust savu viedokli pasaules mērogā, piemēram, līdzās ASV un Ķīnai. Kāds ir Nīderlandes viedoklis šajā jautājumā? </w:t>
      </w:r>
    </w:p>
    <w:p>
      <w:pPr>
        <w:pStyle w:val="P68B1DB1Normal126"/>
        <w:widowControl w:val="false"/>
        <w:spacing w:lineRule="auto" w:line="240" w:before="125" w:after="0"/>
        <w:ind w:left="0" w:right="0" w:hanging="0"/>
        <w:jc w:val="left"/>
        <w:rPr>
          <w:rFonts w:ascii="Calibri" w:hAnsi="Calibri"/>
          <w:color w:val="0070C0"/>
          <w:sz w:val="24"/>
        </w:rPr>
      </w:pPr>
      <w:r>
        <w:rPr/>
        <w:t xml:space="preserve">Ieteikumi — mūsu redzējums par ES lomu pasaulē </w:t>
      </w:r>
    </w:p>
    <w:p>
      <w:pPr>
        <w:pStyle w:val="P68B1DB1Normal120"/>
        <w:widowControl w:val="false"/>
        <w:spacing w:lineRule="auto" w:line="240" w:before="126" w:after="0"/>
        <w:ind w:left="0" w:right="0" w:hanging="0"/>
        <w:jc w:val="left"/>
        <w:rPr>
          <w:rFonts w:ascii="Calibri" w:hAnsi="Calibri"/>
          <w:b/>
          <w:b/>
          <w:color w:val="000000"/>
          <w:sz w:val="21"/>
        </w:rPr>
      </w:pPr>
      <w:r>
        <w:rPr/>
        <w:t xml:space="preserve">56 % Nīderlandes uzskata, ka ES loma pasaulē ir svarīgs temats un ka ES ir jāiejaucas šajā jomā. </w:t>
      </w:r>
    </w:p>
    <w:p>
      <w:pPr>
        <w:pStyle w:val="P68B1DB1Normal111"/>
        <w:widowControl w:val="false"/>
        <w:spacing w:lineRule="auto" w:line="240" w:before="112" w:after="0"/>
        <w:ind w:left="0" w:right="0" w:hanging="0"/>
        <w:jc w:val="left"/>
        <w:rPr>
          <w:rFonts w:ascii="Calibri" w:hAnsi="Calibri"/>
          <w:b/>
          <w:b/>
          <w:color w:val="000000"/>
          <w:sz w:val="22"/>
        </w:rPr>
      </w:pPr>
      <w:r>
        <w:rPr/>
        <w:t xml:space="preserve">1. ES varas izmantošana, galvenokārt saistībā ar galvenajām starptautiskajām tēmām </w:t>
      </w:r>
    </w:p>
    <w:p>
      <w:pPr>
        <w:pStyle w:val="P68B1DB1Normal104"/>
        <w:widowControl w:val="false"/>
        <w:spacing w:lineRule="auto" w:line="240"/>
        <w:ind w:left="0" w:right="0" w:hanging="0"/>
        <w:jc w:val="left"/>
        <w:rPr/>
      </w:pPr>
      <w:r>
        <w:rPr/>
        <w:t xml:space="preserve">To, ka tās izveide ir veicinājusi to, ka eiropieši dzīvo mierā vairāk nekā 75 gadus, daudzi nīderlandieši uzskata par galveno ES pievienoto vērtību. Nīderlande arī uzskata, ka ES vara ir saistīta ar lielu starptautisku problēmu kopīgu pārvaldību. Mēs domājam, piemēram, par klimata pārmaiņām, Covid-19 pandēmiju un bēgļu krīzi. ES dalībvalstīm var būt arī lielāka ietekme uz trešām valstīm, kopīgi slēdzot ES starptautiskos nolīgumus. Mēs uzskatām, ka mūsu valsts ir pārāk maza, lai panāktu pārmaiņas šajās jomās vien. Tomēr Nīderlande vēlas, lai Nīderlande turpinātu izdarīt savu izvēli, pamatojoties uz savu kultūru un interesēm. Tādēļ sadarbībai Eiropā galvenokārt ir jānodrošina efektivitāte un politiskā ietekme. </w:t>
      </w:r>
    </w:p>
    <w:p>
      <w:pPr>
        <w:pStyle w:val="P68B1DB1Normal113"/>
        <w:widowControl w:val="false"/>
        <w:spacing w:lineRule="auto" w:line="240" w:before="200" w:after="0"/>
        <w:ind w:left="0" w:right="0" w:hanging="0"/>
        <w:jc w:val="center"/>
        <w:rPr/>
      </w:pPr>
      <w:r>
        <w:rPr/>
        <w:t xml:space="preserve">Sadarbības nolīgumus ES ir vieglāk noslēgt nekā izolētu valsti. </w:t>
      </w:r>
    </w:p>
    <w:p>
      <w:pPr>
        <w:pStyle w:val="P68B1DB1Normal111"/>
        <w:widowControl w:val="false"/>
        <w:spacing w:lineRule="auto" w:line="240" w:before="174" w:after="0"/>
        <w:ind w:left="0" w:right="0" w:hanging="0"/>
        <w:jc w:val="left"/>
        <w:rPr>
          <w:rFonts w:ascii="Calibri" w:hAnsi="Calibri"/>
          <w:b/>
          <w:b/>
          <w:color w:val="000000"/>
          <w:sz w:val="22"/>
        </w:rPr>
      </w:pPr>
      <w:r>
        <w:rPr/>
        <w:t xml:space="preserve">2. Gan Eiropā, gan ārpus tās, izvēlēties sadarbību, nevis cīnīties </w:t>
      </w:r>
    </w:p>
    <w:p>
      <w:pPr>
        <w:pStyle w:val="P68B1DB1Normal104"/>
        <w:widowControl w:val="false"/>
        <w:spacing w:lineRule="auto" w:line="240" w:before="1" w:after="0"/>
        <w:ind w:left="0" w:right="0" w:hanging="0"/>
        <w:jc w:val="left"/>
        <w:rPr/>
      </w:pPr>
      <w:r>
        <w:rPr/>
        <w:t xml:space="preserve">66 % Nīderlandes uzskata, ka ES ir jāveido spēcīgāks bloks salīdzinājumā ar citiem starptautiskiem blokiem. Mēs esam liecinieki līdzsvara vājināšanai pasaulē. Tādas valstis kā Ķīna un Krievija pastāvīgi paplašina savu varu dažādās jomās. Tas mūs ļoti satrauc. Tāpēc ES ir jāpievērš lielāka uzmanība, piemēram, starptautiskajai drošībai un Eiropas ekonomikas aizsardzībai pret negodīgu tirdzniecības praksi. Šajā sakarā mēs uzskatām, ka ir svarīgi, lai dalībvalstis labāk un ātrāk koordinētu koordināciju. Tas ļaus mums skaidrāk sadzirdēt mūsu balsi. Tas, ka mēs esam stiprāki kopā kā Eiropas valstis, nenozīmē, ka mēs vēlamies nonākt konfliktā. Mēs arī vēlamies, cik vien iespējams, labu sadarbību ar trešām valstīm. </w:t>
      </w:r>
    </w:p>
    <w:p>
      <w:pPr>
        <w:pStyle w:val="P68B1DB1Normal113"/>
        <w:widowControl w:val="false"/>
        <w:spacing w:lineRule="auto" w:line="240" w:before="200" w:after="0"/>
        <w:ind w:left="0" w:right="0" w:hanging="0"/>
        <w:jc w:val="center"/>
        <w:rPr/>
      </w:pPr>
      <w:r>
        <w:rPr/>
        <w:t>“</w:t>
      </w:r>
      <w:r>
        <w:rPr/>
        <w:t xml:space="preserve">Iekšējo strīdu un konfliktu mazināšana palielinās ES prestižu un ietekmi pasaules mērogā.” </w:t>
      </w:r>
    </w:p>
    <w:p>
      <w:pPr>
        <w:pStyle w:val="P68B1DB1Normal111"/>
        <w:widowControl w:val="false"/>
        <w:spacing w:lineRule="auto" w:line="240" w:before="174" w:after="0"/>
        <w:ind w:left="0" w:right="0" w:hanging="0"/>
        <w:jc w:val="left"/>
        <w:rPr>
          <w:rFonts w:ascii="Calibri" w:hAnsi="Calibri"/>
          <w:b/>
          <w:b/>
          <w:color w:val="000000"/>
          <w:sz w:val="22"/>
        </w:rPr>
      </w:pPr>
      <w:r>
        <w:rPr/>
        <w:t xml:space="preserve">3. Pārdomātā veidā piedāvājot palīdzību konflikta gadījumā </w:t>
      </w:r>
    </w:p>
    <w:p>
      <w:pPr>
        <w:pStyle w:val="Normal"/>
        <w:widowControl w:val="false"/>
        <w:spacing w:lineRule="auto" w:line="240"/>
        <w:ind w:left="0" w:right="0" w:hanging="0"/>
        <w:jc w:val="left"/>
        <w:rPr/>
      </w:pPr>
      <w:r>
        <w:rPr>
          <w:rFonts w:ascii="Calibri" w:hAnsi="Calibri"/>
          <w:color w:val="000000"/>
          <w:sz w:val="21"/>
        </w:rPr>
        <w:t xml:space="preserve">Lai stiprinātu ES lomu starptautiskajā arēnā, 50 % Nīderlandes uzskata, ka pieeja konfliktiem pasaulē ir svarīga tēma. Labākais veids, kā reaģēt uz konfliktiem, pēc viņu domām, ir grūti noteikt. Pagātne ir parādījusi, ka militāra iejaukšanās valstī ne vienmēr ir izdevīga. Tas, piemēram, var radīt neparedzētas augstas izmaksas un radīt papildu bēgļu plūsmas. Ņemot vērā šo vietējo ietekmi, valstīm pašām jāizlemj, vai piedalīties karā. Mēs kopumā esam ieinteresēti pastiprināt sadarbību starp Eiropas armijām: mēs uzskatām, ka ir svarīgi, lai Eiropa varētu sevi labi aizstāvēt. Bet mēs vienmēr dodam priekšroku konfliktu atrisināšanai, neizmantojot vardarbību. </w:t>
      </w:r>
      <w:r>
        <w:br w:type="page"/>
      </w:r>
    </w:p>
    <w:p>
      <w:pPr>
        <w:pStyle w:val="P68B1DB1Normal113"/>
        <w:widowControl w:val="false"/>
        <w:spacing w:lineRule="auto" w:line="240"/>
        <w:ind w:left="0" w:right="0" w:hanging="0"/>
        <w:jc w:val="left"/>
        <w:rPr/>
      </w:pPr>
      <w:r>
        <w:rPr/>
        <w:t xml:space="preserve">Afganistānas evakuācijas laikā katra valsts rīkojās savā stūrī. Mēs vēl būtu varējuši darīt labāk, vai ne? </w:t>
      </w:r>
    </w:p>
    <w:p>
      <w:pPr>
        <w:pStyle w:val="P68B1DB1Normal126"/>
        <w:widowControl w:val="false"/>
        <w:spacing w:lineRule="auto" w:line="240" w:before="85" w:after="0"/>
        <w:ind w:left="0" w:right="0" w:hanging="0"/>
        <w:jc w:val="left"/>
        <w:rPr>
          <w:rFonts w:ascii="Calibri" w:hAnsi="Calibri"/>
          <w:color w:val="0070C0"/>
          <w:sz w:val="24"/>
        </w:rPr>
      </w:pPr>
      <w:r>
        <w:rPr/>
        <w:t xml:space="preserve">Diskusijas un idejas tiešsaistē un uz vietas </w:t>
      </w:r>
    </w:p>
    <w:p>
      <w:pPr>
        <w:pStyle w:val="P68B1DB1Normal118"/>
        <w:widowControl w:val="false"/>
        <w:spacing w:lineRule="auto" w:line="240" w:before="78" w:after="0"/>
        <w:ind w:left="0" w:right="0" w:hanging="0"/>
        <w:jc w:val="left"/>
        <w:rPr>
          <w:rFonts w:ascii="Calibri" w:hAnsi="Calibri"/>
          <w:i/>
          <w:i/>
          <w:color w:val="000000"/>
          <w:sz w:val="21"/>
        </w:rPr>
      </w:pPr>
      <w:r>
        <w:rPr/>
        <w:t xml:space="preserve">ES vispirms ir jākārto savi jautājumi, pirms tā vēršas pret citiem. </w:t>
      </w:r>
    </w:p>
    <w:p>
      <w:pPr>
        <w:pStyle w:val="P68B1DB1Normal118"/>
        <w:widowControl w:val="false"/>
        <w:spacing w:lineRule="auto" w:line="240" w:before="87" w:after="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Masveidā pērkot Ķīnas produktus kā eiropieši, mēs atbalstām pašu Ķīnu.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Amerikas Savienotajām Valstīm joprojām ir ļoti svarīga loma Eiropas aizsardzībā. </w:t>
      </w:r>
    </w:p>
    <w:p>
      <w:pPr>
        <w:pStyle w:val="P68B1DB1Normal118"/>
        <w:widowControl w:val="false"/>
        <w:spacing w:lineRule="auto" w:line="240"/>
        <w:ind w:left="0" w:right="0" w:hanging="0"/>
        <w:jc w:val="left"/>
        <w:rPr>
          <w:rFonts w:ascii="Calibri" w:hAnsi="Calibri"/>
          <w:i/>
          <w:i/>
          <w:color w:val="000000"/>
          <w:sz w:val="21"/>
        </w:rPr>
      </w:pPr>
      <w:r>
        <w:rPr/>
        <w:t xml:space="preserve"> </w:t>
      </w:r>
    </w:p>
    <w:p>
      <w:pPr>
        <w:pStyle w:val="P68B1DB1Normal118"/>
        <w:widowControl w:val="false"/>
        <w:spacing w:lineRule="auto" w:line="240"/>
        <w:ind w:left="0" w:right="0" w:hanging="0"/>
        <w:jc w:val="left"/>
        <w:rPr/>
      </w:pPr>
      <w:r>
        <w:rPr/>
        <w:t xml:space="preserve">Būt ES dalībvalstij nozīmē arī sēdēt pie sarunu galda. Tas ļauj apspriest svarīgus lēmumus.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pPr>
      <w:r>
        <w:rPr/>
        <w:t xml:space="preserve">ES ir jāpārtrauc sevi uzskatīt par izolētu vienību, jo tā nav. Tā ir Eiropas dalībvalstu apvienība, un tai būtu jārīkojas kā tādai.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IDEJA:</w:t>
      </w:r>
      <w:r>
        <w:rPr>
          <w:i/>
        </w:rPr>
        <w:t xml:space="preserve"> Tāpat kā regulārā globālā klimata konference, būtu jārīko arī konference par cilvēktiesībām.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IDEJA: </w:t>
      </w:r>
      <w:r>
        <w:rPr>
          <w:i/>
        </w:rPr>
        <w:t>“Padarīt Eiropas armiju efektīvāku, piemēram, vairāk izmantojot aprīkojuma kolektīvo iegādi.”</w:t>
      </w: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Nīderlandiešu un Marokas sievietes: Cilvēktiesību veicināšana.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w:t>
      </w:r>
      <w:commentRangeStart w:id="28"/>
      <w:r>
        <w:rPr>
          <w:rFonts w:ascii="Calibri" w:hAnsi="Calibri"/>
          <w:color w:val="000000"/>
          <w:sz w:val="21"/>
        </w:rPr>
        <w:t>Sievietes brīvībai</w:t>
      </w:r>
      <w:r>
        <w:rPr>
          <w:rFonts w:ascii="Calibri" w:hAnsi="Calibri"/>
          <w:color w:val="000000"/>
          <w:sz w:val="21"/>
        </w:rPr>
      </w:r>
      <w:commentRangeEnd w:id="28"/>
      <w:r>
        <w:commentReference w:id="28"/>
      </w:r>
      <w:r>
        <w:rPr>
          <w:rFonts w:ascii="Calibri" w:hAnsi="Calibri"/>
          <w:color w:val="000000"/>
          <w:sz w:val="21"/>
        </w:rPr>
        <w:t xml:space="preserve">” ir Nīderlandes fonds, kas cīnās pret piespiedu laulībām, seksuālo apspiešanu un finansiālu vardarbību pret meitenēm un sievietēm ar bikultūru. Sadarbībā ar šo fondu tika organizēta tikšanās ar Nīderlandes un Marokas sieviešu grupu. Dalībnieki uzskata, ka ES pašlaik ir pārāk atkarīga no Krievijas un Ķīnas. “Mēs uzskatām, ka ES parasti neuzdrošinās neko ierosināt, baidoties no sankcijām,” teica viens no tiem. Kā piemēru min narkotiku ražošanu, kas bieži vien var būt daudz lētāka. “Konflikta gadījumā Ķīna var slēgt krānu, un mums nekas nebūs,” teica viens dalībnieks. Tika izvirzīts arī jautājums par cilvēktiesībām. “Mēs visi rīkojamies tā, it kā mēs uzskatītu, ka tas ir ļoti svarīgi, bet mēs aizveram acis uz to, ko Ķīna dara uiguru,” kāds saka.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18"/>
        <w:widowControl w:val="false"/>
        <w:spacing w:lineRule="auto" w:line="240"/>
        <w:ind w:left="0" w:right="0" w:hanging="0"/>
        <w:jc w:val="left"/>
        <w:rPr>
          <w:rFonts w:ascii="Calibri" w:hAnsi="Calibri"/>
          <w:i/>
          <w:i/>
          <w:color w:val="000000"/>
          <w:sz w:val="21"/>
        </w:rPr>
      </w:pPr>
      <w:r>
        <w:rPr/>
        <w:t xml:space="preserve">Studenti no Alkmaar Technasium: Nav kopējas armijas.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Savā tematiskajā dialogā studenti no Technasium Jan Arentz Alkmaar apsprieda kopējās Eiropas armijas priekšrocības un trūkumus. Dalībnieki norādīja, ka viņi to neatbalsta. Kad kāda ES valsts strīdas ar trešo valsti, mums vajadzētu būt iespējai automātiski piedalīties karā. ES domāju, ka valstīm ir jāspēj pašām lemt, "teica kāds. Tika apspriesta arī trešā pasaules kara iespējamība. Šo iespēju studenti neuzskata par ļoti lielu, bet viņi domā, ka, ja mēs tur nonāksim, risinājumu tomēr varētu atrast ātri. Armijas var arī sadarboties labi. Manuprāt, nav nepieciešams izveidot Eiropas armiju. </w:t>
      </w:r>
      <w:r>
        <w:br w:type="page"/>
      </w:r>
    </w:p>
    <w:p>
      <w:pPr>
        <w:pStyle w:val="P68B1DB1Normal125"/>
        <w:widowControl w:val="false"/>
        <w:spacing w:lineRule="auto" w:line="240"/>
        <w:ind w:left="0" w:right="0" w:hanging="0"/>
        <w:jc w:val="left"/>
        <w:rPr>
          <w:rFonts w:ascii="Calibri" w:hAnsi="Calibri"/>
          <w:b/>
          <w:b/>
          <w:color w:val="0070C0"/>
          <w:sz w:val="32"/>
        </w:rPr>
      </w:pPr>
      <w:r>
        <w:rPr/>
        <w:t xml:space="preserve">Apsekojumā izmantotā metodika </w:t>
      </w:r>
    </w:p>
    <w:p>
      <w:pPr>
        <w:pStyle w:val="P68B1DB1Normal104"/>
        <w:widowControl w:val="false"/>
        <w:spacing w:lineRule="auto" w:line="240" w:before="150" w:after="0"/>
        <w:ind w:left="0" w:right="0" w:hanging="0"/>
        <w:jc w:val="left"/>
        <w:rPr/>
      </w:pPr>
      <w:r>
        <w:rPr/>
        <w:t xml:space="preserve">Eiropas redzējums sastāv no dažādiem savstarpēji saistītu dialogu veidiem, kas apkopo Nīderlandes iedzīvotāju viedokļus un idejas par Eiropas un ES nākotni. Šajā nodaļā aprakstīts, kā šie cieši saistītie dialogi notiek saskaņā ar pamatnostādnēm, kas piemērojamas valstu pilsoņu paneļdiskusijām saistībā ar konferenci par Eiropas nākotni. </w:t>
      </w:r>
    </w:p>
    <w:p>
      <w:pPr>
        <w:pStyle w:val="P68B1DB1Normal126"/>
        <w:widowControl w:val="false"/>
        <w:spacing w:lineRule="auto" w:line="240" w:before="43" w:after="0"/>
        <w:ind w:left="0" w:right="0" w:hanging="0"/>
        <w:jc w:val="left"/>
        <w:rPr>
          <w:rFonts w:ascii="Calibri" w:hAnsi="Calibri"/>
          <w:color w:val="0070C0"/>
          <w:sz w:val="24"/>
        </w:rPr>
      </w:pPr>
      <w:r>
        <w:rPr/>
        <w:t xml:space="preserve">Cieši saistītu dialogu struktūra </w:t>
      </w:r>
    </w:p>
    <w:p>
      <w:pPr>
        <w:pStyle w:val="P68B1DB1Normal104"/>
        <w:widowControl w:val="false"/>
        <w:spacing w:lineRule="auto" w:line="240" w:before="114" w:after="0"/>
        <w:ind w:left="0" w:right="0" w:hanging="0"/>
        <w:jc w:val="left"/>
        <w:rPr>
          <w:rFonts w:ascii="Calibri" w:hAnsi="Calibri"/>
          <w:color w:val="000000"/>
          <w:sz w:val="21"/>
        </w:rPr>
      </w:pPr>
      <w:r>
        <w:rPr/>
        <w:t xml:space="preserve">Tiek organizēti šādi dialoga veidi: </w:t>
      </w:r>
    </w:p>
    <w:p>
      <w:pPr>
        <w:pStyle w:val="P68B1DB1Normal119"/>
        <w:widowControl w:val="false"/>
        <w:spacing w:lineRule="auto" w:line="240"/>
        <w:ind w:left="0" w:right="0" w:hanging="0"/>
        <w:jc w:val="left"/>
        <w:rPr/>
      </w:pPr>
      <w:r>
        <w:rPr>
          <w:rFonts w:ascii="Calibri" w:hAnsi="Calibri"/>
        </w:rPr>
        <w:t>6.</w:t>
      </w:r>
      <w:r>
        <w:rPr/>
        <w:t xml:space="preserve"> </w:t>
      </w:r>
      <w:r>
        <w:rPr>
          <w:rFonts w:ascii="Calibri" w:hAnsi="Calibri"/>
        </w:rPr>
        <w:t>Paneļdiskusijas apsekojums</w:t>
      </w:r>
    </w:p>
    <w:p>
      <w:pPr>
        <w:pStyle w:val="P68B1DB1Normal104"/>
        <w:widowControl w:val="false"/>
        <w:spacing w:lineRule="auto" w:line="240"/>
        <w:ind w:left="0" w:right="0" w:hanging="0"/>
        <w:jc w:val="left"/>
        <w:rPr>
          <w:rFonts w:ascii="Calibri" w:hAnsi="Calibri"/>
          <w:color w:val="000000"/>
          <w:sz w:val="21"/>
        </w:rPr>
      </w:pPr>
      <w:r>
        <w:rPr/>
        <w:t xml:space="preserve">Nīderlandes iedzīvotāju reprezentatīvas daļas tiešsaistes aptauja. </w:t>
      </w:r>
    </w:p>
    <w:p>
      <w:pPr>
        <w:pStyle w:val="P68B1DB1Normal119"/>
        <w:widowControl w:val="false"/>
        <w:spacing w:lineRule="auto" w:line="240"/>
        <w:ind w:left="0" w:right="0" w:hanging="0"/>
        <w:jc w:val="left"/>
        <w:rPr/>
      </w:pPr>
      <w:r>
        <w:rPr>
          <w:rFonts w:ascii="Calibri" w:hAnsi="Calibri"/>
        </w:rPr>
        <w:t>7.</w:t>
      </w:r>
      <w:r>
        <w:rPr/>
        <w:t xml:space="preserve"> </w:t>
      </w:r>
      <w:r>
        <w:rPr>
          <w:rFonts w:ascii="Calibri" w:hAnsi="Calibri"/>
        </w:rPr>
        <w:t>Tiešsaistes tematiskie dialogi padziļināšanai</w:t>
      </w:r>
    </w:p>
    <w:p>
      <w:pPr>
        <w:pStyle w:val="P68B1DB1Normal104"/>
        <w:widowControl w:val="false"/>
        <w:spacing w:lineRule="auto" w:line="240"/>
        <w:ind w:left="0" w:right="0" w:hanging="0"/>
        <w:jc w:val="left"/>
        <w:rPr/>
      </w:pPr>
      <w:r>
        <w:rPr/>
        <w:t xml:space="preserve">Dialogi, kuros pirmā starpposma ziņojuma „Mūsu redzējums Eiropai: atzinumi, idejas un ieteikumi" (2021. gada 8. oktobris) tiek padziļināti apspriesti ar nīderlandiešu grupu. </w:t>
      </w:r>
    </w:p>
    <w:p>
      <w:pPr>
        <w:pStyle w:val="P68B1DB1Normal119"/>
        <w:widowControl w:val="false"/>
        <w:spacing w:lineRule="auto" w:line="240"/>
        <w:ind w:left="0" w:right="0" w:hanging="0"/>
        <w:jc w:val="left"/>
        <w:rPr/>
      </w:pPr>
      <w:r>
        <w:rPr>
          <w:rFonts w:ascii="Calibri" w:hAnsi="Calibri"/>
        </w:rPr>
        <w:t>8.</w:t>
      </w:r>
      <w:r>
        <w:rPr/>
        <w:t xml:space="preserve"> </w:t>
      </w:r>
      <w:r>
        <w:rPr>
          <w:rFonts w:ascii="Calibri" w:hAnsi="Calibri"/>
        </w:rPr>
        <w:t>Dialogi ar konkrētām grupām</w:t>
      </w:r>
    </w:p>
    <w:p>
      <w:pPr>
        <w:pStyle w:val="P68B1DB1Normal104"/>
        <w:widowControl w:val="false"/>
        <w:spacing w:lineRule="auto" w:line="240"/>
        <w:ind w:left="0" w:right="0" w:hanging="0"/>
        <w:jc w:val="left"/>
        <w:rPr>
          <w:rFonts w:ascii="Calibri" w:hAnsi="Calibri"/>
          <w:color w:val="000000"/>
          <w:sz w:val="21"/>
        </w:rPr>
      </w:pPr>
      <w:r>
        <w:rPr/>
        <w:t xml:space="preserve">Tikšanās ar Nīderlandes iedzīvotājiem, kuri nav pieraduši piedalīties aptaujās vai paneļdiskusijās (tiešsaistē). </w:t>
      </w:r>
    </w:p>
    <w:p>
      <w:pPr>
        <w:pStyle w:val="P68B1DB1Normal119"/>
        <w:widowControl w:val="false"/>
        <w:spacing w:lineRule="auto" w:line="240"/>
        <w:ind w:left="0" w:right="0" w:hanging="0"/>
        <w:jc w:val="left"/>
        <w:rPr/>
      </w:pPr>
      <w:r>
        <w:rPr>
          <w:rFonts w:ascii="Calibri" w:hAnsi="Calibri"/>
        </w:rPr>
        <w:t>9.</w:t>
      </w:r>
      <w:r>
        <w:rPr/>
        <w:t xml:space="preserve"> </w:t>
      </w:r>
      <w:r>
        <w:rPr>
          <w:rFonts w:ascii="Calibri" w:hAnsi="Calibri"/>
        </w:rPr>
        <w:t>Dialogi ar jauniešiem</w:t>
      </w:r>
    </w:p>
    <w:p>
      <w:pPr>
        <w:pStyle w:val="P68B1DB1Normal104"/>
        <w:widowControl w:val="false"/>
        <w:spacing w:lineRule="auto" w:line="240"/>
        <w:ind w:left="0" w:right="0" w:hanging="0"/>
        <w:jc w:val="left"/>
        <w:rPr>
          <w:rFonts w:ascii="Calibri" w:hAnsi="Calibri"/>
          <w:color w:val="000000"/>
          <w:sz w:val="21"/>
        </w:rPr>
      </w:pPr>
      <w:r>
        <w:rPr/>
        <w:t xml:space="preserve">Sanāksmes, kurās tiek apspriestas Eiropas tēmas, kas visvairāk attiecas uz šiem jauniešiem. </w:t>
      </w:r>
    </w:p>
    <w:p>
      <w:pPr>
        <w:pStyle w:val="Normal"/>
        <w:widowControl w:val="false"/>
        <w:spacing w:lineRule="auto" w:line="240"/>
        <w:ind w:left="0" w:right="0" w:hanging="0"/>
        <w:jc w:val="left"/>
        <w:rPr/>
      </w:pPr>
      <w:r>
        <w:rPr>
          <w:rFonts w:ascii="Calibri" w:hAnsi="Calibri"/>
          <w:b/>
          <w:color w:val="000000"/>
          <w:sz w:val="21"/>
        </w:rPr>
        <w:t>10.</w:t>
      </w:r>
      <w:r>
        <w:rPr>
          <w:b/>
          <w:color w:val="000000"/>
          <w:sz w:val="21"/>
        </w:rPr>
        <w:t xml:space="preserve"> </w:t>
      </w:r>
      <w:r>
        <w:rPr>
          <w:rFonts w:ascii="Calibri" w:hAnsi="Calibri"/>
          <w:b/>
          <w:color w:val="000000"/>
          <w:sz w:val="21"/>
        </w:rPr>
        <w:t>Tiešsaistes sabiedriskā aptauja: Anketa un “Swipen naar de toekomst”</w:t>
      </w:r>
      <w:commentRangeStart w:id="29"/>
      <w:r>
        <w:rPr>
          <w:rFonts w:ascii="Calibri" w:hAnsi="Calibri"/>
          <w:b/>
          <w:color w:val="000000"/>
          <w:sz w:val="21"/>
        </w:rPr>
        <w:t>(</w:t>
      </w:r>
      <w:r>
        <w:rPr>
          <w:rFonts w:ascii="Calibri" w:hAnsi="Calibri"/>
          <w:b/>
          <w:color w:val="000000"/>
          <w:sz w:val="21"/>
        </w:rPr>
      </w:r>
      <w:commentRangeEnd w:id="29"/>
      <w:r>
        <w:commentReference w:id="29"/>
      </w:r>
      <w:r>
        <w:rPr>
          <w:rFonts w:ascii="Calibri" w:hAnsi="Calibri"/>
          <w:b/>
          <w:color w:val="000000"/>
          <w:sz w:val="21"/>
        </w:rPr>
        <w:t xml:space="preserve"> pārslēgties uz nākotni) </w:t>
      </w:r>
    </w:p>
    <w:p>
      <w:pPr>
        <w:pStyle w:val="P68B1DB1Normal104"/>
        <w:widowControl w:val="false"/>
        <w:spacing w:lineRule="auto" w:line="240"/>
        <w:ind w:left="0" w:right="0" w:hanging="0"/>
        <w:jc w:val="left"/>
        <w:rPr/>
      </w:pPr>
      <w:r>
        <w:rPr/>
        <w:t xml:space="preserve">Paneļdiskusijas aptaujas anketu varētu aizpildīt arī visi nīderlandieši, tostarp tie, kas dzīvo ārvalstīs. Šī anketa bija pieejama no 2021. gada 1. septembra līdz 2021. gada 14. novembrim. Turklāt tajā pašā laikposmā katrs holandietis varēja piedalīties darbībā “Swipen naar de toekomst” (Swiper to the future), kas ir tiešsaistes rīks, kurā tika iesniegtas 20 prasības.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5"/>
        <w:widowControl w:val="false"/>
        <w:spacing w:lineRule="auto" w:line="240" w:before="216" w:after="0"/>
        <w:ind w:left="0" w:right="0" w:hanging="0"/>
        <w:jc w:val="left"/>
        <w:rPr>
          <w:rFonts w:ascii="Calibri" w:hAnsi="Calibri"/>
          <w:b/>
          <w:b/>
          <w:color w:val="0070C0"/>
          <w:sz w:val="32"/>
        </w:rPr>
      </w:pPr>
      <w:r>
        <w:rPr/>
        <w:t xml:space="preserve">1. Paneļdiskusijas apsekojums </w:t>
      </w:r>
    </w:p>
    <w:p>
      <w:pPr>
        <w:pStyle w:val="P68B1DB1Normal104"/>
        <w:widowControl w:val="false"/>
        <w:spacing w:lineRule="auto" w:line="240" w:before="150" w:after="0"/>
        <w:ind w:left="0" w:right="0" w:hanging="0"/>
        <w:jc w:val="left"/>
        <w:rPr/>
      </w:pPr>
      <w:r>
        <w:rPr/>
        <w:t xml:space="preserve">Nīderlandes pilsoņu dialogs “Eiropas redzējums” sākās 1. septembrī ar paneļdiskusiju. Šajā aptaujas metodikas aprakstā mēs īsi izskaidrojam šīs aptaujas struktūru un īstenošanu komisijai. </w:t>
      </w:r>
    </w:p>
    <w:p>
      <w:pPr>
        <w:pStyle w:val="P68B1DB1Normal126"/>
        <w:widowControl w:val="false"/>
        <w:spacing w:lineRule="auto" w:line="240" w:before="43" w:after="0"/>
        <w:ind w:left="0" w:right="0" w:hanging="0"/>
        <w:jc w:val="left"/>
        <w:rPr>
          <w:rFonts w:ascii="Calibri" w:hAnsi="Calibri"/>
          <w:color w:val="0070C0"/>
          <w:sz w:val="24"/>
        </w:rPr>
      </w:pPr>
      <w:r>
        <w:rPr/>
        <w:t xml:space="preserve">Mērķgrupa un mērķgrupa </w:t>
      </w:r>
    </w:p>
    <w:p>
      <w:pPr>
        <w:pStyle w:val="Normal"/>
        <w:widowControl w:val="false"/>
        <w:spacing w:lineRule="auto" w:line="240" w:before="114" w:after="0"/>
        <w:ind w:left="0" w:right="0" w:hanging="0"/>
        <w:jc w:val="left"/>
        <w:rPr/>
      </w:pPr>
      <w:r>
        <w:rPr>
          <w:rFonts w:ascii="Calibri" w:hAnsi="Calibri"/>
          <w:color w:val="000000"/>
          <w:sz w:val="21"/>
        </w:rPr>
        <w:t>Aptauja “Vision of Europe” sākās ar tiešsaistes anketu par to, kā Nīderlandes iedzīvotāji redz Eiropas nākotni. Šī anketa ir iesniegta pārstāvju grupai, un tā ir pieejama arī visiem nīderlandiešiem (tostarp tiem, kas dzīvo ārvalstīs). Turklāt katra persona varēja piedalīties darbībā “Swipen naar de toekomst”</w:t>
      </w:r>
      <w:commentRangeStart w:id="30"/>
      <w:r>
        <w:rPr>
          <w:rFonts w:ascii="Calibri" w:hAnsi="Calibri"/>
          <w:color w:val="000000"/>
          <w:sz w:val="21"/>
        </w:rPr>
        <w:t>(Swipen naar de toekomst) (Swipen</w:t>
      </w:r>
      <w:r>
        <w:rPr>
          <w:rFonts w:ascii="Calibri" w:hAnsi="Calibri"/>
          <w:color w:val="000000"/>
          <w:sz w:val="21"/>
        </w:rPr>
      </w:r>
      <w:commentRangeEnd w:id="30"/>
      <w:r>
        <w:commentReference w:id="30"/>
      </w:r>
      <w:r>
        <w:rPr>
          <w:rFonts w:ascii="Calibri" w:hAnsi="Calibri"/>
          <w:color w:val="000000"/>
          <w:sz w:val="21"/>
        </w:rPr>
        <w:t xml:space="preserve"> naar de toekomst) — tiešsaistes rīks, kas piedāvā 20 prasības. Paneļdiskusijas rezultāti veicināja vairākus tematiskos dialogus, kas tika organizēti kā turpinājums pilsoņu dialoga procesam “Eiropas redzējums”.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Paneļdiskusija aptver visus Nīderlandes iedzīvotājus vecumā no 18 gadiem, kuri bija reģistrēti kā iedzīvotāji iedzīvotāju reģistrā laikā, kad sākās lauka darbs. Saskaņā ar Nīderlandes Valsts statistikas biroja (Centraal Bureau voor de Statistiek — CBS) datiem šai mērķgrupai 2021. gada 1. janvārī bija 14 190 874 cilvēki. Minimālais 18 gadu ierobežojums atbilst vēlēšanu vairākumam. Mēs to saucam par paneļdiskusiju populāciju. </w:t>
      </w:r>
      <w:r>
        <w:br w:type="page"/>
      </w:r>
    </w:p>
    <w:p>
      <w:pPr>
        <w:pStyle w:val="P68B1DB1Normal126"/>
        <w:widowControl w:val="false"/>
        <w:spacing w:lineRule="auto" w:line="240" w:before="43" w:after="0"/>
        <w:ind w:left="0" w:right="0" w:hanging="0"/>
        <w:jc w:val="left"/>
        <w:rPr>
          <w:rFonts w:ascii="Calibri" w:hAnsi="Calibri"/>
          <w:color w:val="0070C0"/>
          <w:sz w:val="24"/>
        </w:rPr>
      </w:pPr>
      <w:r>
        <w:rPr/>
        <w:t xml:space="preserve">Darbs uz vietas </w:t>
      </w:r>
    </w:p>
    <w:p>
      <w:pPr>
        <w:pStyle w:val="P68B1DB1Normal104"/>
        <w:widowControl w:val="false"/>
        <w:spacing w:lineRule="auto" w:line="240" w:before="116" w:after="0"/>
        <w:ind w:left="0" w:right="0" w:hanging="0"/>
        <w:jc w:val="left"/>
        <w:rPr/>
      </w:pPr>
      <w:r>
        <w:rPr/>
        <w:t xml:space="preserve">Vairāk nekā 100 000 dalībnieku no visas valsts (ISO sertificēts, Research Keurmerk groep, Nederlandse marktonderzoek Associatie) tika izmantots, lai iegūtu “Medium Dutch” digitālo attēlu. Šie dalībnieki piedalījās aptaujas paneļdiskusijā, lai regulāri paustu savu viedokli par plašu tematu loku. Papildus viņu patiesajai motivācijai sniegt ieguldījumu viņiem tiek maksāts, lai atbildētu uz anketas jautājumiem. Vairāki zinātniskie pētījumi liecina, ka respondenti, kuri saņem kompensāciju par anketas aizpildīšanu, nesniedz būtiski atšķirīgas atbildes (avots: </w:t>
      </w:r>
      <w:r>
        <w:rPr>
          <w:i/>
        </w:rPr>
        <w:t>Vai apsekojumu stimulu izmantošana pasliktina datu kvalitāti?</w:t>
      </w:r>
      <w:r>
        <w:rPr/>
        <w:t xml:space="preserve">, Cole, J. S., Sarraf, S.A., Wang, X., 2015).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Darbs uz vietas sākās 2021. gada 11. augustā un beidzās 2021. gada 19. septembrī. Ieviešanai tika izmantota tikai viena datu vākšanas metode, t. i., interneta apsekojums. Aptaujas komisijas locekļi saņēma e-pastu ar personisku saiti uz tiešsaistes anketu. Pēc divām nedēļām žūrijas dalībnieki saņēma atgādinājumu. Uzaicinājumi piedalīties tika nosūtīti pa partijām un stratificēti (nodrošinot vienādu apakšgrupu sadalījumu), līdz tika sasniegts nepieciešamais respondentu skaits. </w:t>
      </w:r>
    </w:p>
    <w:p>
      <w:pPr>
        <w:pStyle w:val="P68B1DB1Normal126"/>
        <w:widowControl w:val="false"/>
        <w:spacing w:lineRule="auto" w:line="240" w:before="42" w:after="0"/>
        <w:ind w:left="0" w:right="0" w:hanging="0"/>
        <w:jc w:val="left"/>
        <w:rPr>
          <w:rFonts w:ascii="Calibri" w:hAnsi="Calibri"/>
          <w:color w:val="0070C0"/>
          <w:sz w:val="24"/>
        </w:rPr>
      </w:pPr>
      <w:r>
        <w:rPr/>
        <w:t xml:space="preserve">Paraugu ņemšana un izplatīšana </w:t>
      </w:r>
    </w:p>
    <w:p>
      <w:pPr>
        <w:pStyle w:val="P68B1DB1Normal104"/>
        <w:widowControl w:val="false"/>
        <w:spacing w:lineRule="auto" w:line="240" w:before="114" w:after="0"/>
        <w:ind w:left="0" w:right="0" w:hanging="0"/>
        <w:jc w:val="left"/>
        <w:rPr/>
      </w:pPr>
      <w:r>
        <w:rPr/>
        <w:t xml:space="preserve">Apsekojuma pamatā ir princips, ka apsekojumā jāpiedalās vismaz 3600 respondentu, lai nodrošinātu labu statistisko ticamību. Turklāt šis skaitlis nodrošina labu sadalījumu starp dažādām iedzīvotāju vispārējām iezīmēm. Nav tikai viena veida holandietis. Tāpēc mēs jau iepriekš esam nodrošinājuši, ka izlase ir labi sadalīta vairākās īpašībās. Nīderlande ir salīdzinoši maza valsts, taču viedokļi var atšķirties atkarībā no reģiona. Tēmu pozicionēšanu un nozīmi (daļēji) var noteikt reģions, kurā dzīvojat. Piemēram, cilvēki, kas dzīvo lauku apvidos, tādu tematu kā drošība var saprast citādi nekā pilsētu teritorijās. Nīderlandes Sociālās un kultūras plānošanas biroja pētījumi arī liecina, ka cilvēki ar augstāku studiju līmeni biežāk atbalsta ES nekā tie, kuriem ir zemāks studiju līmenis, un ka jaunieši vairāk atbalsta ES nekā vecāka gadagājuma cilvēki (avots: </w:t>
      </w:r>
      <w:r>
        <w:rPr>
          <w:i/>
        </w:rPr>
        <w:t>Wat willen Nederlanders van de Europese Unie?</w:t>
      </w:r>
      <w:r>
        <w:rPr/>
        <w:t xml:space="preserve">, Nīderlandes Sociālās un kultūras plānošanas birojs, Hāga, 2019).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before="1" w:after="0"/>
        <w:ind w:left="0" w:right="0" w:hanging="0"/>
        <w:jc w:val="left"/>
        <w:rPr/>
      </w:pPr>
      <w:r>
        <w:rPr/>
        <w:t xml:space="preserve">Tāpēc, lai nodrošinātu izlases reprezentativitāti, iepriekš esam proporcionāli iedalījuši šādus trīs raksturlielumus: 1) dzīvesvieta COROP reģionos, 2) vecuma un 3) izglītības līmenis. Parauga sadalījums tika atspoguļots arī saskaņā ar šādiem vispārīgiem raksturlielumiem: dzimums, izcelsme, galvenā nodarbošanās, politiskā orientācija. </w:t>
      </w:r>
    </w:p>
    <w:p>
      <w:pPr>
        <w:pStyle w:val="P68B1DB1Normal104"/>
        <w:widowControl w:val="false"/>
        <w:spacing w:lineRule="auto" w:line="240" w:before="1"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COROP reģioni ir izveidoti, pamatojoties uz mezgla principu (“sirds” ar pievilcības zonu vai reģionālu funkciju), pamatojoties uz to cilvēku plūsmu, kuri pārvietojas. Ir pieļauti daži mezgla principa pārkāpumi, lai reģioni ievērotu provinču robežas. Pēc pašvaldību reorganizācijas ārpus COROP robežām sadalījums tika koriģēts (avots: Nīderlandes Valsts statistikas birojs). COROP reģionos mēs esam nodrošinājuši labu sadalījumu starp vecuma grupām ar šādu sadalījumu: vecumā no 18 līdz 34 gadiem, 35–54 gadu vecumā, 55–75 gadu vecumā un virs 75 gadiem.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1" w:after="0"/>
        <w:ind w:left="0" w:right="0" w:hanging="0"/>
        <w:jc w:val="left"/>
        <w:rPr/>
      </w:pPr>
      <w:r>
        <w:rPr>
          <w:rFonts w:ascii="Calibri" w:hAnsi="Calibri"/>
          <w:color w:val="000000"/>
          <w:sz w:val="21"/>
        </w:rPr>
        <w:t xml:space="preserve">Visbeidzot, mēs nodrošinājām reprezentatīvu izglītības līmeņu sadalījumu. Izlasē respondentu sadalījums atbilst augstākā izglītības līmeņa sadalījumam valsts līmenī, kas ir šāds: </w:t>
      </w:r>
      <w:r>
        <w:br w:type="page"/>
      </w:r>
    </w:p>
    <w:p>
      <w:pPr>
        <w:pStyle w:val="P68B1DB1Normal120"/>
        <w:spacing w:lineRule="auto" w:line="240"/>
        <w:ind w:left="0" w:right="0" w:hanging="0"/>
        <w:rPr>
          <w:rFonts w:ascii="Calibri" w:hAnsi="Calibri"/>
          <w:b/>
          <w:b/>
          <w:color w:val="000000"/>
          <w:sz w:val="21"/>
        </w:rPr>
      </w:pPr>
      <w:r>
        <w:rPr/>
        <w:t xml:space="preserve">Augstākais izglītības līmenis </w:t>
      </w:r>
    </w:p>
    <w:tbl>
      <w:tblPr>
        <w:tblW w:w="9586"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8222"/>
        <w:gridCol w:w="1363"/>
      </w:tblGrid>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Zema cena: pamatizglītība, sagatavošanas profesionālā izglītība, vispārējās vidējās izglītības/pirmsuniversitātes 1.-3. klase, vidējās profesionālās izglītības līmenis 1</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32,1 %</w:t>
            </w:r>
          </w:p>
        </w:tc>
      </w:tr>
      <w:tr>
        <w:trPr>
          <w:trHeight w:val="103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Starpprodukts: Vispārējā vidējā izglītība/pirmsuniversitātes izglītība, vidējā profesionālā izglītība no 2. līdz 4. līmenim</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44,6 %</w:t>
            </w:r>
          </w:p>
        </w:tc>
      </w:tr>
      <w:tr>
        <w:trPr>
          <w:trHeight w:val="551"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Augstais augstums: augstākā profesionālā izglītība vai universitātes izglītība</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22,9 %</w:t>
            </w:r>
          </w:p>
        </w:tc>
      </w:tr>
      <w:tr>
        <w:trPr>
          <w:trHeight w:val="536" w:hRule="atLeast"/>
        </w:trPr>
        <w:tc>
          <w:tcPr>
            <w:tcW w:w="8222"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Nav zināms</w:t>
            </w:r>
          </w:p>
        </w:tc>
        <w:tc>
          <w:tcPr>
            <w:tcW w:w="136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0,4 %</w:t>
            </w:r>
          </w:p>
        </w:tc>
      </w:tr>
    </w:tbl>
    <w:p>
      <w:pPr>
        <w:pStyle w:val="P68B1DB1Normal126"/>
        <w:spacing w:lineRule="auto" w:line="240"/>
        <w:ind w:left="0" w:right="0" w:hanging="0"/>
        <w:rPr>
          <w:rFonts w:ascii="Calibri" w:hAnsi="Calibri"/>
          <w:color w:val="0070C0"/>
          <w:sz w:val="24"/>
        </w:rPr>
      </w:pPr>
      <w:r>
        <w:rPr/>
        <w:t xml:space="preserve">Atbildes reakcijas rādītājs </w:t>
      </w:r>
    </w:p>
    <w:p>
      <w:pPr>
        <w:pStyle w:val="P68B1DB1Normal104"/>
        <w:widowControl w:val="false"/>
        <w:spacing w:lineRule="exact" w:line="386" w:before="116" w:after="0"/>
        <w:ind w:left="0" w:right="368" w:hanging="0"/>
        <w:jc w:val="left"/>
        <w:rPr/>
      </w:pPr>
      <w:r>
        <w:rPr/>
        <w:t xml:space="preserve">Aptaujā piedalījās 4086 cilvēki no katras paneļdiskusijas. Tāpēc ir sasniegts mērķis — pilnībā aizpildītas 3600 anketas.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4596"/>
        <w:gridCol w:w="1189"/>
        <w:gridCol w:w="152"/>
        <w:gridCol w:w="1032"/>
        <w:gridCol w:w="831"/>
        <w:gridCol w:w="257"/>
        <w:gridCol w:w="1581"/>
      </w:tblGrid>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COROP reģionu un vecuma atbildes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Vecumā no 18 līdz 34 gadiem</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Vecumā no 35 līdz 54 gadiem</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Vecumā no 55 līdz 75 gadiem</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vairāk nekā 75 gadus vecs</w:t>
            </w:r>
          </w:p>
        </w:tc>
      </w:tr>
      <w:tr>
        <w:trPr>
          <w:trHeight w:val="551"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Ziemeļu Drenthe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Drentes dienvidaustrumi</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Dienvidrietumi no Drenthe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Flevoland (Flevoland)</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29</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Ziemeļfrīzlenda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Dienvidaustrumi no Frīzlandes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Dienvidrietumi no Frīzlandes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Achterhoek Achterhoek Sistēmas Prasības</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Arnhem/Nijmegen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53</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Veluwe Veluwe</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44</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51</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Gelderlandes dienvidrietumu daļa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18</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20</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Delfzijl</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w:t>
            </w:r>
          </w:p>
        </w:tc>
      </w:tr>
      <w:tr>
        <w:trPr>
          <w:trHeight w:val="551"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Austrumu Groningena (Austrumu Groningena)</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7</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10</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12</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w:t>
            </w:r>
          </w:p>
        </w:tc>
      </w:tr>
      <w:tr>
        <w:trPr>
          <w:trHeight w:val="536" w:hRule="atLeast"/>
        </w:trPr>
        <w:tc>
          <w:tcPr>
            <w:tcW w:w="4596"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Atpūta Groningen</w:t>
            </w:r>
          </w:p>
        </w:tc>
        <w:tc>
          <w:tcPr>
            <w:tcW w:w="118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36</w:t>
            </w:r>
          </w:p>
        </w:tc>
        <w:tc>
          <w:tcPr>
            <w:tcW w:w="1184"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26</w:t>
            </w:r>
          </w:p>
        </w:tc>
        <w:tc>
          <w:tcPr>
            <w:tcW w:w="108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28</w:t>
            </w:r>
          </w:p>
        </w:tc>
        <w:tc>
          <w:tcPr>
            <w:tcW w:w="1581"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Centrālā Limburga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Limburgas ziemeļu daļa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Limburgas dienvidu daļa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38</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Ziemeļu Brabantes centrs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Uz ziemeļaustrumiem no Ziemeļbrabantes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Uz rietumiem no Ziemeļbrabantes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Ziemeļaustrumu Brabantes dienvidaustrumi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Hārlemas aglomerācija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Alkmaar un tās apkārtne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Lieliska Amsterdama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88</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Gooi un Vechtstreek</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IJmond IJmond</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Ziemeļholandes tips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Zaan reģions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13</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Ziemeļu Overeisela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Twente Twente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41</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Dienvidrietumi no Overijssel</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12</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Utrehta (Utrehta)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27</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Pārējā Zēlande</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23</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Zēlandes Flandrija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Leidenas aglomerācija un sīpolu reģions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30</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Hāgas aglomerācija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63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70</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57</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Delfta un Vestlenda</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19</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4</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Grand Rijnmond Sistēmas Prasības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103</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107</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99</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31</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Uz austrumiem no Dienvidholandes</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22</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25</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8</w:t>
            </w:r>
          </w:p>
        </w:tc>
      </w:tr>
      <w:tr>
        <w:trPr>
          <w:trHeight w:val="536" w:hRule="atLeast"/>
        </w:trPr>
        <w:tc>
          <w:tcPr>
            <w:tcW w:w="4596"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Dienvidholandes dienvidaustrumi</w:t>
            </w:r>
          </w:p>
        </w:tc>
        <w:tc>
          <w:tcPr>
            <w:tcW w:w="118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24</w:t>
            </w:r>
          </w:p>
        </w:tc>
        <w:tc>
          <w:tcPr>
            <w:tcW w:w="1184"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088" w:type="dxa"/>
            <w:gridSpan w:val="2"/>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26</w:t>
            </w:r>
          </w:p>
        </w:tc>
        <w:tc>
          <w:tcPr>
            <w:tcW w:w="1581"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right"/>
              <w:rPr>
                <w:color w:val="000000"/>
              </w:rPr>
            </w:pPr>
            <w:r>
              <w:rPr/>
              <w:t>9</w:t>
            </w:r>
          </w:p>
        </w:tc>
      </w:tr>
      <w:tr>
        <w:trPr>
          <w:trHeight w:val="356" w:hRule="atLeast"/>
        </w:trPr>
        <w:tc>
          <w:tcPr>
            <w:tcW w:w="5937" w:type="dxa"/>
            <w:gridSpan w:val="3"/>
            <w:tcBorders/>
            <w:shd w:fill="auto" w:val="clear"/>
            <w:vAlign w:val="bottom"/>
          </w:tcPr>
          <w:p>
            <w:pPr>
              <w:pStyle w:val="Contenudetableau"/>
              <w:spacing w:before="57" w:after="57"/>
              <w:jc w:val="left"/>
              <w:rPr>
                <w:b/>
                <w:b/>
                <w:color w:val="000000"/>
              </w:rPr>
            </w:pPr>
            <w:r>
              <w:rPr>
                <w:b/>
                <w:color w:val="000000"/>
              </w:rPr>
              <w:t>Atbildes atkarībā no izglītības līmeņa</w:t>
            </w:r>
          </w:p>
        </w:tc>
        <w:tc>
          <w:tcPr>
            <w:tcW w:w="1863" w:type="dxa"/>
            <w:gridSpan w:val="2"/>
            <w:tcBorders/>
            <w:shd w:fill="auto" w:val="clear"/>
            <w:vAlign w:val="bottom"/>
          </w:tcPr>
          <w:p>
            <w:pPr>
              <w:pStyle w:val="Contenudetableau"/>
              <w:spacing w:before="57" w:after="57"/>
              <w:rPr>
                <w:color w:val="000000"/>
              </w:rPr>
            </w:pPr>
            <w:r>
              <w:rPr>
                <w:color w:val="000000"/>
              </w:rPr>
            </w:r>
          </w:p>
        </w:tc>
        <w:tc>
          <w:tcPr>
            <w:tcW w:w="1838" w:type="dxa"/>
            <w:gridSpan w:val="2"/>
            <w:tcBorders/>
            <w:shd w:fill="auto" w:val="clear"/>
            <w:vAlign w:val="bottom"/>
          </w:tcPr>
          <w:p>
            <w:pPr>
              <w:pStyle w:val="Contenudetableau"/>
              <w:spacing w:before="57" w:after="57"/>
              <w:rPr>
                <w:color w:val="000000"/>
              </w:rPr>
            </w:pPr>
            <w:r>
              <w:rPr>
                <w:color w:val="000000"/>
              </w:rPr>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Zema cena</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1382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34 %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Starpnieks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1747</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43 %</w:t>
            </w:r>
          </w:p>
        </w:tc>
      </w:tr>
      <w:tr>
        <w:trPr>
          <w:trHeight w:val="551"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Augstas kvalitātes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915</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22 %</w:t>
            </w:r>
          </w:p>
        </w:tc>
      </w:tr>
      <w:tr>
        <w:trPr>
          <w:trHeight w:val="536" w:hRule="atLeast"/>
        </w:trPr>
        <w:tc>
          <w:tcPr>
            <w:tcW w:w="5937" w:type="dxa"/>
            <w:gridSpan w:val="3"/>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Nav zināms</w:t>
            </w:r>
          </w:p>
        </w:tc>
        <w:tc>
          <w:tcPr>
            <w:tcW w:w="1863"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42</w:t>
            </w:r>
          </w:p>
        </w:tc>
        <w:tc>
          <w:tcPr>
            <w:tcW w:w="1838" w:type="dxa"/>
            <w:gridSpan w:val="2"/>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Uzticamība un reprezentativitāte </w:t>
      </w:r>
    </w:p>
    <w:p>
      <w:pPr>
        <w:pStyle w:val="P68B1DB1Normal104"/>
        <w:widowControl w:val="false"/>
        <w:spacing w:lineRule="auto" w:line="240" w:before="119" w:after="0"/>
        <w:ind w:left="0" w:right="0" w:hanging="0"/>
        <w:jc w:val="left"/>
        <w:rPr/>
      </w:pPr>
      <w:r>
        <w:rPr/>
        <w:t xml:space="preserve">4086 respondentu skaits ļauj veikt novērojumus visai datu kopai ar 95 % ticamības līmeni un 1,53 % kļūdu. Rezultātu ticamības līmeni un kļūdas robežu nosaka pēc izlases lieluma. Jo lielāks paraugs, jo ticamāki un precīzāki rezultāti var tikt ekstrapolēti uz visu datu kopu. </w:t>
      </w:r>
    </w:p>
    <w:p>
      <w:pPr>
        <w:pStyle w:val="P68B1DB1Normal104"/>
        <w:widowControl w:val="false"/>
        <w:spacing w:lineRule="auto" w:line="240" w:before="94" w:after="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Ticamības līmenis ir definēts kā 1 (100 %) mīnus nozīmes līmenis. Ir vispārpieņemts, ka pamatā ir 5 % nozīmes līmenis. Mēs runājam par 95 % uzticības līmeni. Citiem vārdiem sakot, ja apsekojums tiktu atkārtots tādā pašā veidā un ar tādiem pašiem nosacījumiem, 95 % gadījumu rezultāti būtu tādi paši. </w:t>
      </w:r>
    </w:p>
    <w:p>
      <w:pPr>
        <w:pStyle w:val="P68B1DB1Normal104"/>
        <w:widowControl w:val="false"/>
        <w:spacing w:lineRule="auto" w:line="240"/>
        <w:ind w:left="0" w:right="0" w:hanging="0"/>
        <w:jc w:val="left"/>
        <w:rPr/>
      </w:pPr>
      <w:r>
        <w:rPr/>
        <w:t xml:space="preserve">Precizitāte (izteikta ar kļūdas robežu) norāda vērtību diapazonu, kurā atrodas faktiskā vērtība datu kopā. Citiem vārdiem sakot: kāda būtu maksimālā atšķirība starp izlases rezultātiem un rezultātiem, kas tiktu iegūti no kopas kopumā? Kļūdas robeža 1,53 % nozīmē, ka faktiskā vērtība kopējā datu kopā var būt par 1,53 % lielāka vai mazāka par izlases vērtību. Piemēram, ja cilvēku izlases apsekojums liecina, ka 50 % respondentu uzskata, ka konkrēta tēma ir svarīga, faktiskā procentuālā daļa ir 1,53 % lielāka vai mazāka par šo 50 %, t. i., no 48,47 līdz 51,53 %. Maksimālā kļūdas robeža 5 % apmērā ir izplatīta un vispārpieņemta kvantitatīvos pētījumos (statistika).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Papildus uzticamībai svarīga ir izlases reprezentativitāte. Tā kā uzaicinājumi piedalīties ir nosūtīti pa partijām un stratificēti, rezultāti ir reprezentatīvi attiecībā uz COROP reģiona un vecuma grupu īpašībām pa COROP reģioniem. Atbildes ir reprezentatīvas arī no izglītības līmeņa viedokļa salīdzinājumā ar augstāko izglītības līmeni, kas sasniegts valsts līmenī.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ind w:left="0" w:right="0" w:hanging="0"/>
        <w:jc w:val="left"/>
        <w:rPr>
          <w:rFonts w:ascii="Calibri" w:hAnsi="Calibri"/>
          <w:color w:val="0070C0"/>
          <w:sz w:val="24"/>
        </w:rPr>
      </w:pPr>
      <w:r>
        <w:rPr/>
        <w:t xml:space="preserve">Citas vispārīgas īpašības </w:t>
      </w:r>
    </w:p>
    <w:p>
      <w:pPr>
        <w:pStyle w:val="P68B1DB1Normal104"/>
        <w:widowControl w:val="false"/>
        <w:spacing w:lineRule="auto" w:line="240"/>
        <w:ind w:left="0" w:right="0" w:hanging="0"/>
        <w:jc w:val="left"/>
        <w:rPr/>
      </w:pPr>
      <w:r>
        <w:rPr/>
        <w:t xml:space="preserve">Paneļdiskusijā tika uzdoti vairāki papildu kontekstuāli jautājumi, lai aptaujātu dalībniekus. To vidū ir dzimums, ES pozicionēšana, izcelsme, galvenā nodarbošanās un politiskā partija, par kuru persona balsotu vēlēšanu gadījumā.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49 % respondentu ir vīrieši, 50 % ir sievietes un 1 % nevēlas atbildēt uz šo jautājumu.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51 % respondentu uzskata, ka ir labi, ja Nīderlande būtu ES dalībvalsts, 13 % uzskata, ka tas ir slikti, un 36 % ir neitrāli vai tiem nav viedokļa.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95 % respondentu ir dzimuši Nīderlandē. 89 % respondentu norādīja, ka abi vecāki ir dzimuši Nīderlandē. 5 % ir dzimuši diviem vecākiem, kas paši ir dzimuši ārvalstīs. </w:t>
      </w:r>
    </w:p>
    <w:p>
      <w:pPr>
        <w:pStyle w:val="Normal"/>
        <w:widowControl w:val="false"/>
        <w:spacing w:lineRule="auto" w:line="240"/>
        <w:ind w:left="0" w:right="0" w:hanging="0"/>
        <w:jc w:val="left"/>
        <w:rPr>
          <w:rFonts w:ascii="Calibri" w:hAnsi="Calibri"/>
          <w:color w:val="000000"/>
          <w:sz w:val="21"/>
        </w:rPr>
      </w:pPr>
      <w:r>
        <w:rPr>
          <w:rFonts w:ascii="Calibri" w:hAnsi="Calibri"/>
          <w:color w:val="000000"/>
          <w:sz w:val="21"/>
        </w:rPr>
      </w:r>
      <w:r>
        <w:br w:type="page"/>
      </w:r>
    </w:p>
    <w:p>
      <w:pPr>
        <w:pStyle w:val="P68B1DB1Normal126"/>
        <w:spacing w:lineRule="auto" w:line="240"/>
        <w:ind w:left="0" w:right="0" w:hanging="0"/>
        <w:rPr>
          <w:rFonts w:ascii="Calibri" w:hAnsi="Calibri"/>
          <w:color w:val="0070C0"/>
          <w:sz w:val="24"/>
        </w:rPr>
      </w:pPr>
      <w:r>
        <w:rPr/>
        <w:t xml:space="preserve">Respondentu pašreizējā politiskā orientācija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49"/>
        <w:gridCol w:w="3488"/>
      </w:tblGrid>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Skatīt visas atsauksmes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w:t>
            </w:r>
          </w:p>
        </w:tc>
      </w:tr>
      <w:tr>
        <w:trPr>
          <w:trHeight w:val="551" w:hRule="atLeast"/>
        </w:trPr>
        <w:tc>
          <w:tcPr>
            <w:tcW w:w="6149"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VVD (Tautas partija brīvībai un demokrātijai)</w:t>
            </w:r>
          </w:p>
        </w:tc>
        <w:tc>
          <w:tcPr>
            <w:tcW w:w="3488"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PVV (Brīvības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SP (Sociālistu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8 %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D66 (Demokrāti 66)</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CDA (Kristīgo demokrātu izsaukums)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PvdA (Darba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Partij voor de Dieren (Dzīvnieku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GroenLinks (Zaļais kreisais)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4 %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ChristenUnie (Kristīgā savienība)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JA21 SISTĒMAS PRASĪBAS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BoerBurgerBeweging (lauksaimniecības pilsoņu kustība)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Forum voor Democratie (Demokrātijas forums)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VPS (Reformēta politiskā partija)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VOLT VOLT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DENK DENK SISTĒMAS PRASĪBAS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Groep Van Haga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BIJ1</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Fractie Den Haan Sistēmas Prasības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0 %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Citas preces</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Baltā balsošana</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 nevēlos atbildēt</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13 %</w:t>
            </w:r>
          </w:p>
        </w:tc>
      </w:tr>
      <w:tr>
        <w:trPr>
          <w:trHeight w:val="536" w:hRule="atLeast"/>
        </w:trPr>
        <w:tc>
          <w:tcPr>
            <w:tcW w:w="6149"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 nebalsoju</w:t>
            </w:r>
          </w:p>
        </w:tc>
        <w:tc>
          <w:tcPr>
            <w:tcW w:w="3488"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bl>
    <w:p>
      <w:pPr>
        <w:pStyle w:val="Normal"/>
        <w:spacing w:lineRule="auto" w:line="240"/>
        <w:ind w:left="0" w:right="0" w:hanging="0"/>
        <w:rPr/>
      </w:pPr>
      <w:r>
        <w:rPr/>
      </w:r>
      <w:r>
        <w:br w:type="page"/>
      </w:r>
    </w:p>
    <w:p>
      <w:pPr>
        <w:pStyle w:val="P68B1DB1Normal126"/>
        <w:spacing w:lineRule="auto" w:line="240"/>
        <w:ind w:left="0" w:right="0" w:hanging="0"/>
        <w:rPr>
          <w:rFonts w:ascii="Calibri" w:hAnsi="Calibri"/>
          <w:color w:val="0070C0"/>
          <w:sz w:val="24"/>
        </w:rPr>
      </w:pPr>
      <w:r>
        <w:rPr/>
        <w:t xml:space="preserve">Kāda šobrīd ir jūsu galvenā nodarbošanās? </w:t>
      </w:r>
    </w:p>
    <w:tbl>
      <w:tblPr>
        <w:tblW w:w="9638" w:type="dxa"/>
        <w:jc w:val="left"/>
        <w:tblInd w:w="0"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25" w:type="dxa"/>
          <w:bottom w:w="28" w:type="dxa"/>
          <w:right w:w="28" w:type="dxa"/>
        </w:tblCellMar>
      </w:tblPr>
      <w:tblGrid>
        <w:gridCol w:w="6123"/>
        <w:gridCol w:w="3514"/>
      </w:tblGrid>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Nodarbošanās ar profesiju</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 %</w:t>
            </w:r>
          </w:p>
        </w:tc>
      </w:tr>
      <w:tr>
        <w:trPr>
          <w:trHeight w:val="551" w:hRule="atLeast"/>
        </w:trPr>
        <w:tc>
          <w:tcPr>
            <w:tcW w:w="6123"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Students/students</w:t>
            </w:r>
          </w:p>
        </w:tc>
        <w:tc>
          <w:tcPr>
            <w:tcW w:w="3514"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Nepilna darba laika darbinieks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Pilna laika darbinieks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31 %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Neatkarīgais darbuzņēmējs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3 %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Persona mājās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5 %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Darba meklētājs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Brīvprātīgais brīvprātīgais darbs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Darba nespēja</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6 %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Pensionēts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27 %</w:t>
            </w:r>
          </w:p>
        </w:tc>
      </w:tr>
      <w:tr>
        <w:trPr>
          <w:trHeight w:val="551"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Citas preces</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r>
        <w:trPr>
          <w:trHeight w:val="536" w:hRule="atLeast"/>
        </w:trPr>
        <w:tc>
          <w:tcPr>
            <w:tcW w:w="6123"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ES nevēlos atbildēt</w:t>
            </w:r>
          </w:p>
        </w:tc>
        <w:tc>
          <w:tcPr>
            <w:tcW w:w="3514"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vAlign w:val="center"/>
          </w:tcPr>
          <w:p>
            <w:pPr>
              <w:pStyle w:val="P68B1DB1Contenudetableau121"/>
              <w:spacing w:before="57" w:after="57"/>
              <w:jc w:val="left"/>
              <w:rPr>
                <w:color w:val="000000"/>
              </w:rPr>
            </w:pPr>
            <w:r>
              <w:rPr/>
              <w:t>1 %</w:t>
            </w:r>
          </w:p>
        </w:tc>
      </w:tr>
    </w:tbl>
    <w:p>
      <w:pPr>
        <w:pStyle w:val="Normal"/>
        <w:spacing w:lineRule="auto" w:line="240"/>
        <w:ind w:left="0" w:right="0" w:hanging="0"/>
        <w:rPr/>
      </w:pPr>
      <w:r>
        <w:rPr/>
      </w:r>
    </w:p>
    <w:p>
      <w:pPr>
        <w:pStyle w:val="P68B1DB1Normal126"/>
        <w:spacing w:lineRule="auto" w:line="240"/>
        <w:ind w:left="0" w:right="0" w:hanging="0"/>
        <w:rPr>
          <w:rFonts w:ascii="Calibri" w:hAnsi="Calibri"/>
          <w:color w:val="0070C0"/>
          <w:sz w:val="24"/>
        </w:rPr>
      </w:pPr>
      <w:r>
        <w:rPr/>
        <w:t xml:space="preserve">Anketa </w:t>
      </w:r>
    </w:p>
    <w:p>
      <w:pPr>
        <w:pStyle w:val="P68B1DB1Normal104"/>
        <w:widowControl w:val="false"/>
        <w:spacing w:lineRule="exact" w:line="339" w:before="1" w:after="0"/>
        <w:ind w:left="0" w:right="0" w:hanging="0"/>
        <w:jc w:val="left"/>
        <w:rPr/>
      </w:pPr>
      <w:r>
        <w:rPr/>
        <w:t xml:space="preserve">Anketu un šo ziņojumu pēc Ārlietu ministrijas pieprasījuma sagatavoja neatkarīga ārēja organizācija. Anketa ir modulāra struktūra un ietver šādus jautājumu blokus saskaņā ar konferences par Eiropas nākotni tematiem: </w:t>
      </w:r>
    </w:p>
    <w:p>
      <w:pPr>
        <w:pStyle w:val="P68B1DB1Normal105"/>
        <w:widowControl w:val="false"/>
        <w:spacing w:lineRule="exact" w:line="349" w:before="0" w:after="0"/>
        <w:ind w:left="0" w:right="0" w:hanging="0"/>
        <w:jc w:val="left"/>
        <w:rPr/>
      </w:pPr>
      <w:r>
        <w:rPr>
          <w:rFonts w:ascii="Verdana" w:hAnsi="Verdana"/>
        </w:rPr>
        <w:t>•</w:t>
      </w:r>
      <w:r>
        <w:rPr/>
        <w:t xml:space="preserve"> </w:t>
      </w:r>
      <w:r>
        <w:rPr/>
        <w:t xml:space="preserve">Svarīgas tēmas un Eiropas loma </w:t>
      </w:r>
      <w:r>
        <w:rPr>
          <w:rFonts w:ascii="Calibri" w:hAnsi="Calibri"/>
        </w:rPr>
        <w:t xml:space="preserv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Klimata pārmaiņas un vide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Veselība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Ekonomika un nodarbinātība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Eiropas Savienības loma pasaulē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Drošība un tiesiskums </w:t>
      </w:r>
    </w:p>
    <w:p>
      <w:pPr>
        <w:pStyle w:val="P68B1DB1Normal105"/>
        <w:widowControl w:val="false"/>
        <w:spacing w:lineRule="exact" w:line="349" w:before="2" w:after="0"/>
        <w:ind w:left="0" w:right="0" w:hanging="0"/>
        <w:jc w:val="left"/>
        <w:rPr/>
      </w:pPr>
      <w:r>
        <w:rPr>
          <w:rFonts w:ascii="Verdana" w:hAnsi="Verdana"/>
        </w:rPr>
        <w:t>•</w:t>
      </w:r>
      <w:r>
        <w:rPr/>
        <w:t xml:space="preserve"> </w:t>
      </w:r>
      <w:r>
        <w:rPr>
          <w:rFonts w:ascii="Calibri" w:hAnsi="Calibri"/>
        </w:rPr>
        <w:t xml:space="preserve">Virtuālā pasaule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Eiropas demokrātija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Migrācija un bēgļi </w:t>
      </w:r>
    </w:p>
    <w:p>
      <w:pPr>
        <w:pStyle w:val="P68B1DB1Normal105"/>
        <w:widowControl w:val="false"/>
        <w:spacing w:lineRule="exact" w:line="349"/>
        <w:ind w:left="0" w:right="0" w:hanging="0"/>
        <w:jc w:val="left"/>
        <w:rPr/>
      </w:pPr>
      <w:r>
        <w:rPr>
          <w:rFonts w:ascii="Verdana" w:hAnsi="Verdana"/>
        </w:rPr>
        <w:t>•</w:t>
      </w:r>
      <w:r>
        <w:rPr/>
        <w:t xml:space="preserve"> </w:t>
      </w:r>
      <w:r>
        <w:rPr>
          <w:rFonts w:ascii="Calibri" w:hAnsi="Calibri"/>
        </w:rPr>
        <w:t xml:space="preserve">Izglītība/kultūra/jaunatnes/sports </w:t>
      </w:r>
    </w:p>
    <w:p>
      <w:pPr>
        <w:pStyle w:val="Normal"/>
        <w:widowControl w:val="false"/>
        <w:spacing w:lineRule="exact" w:line="349"/>
        <w:ind w:left="0" w:right="0" w:hanging="0"/>
        <w:jc w:val="left"/>
        <w:rPr>
          <w:rFonts w:ascii="Calibri" w:hAnsi="Calibri"/>
          <w:color w:val="000000"/>
          <w:sz w:val="21"/>
        </w:rPr>
      </w:pPr>
      <w:r>
        <w:rPr>
          <w:rFonts w:ascii="Calibri" w:hAnsi="Calibri"/>
          <w:color w:val="000000"/>
          <w:sz w:val="21"/>
        </w:rPr>
      </w:r>
    </w:p>
    <w:p>
      <w:pPr>
        <w:pStyle w:val="P68B1DB1Normal104"/>
        <w:widowControl w:val="false"/>
        <w:spacing w:lineRule="auto" w:line="240" w:before="104" w:after="0"/>
        <w:ind w:left="0" w:right="0" w:hanging="0"/>
        <w:jc w:val="left"/>
        <w:rPr/>
      </w:pPr>
      <w:r>
        <w:rPr/>
        <w:t xml:space="preserve">Sagatavojot anketu, liela uzmanība tika pievērsta jautājumu kvalitātei, uzticamībai un pamatotībai. Šā iemesla dēļ tika meklēts neitrāls, bez norādījumiem formulēti jautājumi, apgalvojumi un atbildes varianti, un tika pārbaudīts, vai jautājumi ir formulēti saprotamā valodā (B1 līmenis).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Anketai tika veikti kvalitātes testi, veicot klātienes intervijas ar testa dalībniekiem, kas pieder pie mērķgrupas. Tas ļāva mums izpētīt, kā jautājumus saprot dažāda veida respondenti. Ja jautājums, šķiet, pārstāv pārāk lielu (pārāk sarežģītu) kognitīvo slodzi, tas bija piemērots. </w:t>
      </w:r>
    </w:p>
    <w:p>
      <w:pPr>
        <w:pStyle w:val="P68B1DB1Normal126"/>
        <w:widowControl w:val="false"/>
        <w:spacing w:lineRule="auto" w:line="240" w:before="333" w:after="0"/>
        <w:ind w:left="0" w:right="0" w:hanging="0"/>
        <w:jc w:val="left"/>
        <w:rPr>
          <w:rFonts w:ascii="Calibri" w:hAnsi="Calibri"/>
          <w:color w:val="0070C0"/>
          <w:sz w:val="24"/>
        </w:rPr>
      </w:pPr>
      <w:r>
        <w:rPr/>
        <w:t xml:space="preserve">Analīzes metodes </w:t>
      </w:r>
    </w:p>
    <w:p>
      <w:pPr>
        <w:pStyle w:val="P68B1DB1Normal104"/>
        <w:widowControl w:val="false"/>
        <w:spacing w:lineRule="auto" w:line="240" w:before="80" w:after="0"/>
        <w:ind w:left="0" w:right="0" w:hanging="0"/>
        <w:jc w:val="left"/>
        <w:rPr>
          <w:rFonts w:ascii="Calibri" w:hAnsi="Calibri"/>
          <w:color w:val="000000"/>
          <w:sz w:val="21"/>
        </w:rPr>
      </w:pPr>
      <w:r>
        <w:rPr/>
        <w:t xml:space="preserve">Šajā apsekojumā tika izmantotas divas analīzes metodes: </w:t>
      </w:r>
    </w:p>
    <w:p>
      <w:pPr>
        <w:pStyle w:val="P68B1DB1Normal111"/>
        <w:widowControl w:val="false"/>
        <w:spacing w:lineRule="auto" w:line="240" w:before="48" w:after="0"/>
        <w:ind w:left="0" w:right="0" w:hanging="0"/>
        <w:jc w:val="left"/>
        <w:rPr>
          <w:rFonts w:ascii="Calibri" w:hAnsi="Calibri"/>
          <w:b/>
          <w:b/>
          <w:color w:val="000000"/>
          <w:sz w:val="22"/>
        </w:rPr>
      </w:pPr>
      <w:r>
        <w:rPr/>
        <w:t xml:space="preserve">Viendabīgas analīzes </w:t>
      </w:r>
    </w:p>
    <w:p>
      <w:pPr>
        <w:pStyle w:val="P68B1DB1Normal104"/>
        <w:widowControl w:val="false"/>
        <w:spacing w:lineRule="auto" w:line="240" w:before="6" w:after="0"/>
        <w:ind w:left="0" w:right="0" w:hanging="0"/>
        <w:jc w:val="left"/>
        <w:rPr>
          <w:rFonts w:ascii="Calibri" w:hAnsi="Calibri"/>
          <w:color w:val="000000"/>
          <w:sz w:val="21"/>
        </w:rPr>
      </w:pPr>
      <w:r>
        <w:rPr/>
        <w:t xml:space="preserve">Lai aprakstītu apsekojuma mainīgos lielumus, izmanto aprakstošu statistiku. Šajā aptaujā izmanto frekvences un vidējos rādītājus. </w:t>
      </w:r>
    </w:p>
    <w:p>
      <w:pPr>
        <w:pStyle w:val="P68B1DB1Normal111"/>
        <w:widowControl w:val="false"/>
        <w:spacing w:lineRule="auto" w:line="240" w:before="48" w:after="0"/>
        <w:ind w:left="0" w:right="0" w:hanging="0"/>
        <w:jc w:val="left"/>
        <w:rPr>
          <w:rFonts w:ascii="Calibri" w:hAnsi="Calibri"/>
          <w:b/>
          <w:b/>
          <w:color w:val="000000"/>
          <w:sz w:val="22"/>
        </w:rPr>
      </w:pPr>
      <w:r>
        <w:rPr/>
        <w:t xml:space="preserve">Bivariāta analīzes </w:t>
      </w:r>
    </w:p>
    <w:p>
      <w:pPr>
        <w:pStyle w:val="P68B1DB1Normal104"/>
        <w:widowControl w:val="false"/>
        <w:spacing w:lineRule="auto" w:line="240" w:before="6" w:after="0"/>
        <w:ind w:left="0" w:right="0" w:hanging="0"/>
        <w:jc w:val="left"/>
        <w:rPr/>
      </w:pPr>
      <w:r>
        <w:rPr/>
        <w:t xml:space="preserve">Bivariālās analīzes ļauj izvērtēt saistību starp diviem mainīgajiem lielumiem, šajā gadījumā saikni starp dažādu tematu nozīmi un jautājumu par to, vai ES būtu jāiejaucas šajā jomā, un vispārējo vecuma iezīmi. Tika veikta pārskatīšana, lai noteiktu, vai dažādas vecuma grupas piešķir tēmai atšķirīgu nozīmi un vai pastāv atšķirīgi viedokļi par to, cik lielā mērā tie ir jautājumi, kuros ES būtu jāiesaistās. </w:t>
      </w:r>
    </w:p>
    <w:p>
      <w:pPr>
        <w:pStyle w:val="Normal"/>
        <w:widowControl w:val="false"/>
        <w:spacing w:lineRule="auto" w:line="240" w:before="6" w:after="0"/>
        <w:ind w:left="0" w:right="0" w:hanging="0"/>
        <w:jc w:val="left"/>
        <w:rPr>
          <w:rFonts w:ascii="Calibri" w:hAnsi="Calibri"/>
          <w:color w:val="000000"/>
          <w:sz w:val="21"/>
        </w:rPr>
      </w:pPr>
      <w:r>
        <w:rPr>
          <w:rFonts w:ascii="Calibri" w:hAnsi="Calibri"/>
          <w:color w:val="000000"/>
          <w:sz w:val="21"/>
        </w:rPr>
      </w:r>
    </w:p>
    <w:p>
      <w:pPr>
        <w:pStyle w:val="P68B1DB1Normal126"/>
        <w:widowControl w:val="false"/>
        <w:spacing w:lineRule="auto" w:line="240" w:before="52" w:after="0"/>
        <w:ind w:left="0" w:right="0" w:hanging="0"/>
        <w:jc w:val="left"/>
        <w:rPr>
          <w:rFonts w:ascii="Calibri" w:hAnsi="Calibri"/>
          <w:color w:val="0070C0"/>
          <w:sz w:val="24"/>
        </w:rPr>
      </w:pPr>
      <w:r>
        <w:rPr/>
        <w:t xml:space="preserve">Informācijas publicēšana un pilnīgums </w:t>
      </w:r>
    </w:p>
    <w:p>
      <w:pPr>
        <w:pStyle w:val="P68B1DB1Normal76"/>
        <w:widowControl w:val="false"/>
        <w:spacing w:lineRule="auto" w:line="240" w:before="116" w:after="0"/>
        <w:ind w:left="0" w:right="0" w:hanging="0"/>
        <w:jc w:val="left"/>
        <w:rPr/>
      </w:pPr>
      <w:r>
        <w:rPr>
          <w:rFonts w:ascii="Calibri" w:hAnsi="Calibri"/>
          <w:sz w:val="21"/>
        </w:rPr>
        <w:t>Šajā ziņojumā ir iekļauti visu aptaujas grupu respondentiem uzdoto jautājumu rezultāti. Attiecībā uz dažiem jautājumiem respondentam tika dota iespēja sniegt “atvērtas” (t. i., iepriekš nenoteiktas) atbildes. Pēc tam atklātās atbildes tika iedalītas kategorijās un iekļautas publikācijā. Idejas, ar kurām respondenti dalījās bezmaksas komentāros, tiek izmantotas, lai ņemtu vērā dažādos tematiskos dialogus, kas organizēti kā turpinājums pilsoņu dialoga procesam “Eiropas redzējums”.</w:t>
      </w:r>
      <w:r>
        <w:rPr>
          <w:rFonts w:ascii="Times New Roman" w:hAnsi="Times New Roman"/>
          <w:sz w:val="24"/>
        </w:rPr>
        <w:t xml:space="preserve"> </w:t>
      </w:r>
    </w:p>
    <w:p>
      <w:pPr>
        <w:pStyle w:val="P68B1DB1Normal125"/>
        <w:widowControl w:val="false"/>
        <w:spacing w:lineRule="auto" w:line="240" w:before="233" w:after="0"/>
        <w:ind w:left="0" w:right="0" w:hanging="0"/>
        <w:jc w:val="left"/>
        <w:rPr>
          <w:rFonts w:ascii="Calibri" w:hAnsi="Calibri"/>
          <w:b/>
          <w:b/>
          <w:color w:val="0070C0"/>
          <w:sz w:val="32"/>
        </w:rPr>
      </w:pPr>
      <w:r>
        <w:rPr/>
        <w:t xml:space="preserve">2. Tiešsaistes tematiskie dialogi padziļināšanai </w:t>
      </w:r>
    </w:p>
    <w:p>
      <w:pPr>
        <w:pStyle w:val="P68B1DB1Normal104"/>
        <w:widowControl w:val="false"/>
        <w:spacing w:lineRule="auto" w:line="240"/>
        <w:ind w:left="0" w:right="0" w:hanging="0"/>
        <w:jc w:val="left"/>
        <w:rPr/>
      </w:pPr>
      <w:r>
        <w:rPr/>
        <w:t xml:space="preserve">Konferences par Eiropas nākotni galvenās tēmas ir padziļinātas astoņos tiešsaistes tematiskajos dialogos. Šo dialogu mērķis bija noskaidrot pausto viedokļu </w:t>
      </w:r>
      <w:r>
        <w:rPr>
          <w:i/>
        </w:rPr>
        <w:t>iemeslus</w:t>
      </w:r>
      <w:r>
        <w:rPr/>
        <w:t xml:space="preserve">, kā arī to motivāciju un jūtas. Kādas ir šķietamās bažas un iespējas? Diskusiju sesijas arī ļāva dalībniekiem formulēt ierosinājumus un idejas par šiem tematiem, kā arī izvirzīt jautājumus, kas nav daļa no konferences, bet joprojām viņiem ir svarīgi. </w:t>
      </w:r>
    </w:p>
    <w:p>
      <w:pPr>
        <w:pStyle w:val="P68B1DB1Normal104"/>
        <w:widowControl w:val="false"/>
        <w:spacing w:lineRule="auto" w:line="240" w:before="13" w:after="0"/>
        <w:ind w:left="0" w:right="0" w:hanging="0"/>
        <w:jc w:val="left"/>
        <w:rPr>
          <w:rFonts w:ascii="Calibri" w:hAnsi="Calibri"/>
          <w:color w:val="000000"/>
          <w:sz w:val="21"/>
        </w:rPr>
      </w:pPr>
      <w:r>
        <w:rPr/>
        <w:t xml:space="preserve"> </w:t>
      </w:r>
    </w:p>
    <w:p>
      <w:pPr>
        <w:pStyle w:val="P68B1DB1Normal104"/>
        <w:widowControl w:val="false"/>
        <w:spacing w:lineRule="auto" w:line="240" w:before="13" w:after="0"/>
        <w:ind w:left="0" w:right="0" w:hanging="0"/>
        <w:jc w:val="left"/>
        <w:rPr/>
      </w:pPr>
      <w:r>
        <w:rPr/>
        <w:t xml:space="preserve">Tematiskie dialogi notika 12.–14. oktobrī un 9.–11. novembrī. Oktobrī tika organizēti četri tiešsaistes tematiskie dialogi par tematiem “Ekonomika” un “Demokrātija”. </w:t>
      </w:r>
    </w:p>
    <w:p>
      <w:pPr>
        <w:pStyle w:val="Normal"/>
        <w:widowControl w:val="false"/>
        <w:spacing w:lineRule="auto" w:line="240" w:before="10" w:after="0"/>
        <w:ind w:left="0" w:right="0" w:hanging="0"/>
        <w:jc w:val="left"/>
        <w:rPr/>
      </w:pPr>
      <w:r>
        <w:rPr/>
        <w:t>Novembrī notika</w:t>
      </w:r>
      <w:r>
        <w:rPr>
          <w:rFonts w:ascii="Calibri" w:hAnsi="Calibri"/>
          <w:color w:val="000000"/>
          <w:sz w:val="21"/>
        </w:rPr>
        <w:t xml:space="preserve">četri tiešsaistes tematiskie dialogi par tematiem “Klimats” un “ES pasaulē”. Katrā diskusiju sesijā piedalījās vidēji 29 cilvēki (kopā 231 cilvēki). Dalībnieki tika pieņemti darbā no žūrijas locekļu vidus (sk. 1. punktu) un ar sociālo plašsaziņas līdzekļu starpniecību. </w:t>
      </w:r>
      <w:r>
        <w:br w:type="page"/>
      </w:r>
    </w:p>
    <w:p>
      <w:pPr>
        <w:pStyle w:val="P68B1DB1Normal125"/>
        <w:spacing w:lineRule="auto" w:line="240"/>
        <w:ind w:left="0" w:right="0" w:hanging="0"/>
        <w:rPr>
          <w:rFonts w:ascii="Calibri" w:hAnsi="Calibri"/>
          <w:b/>
          <w:b/>
          <w:color w:val="0070C0"/>
          <w:sz w:val="32"/>
        </w:rPr>
      </w:pPr>
      <w:r>
        <w:rPr/>
        <w:t xml:space="preserve">3. Dialogi ar konkrētām grupām </w:t>
      </w:r>
    </w:p>
    <w:p>
      <w:pPr>
        <w:pStyle w:val="P68B1DB1Normal104"/>
        <w:widowControl w:val="false"/>
        <w:spacing w:lineRule="auto" w:line="240" w:before="73" w:after="0"/>
        <w:ind w:left="0" w:right="0" w:hanging="0"/>
        <w:jc w:val="left"/>
        <w:rPr/>
      </w:pPr>
      <w:r>
        <w:rPr/>
        <w:t xml:space="preserve">Dažas Nīderlandes grupas ir mazāk pieradušas piedalīties apsekojumos un paneļdiskusijās (tiešsaistē). Lai iegūtu “Nīderlandes balss” reprezentatīvu tēlu, bija svarīgi, lai šie pilsoņi arī varētu paust savas idejas un viedokļus. Tāpēc mēs organizējām arī vairākus dialogus uz vietas apsekojumam “Eiropas redzējums”. Viedokļi un idejas, ko mēs varējām apkopot, tika izmantoti kā pamats (cita starpā), lai formulētu ieteikumus. </w:t>
      </w:r>
    </w:p>
    <w:p>
      <w:pPr>
        <w:pStyle w:val="P68B1DB1Normal126"/>
        <w:widowControl w:val="false"/>
        <w:spacing w:lineRule="auto" w:line="240" w:before="94" w:after="0"/>
        <w:ind w:left="0" w:right="0" w:hanging="0"/>
        <w:jc w:val="left"/>
        <w:rPr>
          <w:rFonts w:ascii="Calibri" w:hAnsi="Calibri"/>
          <w:color w:val="0070C0"/>
          <w:sz w:val="24"/>
        </w:rPr>
      </w:pPr>
      <w:r>
        <w:rPr/>
        <w:t xml:space="preserve">Mērķgrupas </w:t>
      </w:r>
    </w:p>
    <w:p>
      <w:pPr>
        <w:pStyle w:val="P68B1DB1Normal110"/>
        <w:widowControl w:val="false"/>
        <w:spacing w:lineRule="auto" w:line="240" w:before="88" w:after="0"/>
        <w:ind w:left="0" w:right="0" w:hanging="0"/>
        <w:jc w:val="left"/>
        <w:rPr/>
      </w:pPr>
      <w:r>
        <w:rPr>
          <w:sz w:val="21"/>
        </w:rPr>
        <w:t>Grūti sasniedzamas mērķgrupas nevar viennozīmīgi definēt. Pētījumi un pieredze ļauj mums zināt, ka nīderlandieši ar izcelsmi</w:t>
      </w:r>
      <w:r>
        <w:rPr>
          <w:b/>
          <w:sz w:val="21"/>
        </w:rPr>
        <w:t>, kas nav Rietumu izcelsmes</w:t>
      </w:r>
      <w:r>
        <w:rPr>
          <w:sz w:val="21"/>
        </w:rPr>
        <w:t>, ievērojami mazāk piedalās izmeklēšanā un diskusijās. Tā kā tā pārstāv lielu grupu (14 % no Nīderlandes</w:t>
      </w:r>
      <w:r>
        <w:rPr>
          <w:b/>
          <w:position w:val="6"/>
          <w:sz w:val="14"/>
        </w:rPr>
        <w:t>1</w:t>
      </w:r>
      <w:r>
        <w:rPr>
          <w:sz w:val="21"/>
        </w:rPr>
        <w:t xml:space="preserve">), tās tika izraudzītas dalībai Eiropas redzējuma dialogā. Tāds pats pamatojums tika ievērots attiecībā uz </w:t>
      </w:r>
      <w:r>
        <w:rPr>
          <w:b/>
          <w:sz w:val="21"/>
        </w:rPr>
        <w:t>personām ar zemu izglītības līmeni</w:t>
      </w:r>
      <w:r>
        <w:rPr>
          <w:sz w:val="21"/>
        </w:rPr>
        <w:t>. Tā ir arī liela grupa (2,5 miljoni holandiešu</w:t>
      </w:r>
      <w:r>
        <w:rPr>
          <w:position w:val="6"/>
          <w:sz w:val="14"/>
        </w:rPr>
        <w:t>2</w:t>
      </w:r>
      <w:r>
        <w:rPr>
          <w:sz w:val="21"/>
        </w:rPr>
        <w:t xml:space="preserve">), kas daļēji pārklājas ar migrantu grupu (39 %). Visbeidzot, ir noticis dialogs ar tādu cilvēku grupu, kuri reti sastopami aptaujās un diskusijās, </w:t>
      </w:r>
      <w:r>
        <w:rPr>
          <w:b/>
          <w:sz w:val="21"/>
        </w:rPr>
        <w:t>kuri kritizē Eiropu, bet kuriem Eiropai ir svarīga loma profesionālajā jomā.</w:t>
      </w:r>
      <w:r>
        <w:rPr>
          <w:sz w:val="21"/>
        </w:rPr>
        <w:t xml:space="preserve"> Tika atlasīti uzņēmēji no lauksaimniecības nozares.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Iepriekš minētās grupas ir vērsušās organizācijās, kurās tās ir locekles, piemēram, migrantu organizācijās, aizstāvības asociācijās un profesionālajās organizācijās. Tā kā mēs ierobežojām dialogu skaitu līdz astoņiem, mēs nevarējām būt pilnīgi “izsmeļoši”. Tas padara dalībnieku izvēli nedaudz patvaļīgu. Lai izdarītu šo izvēli, mēs arī ņēmām vērā entuziasmu piedalīties un palīdzēt mobilizēt savu bāzi, kā arī praktiskus jautājumus, piemēram, pieejamību saskaņā ar datumiem un atrašanās vietu.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Uz vietas notika dialogi ar šādu organizāciju locekļiem: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Hakder Foundation, Alevi kopiena, Schiedam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Asha fonds, hindu kopiena, Utrehta (divas diskusiju sesijas)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Piëzo, pilsoniskās sabiedrības organizācija, Zoetermeer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Taal doet Meer, organizācija mazizglītotiem cilvēkiem, Utrehta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BoerenNatuur, lauksaimniecības grupu apvienība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Marokkanen Dialoog Overvecht, Marokas kopiena, Utrehta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Sievietes brīvībai, migrantu izcelsmes sieviešu aizstāvības organizācija, Hāga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Kopumā šajās diskusiju sanāksmēs piedalījās 110 cilvēki.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25"/>
        <w:widowControl w:val="false"/>
        <w:spacing w:lineRule="auto" w:line="240" w:before="205" w:after="0"/>
        <w:ind w:left="0" w:right="0" w:hanging="0"/>
        <w:jc w:val="left"/>
        <w:rPr>
          <w:rFonts w:ascii="Calibri" w:hAnsi="Calibri"/>
          <w:b/>
          <w:b/>
          <w:color w:val="0070C0"/>
          <w:sz w:val="32"/>
        </w:rPr>
      </w:pPr>
      <w:r>
        <w:rPr/>
        <w:t xml:space="preserve">4. Dialogi ar jauniešiem </w:t>
      </w:r>
    </w:p>
    <w:p>
      <w:pPr>
        <w:pStyle w:val="P68B1DB1Normal104"/>
        <w:widowControl w:val="false"/>
        <w:spacing w:lineRule="auto" w:line="240" w:before="145" w:after="0"/>
        <w:ind w:left="0" w:right="0" w:hanging="0"/>
        <w:jc w:val="both"/>
        <w:rPr/>
      </w:pPr>
      <w:r>
        <w:rPr/>
        <w:t xml:space="preserve">Jaunieši ir konferences par Eiropas nākotni prioritārā mērķgrupa. Lai aktīvi veicinātu viņu dalību pilsoņu dialogā “Eiropas redzējums” un lai labi uzklausītu šīs grupas viedokļus un idejas, tika organizētas sešas fiziskas diskusiju sanāksmes tieši jauniešiem.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Sanāksmes notika šādās iestādēs: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Vēstures studentu asociācija, Leidenes Universitāte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Dr. Knippenberg koledža, vidusskola, Helmond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Coalitie-Y, Ekonomikas un sociālo lietu padomes Jaunatnes platforma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Graafschap koledža, profesionālā vidējā izglītība, Doetinchem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CSG Jan Arentsz, vidējā izglītība, koncentrējoties uz tehnoloģiskiem priekšmetiem, Alkmaar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Valsts jaunatnes padome (sanāksme notika ārpus vietas)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before="89" w:after="0"/>
        <w:ind w:left="0" w:right="0" w:hanging="0"/>
        <w:jc w:val="left"/>
        <w:rPr>
          <w:rFonts w:ascii="Calibri" w:hAnsi="Calibri"/>
          <w:color w:val="000000"/>
          <w:sz w:val="21"/>
        </w:rPr>
      </w:pPr>
      <w:r>
        <w:rPr>
          <w:rFonts w:ascii="Calibri" w:hAnsi="Calibri"/>
          <w:color w:val="000000"/>
          <w:sz w:val="21"/>
        </w:rPr>
        <w:t xml:space="preserve">Kopumā diskusiju sanāksmēs piedalījās 110 jaunieši. </w:t>
      </w:r>
      <w:r>
        <w:br w:type="page"/>
      </w:r>
    </w:p>
    <w:p>
      <w:pPr>
        <w:pStyle w:val="P68B1DB1Normal126"/>
        <w:spacing w:lineRule="auto" w:line="240"/>
        <w:ind w:left="0" w:right="0" w:hanging="0"/>
        <w:rPr>
          <w:rFonts w:ascii="Calibri" w:hAnsi="Calibri"/>
          <w:color w:val="0070C0"/>
          <w:sz w:val="24"/>
        </w:rPr>
      </w:pPr>
      <w:r>
        <w:rPr/>
        <w:t xml:space="preserve">Izmantotās tehniskās apkopes metodes </w:t>
      </w:r>
    </w:p>
    <w:p>
      <w:pPr>
        <w:pStyle w:val="P68B1DB1Normal104"/>
        <w:widowControl w:val="false"/>
        <w:spacing w:lineRule="auto" w:line="240" w:before="92" w:after="0"/>
        <w:ind w:left="0" w:right="0" w:hanging="0"/>
        <w:jc w:val="left"/>
        <w:rPr/>
      </w:pPr>
      <w:r>
        <w:rPr/>
        <w:t xml:space="preserve">Tiešsaistes tematiskie dialogi, dialogi ar konkrētām grupām un dialogi ar jauniešiem tika veikti, izmantojot tā saukto “sokrātisko” intervijas metodi. Šī metode ir izmantota daudzus gadus Dialoga dienā, kad cilvēki visā Nīderlandē mijiedarbojas ar jautājumiem, kas viņus skar. Sokrātiskās apkopes metodes kontekstā moderators ņem vērā šādus principus: </w:t>
      </w:r>
    </w:p>
    <w:p>
      <w:pPr>
        <w:pStyle w:val="P68B1DB1Normal105"/>
        <w:widowControl w:val="false"/>
        <w:spacing w:lineRule="auto" w:line="240"/>
        <w:ind w:left="0" w:right="0" w:hanging="0"/>
        <w:jc w:val="left"/>
        <w:rPr/>
      </w:pPr>
      <w:r>
        <w:rPr>
          <w:rFonts w:ascii="Verdana" w:hAnsi="Verdana"/>
        </w:rPr>
        <w:t>•</w:t>
      </w:r>
      <w:r>
        <w:rPr/>
        <w:t xml:space="preserve"> </w:t>
      </w:r>
      <w:r>
        <w:rPr/>
        <w:t xml:space="preserve">Ļaujiet otram pastāstīt savu stāstu </w:t>
      </w:r>
      <w:r>
        <w:rPr>
          <w:rFonts w:ascii="Calibri" w:hAnsi="Calibri"/>
        </w:rPr>
        <w:t xml:space="preserve"> </w:t>
      </w:r>
    </w:p>
    <w:p>
      <w:pPr>
        <w:pStyle w:val="P68B1DB1Normal105"/>
        <w:widowControl w:val="false"/>
        <w:spacing w:lineRule="auto" w:line="240"/>
        <w:ind w:left="0" w:right="0" w:hanging="0"/>
        <w:jc w:val="left"/>
        <w:rPr/>
      </w:pPr>
      <w:r>
        <w:rPr>
          <w:rFonts w:ascii="Verdana" w:hAnsi="Verdana"/>
        </w:rPr>
        <w:t>Nereaģējiet</w:t>
      </w:r>
      <w:r>
        <w:rPr/>
        <w:t xml:space="preserve"> </w:t>
      </w:r>
      <w:r>
        <w:rPr>
          <w:rFonts w:ascii="Calibri" w:hAnsi="Calibri"/>
        </w:rPr>
        <w:t xml:space="preserve">uz to uzreiz ar citu stāstu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Izturieties pret sevi ar cieņu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Runāt par savu viedokli (“Es atrodu”, nevis “viņi saka”)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Lūgt sīkākus paskaidrojumus, ja paustie viedokļi aprobežojas ar vispārinājumiem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Izvairieties no spriedumiem un analizējiet tos </w:t>
      </w:r>
    </w:p>
    <w:p>
      <w:pPr>
        <w:pStyle w:val="P68B1DB1Normal105"/>
        <w:widowControl w:val="false"/>
        <w:spacing w:lineRule="auto" w:line="240"/>
        <w:ind w:left="0" w:right="0" w:hanging="0"/>
        <w:jc w:val="left"/>
        <w:rPr/>
      </w:pPr>
      <w:r>
        <w:rPr>
          <w:rFonts w:ascii="Verdana" w:hAnsi="Verdana"/>
        </w:rPr>
        <w:t>•</w:t>
      </w:r>
      <w:r>
        <w:rPr/>
        <w:t xml:space="preserve"> </w:t>
      </w:r>
      <w:r>
        <w:rPr>
          <w:rFonts w:ascii="Calibri" w:hAnsi="Calibri"/>
        </w:rPr>
        <w:t xml:space="preserve">Piešķirt klusuma brīžus, ja cilvēkiem ir nepieciešams domāt uz brīdi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pPr>
      <w:r>
        <w:rPr/>
        <w:t xml:space="preserve">Dialogos izmanto šādu ritmu: atšķirības — konverģence — atšķirības. Princips ir tāds, ka vispirms ir jāatšķiras (tieši jāizsaka individuālās jūtas un viedokļi), pirms jūs varat vienoties (runāt iespējamos ceļus) un pēc tam atkal jāatšķiras (piemēram, savākt individuālus ieteikumus). Pieredze un teorija rāda, ka šis ritms nodrošina optimālu dialoga plūsmu.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P68B1DB1Normal104"/>
        <w:widowControl w:val="false"/>
        <w:spacing w:lineRule="auto" w:line="240"/>
        <w:ind w:left="0" w:right="0" w:hanging="0"/>
        <w:jc w:val="left"/>
        <w:rPr>
          <w:rFonts w:ascii="Calibri" w:hAnsi="Calibri"/>
          <w:color w:val="000000"/>
          <w:sz w:val="21"/>
        </w:rPr>
      </w:pPr>
      <w:r>
        <w:rPr/>
        <w:t xml:space="preserve">Visus dialogus vadīja profesionāli koordinatori. </w:t>
      </w:r>
    </w:p>
    <w:p>
      <w:pPr>
        <w:pStyle w:val="Normal"/>
        <w:widowControl w:val="false"/>
        <w:spacing w:lineRule="auto" w:line="240" w:before="197" w:after="0"/>
        <w:ind w:left="0" w:right="0" w:hanging="0"/>
        <w:jc w:val="left"/>
        <w:rPr/>
      </w:pPr>
      <w:r>
        <w:rPr>
          <w:rFonts w:ascii="Calibri" w:hAnsi="Calibri"/>
          <w:b/>
          <w:color w:val="0070C0"/>
          <w:sz w:val="32"/>
        </w:rPr>
        <w:t>5. Tiešsaistes sabiedriskā aptauja: Anketa un “Swipen naar de toekomst”</w:t>
      </w:r>
      <w:commentRangeStart w:id="31"/>
      <w:r>
        <w:rPr>
          <w:rFonts w:ascii="Calibri" w:hAnsi="Calibri"/>
          <w:b/>
          <w:color w:val="0070C0"/>
          <w:sz w:val="32"/>
        </w:rPr>
        <w:t>(</w:t>
      </w:r>
      <w:r>
        <w:rPr>
          <w:rFonts w:ascii="Calibri" w:hAnsi="Calibri"/>
          <w:b/>
          <w:color w:val="0070C0"/>
          <w:sz w:val="32"/>
        </w:rPr>
      </w:r>
      <w:commentRangeEnd w:id="31"/>
      <w:r>
        <w:commentReference w:id="31"/>
      </w:r>
      <w:r>
        <w:rPr>
          <w:rFonts w:ascii="Calibri" w:hAnsi="Calibri"/>
          <w:b/>
          <w:color w:val="0070C0"/>
          <w:sz w:val="32"/>
        </w:rPr>
        <w:t xml:space="preserve"> pārslēgties uz nākotni) </w:t>
      </w:r>
    </w:p>
    <w:p>
      <w:pPr>
        <w:pStyle w:val="P68B1DB1Normal110"/>
        <w:widowControl w:val="false"/>
        <w:spacing w:lineRule="auto" w:line="240"/>
        <w:ind w:left="0" w:right="0" w:hanging="0"/>
        <w:jc w:val="left"/>
        <w:rPr/>
      </w:pPr>
      <w:r>
        <w:rPr>
          <w:sz w:val="21"/>
        </w:rPr>
        <w:t>Paneļdiskusijas aptaujas anketa bija pieejama arī visiem nīderlandiešiem, tostarp tiem, kas dzīvo ārvalstīs. Minētā anketa bija pieejama no 2021.</w:t>
      </w:r>
      <w:r>
        <w:rPr>
          <w:position w:val="6"/>
          <w:sz w:val="14"/>
        </w:rPr>
        <w:t>gada</w:t>
      </w:r>
      <w:r>
        <w:rPr>
          <w:sz w:val="21"/>
        </w:rPr>
        <w:t xml:space="preserve"> 1. septembra līdz 2021. gada 14. novembrim. Turklāt tajā pašā laikposmā katrs holandietis varēja piedalīties darbībā “Swipen naar de toekomst” (Swiper to the future), kas ir tiešsaistes rīks, kurā tika iesniegtas 20 prasības. </w:t>
      </w:r>
    </w:p>
    <w:p>
      <w:pPr>
        <w:pStyle w:val="P68B1DB1Normal126"/>
        <w:widowControl w:val="false"/>
        <w:spacing w:lineRule="auto" w:line="240" w:before="14" w:after="0"/>
        <w:ind w:left="0" w:right="0" w:hanging="0"/>
        <w:jc w:val="left"/>
        <w:rPr>
          <w:rFonts w:ascii="Calibri" w:hAnsi="Calibri"/>
          <w:color w:val="0070C0"/>
          <w:sz w:val="24"/>
        </w:rPr>
      </w:pPr>
      <w:r>
        <w:rPr/>
        <w:t xml:space="preserve">Atbildes un lietošana </w:t>
      </w:r>
    </w:p>
    <w:p>
      <w:pPr>
        <w:pStyle w:val="P68B1DB1Normal104"/>
        <w:widowControl w:val="false"/>
        <w:spacing w:lineRule="auto" w:line="240"/>
        <w:ind w:left="0" w:right="0" w:hanging="0"/>
        <w:jc w:val="left"/>
        <w:rPr/>
      </w:pPr>
      <w:r>
        <w:rPr/>
        <w:t xml:space="preserve">Anketu aizpildīja pavisam 1967 dalībnieki, bet ekrāna skenēšanas rīka beigās — 6968 dalībnieki. Gan anketa, gan ekrāna skenēšanas rīks bija pieejami visiem: dalībai nebija nekādu priekšnoteikumu vai atlases kritēriju. Anketā bija iespējams uzdot jautājumus (nebija obligāti jautājumi), lai maksimāli palielinātu atbilžu skaitu. Dalībnieki izvēlējās “Es negribu atbildēt” daudz biežāk nekā reprezentatīvajā paneļdiskusijā. </w:t>
      </w:r>
    </w:p>
    <w:p>
      <w:pPr>
        <w:pStyle w:val="P68B1DB1Normal104"/>
        <w:widowControl w:val="false"/>
        <w:spacing w:lineRule="auto" w:line="240"/>
        <w:ind w:left="0" w:right="0" w:hanging="0"/>
        <w:jc w:val="left"/>
        <w:rPr/>
      </w:pPr>
      <w:r>
        <w:rPr/>
        <w:t xml:space="preserve">Atklātās anketas un ekrāna skenēšanas rīka dalībnieku vispārīgās iezīmes vairākos aspektos atšķiras no reprezentatīvajā paneļdiskusijā iesaistīto dalībnieku īpašībām. Atšķirībā no paneļa aptaujas atvērtās anketas un ekrāna skenēšanas rīka rezultāti nav reprezentatīvi. Tiešsaistes atklātās aptaujas rezultāti tika izmantoti, lai papildinātu paneļdiskusiju. Viņi sniedz pārskatu par jūtām un idejām, kas cirkulē Nīderlandē. Ieteikumi uzlabojumiem, kas minēti ievades laukos, tika izmantoti sadaļā “Diskusijas un idejas tiešsaistē un uz vietas”. Ekrāna skenēšanas rīks ir izmantots, lai labāk izprastu dažas sajūtas, kas cirkulē Nīderlandē. Šie rezultāti tika ņemti vērā, sagatavojot ieteikumus. Reprezentativitātes prasības dēļ tiešsaistē uzsāktās izmeklēšanas rezultāti šajā ziņojumā ir ņemti vērā tikai nedaudz. </w:t>
      </w:r>
    </w:p>
    <w:p>
      <w:pPr>
        <w:pStyle w:val="P68B1DB1Normal104"/>
        <w:widowControl w:val="false"/>
        <w:spacing w:lineRule="auto" w:line="240"/>
        <w:ind w:left="0" w:right="0" w:hanging="0"/>
        <w:jc w:val="left"/>
        <w:rPr>
          <w:rFonts w:ascii="Calibri" w:hAnsi="Calibri"/>
          <w:color w:val="000000"/>
          <w:sz w:val="21"/>
        </w:rPr>
      </w:pPr>
      <w:r>
        <w:rPr/>
        <w:t xml:space="preserve"> </w:t>
      </w:r>
    </w:p>
    <w:p>
      <w:pPr>
        <w:pStyle w:val="Normal"/>
        <w:widowControl w:val="false"/>
        <w:spacing w:lineRule="auto" w:line="240"/>
        <w:ind w:left="0" w:right="0" w:hanging="0"/>
        <w:jc w:val="left"/>
        <w:rPr/>
      </w:pPr>
      <w:r>
        <w:rPr>
          <w:rFonts w:ascii="Calibri" w:hAnsi="Calibri"/>
          <w:color w:val="000000"/>
          <w:sz w:val="21"/>
        </w:rPr>
        <w:t xml:space="preserve">Šo ziņojumu publicē Ārlietu ministrija. </w:t>
      </w:r>
      <w:r>
        <w:rPr>
          <w:rFonts w:ascii="Calibri" w:hAnsi="Calibri"/>
          <w:color w:val="0000FF"/>
          <w:sz w:val="21"/>
        </w:rPr>
        <w:t>www.kijkopeuropa.nl</w:t>
      </w:r>
      <w:r>
        <w:rPr>
          <w:rFonts w:ascii="Calibri" w:hAnsi="Calibri"/>
          <w:color w:val="000000"/>
          <w:sz w:val="21"/>
        </w:rPr>
        <w:t xml:space="preserve"> </w:t>
      </w:r>
      <w:r>
        <w:br w:type="page"/>
      </w:r>
    </w:p>
    <w:p>
      <w:pPr>
        <w:pStyle w:val="Titre1"/>
        <w:numPr>
          <w:ilvl w:val="0"/>
          <w:numId w:val="2"/>
        </w:numPr>
        <w:rPr/>
      </w:pPr>
      <w:bookmarkStart w:id="238" w:name="__RefHeading___Toc297359_1346298689"/>
      <w:bookmarkEnd w:id="238"/>
      <w:r>
        <w:rPr/>
        <w:t xml:space="preserve">III — Atsauces uz valsts mēroga pasākumu rezultātiem </w:t>
      </w:r>
    </w:p>
    <w:p>
      <w:pPr>
        <w:pStyle w:val="Normal"/>
        <w:widowControl w:val="false"/>
        <w:spacing w:lineRule="auto" w:line="240"/>
        <w:ind w:left="360" w:right="6617" w:hanging="0"/>
        <w:jc w:val="both"/>
        <w:rPr/>
      </w:pPr>
      <w:r>
        <w:rPr>
          <w:rFonts w:ascii="Times New Roman" w:hAnsi="Times New Roman"/>
          <w:color w:val="000000"/>
        </w:rPr>
        <w:t xml:space="preserve">• </w:t>
      </w:r>
      <w:hyperlink r:id="rId120">
        <w:r>
          <w:rPr>
            <w:rStyle w:val="LienInternet"/>
            <w:rFonts w:ascii="Times New Roman" w:hAnsi="Times New Roman"/>
            <w:b/>
            <w:color w:val="0000FF"/>
          </w:rPr>
          <w:t>Beļģija</w:t>
        </w:r>
      </w:hyperlink>
      <w:r>
        <w:rPr>
          <w:rFonts w:ascii="Times New Roman" w:hAnsi="Times New Roman"/>
          <w:color w:val="000000"/>
        </w:rPr>
        <w:t xml:space="preserve"> </w:t>
      </w:r>
    </w:p>
    <w:p>
      <w:pPr>
        <w:pStyle w:val="Normal"/>
        <w:widowControl w:val="false"/>
        <w:spacing w:lineRule="auto" w:line="240"/>
        <w:ind w:left="360" w:right="6617" w:hanging="0"/>
        <w:jc w:val="both"/>
        <w:rPr/>
      </w:pPr>
      <w:r>
        <w:rPr>
          <w:rFonts w:ascii="Times New Roman" w:hAnsi="Times New Roman"/>
          <w:color w:val="000000"/>
        </w:rPr>
        <w:t xml:space="preserve">• </w:t>
      </w:r>
      <w:hyperlink r:id="rId121">
        <w:r>
          <w:rPr>
            <w:rStyle w:val="LienInternet"/>
            <w:rFonts w:ascii="Times New Roman" w:hAnsi="Times New Roman"/>
            <w:b/>
            <w:color w:val="0000FF"/>
          </w:rPr>
          <w:t>Bulgārija</w:t>
        </w:r>
      </w:hyperlink>
    </w:p>
    <w:p>
      <w:pPr>
        <w:pStyle w:val="Normal"/>
        <w:widowControl w:val="false"/>
        <w:spacing w:lineRule="auto" w:line="240"/>
        <w:ind w:left="360" w:right="6617" w:hanging="0"/>
        <w:jc w:val="both"/>
        <w:rPr/>
      </w:pPr>
      <w:r>
        <w:rPr>
          <w:rFonts w:ascii="Times New Roman" w:hAnsi="Times New Roman"/>
          <w:color w:val="000000"/>
        </w:rPr>
        <w:t xml:space="preserve">• </w:t>
      </w:r>
      <w:hyperlink r:id="rId122">
        <w:r>
          <w:rPr>
            <w:rStyle w:val="LienInternet"/>
            <w:rFonts w:ascii="Times New Roman" w:hAnsi="Times New Roman"/>
            <w:b/>
            <w:color w:val="0000FF"/>
          </w:rPr>
          <w:t>Čehija</w:t>
        </w:r>
      </w:hyperlink>
      <w:hyperlink r:id="rId123">
        <w:r>
          <w:rPr>
            <w:rFonts w:ascii="Times New Roman" w:hAnsi="Times New Roman"/>
            <w:color w:val="000000"/>
          </w:rPr>
          <w:t xml:space="preserve"> </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4">
        <w:r>
          <w:rPr>
            <w:rStyle w:val="LienInternet"/>
            <w:rFonts w:ascii="Times New Roman" w:hAnsi="Times New Roman"/>
            <w:b/>
            <w:color w:val="0000FF"/>
          </w:rPr>
          <w:t>Dānija</w:t>
        </w:r>
      </w:hyperlink>
    </w:p>
    <w:p>
      <w:pPr>
        <w:pStyle w:val="Normal"/>
        <w:widowControl w:val="false"/>
        <w:spacing w:lineRule="auto" w:line="240"/>
        <w:ind w:left="360" w:right="7697" w:hanging="0"/>
        <w:jc w:val="both"/>
        <w:rPr/>
      </w:pPr>
      <w:hyperlink r:id="rId125">
        <w:r>
          <w:rPr>
            <w:rStyle w:val="LienInternet"/>
            <w:rFonts w:ascii="Times New Roman" w:hAnsi="Times New Roman"/>
            <w:b/>
            <w:color w:val="0000FF"/>
          </w:rPr>
          <w:t>•</w:t>
        </w:r>
      </w:hyperlink>
      <w:hyperlink r:id="rId126">
        <w:r>
          <w:rPr>
            <w:rStyle w:val="LienInternet"/>
            <w:rFonts w:ascii="Times New Roman" w:hAnsi="Times New Roman"/>
            <w:b/>
            <w:color w:val="0000FF"/>
          </w:rPr>
          <w:t>Llemagne</w:t>
        </w:r>
      </w:hyperlink>
    </w:p>
    <w:p>
      <w:pPr>
        <w:pStyle w:val="Normal"/>
        <w:widowControl w:val="false"/>
        <w:spacing w:lineRule="auto" w:line="240"/>
        <w:ind w:left="360" w:right="7697" w:hanging="0"/>
        <w:jc w:val="both"/>
        <w:rPr/>
      </w:pPr>
      <w:r>
        <w:rPr>
          <w:rFonts w:ascii="Times New Roman" w:hAnsi="Times New Roman"/>
          <w:color w:val="000000"/>
        </w:rPr>
        <w:t xml:space="preserve">• </w:t>
      </w:r>
      <w:hyperlink r:id="rId127">
        <w:r>
          <w:rPr>
            <w:rStyle w:val="LienInternet"/>
            <w:rFonts w:ascii="Times New Roman" w:hAnsi="Times New Roman"/>
            <w:b/>
            <w:color w:val="0000FF"/>
          </w:rPr>
          <w:t>Igaunija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8">
        <w:r>
          <w:rPr>
            <w:rStyle w:val="LienInternet"/>
            <w:rFonts w:ascii="Times New Roman" w:hAnsi="Times New Roman"/>
            <w:b/>
            <w:color w:val="0000FF"/>
          </w:rPr>
          <w:t>Īrija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29">
        <w:r>
          <w:rPr>
            <w:rStyle w:val="LienInternet"/>
            <w:rFonts w:ascii="Times New Roman" w:hAnsi="Times New Roman"/>
            <w:b/>
            <w:color w:val="0000FF"/>
          </w:rPr>
          <w:t>Grieķija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0">
        <w:r>
          <w:rPr>
            <w:rStyle w:val="LienInternet"/>
            <w:rFonts w:ascii="Times New Roman" w:hAnsi="Times New Roman"/>
            <w:b/>
            <w:color w:val="0000FF"/>
          </w:rPr>
          <w:t>Spānija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1">
        <w:r>
          <w:rPr>
            <w:rStyle w:val="LienInternet"/>
            <w:rFonts w:ascii="Times New Roman" w:hAnsi="Times New Roman"/>
            <w:b/>
            <w:color w:val="0000FF"/>
          </w:rPr>
          <w:t>Francija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2">
        <w:r>
          <w:rPr>
            <w:rStyle w:val="LienInternet"/>
            <w:rFonts w:ascii="Times New Roman" w:hAnsi="Times New Roman"/>
            <w:b/>
            <w:color w:val="0000FF"/>
          </w:rPr>
          <w:t>Horvātija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3">
        <w:r>
          <w:rPr>
            <w:rStyle w:val="LienInternet"/>
            <w:rFonts w:ascii="Times New Roman" w:hAnsi="Times New Roman"/>
            <w:b/>
            <w:color w:val="0000FF"/>
          </w:rPr>
          <w:t>Itālija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4">
        <w:r>
          <w:rPr>
            <w:rStyle w:val="LienInternet"/>
            <w:rFonts w:ascii="Times New Roman" w:hAnsi="Times New Roman"/>
            <w:b/>
            <w:color w:val="0000FF"/>
          </w:rPr>
          <w:t>Kipra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5">
        <w:r>
          <w:rPr>
            <w:rStyle w:val="LienInternet"/>
            <w:rFonts w:ascii="Times New Roman" w:hAnsi="Times New Roman"/>
            <w:b/>
            <w:color w:val="0000FF"/>
          </w:rPr>
          <w:t>Latvija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6">
        <w:r>
          <w:rPr>
            <w:rStyle w:val="LienInternet"/>
            <w:rFonts w:ascii="Times New Roman" w:hAnsi="Times New Roman"/>
            <w:b/>
            <w:color w:val="0000FF"/>
          </w:rPr>
          <w:t>Lietuva</w:t>
        </w:r>
      </w:hyperlink>
      <w:r>
        <w:rPr>
          <w:rFonts w:ascii="Times New Roman" w:hAnsi="Times New Roman"/>
          <w:color w:val="000000"/>
        </w:rPr>
        <w:t xml:space="preserve"> </w:t>
      </w:r>
    </w:p>
    <w:p>
      <w:pPr>
        <w:pStyle w:val="Normal"/>
        <w:widowControl w:val="false"/>
        <w:spacing w:lineRule="auto" w:line="240"/>
        <w:ind w:left="360" w:right="7457" w:hanging="0"/>
        <w:jc w:val="left"/>
        <w:rPr/>
      </w:pPr>
      <w:r>
        <w:rPr>
          <w:rFonts w:ascii="Times New Roman" w:hAnsi="Times New Roman"/>
          <w:color w:val="000000"/>
        </w:rPr>
        <w:t xml:space="preserve">• </w:t>
      </w:r>
      <w:hyperlink r:id="rId137">
        <w:r>
          <w:rPr>
            <w:rStyle w:val="LienInternet"/>
            <w:rFonts w:ascii="Times New Roman" w:hAnsi="Times New Roman"/>
            <w:b/>
            <w:color w:val="0000FF"/>
          </w:rPr>
          <w:t>Luksemburga</w:t>
        </w:r>
      </w:hyperlink>
    </w:p>
    <w:p>
      <w:pPr>
        <w:pStyle w:val="Normal"/>
        <w:widowControl w:val="false"/>
        <w:spacing w:lineRule="auto" w:line="240"/>
        <w:ind w:left="360" w:right="7457" w:hanging="0"/>
        <w:jc w:val="left"/>
        <w:rPr/>
      </w:pPr>
      <w:r>
        <w:rPr>
          <w:rFonts w:ascii="Times New Roman" w:hAnsi="Times New Roman"/>
          <w:color w:val="000000"/>
        </w:rPr>
        <w:t xml:space="preserve">• </w:t>
      </w:r>
      <w:hyperlink r:id="rId138">
        <w:r>
          <w:rPr>
            <w:rStyle w:val="LienInternet"/>
            <w:rFonts w:ascii="Times New Roman" w:hAnsi="Times New Roman"/>
            <w:b/>
            <w:color w:val="0000FF"/>
          </w:rPr>
          <w:t>Ungārija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39">
        <w:r>
          <w:rPr>
            <w:rStyle w:val="LienInternet"/>
            <w:rFonts w:ascii="Times New Roman" w:hAnsi="Times New Roman"/>
            <w:b/>
            <w:color w:val="0000FF"/>
          </w:rPr>
          <w:t>Malta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0">
        <w:r>
          <w:rPr>
            <w:rStyle w:val="LienInternet"/>
            <w:rFonts w:ascii="Times New Roman" w:hAnsi="Times New Roman"/>
            <w:b/>
            <w:color w:val="0000FF"/>
          </w:rPr>
          <w:t>Nīderlande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1">
        <w:r>
          <w:rPr>
            <w:rStyle w:val="LienInternet"/>
            <w:rFonts w:ascii="Times New Roman" w:hAnsi="Times New Roman"/>
            <w:b/>
            <w:color w:val="0000FF"/>
          </w:rPr>
          <w:t>Austrija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2">
        <w:r>
          <w:rPr>
            <w:rStyle w:val="LienInternet"/>
            <w:rFonts w:ascii="Times New Roman" w:hAnsi="Times New Roman"/>
            <w:b/>
            <w:color w:val="0000FF"/>
          </w:rPr>
          <w:t>Polija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3">
        <w:r>
          <w:rPr>
            <w:rStyle w:val="LienInternet"/>
            <w:rFonts w:ascii="Times New Roman" w:hAnsi="Times New Roman"/>
            <w:b/>
            <w:color w:val="0000FF"/>
          </w:rPr>
          <w:t>Portugāle</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4">
        <w:r>
          <w:rPr>
            <w:rStyle w:val="LienInternet"/>
            <w:rFonts w:ascii="Times New Roman" w:hAnsi="Times New Roman"/>
            <w:b/>
            <w:color w:val="0000FF"/>
          </w:rPr>
          <w:t>Rumānija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5">
        <w:r>
          <w:rPr>
            <w:rStyle w:val="LienInternet"/>
            <w:rFonts w:ascii="Times New Roman" w:hAnsi="Times New Roman"/>
            <w:b/>
            <w:color w:val="0000FF"/>
          </w:rPr>
          <w:t>Slovēnija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6">
        <w:r>
          <w:rPr>
            <w:rStyle w:val="LienInternet"/>
            <w:rFonts w:ascii="Times New Roman" w:hAnsi="Times New Roman"/>
            <w:b/>
            <w:color w:val="0000FF"/>
          </w:rPr>
          <w:t>Slovākija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7">
        <w:r>
          <w:rPr>
            <w:rStyle w:val="LienInternet"/>
            <w:rFonts w:ascii="Times New Roman" w:hAnsi="Times New Roman"/>
            <w:b/>
            <w:color w:val="0000FF"/>
          </w:rPr>
          <w:t>Somija</w:t>
        </w:r>
      </w:hyperlink>
      <w:r>
        <w:rPr>
          <w:rFonts w:ascii="Times New Roman" w:hAnsi="Times New Roman"/>
          <w:color w:val="000000"/>
        </w:rPr>
        <w:t xml:space="preserve"> </w:t>
      </w:r>
    </w:p>
    <w:p>
      <w:pPr>
        <w:pStyle w:val="Normal"/>
        <w:widowControl w:val="false"/>
        <w:spacing w:lineRule="auto" w:line="240"/>
        <w:ind w:left="360" w:right="0" w:hanging="0"/>
        <w:jc w:val="left"/>
        <w:rPr/>
      </w:pPr>
      <w:r>
        <w:rPr>
          <w:rFonts w:ascii="Times New Roman" w:hAnsi="Times New Roman"/>
          <w:color w:val="000000"/>
        </w:rPr>
        <w:t xml:space="preserve">• </w:t>
      </w:r>
      <w:hyperlink r:id="rId148">
        <w:r>
          <w:rPr>
            <w:rStyle w:val="LienInternet"/>
            <w:rFonts w:ascii="Times New Roman" w:hAnsi="Times New Roman"/>
            <w:b/>
            <w:color w:val="0000FF"/>
          </w:rPr>
          <w:t>Zviedrija</w:t>
        </w:r>
      </w:hyperlink>
      <w:r>
        <w:rPr>
          <w:rFonts w:ascii="Times New Roman" w:hAnsi="Times New Roman"/>
          <w:color w:val="000000"/>
        </w:rPr>
        <w:t xml:space="preserve"> </w:t>
      </w:r>
    </w:p>
    <w:p>
      <w:pPr>
        <w:pStyle w:val="Normal"/>
        <w:spacing w:lineRule="auto" w:line="240"/>
        <w:ind w:left="0" w:right="0" w:hanging="0"/>
        <w:rPr>
          <w:rFonts w:ascii="Times New Roman" w:hAnsi="Times New Roman"/>
          <w:sz w:val="22"/>
        </w:rPr>
      </w:pPr>
      <w:r>
        <w:rPr>
          <w:rFonts w:ascii="Times New Roman" w:hAnsi="Times New Roman"/>
          <w:sz w:val="22"/>
        </w:rPr>
      </w:r>
      <w:r>
        <w:br w:type="page"/>
      </w:r>
    </w:p>
    <w:p>
      <w:pPr>
        <w:pStyle w:val="Titre1"/>
        <w:numPr>
          <w:ilvl w:val="0"/>
          <w:numId w:val="2"/>
        </w:numPr>
        <w:rPr/>
      </w:pPr>
      <w:bookmarkStart w:id="239" w:name="__RefHeading___Toc344888_2081073262"/>
      <w:bookmarkEnd w:id="239"/>
      <w:r>
        <w:rPr/>
        <w:t xml:space="preserve">IV — Atsauce uz daudzvalodu digitālās platformas ziņojumu </w:t>
      </w:r>
    </w:p>
    <w:p>
      <w:pPr>
        <w:pStyle w:val="P68B1DB1Normal34"/>
        <w:widowControl w:val="false"/>
        <w:spacing w:lineRule="exact" w:line="393"/>
        <w:ind w:left="0" w:right="0" w:hanging="0"/>
        <w:jc w:val="left"/>
        <w:rPr>
          <w:rFonts w:ascii="Arial" w:hAnsi="Arial"/>
          <w:color w:val="000000"/>
          <w:sz w:val="24"/>
        </w:rPr>
      </w:pPr>
      <w:r>
        <w:rPr/>
        <w:t xml:space="preserve"> </w:t>
      </w:r>
    </w:p>
    <w:p>
      <w:pPr>
        <w:pStyle w:val="Normal"/>
        <w:widowControl w:val="false"/>
        <w:spacing w:lineRule="exact" w:line="331" w:before="4" w:after="0"/>
        <w:ind w:left="0" w:right="360" w:hanging="0"/>
        <w:jc w:val="left"/>
        <w:rPr/>
      </w:pPr>
      <w:hyperlink r:id="rId149">
        <w:r>
          <w:rPr>
            <w:rStyle w:val="LienInternet"/>
            <w:color w:val="0000FF"/>
            <w:sz w:val="24"/>
          </w:rPr>
          <w:t>PL</w:t>
        </w:r>
      </w:hyperlink>
      <w:hyperlink r:id="rId150">
        <w:r>
          <w:rPr>
            <w:rStyle w:val="LienInternet"/>
            <w:color w:val="0000FF"/>
            <w:sz w:val="24"/>
          </w:rPr>
          <w:t xml:space="preserve">konferences par Eiropas nākotnidaudzvalodunumeforma — 2022.gada februāra ziņojums </w:t>
        </w:r>
      </w:hyperlink>
    </w:p>
    <w:p>
      <w:pPr>
        <w:pStyle w:val="P68B1DB1Normal131"/>
        <w:widowControl w:val="false"/>
        <w:spacing w:lineRule="exact" w:line="393" w:before="4" w:after="0"/>
        <w:ind w:left="0" w:right="0" w:hanging="0"/>
        <w:jc w:val="left"/>
        <w:rPr>
          <w:rFonts w:ascii="Arial" w:hAnsi="Arial"/>
          <w:color w:val="0000FF"/>
          <w:sz w:val="24"/>
        </w:rPr>
      </w:pPr>
      <w:r>
        <w:rPr/>
        <w:t xml:space="preserve"> </w:t>
      </w:r>
    </w:p>
    <w:p>
      <w:pPr>
        <w:pStyle w:val="Normal"/>
        <w:spacing w:lineRule="auto" w:line="240"/>
        <w:ind w:left="0" w:right="0" w:hanging="0"/>
        <w:rPr/>
      </w:pPr>
      <w:r>
        <w:rPr/>
      </w:r>
      <w:r>
        <w:br w:type="page"/>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ind w:left="0" w:right="0" w:hanging="0"/>
        <w:rPr/>
      </w:pPr>
      <w:r>
        <w:rPr/>
      </w:r>
    </w:p>
    <w:p>
      <w:pPr>
        <w:pStyle w:val="Normal"/>
        <w:spacing w:lineRule="auto" w:line="240" w:before="7665" w:after="57"/>
        <w:ind w:left="0" w:right="0" w:hanging="0"/>
        <w:rPr/>
      </w:pPr>
      <w:r>
        <w:rPr/>
        <w:drawing>
          <wp:anchor behindDoc="0" distT="0" distB="0" distL="0" distR="0" simplePos="0" locked="0" layoutInCell="1" allowOverlap="1" relativeHeight="43">
            <wp:simplePos x="0" y="0"/>
            <wp:positionH relativeFrom="column">
              <wp:align>center</wp:align>
            </wp:positionH>
            <wp:positionV relativeFrom="paragraph">
              <wp:posOffset>635</wp:posOffset>
            </wp:positionV>
            <wp:extent cx="6120130" cy="4867275"/>
            <wp:effectExtent l="0" t="0" r="0" b="0"/>
            <wp:wrapTopAndBottom/>
            <wp:docPr id="111" name="Fotoattēls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Fotoattēls48" descr=""/>
                    <pic:cNvPicPr>
                      <a:picLocks noChangeAspect="1" noChangeArrowheads="1"/>
                    </pic:cNvPicPr>
                  </pic:nvPicPr>
                  <pic:blipFill>
                    <a:blip r:embed="rId151"/>
                    <a:stretch>
                      <a:fillRect/>
                    </a:stretch>
                  </pic:blipFill>
                  <pic:spPr bwMode="auto">
                    <a:xfrm>
                      <a:off x="0" y="0"/>
                      <a:ext cx="6120130" cy="4867275"/>
                    </a:xfrm>
                    <a:prstGeom prst="rect">
                      <a:avLst/>
                    </a:prstGeom>
                  </pic:spPr>
                </pic:pic>
              </a:graphicData>
            </a:graphic>
          </wp:anchor>
        </w:drawing>
      </w:r>
    </w:p>
    <w:p>
      <w:pPr>
        <w:pStyle w:val="P68B1DB1Normal132"/>
        <w:spacing w:lineRule="auto" w:line="240"/>
        <w:ind w:left="0" w:right="0" w:hanging="0"/>
        <w:rPr/>
      </w:pPr>
      <w:r>
        <w:rPr/>
        <w:t>PDF ISBN 978–92–824–8655–9 doi:10.2860/25889 QC-05–22–131-EN-N Print ISBN 978–92–824–8729–7 doi:10.2860/533066 QC-05–22–131-EN-C</w:t>
      </w:r>
    </w:p>
    <w:p>
      <w:pPr>
        <w:pStyle w:val="P68B1DB1Normal132"/>
        <w:widowControl w:val="false"/>
        <w:spacing w:lineRule="exact" w:line="330" w:before="117" w:after="0"/>
        <w:ind w:left="1668" w:right="0" w:firstLine="2132"/>
        <w:jc w:val="right"/>
        <w:rPr/>
      </w:pPr>
      <w:r>
        <w:rPr/>
        <w:t>© Eiropas Savienība, 2022 Atkārtota izmantošana atļauta, ja tiek norādīts avots.</w:t>
      </w:r>
    </w:p>
    <w:p>
      <w:pPr>
        <w:pStyle w:val="Normal"/>
        <w:spacing w:before="57" w:after="57"/>
        <w:ind w:left="0" w:right="0" w:hanging="0"/>
        <w:rPr/>
      </w:pPr>
      <w:r>
        <w:rPr/>
      </w:r>
    </w:p>
    <w:p>
      <w:pPr>
        <w:sectPr>
          <w:footnotePr>
            <w:numFmt w:val="upperRoman"/>
          </w:footnotePr>
          <w:endnotePr>
            <w:numFmt w:val="decimal"/>
          </w:endnotePr>
          <w:type w:val="continuous"/>
          <w:pgSz w:w="11906" w:h="16838"/>
          <w:pgMar w:left="1134" w:right="1134" w:header="1134" w:top="1700" w:footer="1134" w:bottom="1727" w:gutter="0"/>
          <w:formProt w:val="false"/>
          <w:textDirection w:val="lrTb"/>
          <w:docGrid w:type="default" w:linePitch="312" w:charSpace="0"/>
        </w:sectPr>
      </w:pPr>
    </w:p>
    <w:sectPr>
      <w:footnotePr>
        <w:numFmt w:val="upperRoman"/>
      </w:footnotePr>
      <w:endnotePr>
        <w:numFmt w:val="decimal"/>
      </w:endnotePr>
      <w:type w:val="continuous"/>
      <w:pgSz w:w="11906" w:h="16838"/>
      <w:pgMar w:left="1134" w:right="1134" w:header="1134" w:top="1700" w:footer="1134" w:bottom="1727" w:gutter="0"/>
      <w:pgNumType w:fmt="decimal"/>
      <w:formProt w:val="false"/>
      <w:textDirection w:val="lrTb"/>
      <w:docGrid w:type="default" w:linePitch="312" w:charSpace="0"/>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comment w:id="0" w:author="Pierre Dieumegard" w:date="2022-08-28T22:28:53Z" w:initials="PD">
    <w:p>
      <w:r>
        <w:rPr>
          <w:rFonts w:ascii="Times New Roman" w:hAnsi="Times New Roman" w:eastAsia="Segoe UI" w:cs="Tahoma"/>
          <w:color w:val="auto"/>
          <w:kern w:val="0"/>
          <w:sz w:val="24"/>
          <w:szCs w:val="24"/>
          <w:lang w:val="en-US" w:eastAsia="en-US" w:bidi="en-US"/>
        </w:rPr>
        <w:t>Šis termins “Eiropas mērogā” ir neskaidrs.</w:t>
      </w:r>
    </w:p>
    <w:p>
      <w:r>
        <w:rPr>
          <w:rFonts w:ascii="Times New Roman" w:hAnsi="Times New Roman" w:eastAsia="Segoe UI" w:cs="Tahoma"/>
          <w:color w:val="auto"/>
          <w:kern w:val="0"/>
          <w:sz w:val="24"/>
          <w:szCs w:val="24"/>
          <w:lang w:val="en-US" w:eastAsia="en-US" w:bidi="en-US"/>
        </w:rPr>
      </w:r>
    </w:p>
  </w:comment>
  <w:comment w:id="1" w:author="Pierre Dieumegard" w:date="2022-06-06T14:26:47Z" w:initials="">
    <w:p>
      <w:r>
        <w:rPr>
          <w:rFonts w:ascii="Times New Roman" w:hAnsi="Times New Roman" w:eastAsia="Segoe UI" w:cs="Tahoma"/>
          <w:color w:val="auto"/>
          <w:kern w:val="0"/>
          <w:sz w:val="24"/>
          <w:szCs w:val="24"/>
          <w:lang w:val="en-US" w:eastAsia="en-US" w:bidi="en-US"/>
        </w:rPr>
        <w:t>dīvaini grupēšana</w:t>
      </w:r>
    </w:p>
    <w:p>
      <w:r>
        <w:rPr>
          <w:rFonts w:ascii="Times New Roman" w:hAnsi="Times New Roman" w:eastAsia="Segoe UI" w:cs="Tahoma"/>
          <w:color w:val="auto"/>
          <w:kern w:val="0"/>
          <w:sz w:val="24"/>
          <w:szCs w:val="24"/>
          <w:lang w:val="en-US" w:eastAsia="en-US" w:bidi="en-US"/>
        </w:rPr>
      </w:r>
    </w:p>
  </w:comment>
  <w:comment w:id="2" w:author="Pierre Dieumegard" w:date="2022-06-06T14:27:08Z" w:initials="">
    <w:p>
      <w:r>
        <w:rPr>
          <w:rFonts w:ascii="Times New Roman" w:hAnsi="Times New Roman" w:eastAsia="Segoe UI" w:cs="Tahoma"/>
          <w:color w:val="auto"/>
          <w:kern w:val="0"/>
          <w:sz w:val="24"/>
          <w:szCs w:val="24"/>
          <w:lang w:val="en-US" w:eastAsia="en-US" w:bidi="en-US"/>
        </w:rPr>
        <w:t>dīvaini grupēšana</w:t>
      </w:r>
    </w:p>
    <w:p>
      <w:r>
        <w:rPr>
          <w:rFonts w:ascii="Times New Roman" w:hAnsi="Times New Roman" w:eastAsia="Segoe UI" w:cs="Tahoma"/>
          <w:color w:val="auto"/>
          <w:kern w:val="0"/>
          <w:sz w:val="24"/>
          <w:szCs w:val="24"/>
          <w:lang w:val="en-US" w:eastAsia="en-US" w:bidi="en-US"/>
        </w:rPr>
      </w:r>
    </w:p>
  </w:comment>
  <w:comment w:id="3" w:author="Pierre Dieumegard" w:date="2022-06-06T14:28:05Z" w:initials="">
    <w:p>
      <w:r>
        <w:rPr>
          <w:rFonts w:ascii="Times New Roman" w:hAnsi="Times New Roman" w:eastAsia="Segoe UI" w:cs="Tahoma"/>
          <w:color w:val="auto"/>
          <w:kern w:val="0"/>
          <w:sz w:val="24"/>
          <w:szCs w:val="24"/>
          <w:lang w:val="en-US" w:eastAsia="en-US" w:bidi="en-US"/>
        </w:rPr>
        <w:t>dīvaini grupēšana</w:t>
      </w:r>
    </w:p>
    <w:p>
      <w:r>
        <w:rPr>
          <w:rFonts w:ascii="Times New Roman" w:hAnsi="Times New Roman" w:eastAsia="Segoe UI" w:cs="Tahoma"/>
          <w:color w:val="auto"/>
          <w:kern w:val="0"/>
          <w:sz w:val="24"/>
          <w:szCs w:val="24"/>
          <w:lang w:val="en-US" w:eastAsia="en-US" w:bidi="en-US"/>
        </w:rPr>
      </w:r>
    </w:p>
  </w:comment>
  <w:comment w:id="4" w:author="Pierre Dieumegard" w:date="2022-06-06T13:23:23Z" w:initials="">
    <w:p>
      <w:r>
        <w:rPr>
          <w:rFonts w:ascii="Times New Roman" w:hAnsi="Times New Roman" w:eastAsia="Segoe UI" w:cs="Tahoma"/>
          <w:color w:val="auto"/>
          <w:kern w:val="0"/>
          <w:sz w:val="24"/>
          <w:szCs w:val="24"/>
          <w:lang w:val="en-US" w:eastAsia="en-US" w:bidi="en-US"/>
        </w:rPr>
        <w:t>slīprakstā sākotnējā ziņojumā franču valodā</w:t>
      </w:r>
    </w:p>
    <w:p>
      <w:r>
        <w:rPr>
          <w:rFonts w:ascii="Times New Roman" w:hAnsi="Times New Roman" w:eastAsia="Segoe UI" w:cs="Tahoma"/>
          <w:color w:val="auto"/>
          <w:kern w:val="0"/>
          <w:sz w:val="24"/>
          <w:szCs w:val="24"/>
          <w:lang w:val="en-US" w:eastAsia="en-US" w:bidi="en-US"/>
        </w:rPr>
      </w:r>
    </w:p>
  </w:comment>
  <w:comment w:id="5" w:author="Pierre Dieumegard" w:date="2022-06-06T13:58:33Z" w:initials="">
    <w:p>
      <w:r>
        <w:rPr>
          <w:rFonts w:ascii="Times New Roman" w:hAnsi="Times New Roman" w:eastAsia="Segoe UI" w:cs="Tahoma"/>
          <w:color w:val="auto"/>
          <w:kern w:val="0"/>
          <w:sz w:val="24"/>
          <w:szCs w:val="24"/>
          <w:lang w:val="en-US" w:eastAsia="en-US" w:bidi="en-US"/>
        </w:rPr>
        <w:t>oriģināls bija “comrade”</w:t>
      </w:r>
    </w:p>
    <w:p>
      <w:r>
        <w:rPr>
          <w:rFonts w:ascii="Times New Roman" w:hAnsi="Times New Roman" w:eastAsia="Segoe UI" w:cs="Tahoma"/>
          <w:color w:val="auto"/>
          <w:kern w:val="0"/>
          <w:sz w:val="24"/>
          <w:szCs w:val="24"/>
          <w:lang w:val="en-US" w:eastAsia="en-US" w:bidi="en-US"/>
        </w:rPr>
      </w:r>
    </w:p>
  </w:comment>
  <w:comment w:id="6" w:author="Pierre Dieumegard" w:date="2022-06-06T14:46:32Z" w:initials="">
    <w:p>
      <w:r>
        <w:rPr>
          <w:rFonts w:ascii="Times New Roman" w:hAnsi="Times New Roman" w:eastAsia="Segoe UI" w:cs="Tahoma"/>
          <w:color w:val="auto"/>
          <w:kern w:val="0"/>
          <w:sz w:val="24"/>
          <w:szCs w:val="24"/>
          <w:lang w:val="en-US" w:eastAsia="en-US" w:bidi="en-US"/>
        </w:rPr>
        <w:t>ES pievienoju “s” (daudzskaitlis piešķirts ar nodokļiem)</w:t>
      </w:r>
    </w:p>
    <w:p>
      <w:r>
        <w:rPr>
          <w:rFonts w:ascii="Times New Roman" w:hAnsi="Times New Roman" w:eastAsia="Segoe UI" w:cs="Tahoma"/>
          <w:color w:val="auto"/>
          <w:kern w:val="0"/>
          <w:sz w:val="24"/>
          <w:szCs w:val="24"/>
          <w:lang w:val="en-US" w:eastAsia="en-US" w:bidi="en-US"/>
        </w:rPr>
      </w:r>
    </w:p>
  </w:comment>
  <w:comment w:id="7" w:author="Pierre Dieumegard" w:date="2022-08-29T08:11:11Z" w:initials="PD">
    <w:p>
      <w:r>
        <w:rPr>
          <w:rFonts w:ascii="Times New Roman" w:hAnsi="Times New Roman" w:eastAsia="Segoe UI" w:cs="Tahoma"/>
          <w:color w:val="auto"/>
          <w:kern w:val="0"/>
          <w:sz w:val="24"/>
          <w:szCs w:val="24"/>
          <w:lang w:val="en-US" w:eastAsia="en-US" w:bidi="en-US"/>
        </w:rPr>
        <w:t>ES pievienoju domuzīmi</w:t>
      </w:r>
    </w:p>
    <w:p>
      <w:r>
        <w:rPr>
          <w:rFonts w:ascii="Times New Roman" w:hAnsi="Times New Roman" w:eastAsia="Segoe UI" w:cs="Tahoma"/>
          <w:color w:val="auto"/>
          <w:kern w:val="0"/>
          <w:sz w:val="24"/>
          <w:szCs w:val="24"/>
          <w:lang w:val="en-US" w:eastAsia="en-US" w:bidi="en-US"/>
        </w:rPr>
      </w:r>
    </w:p>
  </w:comment>
  <w:comment w:id="8" w:author="Pierre Dieumegard" w:date="2022-06-06T14:18:46Z" w:initials="">
    <w:p>
      <w:r>
        <w:rPr>
          <w:rFonts w:ascii="Times New Roman" w:hAnsi="Times New Roman" w:eastAsia="Segoe UI" w:cs="Tahoma"/>
          <w:color w:val="auto"/>
          <w:kern w:val="0"/>
          <w:sz w:val="24"/>
          <w:szCs w:val="24"/>
          <w:lang w:val="en-US" w:eastAsia="en-US" w:bidi="en-US"/>
        </w:rPr>
        <w:t>pievienots lielais burts</w:t>
      </w:r>
    </w:p>
    <w:p>
      <w:r>
        <w:rPr>
          <w:rFonts w:ascii="Times New Roman" w:hAnsi="Times New Roman" w:eastAsia="Segoe UI" w:cs="Tahoma"/>
          <w:color w:val="auto"/>
          <w:kern w:val="0"/>
          <w:sz w:val="24"/>
          <w:szCs w:val="24"/>
          <w:lang w:val="en-US" w:eastAsia="en-US" w:bidi="en-US"/>
        </w:rPr>
      </w:r>
    </w:p>
  </w:comment>
  <w:comment w:id="9" w:author="Pierre Dieumegard" w:date="2022-06-06T17:20:38Z" w:initials="">
    <w:p>
      <w:r>
        <w:rPr>
          <w:rFonts w:ascii="Times New Roman" w:hAnsi="Times New Roman" w:eastAsia="Segoe UI" w:cs="Tahoma"/>
          <w:color w:val="auto"/>
          <w:kern w:val="0"/>
          <w:sz w:val="24"/>
          <w:szCs w:val="24"/>
          <w:lang w:val="en-US" w:eastAsia="en-US" w:bidi="en-US"/>
        </w:rPr>
        <w:t>ES noņēmu “s”</w:t>
      </w:r>
    </w:p>
    <w:p>
      <w:r>
        <w:rPr>
          <w:rFonts w:ascii="Times New Roman" w:hAnsi="Times New Roman" w:eastAsia="Segoe UI" w:cs="Tahoma"/>
          <w:color w:val="auto"/>
          <w:kern w:val="0"/>
          <w:sz w:val="24"/>
          <w:szCs w:val="24"/>
          <w:lang w:val="en-US" w:eastAsia="en-US" w:bidi="en-US"/>
        </w:rPr>
      </w:r>
    </w:p>
  </w:comment>
  <w:comment w:id="10" w:author="Pierre Dieumegard" w:date="2022-08-29T12:33:01Z" w:initials="PD">
    <w:p>
      <w:r>
        <w:rPr>
          <w:rFonts w:ascii="Times New Roman" w:hAnsi="Times New Roman" w:eastAsia="Segoe UI" w:cs="Tahoma"/>
          <w:color w:val="auto"/>
          <w:kern w:val="0"/>
          <w:sz w:val="24"/>
          <w:szCs w:val="24"/>
          <w:lang w:val="en-US" w:eastAsia="en-US" w:bidi="en-US"/>
        </w:rPr>
        <w:t>oriģinālam bija infopanelis; ES nezinu, kas ir informācijas panelis; Tāpēc es pieprasīju tulkojumu angļu valodas tekstam no Google, kurā bija norādīts “dashboard”, kas ir saprotams franču valodā. eTranslation norāda arī “dashboard”.</w:t>
      </w:r>
    </w:p>
    <w:p>
      <w:r>
        <w:rPr>
          <w:rFonts w:ascii="Times New Roman" w:hAnsi="Times New Roman" w:eastAsia="Segoe UI" w:cs="Tahoma"/>
          <w:color w:val="auto"/>
          <w:kern w:val="0"/>
          <w:sz w:val="24"/>
          <w:szCs w:val="24"/>
          <w:lang w:val="en-US" w:eastAsia="en-US" w:bidi="en-US"/>
        </w:rPr>
      </w:r>
    </w:p>
  </w:comment>
  <w:comment w:id="11" w:author="Pierre Dieumegard" w:date="2022-08-29T12:37:22Z" w:initials="PD">
    <w:p>
      <w:r>
        <w:rPr>
          <w:rFonts w:ascii="Times New Roman" w:hAnsi="Times New Roman" w:eastAsia="Segoe UI" w:cs="Tahoma"/>
          <w:color w:val="auto"/>
          <w:kern w:val="0"/>
          <w:sz w:val="24"/>
          <w:szCs w:val="24"/>
          <w:lang w:val="en-US" w:eastAsia="en-US" w:bidi="en-US"/>
        </w:rPr>
        <w:t>ES uzrakstīju lielo burtu.</w:t>
      </w:r>
    </w:p>
    <w:p>
      <w:r>
        <w:rPr>
          <w:rFonts w:ascii="Times New Roman" w:hAnsi="Times New Roman" w:eastAsia="Segoe UI" w:cs="Tahoma"/>
          <w:color w:val="auto"/>
          <w:kern w:val="0"/>
          <w:sz w:val="24"/>
          <w:szCs w:val="24"/>
          <w:lang w:val="en-US" w:eastAsia="en-US" w:bidi="en-US"/>
        </w:rPr>
      </w:r>
    </w:p>
  </w:comment>
  <w:comment w:id="12" w:author="Pierre Dieumegard" w:date="2022-08-29T12:38:48Z" w:initials="PD">
    <w:p>
      <w:r>
        <w:rPr>
          <w:rFonts w:ascii="Times New Roman" w:hAnsi="Times New Roman" w:eastAsia="Segoe UI" w:cs="Tahoma"/>
          <w:color w:val="auto"/>
          <w:kern w:val="0"/>
          <w:sz w:val="24"/>
          <w:szCs w:val="24"/>
          <w:lang w:val="en-US" w:eastAsia="en-US" w:bidi="en-US"/>
        </w:rPr>
        <w:t>ES pievienoju “e”</w:t>
      </w:r>
    </w:p>
    <w:p>
      <w:r>
        <w:rPr>
          <w:rFonts w:ascii="Times New Roman" w:hAnsi="Times New Roman" w:eastAsia="Segoe UI" w:cs="Tahoma"/>
          <w:color w:val="auto"/>
          <w:kern w:val="0"/>
          <w:sz w:val="24"/>
          <w:szCs w:val="24"/>
          <w:lang w:val="en-US" w:eastAsia="en-US" w:bidi="en-US"/>
        </w:rPr>
      </w:r>
    </w:p>
  </w:comment>
  <w:comment w:id="13" w:author="Pierre Dieumegard" w:date="2022-06-06T17:22:56Z" w:initials="">
    <w:p>
      <w:r>
        <w:rPr>
          <w:rFonts w:ascii="Times New Roman" w:hAnsi="Times New Roman" w:eastAsia="Segoe UI" w:cs="Tahoma"/>
          <w:color w:val="auto"/>
          <w:kern w:val="0"/>
          <w:sz w:val="24"/>
          <w:szCs w:val="24"/>
          <w:lang w:val="en-US" w:eastAsia="en-US" w:bidi="en-US"/>
        </w:rPr>
        <w:t>ES pievienoju “s”</w:t>
      </w:r>
    </w:p>
    <w:p>
      <w:r>
        <w:rPr>
          <w:rFonts w:ascii="Times New Roman" w:hAnsi="Times New Roman" w:eastAsia="Segoe UI" w:cs="Tahoma"/>
          <w:color w:val="auto"/>
          <w:kern w:val="0"/>
          <w:sz w:val="24"/>
          <w:szCs w:val="24"/>
          <w:lang w:val="en-US" w:eastAsia="en-US" w:bidi="en-US"/>
        </w:rPr>
      </w:r>
    </w:p>
  </w:comment>
  <w:comment w:id="14" w:author="Pierre Dieumegard" w:date="2022-08-29T12:46:15Z" w:initials="PD">
    <w:p>
      <w:r>
        <w:rPr>
          <w:rFonts w:ascii="Times New Roman" w:hAnsi="Times New Roman" w:eastAsia="Segoe UI" w:cs="Tahoma"/>
          <w:color w:val="auto"/>
          <w:kern w:val="0"/>
          <w:sz w:val="24"/>
          <w:szCs w:val="24"/>
          <w:lang w:val="en-US" w:eastAsia="en-US" w:bidi="en-US"/>
        </w:rPr>
        <w:t>oriģinālam bija “referendas”; tāpat kā citur ir “referendums” ar akcentiem, daudzskaitlim jābūt “referendiem”, izmantojot latīņu valodas deklināciju.</w:t>
      </w:r>
    </w:p>
    <w:p>
      <w:r>
        <w:rPr>
          <w:rFonts w:ascii="Times New Roman" w:hAnsi="Times New Roman" w:eastAsia="Segoe UI" w:cs="Tahoma"/>
          <w:color w:val="auto"/>
          <w:kern w:val="0"/>
          <w:sz w:val="24"/>
          <w:szCs w:val="24"/>
          <w:lang w:val="en-US" w:eastAsia="en-US" w:bidi="en-US"/>
        </w:rPr>
        <w:t xml:space="preserve">skatīt https://www.larousse.fr/dictionnaires/francais/r%C3%A9f%C3%A9rendum/67445 </w:t>
      </w:r>
    </w:p>
    <w:p>
      <w:r>
        <w:rPr>
          <w:rFonts w:ascii="Times New Roman" w:hAnsi="Times New Roman" w:eastAsia="Segoe UI" w:cs="Tahoma"/>
          <w:color w:val="auto"/>
          <w:kern w:val="0"/>
          <w:sz w:val="24"/>
          <w:szCs w:val="24"/>
          <w:lang w:val="en-US" w:eastAsia="en-US" w:bidi="en-US"/>
        </w:rPr>
      </w:r>
    </w:p>
  </w:comment>
  <w:comment w:id="15" w:author="Pierre Dieumegard" w:date="2022-08-29T17:51:01Z" w:initials="PD">
    <w:p>
      <w:r>
        <w:rPr>
          <w:rFonts w:ascii="Times New Roman" w:hAnsi="Times New Roman" w:eastAsia="Segoe UI" w:cs="Tahoma"/>
          <w:color w:val="auto"/>
          <w:kern w:val="0"/>
          <w:sz w:val="24"/>
          <w:szCs w:val="24"/>
          <w:lang w:val="en-US" w:eastAsia="en-US" w:bidi="en-US"/>
        </w:rPr>
        <w:t>arī tur bija “referendas”.</w:t>
      </w:r>
    </w:p>
    <w:p>
      <w:r>
        <w:rPr>
          <w:rFonts w:ascii="Times New Roman" w:hAnsi="Times New Roman" w:eastAsia="Segoe UI" w:cs="Tahoma"/>
          <w:color w:val="auto"/>
          <w:kern w:val="0"/>
          <w:sz w:val="24"/>
          <w:szCs w:val="24"/>
          <w:lang w:val="en-US" w:eastAsia="en-US" w:bidi="en-US"/>
        </w:rPr>
      </w:r>
    </w:p>
  </w:comment>
  <w:comment w:id="16" w:author="Pierre Dieumegard" w:date="2022-06-06T17:43:08Z" w:initials="">
    <w:p>
      <w:r>
        <w:rPr>
          <w:rFonts w:ascii="Times New Roman" w:hAnsi="Times New Roman" w:eastAsia="Segoe UI" w:cs="Tahoma"/>
          <w:color w:val="auto"/>
          <w:kern w:val="0"/>
          <w:sz w:val="24"/>
          <w:szCs w:val="24"/>
          <w:lang w:val="en-US" w:eastAsia="en-US" w:bidi="en-US"/>
        </w:rPr>
        <w:t>Oriģināls bija “atvilktņu mehānismu sarakstos”? ES nesaprotu, tāpēc es tulkoju no angļu valodas versijas.</w:t>
      </w:r>
    </w:p>
    <w:p>
      <w:r>
        <w:rPr>
          <w:rFonts w:ascii="Times New Roman" w:hAnsi="Times New Roman" w:eastAsia="Segoe UI" w:cs="Tahoma"/>
          <w:color w:val="auto"/>
          <w:kern w:val="0"/>
          <w:sz w:val="24"/>
          <w:szCs w:val="24"/>
          <w:lang w:val="en-US" w:eastAsia="en-US" w:bidi="en-US"/>
        </w:rPr>
      </w:r>
    </w:p>
  </w:comment>
  <w:comment w:id="17" w:author="Pierre Dieumegard" w:date="2022-08-30T08:36:59Z" w:initials="PD">
    <w:p>
      <w:r>
        <w:rPr>
          <w:rFonts w:ascii="Times New Roman" w:hAnsi="Times New Roman" w:eastAsia="Segoe UI" w:cs="Tahoma"/>
          <w:color w:val="auto"/>
          <w:kern w:val="0"/>
          <w:sz w:val="24"/>
          <w:szCs w:val="24"/>
          <w:lang w:val="en-US" w:eastAsia="en-US" w:bidi="en-US"/>
        </w:rPr>
        <w:t>Oriģināls franču valodā bija “Ombuda tīmekļa vietne ir labi izstrādāta, bet nav Eiropas zīmols”. Termins “zīmols” nav saprotams. Angļu valodas versija ir "Ombuda tīmekļa vietne ir labi izveidota, bet tai nav pienācīgas Eiropas “image”, tāpēc es to aizstāju ar saprotamāku angļu valodas tiešu tulkojumu.</w:t>
      </w:r>
    </w:p>
    <w:p>
      <w:r>
        <w:rPr>
          <w:rFonts w:ascii="Times New Roman" w:hAnsi="Times New Roman" w:eastAsia="Segoe UI" w:cs="Tahoma"/>
          <w:color w:val="auto"/>
          <w:kern w:val="0"/>
          <w:sz w:val="24"/>
          <w:szCs w:val="24"/>
          <w:lang w:val="en-US" w:eastAsia="en-US" w:bidi="en-US"/>
        </w:rPr>
      </w:r>
    </w:p>
  </w:comment>
  <w:comment w:id="18" w:author="Pierre Dieumegard" w:date="2022-08-30T08:40:11Z" w:initials="PD">
    <w:p>
      <w:r>
        <w:rPr>
          <w:rFonts w:ascii="Times New Roman" w:hAnsi="Times New Roman" w:eastAsia="Segoe UI" w:cs="Tahoma"/>
          <w:color w:val="auto"/>
          <w:kern w:val="0"/>
          <w:sz w:val="24"/>
          <w:szCs w:val="24"/>
          <w:lang w:val="en-US" w:eastAsia="en-US" w:bidi="en-US"/>
        </w:rPr>
        <w:t>oriģināls franču valodā bija “publisks”, kas netika piešķirts ar “apspriešanos”. Vai tā bija sabiedriskā apspriešana vai sabiedriskā apspriešana?</w:t>
      </w:r>
    </w:p>
    <w:p>
      <w:r>
        <w:rPr>
          <w:rFonts w:ascii="Times New Roman" w:hAnsi="Times New Roman" w:eastAsia="Segoe UI" w:cs="Tahoma"/>
          <w:color w:val="auto"/>
          <w:kern w:val="0"/>
          <w:sz w:val="24"/>
          <w:szCs w:val="24"/>
          <w:lang w:val="en-US" w:eastAsia="en-US" w:bidi="en-US"/>
        </w:rPr>
      </w:r>
    </w:p>
  </w:comment>
  <w:comment w:id="19" w:author="Pierre Dieumegard" w:date="2022-06-06T17:46:19Z" w:initials="">
    <w:p>
      <w:r>
        <w:rPr>
          <w:rFonts w:ascii="Times New Roman" w:hAnsi="Times New Roman" w:eastAsia="Segoe UI" w:cs="Tahoma"/>
          <w:color w:val="auto"/>
          <w:kern w:val="0"/>
          <w:sz w:val="24"/>
          <w:szCs w:val="24"/>
          <w:lang w:val="en-US" w:eastAsia="en-US" w:bidi="en-US"/>
        </w:rPr>
        <w:t>tur bija “anglas”</w:t>
      </w:r>
    </w:p>
    <w:p>
      <w:r>
        <w:rPr>
          <w:rFonts w:ascii="Times New Roman" w:hAnsi="Times New Roman" w:eastAsia="Segoe UI" w:cs="Tahoma"/>
          <w:color w:val="auto"/>
          <w:kern w:val="0"/>
          <w:sz w:val="24"/>
          <w:szCs w:val="24"/>
          <w:lang w:val="en-US" w:eastAsia="en-US" w:bidi="en-US"/>
        </w:rPr>
      </w:r>
    </w:p>
  </w:comment>
  <w:comment w:id="20" w:author="Pierre Dieumegard" w:date="2022-08-30T08:42:49Z" w:initials="PD">
    <w:p>
      <w:r>
        <w:rPr>
          <w:rFonts w:ascii="Times New Roman" w:hAnsi="Times New Roman" w:eastAsia="Segoe UI" w:cs="Tahoma"/>
          <w:color w:val="auto"/>
          <w:kern w:val="0"/>
          <w:sz w:val="24"/>
          <w:szCs w:val="24"/>
          <w:lang w:val="en-US" w:eastAsia="en-US" w:bidi="en-US"/>
        </w:rPr>
        <w:t>pievienotie lielie burti (komercnosaukums)</w:t>
      </w:r>
    </w:p>
    <w:p>
      <w:r>
        <w:rPr>
          <w:rFonts w:ascii="Times New Roman" w:hAnsi="Times New Roman" w:eastAsia="Segoe UI" w:cs="Tahoma"/>
          <w:color w:val="auto"/>
          <w:kern w:val="0"/>
          <w:sz w:val="24"/>
          <w:szCs w:val="24"/>
          <w:lang w:val="en-US" w:eastAsia="en-US" w:bidi="en-US"/>
        </w:rPr>
      </w:r>
    </w:p>
  </w:comment>
  <w:comment w:id="21" w:author="Pierre Dieumegard" w:date="2022-06-08T10:37:42Z" w:initials="">
    <w:p>
      <w:r>
        <w:rPr>
          <w:rFonts w:ascii="Times New Roman" w:hAnsi="Times New Roman" w:eastAsia="Segoe UI" w:cs="Tahoma"/>
          <w:color w:val="auto"/>
          <w:kern w:val="0"/>
          <w:sz w:val="24"/>
          <w:szCs w:val="24"/>
          <w:lang w:val="en-US" w:eastAsia="en-US" w:bidi="en-US"/>
        </w:rPr>
        <w:t>aizstāts ar “la” ar “the”</w:t>
      </w:r>
    </w:p>
    <w:p>
      <w:r>
        <w:rPr>
          <w:rFonts w:ascii="Times New Roman" w:hAnsi="Times New Roman" w:eastAsia="Segoe UI" w:cs="Tahoma"/>
          <w:color w:val="auto"/>
          <w:kern w:val="0"/>
          <w:sz w:val="24"/>
          <w:szCs w:val="24"/>
          <w:lang w:val="en-US" w:eastAsia="en-US" w:bidi="en-US"/>
        </w:rPr>
      </w:r>
    </w:p>
  </w:comment>
  <w:comment w:id="22" w:author="Pierre Dieumegard" w:date="2022-06-08T10:42:55Z" w:initials="">
    <w:p>
      <w:r>
        <w:rPr>
          <w:rFonts w:ascii="Times New Roman" w:hAnsi="Times New Roman" w:eastAsia="Segoe UI" w:cs="Tahoma"/>
          <w:color w:val="auto"/>
          <w:kern w:val="0"/>
          <w:sz w:val="24"/>
          <w:szCs w:val="24"/>
          <w:lang w:val="en-US" w:eastAsia="en-US" w:bidi="en-US"/>
        </w:rPr>
        <w:t>aizstāts ar “ņemt” ar “ņemt”</w:t>
      </w:r>
    </w:p>
    <w:p>
      <w:r>
        <w:rPr>
          <w:rFonts w:ascii="Times New Roman" w:hAnsi="Times New Roman" w:eastAsia="Segoe UI" w:cs="Tahoma"/>
          <w:color w:val="auto"/>
          <w:kern w:val="0"/>
          <w:sz w:val="24"/>
          <w:szCs w:val="24"/>
          <w:lang w:val="en-US" w:eastAsia="en-US" w:bidi="en-US"/>
        </w:rPr>
      </w:r>
    </w:p>
  </w:comment>
  <w:comment w:id="23" w:author="Pierre Dieumegard" w:date="2022-08-31T22:23:22Z" w:initials="PD">
    <w:p>
      <w:r>
        <w:rPr>
          <w:rFonts w:ascii="Times New Roman" w:hAnsi="Times New Roman" w:eastAsia="Segoe UI" w:cs="Tahoma"/>
          <w:color w:val="auto"/>
          <w:kern w:val="0"/>
          <w:sz w:val="24"/>
          <w:szCs w:val="24"/>
          <w:lang w:val="en-US" w:eastAsia="en-US" w:bidi="en-US"/>
        </w:rPr>
        <w:t>noņemt “s”</w:t>
      </w:r>
    </w:p>
    <w:p>
      <w:r>
        <w:rPr>
          <w:rFonts w:ascii="Times New Roman" w:hAnsi="Times New Roman" w:eastAsia="Segoe UI" w:cs="Tahoma"/>
          <w:color w:val="auto"/>
          <w:kern w:val="0"/>
          <w:sz w:val="24"/>
          <w:szCs w:val="24"/>
          <w:lang w:val="en-US" w:eastAsia="en-US" w:bidi="en-US"/>
        </w:rPr>
      </w:r>
    </w:p>
  </w:comment>
  <w:comment w:id="24" w:author="Pierre Dieumegard" w:date="2022-08-31T22:24:16Z" w:initials="PD">
    <w:p>
      <w:r>
        <w:rPr>
          <w:rFonts w:ascii="Times New Roman" w:hAnsi="Times New Roman" w:eastAsia="Segoe UI" w:cs="Tahoma"/>
          <w:color w:val="auto"/>
          <w:kern w:val="0"/>
          <w:sz w:val="24"/>
          <w:szCs w:val="24"/>
          <w:lang w:val="en-US" w:eastAsia="en-US" w:bidi="en-US"/>
        </w:rPr>
        <w:t>pievienoja “s”</w:t>
      </w:r>
    </w:p>
    <w:p>
      <w:r>
        <w:rPr>
          <w:rFonts w:ascii="Times New Roman" w:hAnsi="Times New Roman" w:eastAsia="Segoe UI" w:cs="Tahoma"/>
          <w:color w:val="auto"/>
          <w:kern w:val="0"/>
          <w:sz w:val="24"/>
          <w:szCs w:val="24"/>
          <w:lang w:val="en-US" w:eastAsia="en-US" w:bidi="en-US"/>
        </w:rPr>
      </w:r>
    </w:p>
  </w:comment>
  <w:comment w:id="25" w:author="Pierre Dieumegard" w:date="2022-08-31T22:58:08Z" w:initials="PD">
    <w:p>
      <w:r>
        <w:rPr>
          <w:rFonts w:ascii="Times New Roman" w:hAnsi="Times New Roman" w:eastAsia="Segoe UI" w:cs="Tahoma"/>
          <w:color w:val="auto"/>
          <w:kern w:val="0"/>
          <w:sz w:val="24"/>
          <w:szCs w:val="24"/>
          <w:lang w:val="en-US" w:eastAsia="en-US" w:bidi="en-US"/>
        </w:rPr>
        <w:t>ES nesaprotu “swiper”</w:t>
      </w:r>
    </w:p>
    <w:p>
      <w:r>
        <w:rPr>
          <w:rFonts w:ascii="Times New Roman" w:hAnsi="Times New Roman" w:eastAsia="Segoe UI" w:cs="Tahoma"/>
          <w:color w:val="auto"/>
          <w:kern w:val="0"/>
          <w:sz w:val="24"/>
          <w:szCs w:val="24"/>
          <w:lang w:val="en-US" w:eastAsia="en-US" w:bidi="en-US"/>
        </w:rPr>
      </w:r>
    </w:p>
  </w:comment>
  <w:comment w:id="26" w:author="Pierre Dieumegard" w:date="2022-06-08T10:46:29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27" w:author="Pierre Dieumegard" w:date="2022-06-07T19:00:57Z" w:initials="">
    <w:p>
      <w:r>
        <w:rPr>
          <w:rFonts w:ascii="Times New Roman" w:hAnsi="Times New Roman" w:eastAsia="Segoe UI" w:cs="Tahoma"/>
          <w:color w:val="auto"/>
          <w:kern w:val="0"/>
          <w:sz w:val="24"/>
          <w:szCs w:val="24"/>
          <w:lang w:val="en-US" w:eastAsia="en-US" w:bidi="en-US"/>
        </w:rPr>
        <w:t>pievienoja “s”</w:t>
      </w:r>
    </w:p>
    <w:p>
      <w:r>
        <w:rPr>
          <w:rFonts w:ascii="Times New Roman" w:hAnsi="Times New Roman" w:eastAsia="Segoe UI" w:cs="Tahoma"/>
          <w:color w:val="auto"/>
          <w:kern w:val="0"/>
          <w:sz w:val="24"/>
          <w:szCs w:val="24"/>
          <w:lang w:val="en-US" w:eastAsia="en-US" w:bidi="en-US"/>
        </w:rPr>
      </w:r>
    </w:p>
  </w:comment>
  <w:comment w:id="28" w:author="Pierre Dieumegard" w:date="2022-06-07T19:04:10Z" w:initials="">
    <w:p>
      <w:r>
        <w:rPr>
          <w:rFonts w:ascii="Times New Roman" w:hAnsi="Times New Roman" w:eastAsia="Segoe UI" w:cs="Tahoma"/>
          <w:color w:val="auto"/>
          <w:kern w:val="0"/>
          <w:sz w:val="24"/>
          <w:szCs w:val="24"/>
          <w:lang w:val="en-US" w:eastAsia="en-US" w:bidi="en-US"/>
        </w:rPr>
        <w:t>nosaukums 2 svešvalodās: dīvaini, dīvaini</w:t>
      </w:r>
    </w:p>
    <w:p>
      <w:r>
        <w:rPr>
          <w:rFonts w:ascii="Times New Roman" w:hAnsi="Times New Roman" w:eastAsia="Segoe UI" w:cs="Tahoma"/>
          <w:color w:val="auto"/>
          <w:kern w:val="0"/>
          <w:sz w:val="24"/>
          <w:szCs w:val="24"/>
          <w:lang w:val="en-US" w:eastAsia="en-US" w:bidi="en-US"/>
        </w:rPr>
      </w:r>
    </w:p>
  </w:comment>
  <w:comment w:id="29" w:author="Pierre Dieumegard" w:date="2022-06-08T10:54:13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0" w:author="Pierre Dieumegard" w:date="2022-06-08T10:54:40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 w:id="31" w:author="Pierre Dieumegard" w:date="2022-06-08T10:56:48Z" w:initials="">
    <w:p>
      <w:r>
        <w:rPr>
          <w:rFonts w:ascii="Times New Roman" w:hAnsi="Times New Roman" w:eastAsia="Segoe UI" w:cs="Tahoma"/>
          <w:color w:val="auto"/>
          <w:kern w:val="0"/>
          <w:sz w:val="24"/>
          <w:szCs w:val="24"/>
          <w:lang w:val="en-US" w:eastAsia="en-US" w:bidi="en-US"/>
        </w:rPr>
        <w:t>???</w:t>
      </w:r>
    </w:p>
    <w:p>
      <w:r>
        <w:rPr>
          <w:rFonts w:ascii="Times New Roman" w:hAnsi="Times New Roman" w:eastAsia="Segoe UI" w:cs="Tahoma"/>
          <w:color w:val="auto"/>
          <w:kern w:val="0"/>
          <w:sz w:val="24"/>
          <w:szCs w:val="24"/>
          <w:lang w:val="en-US" w:eastAsia="en-US" w:bidi="en-US"/>
        </w:rPr>
      </w:r>
    </w:p>
  </w:comment>
</w:comments>
</file>

<file path=word/endnotes.xml><?xml version="1.0" encoding="utf-8"?>
<w:end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endnote w:id="0" w:type="separator">
    <w:p>
      <w:r>
        <w:separator/>
      </w:r>
    </w:p>
  </w:endnote>
  <w:endnote w:id="1" w:type="continuationSeparator">
    <w:p>
      <w:r>
        <w:continuationSeparator/>
      </w:r>
    </w:p>
  </w:endnote>
  <w:endnote w:id="2">
    <w:p>
      <w:pPr>
        <w:pStyle w:val="Notedefin"/>
        <w:spacing w:before="57" w:after="57"/>
        <w:rPr/>
      </w:pPr>
      <w:r>
        <w:rPr>
          <w:rStyle w:val="Caractresdenotedefin"/>
        </w:rPr>
        <w:endnoteRef/>
      </w:r>
      <w:r>
        <w:rPr/>
        <w:tab/>
      </w:r>
      <w:r>
        <w:rPr/>
        <w:t>Pilsoņu ieteikumi, kas ir priekšlikuma pamatā: #3, #17, #18, #19</w:t>
      </w:r>
    </w:p>
  </w:endnote>
  <w:endnote w:id="3">
    <w:p>
      <w:pPr>
        <w:pStyle w:val="Notedefin"/>
        <w:suppressLineNumbers/>
        <w:spacing w:before="57" w:after="57"/>
        <w:ind w:left="339" w:right="0" w:hanging="339"/>
        <w:rPr/>
      </w:pPr>
      <w:r>
        <w:rPr>
          <w:rStyle w:val="Caractresdenotedefin"/>
        </w:rPr>
        <w:endnoteRef/>
      </w:r>
      <w:r>
        <w:rPr/>
        <w:tab/>
      </w:r>
      <w:r>
        <w:rPr/>
        <w:t># = Eiropas pilsoņu paneļdiskusiju ieteikums.</w:t>
      </w:r>
    </w:p>
  </w:endnote>
  <w:endnote w:id="4">
    <w:p>
      <w:pPr>
        <w:pStyle w:val="Notedefin"/>
        <w:suppressLineNumbers/>
        <w:spacing w:before="57" w:after="57"/>
        <w:ind w:left="339" w:right="0" w:hanging="339"/>
        <w:rPr/>
      </w:pPr>
      <w:r>
        <w:rPr>
          <w:rStyle w:val="Caractresdenotedefin"/>
        </w:rPr>
        <w:endnoteRef/>
      </w:r>
      <w:r>
        <w:rPr/>
        <w:tab/>
      </w:r>
      <w:r>
        <w:rPr/>
        <w:t>Pilsoņu ieteikumi, kas ir priekšlikuma pamatā: #39, #40, #41, #42, #43, NL1, NL2, #51</w:t>
      </w:r>
    </w:p>
  </w:endnote>
  <w:endnote w:id="5">
    <w:p>
      <w:pPr>
        <w:pStyle w:val="Notedefin"/>
        <w:suppressLineNumbers/>
        <w:spacing w:before="57" w:after="57"/>
        <w:ind w:left="339" w:right="0" w:hanging="339"/>
        <w:rPr/>
      </w:pPr>
      <w:r>
        <w:rPr>
          <w:rStyle w:val="Caractresdenotedefin"/>
        </w:rPr>
        <w:endnoteRef/>
      </w:r>
      <w:r>
        <w:rPr/>
        <w:tab/>
      </w:r>
      <w:r>
        <w:rPr/>
        <w:t>Valsts pilsoņu paneļdiskusijas ieteikums</w:t>
      </w:r>
    </w:p>
  </w:endnote>
  <w:endnote w:id="6">
    <w:p>
      <w:pPr>
        <w:pStyle w:val="Notedefin"/>
        <w:suppressLineNumbers/>
        <w:spacing w:before="57" w:after="57"/>
        <w:ind w:left="339" w:right="0" w:hanging="339"/>
        <w:rPr/>
      </w:pPr>
      <w:r>
        <w:rPr>
          <w:rStyle w:val="Caractresdenotedefin"/>
        </w:rPr>
        <w:endnoteRef/>
      </w:r>
      <w:r>
        <w:rPr/>
        <w:tab/>
      </w:r>
      <w:r>
        <w:rPr/>
        <w:t>Pilsoņu ieteikumi, kas ir priekšlikuma pamatā: #44, #45, #46, #47, #50</w:t>
      </w:r>
    </w:p>
  </w:endnote>
  <w:endnote w:id="7">
    <w:p>
      <w:pPr>
        <w:pStyle w:val="Notedefin"/>
        <w:suppressLineNumbers/>
        <w:spacing w:before="57" w:after="57"/>
        <w:ind w:left="339" w:right="0" w:hanging="339"/>
        <w:rPr/>
      </w:pPr>
      <w:r>
        <w:rPr>
          <w:rStyle w:val="Caractresdenotedefin"/>
        </w:rPr>
        <w:endnoteRef/>
      </w:r>
      <w:r>
        <w:rPr/>
        <w:tab/>
      </w:r>
      <w:r>
        <w:rPr/>
        <w:t>Pilsoņu ieteikumi, kas ir priekšlikuma pamatā: #39, #40, #45, #48, #50, FRchangement8, FRswait11, #51</w:t>
      </w:r>
    </w:p>
  </w:endnote>
  <w:endnote w:id="8">
    <w:p>
      <w:pPr>
        <w:pStyle w:val="Notedefin"/>
        <w:suppressLineNumbers/>
        <w:spacing w:before="57" w:after="57"/>
        <w:ind w:left="339" w:right="0" w:hanging="339"/>
        <w:rPr/>
      </w:pPr>
      <w:r>
        <w:rPr>
          <w:rStyle w:val="Caractresdenotedefin"/>
        </w:rPr>
        <w:endnoteRef/>
      </w:r>
      <w:r>
        <w:rPr/>
        <w:tab/>
      </w:r>
      <w:r>
        <w:rPr/>
        <w:t>Nīderlandes pilsoņu paneļdiskusijas ieteikumi atšķiras no Eiropas pilsoņu paneļdiskusijas ieteikumiem: viņš apgalvo, ka veselības aprūpei un veselības aprūpei galvenokārt vajadzētu būt valsts atbildībai [NL3].</w:t>
      </w:r>
    </w:p>
  </w:endnote>
  <w:endnote w:id="9">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9, 10, 11, 12, 14; Nīderlande: 1; Itālija: 1.1; Lietuva: 3, 8.</w:t>
      </w:r>
    </w:p>
  </w:endnote>
  <w:endnote w:id="10">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10, 11 un 14; Vācija: 2.1, 2.2; Nīderlande: 1, 2; Francija: 3, 9; Itālija: 1,2, 1.3, 1.4, 1.5, 2.1, 2.2, 2,4, 4.a.2, 6.1; Lietuva: 1, 7.</w:t>
      </w:r>
    </w:p>
  </w:endnote>
  <w:endnote w:id="11">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1, 2, 7, 28, 30; Vācija: 4.1, 4.2; Nīderlande: 4; Francija: 6; Itālija: 5.a.1., 5.a.4., 6.1., 6.2.</w:t>
      </w:r>
    </w:p>
  </w:endnote>
  <w:endnote w:id="12">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19, 20, 21, 25; Itālija: 4.a.1.</w:t>
      </w:r>
    </w:p>
  </w:endnote>
  <w:endnote w:id="13">
    <w:p>
      <w:pPr>
        <w:pStyle w:val="Notedefin"/>
        <w:suppressLineNumbers/>
        <w:spacing w:before="57" w:after="57"/>
        <w:ind w:left="339" w:right="0" w:hanging="339"/>
        <w:rPr/>
      </w:pPr>
      <w:r>
        <w:rPr>
          <w:rStyle w:val="Caractresdenotedefin"/>
        </w:rPr>
        <w:endnoteRef/>
      </w:r>
      <w:r>
        <w:rPr/>
        <w:tab/>
        <w:t xml:space="preserve"> </w:t>
      </w:r>
      <w:r>
        <w:rPr/>
        <w:t>Pilsoņu ieteikumi, kas ir priekšlikuma pamatā: Eiropas pilsoņu paneļdiskusija Nr. 1: 21, 22, 23, 26, 27; Itālija: 5.a.1.</w:t>
      </w:r>
    </w:p>
  </w:endnote>
  <w:endnote w:id="14">
    <w:p>
      <w:pPr>
        <w:pStyle w:val="Notedefin"/>
        <w:suppressLineNumbers/>
        <w:spacing w:before="57" w:after="57"/>
        <w:ind w:left="339" w:right="0" w:hanging="339"/>
        <w:rPr/>
      </w:pPr>
      <w:r>
        <w:rPr>
          <w:rStyle w:val="Caractresdenotedefin"/>
        </w:rPr>
        <w:endnoteRef/>
      </w:r>
      <w:r>
        <w:rPr/>
        <w:tab/>
        <w:t xml:space="preserve"> </w:t>
      </w:r>
      <w:r>
        <w:rPr/>
        <w:t>Pilsoņu ieteikumi, kas ir priekšlikuma pamatā: Eiropas pilsoņu paneļdiskusija Nr. 1: 13, 31; Nīderlande: 2.3.; Itālija: 4.b.3., 4.b.6.; Lietuva: 9, 10.</w:t>
      </w:r>
    </w:p>
  </w:endnote>
  <w:endnote w:id="15">
    <w:p>
      <w:pPr>
        <w:pStyle w:val="Notedefin"/>
        <w:suppressLineNumbers/>
        <w:spacing w:before="57" w:after="57"/>
        <w:ind w:left="339" w:right="0" w:hanging="339"/>
        <w:rPr/>
      </w:pPr>
      <w:r>
        <w:rPr>
          <w:rStyle w:val="Caractresdenotedefin"/>
        </w:rPr>
        <w:endnoteRef/>
      </w:r>
      <w:r>
        <w:rPr/>
        <w:tab/>
      </w:r>
      <w:r>
        <w:rPr/>
        <w:t>Pamatojoties uz diskusijām darba grupā un plenārajā sesijā.</w:t>
      </w:r>
    </w:p>
  </w:endnote>
  <w:endnote w:id="16">
    <w:p>
      <w:pPr>
        <w:pStyle w:val="Notedefin"/>
        <w:suppressLineNumbers/>
        <w:spacing w:before="57" w:after="57"/>
        <w:ind w:left="339" w:right="0" w:hanging="339"/>
        <w:rPr/>
      </w:pPr>
      <w:r>
        <w:rPr>
          <w:rStyle w:val="Caractresdenotedefin"/>
        </w:rPr>
        <w:endnoteRef/>
      </w:r>
      <w:r>
        <w:rPr/>
        <w:tab/>
      </w:r>
      <w:r>
        <w:rPr/>
        <w:t>Sk. ECP4 Ieteikumu Nr. 1, Vācijas NKP Ieteikumu Nr. 2, 1. paneļdiskusiju “ES pasaulē” un Itālijas NKP 2. grupas Ieteikumu Nr. 1, kas izstrādāts darba grupas ietvaros.</w:t>
      </w:r>
    </w:p>
  </w:endnote>
  <w:endnote w:id="17">
    <w:p>
      <w:pPr>
        <w:pStyle w:val="Notedefin"/>
        <w:suppressLineNumbers/>
        <w:spacing w:before="57" w:after="57"/>
        <w:ind w:left="339" w:right="0" w:hanging="339"/>
        <w:rPr/>
      </w:pPr>
      <w:r>
        <w:rPr>
          <w:rStyle w:val="Caractresdenotedefin"/>
        </w:rPr>
        <w:endnoteRef/>
      </w:r>
      <w:r>
        <w:rPr/>
        <w:tab/>
      </w:r>
      <w:r>
        <w:rPr/>
        <w:t>Skatīt ECP4 4. ieteikumu un Itālijas VKP 2. grupas 5. un 6. ieteikumu, kas izstrādāti darba grupā.</w:t>
      </w:r>
    </w:p>
  </w:endnote>
  <w:endnote w:id="18">
    <w:p>
      <w:pPr>
        <w:pStyle w:val="Notedefin"/>
        <w:suppressLineNumbers/>
        <w:spacing w:before="57" w:after="57"/>
        <w:ind w:left="339" w:right="0" w:hanging="339"/>
        <w:rPr/>
      </w:pPr>
      <w:r>
        <w:rPr>
          <w:rStyle w:val="Caractresdenotedefin"/>
        </w:rPr>
        <w:endnoteRef/>
      </w:r>
      <w:r>
        <w:rPr/>
        <w:tab/>
      </w:r>
      <w:r>
        <w:rPr/>
        <w:t xml:space="preserve">Sk. Itālijas VKP 2. grupas digitālo platformu un 2. un 3. ieteikumu, kas izstrādāti darba grupā, </w:t>
      </w:r>
      <w:hyperlink r:id="rId1">
        <w:r>
          <w:rPr>
            <w:rStyle w:val="LienInternet"/>
          </w:rPr>
          <w:t>https://futureu.europa.eu/processes/EUInTheWorld/f/16/proposals/197870?locale=fr</w:t>
        </w:r>
      </w:hyperlink>
      <w:r>
        <w:rPr/>
        <w:t>.</w:t>
      </w:r>
    </w:p>
  </w:endnote>
  <w:endnote w:id="19">
    <w:p>
      <w:pPr>
        <w:pStyle w:val="Notedefin"/>
        <w:suppressLineNumbers/>
        <w:spacing w:before="57" w:after="57"/>
        <w:ind w:left="339" w:right="0" w:hanging="339"/>
        <w:rPr/>
      </w:pPr>
      <w:r>
        <w:rPr>
          <w:rStyle w:val="Caractresdenotedefin"/>
        </w:rPr>
        <w:endnoteRef/>
      </w:r>
      <w:r>
        <w:rPr/>
        <w:tab/>
      </w:r>
      <w:r>
        <w:rPr/>
        <w:t>Skatīt ECP 4 14. ieteikumu, kas izstrādāts darba grupā.</w:t>
      </w:r>
    </w:p>
  </w:endnote>
  <w:endnote w:id="20">
    <w:p>
      <w:pPr>
        <w:pStyle w:val="Notedefin"/>
        <w:suppressLineNumbers/>
        <w:spacing w:before="57" w:after="57"/>
        <w:ind w:left="339" w:right="0" w:hanging="339"/>
        <w:rPr/>
      </w:pPr>
      <w:r>
        <w:rPr>
          <w:rStyle w:val="Caractresdenotedefin"/>
        </w:rPr>
        <w:endnoteRef/>
      </w:r>
      <w:r>
        <w:rPr/>
        <w:tab/>
      </w:r>
      <w:r>
        <w:rPr/>
        <w:t>Skatīt ECP4 Ieteikumu Nr. 2 un Itālijas VKP 2. grupas Ieteikumu Nr. 4, kas izstrādāti darba grupā.</w:t>
      </w:r>
    </w:p>
  </w:endnote>
  <w:endnote w:id="21">
    <w:p>
      <w:pPr>
        <w:pStyle w:val="Notedefin"/>
        <w:suppressLineNumbers/>
        <w:spacing w:before="57" w:after="57"/>
        <w:ind w:left="339" w:right="0" w:hanging="339"/>
        <w:rPr/>
      </w:pPr>
      <w:r>
        <w:rPr>
          <w:rStyle w:val="Caractresdenotedefin"/>
        </w:rPr>
        <w:endnoteRef/>
      </w:r>
      <w:r>
        <w:rPr/>
        <w:tab/>
      </w:r>
      <w:r>
        <w:rPr/>
        <w:t>Skatīt ECP4 Ieteikumu Nr. 17 un Itālijas VKP 2. grupas Ieteikumu Nr. 4, kas izstrādāti darba grupā.</w:t>
      </w:r>
    </w:p>
  </w:endnote>
  <w:endnote w:id="22">
    <w:p>
      <w:pPr>
        <w:pStyle w:val="Notedefin"/>
        <w:suppressLineNumbers/>
        <w:spacing w:before="57" w:after="57"/>
        <w:ind w:left="339" w:right="0" w:hanging="339"/>
        <w:rPr/>
      </w:pPr>
      <w:r>
        <w:rPr>
          <w:rStyle w:val="Caractresdenotedefin"/>
        </w:rPr>
        <w:endnoteRef/>
      </w:r>
      <w:r>
        <w:rPr/>
        <w:tab/>
      </w:r>
      <w:r>
        <w:rPr/>
        <w:t>Sk. 1. ieteikumu Vācijas NKP 1. paneļdiskusijā “ES pasaulē”, kas izstrādāts darba grupā.</w:t>
      </w:r>
    </w:p>
  </w:endnote>
  <w:endnote w:id="23">
    <w:p>
      <w:pPr>
        <w:pStyle w:val="Notedefin"/>
        <w:suppressLineNumbers/>
        <w:spacing w:before="57" w:after="57"/>
        <w:ind w:left="339" w:right="0" w:hanging="339"/>
        <w:rPr/>
      </w:pPr>
      <w:r>
        <w:rPr>
          <w:rStyle w:val="Caractresdenotedefin"/>
        </w:rPr>
        <w:endnoteRef/>
      </w:r>
      <w:r>
        <w:rPr/>
        <w:tab/>
      </w:r>
      <w:r>
        <w:rPr/>
        <w:t>Skatīt ECP 4 3. ieteikumu, kas izstrādāts darba grupā.</w:t>
      </w:r>
    </w:p>
  </w:endnote>
  <w:endnote w:id="24">
    <w:p>
      <w:pPr>
        <w:pStyle w:val="Notedefin"/>
        <w:suppressLineNumbers/>
        <w:spacing w:before="57" w:after="57"/>
        <w:ind w:left="339" w:right="0" w:hanging="339"/>
        <w:rPr/>
      </w:pPr>
      <w:r>
        <w:rPr>
          <w:rStyle w:val="Caractresdenotedefin"/>
        </w:rPr>
        <w:endnoteRef/>
      </w:r>
      <w:r>
        <w:rPr/>
        <w:tab/>
      </w:r>
      <w:r>
        <w:rPr/>
        <w:t>Skatīt ECP 4 11. ieteikumu, kas izstrādāts darba grupā.</w:t>
      </w:r>
    </w:p>
  </w:endnote>
  <w:endnote w:id="25">
    <w:p>
      <w:pPr>
        <w:pStyle w:val="Notedefin"/>
        <w:suppressLineNumbers/>
        <w:spacing w:before="57" w:after="57"/>
        <w:ind w:left="339" w:right="0" w:hanging="339"/>
        <w:rPr/>
      </w:pPr>
      <w:r>
        <w:rPr>
          <w:rStyle w:val="Caractresdenotedefin"/>
        </w:rPr>
        <w:endnoteRef/>
      </w:r>
      <w:r>
        <w:rPr/>
        <w:tab/>
      </w:r>
      <w:r>
        <w:rPr/>
        <w:t>Skatīt ECP 4 13. ieteikumu, kas izstrādāts darba grupā.</w:t>
      </w:r>
    </w:p>
  </w:endnote>
  <w:endnote w:id="26">
    <w:p>
      <w:pPr>
        <w:pStyle w:val="Notedefin"/>
        <w:suppressLineNumbers/>
        <w:spacing w:before="57" w:after="57"/>
        <w:ind w:left="339" w:right="0" w:hanging="339"/>
        <w:rPr/>
      </w:pPr>
      <w:r>
        <w:rPr>
          <w:rStyle w:val="Caractresdenotedefin"/>
        </w:rPr>
        <w:endnoteRef/>
      </w:r>
      <w:r>
        <w:rPr/>
        <w:tab/>
      </w:r>
      <w:r>
        <w:rPr/>
        <w:t>Skatīt ECP 4 15. ieteikumu, kas izstrādāts darba grupā.</w:t>
      </w:r>
    </w:p>
  </w:endnote>
  <w:endnote w:id="27">
    <w:p>
      <w:pPr>
        <w:pStyle w:val="Notedefin"/>
        <w:suppressLineNumbers/>
        <w:spacing w:before="57" w:after="57"/>
        <w:ind w:left="339" w:right="0" w:hanging="339"/>
        <w:rPr/>
      </w:pPr>
      <w:r>
        <w:rPr>
          <w:rStyle w:val="Caractresdenotedefin"/>
        </w:rPr>
        <w:endnoteRef/>
      </w:r>
      <w:r>
        <w:rPr/>
        <w:tab/>
      </w:r>
      <w:r>
        <w:rPr/>
        <w:t>Skatīt ECP 4 16. ieteikumu, kas izstrādāts darba grupā.</w:t>
      </w:r>
    </w:p>
  </w:endnote>
  <w:endnote w:id="28">
    <w:p>
      <w:pPr>
        <w:pStyle w:val="Notedefin"/>
        <w:suppressLineNumbers/>
        <w:spacing w:before="57" w:after="57"/>
        <w:ind w:left="339" w:right="0" w:hanging="339"/>
        <w:rPr/>
      </w:pPr>
      <w:r>
        <w:rPr>
          <w:rStyle w:val="Caractresdenotedefin"/>
        </w:rPr>
        <w:endnoteRef/>
      </w:r>
      <w:r>
        <w:rPr/>
        <w:tab/>
      </w:r>
      <w:r>
        <w:rPr/>
        <w:t>Skatīt ECP 4 12. ieteikumu, kas izstrādāts darba grupā.</w:t>
      </w:r>
    </w:p>
  </w:endnote>
  <w:endnote w:id="29">
    <w:p>
      <w:pPr>
        <w:pStyle w:val="Notedefin"/>
        <w:suppressLineNumbers/>
        <w:spacing w:before="57" w:after="57"/>
        <w:ind w:left="339" w:right="0" w:hanging="339"/>
        <w:rPr/>
      </w:pPr>
      <w:r>
        <w:rPr>
          <w:rStyle w:val="Caractresdenotedefin"/>
        </w:rPr>
        <w:endnoteRef/>
      </w:r>
      <w:r>
        <w:rPr/>
        <w:tab/>
      </w:r>
      <w:r>
        <w:rPr/>
        <w:t>Skatīt ECP 4 21. ieteikumu, kas izstrādāts darba grupā.</w:t>
      </w:r>
    </w:p>
  </w:endnote>
  <w:endnote w:id="30">
    <w:p>
      <w:pPr>
        <w:pStyle w:val="Notedefin"/>
        <w:suppressLineNumbers/>
        <w:spacing w:before="57" w:after="57"/>
        <w:ind w:left="339" w:right="0" w:hanging="339"/>
        <w:rPr/>
      </w:pPr>
      <w:r>
        <w:rPr>
          <w:rStyle w:val="Caractresdenotedefin"/>
        </w:rPr>
        <w:endnoteRef/>
      </w:r>
      <w:r>
        <w:rPr/>
        <w:tab/>
      </w:r>
      <w:r>
        <w:rPr/>
        <w:t>Skatiet darba grupā izstrādāto digitālo platformu.</w:t>
      </w:r>
    </w:p>
  </w:endnote>
  <w:endnote w:id="31">
    <w:p>
      <w:pPr>
        <w:pStyle w:val="Notedefin"/>
        <w:suppressLineNumbers/>
        <w:spacing w:before="57" w:after="57"/>
        <w:ind w:left="339" w:right="0" w:hanging="339"/>
        <w:rPr/>
      </w:pPr>
      <w:r>
        <w:rPr>
          <w:rStyle w:val="Caractresdenotedefin"/>
        </w:rPr>
        <w:endnoteRef/>
      </w:r>
      <w:r>
        <w:rPr/>
        <w:tab/>
      </w:r>
      <w:r>
        <w:rPr/>
        <w:t>Skatiet darba grupā izstrādāto digitālo platformu.</w:t>
      </w:r>
    </w:p>
  </w:endnote>
  <w:endnote w:id="32">
    <w:p>
      <w:pPr>
        <w:pStyle w:val="Notedefin"/>
        <w:suppressLineNumbers/>
        <w:spacing w:before="57" w:after="57"/>
        <w:ind w:left="339" w:right="0" w:hanging="339"/>
        <w:rPr/>
      </w:pPr>
      <w:r>
        <w:rPr>
          <w:rStyle w:val="Caractresdenotedefin"/>
        </w:rPr>
        <w:endnoteRef/>
      </w:r>
      <w:r>
        <w:rPr/>
        <w:tab/>
      </w:r>
      <w:r>
        <w:rPr/>
        <w:t>Skatīt ECP 4 26. ieteikumu, kas izstrādāts darba grupā.</w:t>
      </w:r>
    </w:p>
  </w:endnote>
  <w:endnote w:id="33">
    <w:p>
      <w:pPr>
        <w:pStyle w:val="Notedefin"/>
        <w:suppressLineNumbers/>
        <w:spacing w:before="57" w:after="57"/>
        <w:ind w:left="339" w:right="0" w:hanging="339"/>
        <w:rPr/>
      </w:pPr>
      <w:r>
        <w:rPr>
          <w:rStyle w:val="Caractresdenotedefin"/>
        </w:rPr>
        <w:endnoteRef/>
      </w:r>
      <w:r>
        <w:rPr/>
        <w:tab/>
      </w:r>
      <w:r>
        <w:rPr/>
        <w:t>Skatīt ECP 4 18. ieteikumu, kas izstrādāts darba grupā.</w:t>
      </w:r>
    </w:p>
  </w:endnote>
  <w:endnote w:id="34">
    <w:p>
      <w:pPr>
        <w:pStyle w:val="Notedefin"/>
        <w:suppressLineNumbers/>
        <w:spacing w:before="57" w:after="57"/>
        <w:ind w:left="339" w:right="0" w:hanging="339"/>
        <w:rPr/>
      </w:pPr>
      <w:r>
        <w:rPr>
          <w:rStyle w:val="Caractresdenotedefin"/>
        </w:rPr>
        <w:endnoteRef/>
      </w:r>
      <w:r>
        <w:rPr/>
        <w:tab/>
      </w:r>
      <w:r>
        <w:rPr/>
        <w:t>Skatīt ECP 4 19. ieteikumu, kas izstrādāts darba grupā.</w:t>
      </w:r>
    </w:p>
  </w:endnote>
  <w:endnote w:id="35">
    <w:p>
      <w:pPr>
        <w:pStyle w:val="Notedefin"/>
        <w:suppressLineNumbers/>
        <w:spacing w:before="57" w:after="57"/>
        <w:ind w:left="339" w:right="0" w:hanging="339"/>
        <w:rPr/>
      </w:pPr>
      <w:r>
        <w:rPr>
          <w:rStyle w:val="Caractresdenotedefin"/>
        </w:rPr>
        <w:endnoteRef/>
      </w:r>
      <w:r>
        <w:rPr/>
        <w:tab/>
      </w:r>
      <w:r>
        <w:rPr/>
        <w:t>Skatīt ECP 4 19. ieteikumu, kas izstrādāts darba grupā.</w:t>
      </w:r>
    </w:p>
  </w:endnote>
  <w:endnote w:id="36">
    <w:p>
      <w:pPr>
        <w:pStyle w:val="Notedefin"/>
        <w:suppressLineNumbers/>
        <w:spacing w:before="57" w:after="57"/>
        <w:ind w:left="339" w:right="0" w:hanging="339"/>
        <w:rPr/>
      </w:pPr>
      <w:r>
        <w:rPr>
          <w:rStyle w:val="Caractresdenotedefin"/>
        </w:rPr>
        <w:endnoteRef/>
      </w:r>
      <w:r>
        <w:rPr/>
        <w:tab/>
      </w:r>
      <w:r>
        <w:rPr/>
        <w:t>Skatīt ECP 4 25. ieteikumu.</w:t>
      </w:r>
    </w:p>
  </w:endnote>
  <w:endnote w:id="37">
    <w:p>
      <w:pPr>
        <w:pStyle w:val="Notedefin"/>
        <w:suppressLineNumbers/>
        <w:spacing w:before="57" w:after="57"/>
        <w:ind w:left="339" w:right="0" w:hanging="339"/>
        <w:rPr/>
      </w:pPr>
      <w:r>
        <w:rPr>
          <w:rStyle w:val="Caractresdenotedefin"/>
        </w:rPr>
        <w:endnoteRef/>
      </w:r>
      <w:r>
        <w:rPr/>
        <w:tab/>
      </w:r>
      <w:r>
        <w:rPr/>
        <w:t>Pamatojoties uz diskusijām darba grupā un plenārajā sesijā.</w:t>
      </w:r>
    </w:p>
  </w:endnote>
  <w:endnote w:id="38">
    <w:p>
      <w:pPr>
        <w:pStyle w:val="Notedefin"/>
        <w:suppressLineNumbers/>
        <w:spacing w:before="57" w:after="57"/>
        <w:ind w:left="339" w:right="0" w:hanging="339"/>
        <w:rPr/>
      </w:pPr>
      <w:r>
        <w:rPr>
          <w:rStyle w:val="Caractresdenotedefin"/>
        </w:rPr>
        <w:endnoteRef/>
      </w:r>
      <w:r>
        <w:rPr/>
        <w:tab/>
      </w:r>
      <w:r>
        <w:rPr/>
        <w:t>Skatīt Francijas valsts žūrijas/pasākumu 2. grozījumu.</w:t>
      </w:r>
    </w:p>
  </w:endnote>
  <w:endnote w:id="39">
    <w:p>
      <w:pPr>
        <w:pStyle w:val="Notedefin"/>
        <w:suppressLineNumbers/>
        <w:spacing w:before="57" w:after="57"/>
        <w:ind w:left="339" w:right="0" w:hanging="339"/>
        <w:rPr/>
      </w:pPr>
      <w:r>
        <w:rPr>
          <w:rStyle w:val="Caractresdenotedefin"/>
        </w:rPr>
        <w:endnoteRef/>
      </w:r>
      <w:r>
        <w:rPr/>
        <w:tab/>
      </w:r>
      <w:r>
        <w:rPr/>
        <w:t>Sk. ECP4 20. ieteikumu un Itālijas 2. grupas VKP 7. ieteikumu, kas izstrādāts darba grupā.</w:t>
      </w:r>
    </w:p>
  </w:endnote>
  <w:endnote w:id="40">
    <w:p>
      <w:pPr>
        <w:pStyle w:val="Notedefin"/>
        <w:suppressLineNumbers/>
        <w:spacing w:before="57" w:after="57"/>
        <w:ind w:left="339" w:right="0" w:hanging="339"/>
        <w:rPr/>
      </w:pPr>
      <w:r>
        <w:rPr>
          <w:rStyle w:val="Caractresdenotedefin"/>
        </w:rPr>
        <w:endnoteRef/>
      </w:r>
      <w:r>
        <w:rPr/>
        <w:tab/>
      </w:r>
      <w:r>
        <w:rPr/>
        <w:t>Skatīt 2. grozījumu Francijas pilsoņu paneļdiskusijā.</w:t>
      </w:r>
    </w:p>
  </w:endnote>
  <w:endnote w:id="41">
    <w:p>
      <w:pPr>
        <w:pStyle w:val="Notedefin"/>
        <w:suppressLineNumbers/>
        <w:spacing w:before="57" w:after="57"/>
        <w:ind w:left="339" w:right="0" w:hanging="339"/>
        <w:rPr/>
      </w:pPr>
      <w:r>
        <w:rPr>
          <w:rStyle w:val="Caractresdenotedefin"/>
        </w:rPr>
        <w:endnoteRef/>
      </w:r>
      <w:r>
        <w:rPr/>
        <w:tab/>
      </w:r>
      <w:r>
        <w:rPr/>
        <w:t>Skatīt ECP4 24. ieteikumu un Itālijas 2. grupas VKP 7. ieteikumu, kas izstrādāts darba grupā.</w:t>
      </w:r>
    </w:p>
  </w:endnote>
  <w:endnote w:id="42">
    <w:p>
      <w:pPr>
        <w:pStyle w:val="Notedefin"/>
        <w:suppressLineNumbers/>
        <w:spacing w:before="57" w:after="57"/>
        <w:ind w:left="339" w:right="0" w:hanging="339"/>
        <w:rPr/>
      </w:pPr>
      <w:r>
        <w:rPr>
          <w:rStyle w:val="Caractresdenotedefin"/>
        </w:rPr>
        <w:endnoteRef/>
      </w:r>
      <w:r>
        <w:rPr/>
        <w:tab/>
      </w:r>
      <w:r>
        <w:rPr/>
        <w:t>Skatīt ECP 4 22. ieteikumu, kas izstrādāts darba grupā.</w:t>
      </w:r>
    </w:p>
  </w:endnote>
  <w:endnote w:id="43">
    <w:p>
      <w:pPr>
        <w:pStyle w:val="Notedefin"/>
        <w:suppressLineNumbers/>
        <w:spacing w:before="57" w:after="57"/>
        <w:ind w:left="339" w:right="0" w:hanging="339"/>
        <w:rPr/>
      </w:pPr>
      <w:r>
        <w:rPr>
          <w:rStyle w:val="Caractresdenotedefin"/>
        </w:rPr>
        <w:endnoteRef/>
      </w:r>
      <w:r>
        <w:rPr/>
        <w:tab/>
      </w:r>
      <w:r>
        <w:rPr/>
        <w:t>Sk. Nīderlandes Valsts pilsoņu paneļdiskusijas 1. ieteikumu par tematu “ES pasaulē”, kas izstrādāts darba grupā.</w:t>
      </w:r>
    </w:p>
  </w:endnote>
  <w:endnote w:id="44">
    <w:p>
      <w:pPr>
        <w:pStyle w:val="Notedefin"/>
        <w:suppressLineNumbers/>
        <w:spacing w:before="57" w:after="57"/>
        <w:ind w:left="339" w:right="0" w:hanging="339"/>
        <w:rPr/>
      </w:pPr>
      <w:r>
        <w:rPr>
          <w:rStyle w:val="Caractresdenotedefin"/>
        </w:rPr>
        <w:endnoteRef/>
      </w:r>
      <w:r>
        <w:rPr/>
        <w:tab/>
      </w:r>
      <w:r>
        <w:rPr/>
        <w:t>Skatīt darba grupā izstrādāto digitālo platformu un plenārsēdes debates.</w:t>
      </w:r>
    </w:p>
  </w:endnote>
  <w:endnote w:id="45">
    <w:p>
      <w:pPr>
        <w:pStyle w:val="Notedefin"/>
        <w:suppressLineNumbers/>
        <w:spacing w:before="57" w:after="57"/>
        <w:ind w:left="339" w:right="0" w:hanging="339"/>
        <w:rPr/>
      </w:pPr>
      <w:r>
        <w:rPr>
          <w:rStyle w:val="Caractresdenotedefin"/>
        </w:rPr>
        <w:endnoteRef/>
      </w:r>
      <w:r>
        <w:rPr/>
        <w:tab/>
      </w:r>
      <w:r>
        <w:rPr/>
        <w:t>Skatiet darba grupā izstrādāto digitālo platformu.</w:t>
      </w:r>
    </w:p>
  </w:endnote>
  <w:endnote w:id="46">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2 (CEP 2) 10, 11, 14, 30; Beļģijas valsts pilsoņu paneļdiskusija (VKP): 1.3.1., 1.4.2., 1.4.3.; Vācijas VKP: 5.1, 5.2; Nīderlandes VKP: 1.2.</w:t>
      </w:r>
    </w:p>
  </w:endnote>
  <w:endnote w:id="47">
    <w:p>
      <w:pPr>
        <w:pStyle w:val="Notedefin"/>
        <w:suppressLineNumbers/>
        <w:spacing w:before="57" w:after="57"/>
        <w:ind w:left="339" w:right="0" w:hanging="339"/>
        <w:rPr/>
      </w:pPr>
      <w:r>
        <w:rPr>
          <w:rStyle w:val="Caractresdenotedefin"/>
        </w:rPr>
        <w:endnoteRef/>
      </w:r>
      <w:r>
        <w:rPr/>
        <w:tab/>
      </w:r>
      <w:r>
        <w:rPr/>
        <w:t>ECP2 14. ieteikums. Beļģijas NKP 1.3.1., 1.4.2. un 1.4.3. ieteikums un Nīderlandes NKP 1.2. ieteikums.</w:t>
      </w:r>
    </w:p>
  </w:endnote>
  <w:endnote w:id="48">
    <w:p>
      <w:pPr>
        <w:pStyle w:val="Notedefin"/>
        <w:suppressLineNumbers/>
        <w:spacing w:before="57" w:after="57"/>
        <w:ind w:left="339" w:right="0" w:hanging="339"/>
        <w:rPr/>
      </w:pPr>
      <w:r>
        <w:rPr>
          <w:rStyle w:val="Caractresdenotedefin"/>
        </w:rPr>
        <w:endnoteRef/>
      </w:r>
      <w:r>
        <w:rPr/>
        <w:tab/>
      </w:r>
      <w:r>
        <w:rPr/>
        <w:t>ECP Ieteikums Nr. 112. Vācijas VKP 5.1. un 5.2. ieteikums. Debates darba grupā.</w:t>
      </w:r>
    </w:p>
  </w:endnote>
  <w:endnote w:id="49">
    <w:p>
      <w:pPr>
        <w:pStyle w:val="Notedefin"/>
        <w:suppressLineNumbers/>
        <w:spacing w:before="57" w:after="57"/>
        <w:ind w:left="339" w:right="0" w:hanging="339"/>
        <w:rPr/>
      </w:pPr>
      <w:r>
        <w:rPr>
          <w:rStyle w:val="Caractresdenotedefin"/>
        </w:rPr>
        <w:endnoteRef/>
      </w:r>
      <w:r>
        <w:rPr/>
        <w:tab/>
      </w:r>
      <w:r>
        <w:rPr/>
        <w:t>ECP Ieteikums Nr. 112. Debates darba grupā. Debates plenārsēdē.</w:t>
      </w:r>
    </w:p>
  </w:endnote>
  <w:endnote w:id="50">
    <w:p>
      <w:pPr>
        <w:pStyle w:val="Notedefin"/>
        <w:suppressLineNumbers/>
        <w:spacing w:before="57" w:after="57"/>
        <w:ind w:left="339" w:right="0" w:hanging="339"/>
        <w:rPr/>
      </w:pPr>
      <w:r>
        <w:rPr>
          <w:rStyle w:val="Caractresdenotedefin"/>
        </w:rPr>
        <w:endnoteRef/>
      </w:r>
      <w:r>
        <w:rPr/>
        <w:tab/>
      </w:r>
      <w:r>
        <w:rPr/>
        <w:t>ECP2 10. ieteikums.</w:t>
      </w:r>
    </w:p>
  </w:endnote>
  <w:endnote w:id="51">
    <w:p>
      <w:pPr>
        <w:pStyle w:val="Notedefin"/>
        <w:suppressLineNumbers/>
        <w:spacing w:before="57" w:after="57"/>
        <w:ind w:left="339" w:right="0" w:hanging="339"/>
        <w:rPr/>
      </w:pPr>
      <w:r>
        <w:rPr>
          <w:rStyle w:val="Caractresdenotedefin"/>
        </w:rPr>
        <w:endnoteRef/>
      </w:r>
      <w:r>
        <w:rPr/>
        <w:tab/>
      </w:r>
      <w:r>
        <w:rPr/>
        <w:t>ECP Ieteikums Nr. 302.</w:t>
      </w:r>
    </w:p>
  </w:endnote>
  <w:endnote w:id="52">
    <w:p>
      <w:pPr>
        <w:pStyle w:val="Notedefin"/>
        <w:suppressLineNumbers/>
        <w:spacing w:before="57" w:after="57"/>
        <w:ind w:left="339" w:right="0" w:hanging="339"/>
        <w:rPr/>
      </w:pPr>
      <w:r>
        <w:rPr>
          <w:rStyle w:val="Caractresdenotedefin"/>
        </w:rPr>
        <w:endnoteRef/>
      </w:r>
      <w:r>
        <w:rPr/>
        <w:tab/>
      </w:r>
      <w:r>
        <w:rPr/>
        <w:t>Pilsoņu ieteikumi, kas ir priekšlikuma pamatā: PCE2: 7, 8, 9; Nīderlandes VKP: 1.3, 4.3.</w:t>
      </w:r>
    </w:p>
  </w:endnote>
  <w:endnote w:id="53">
    <w:p>
      <w:pPr>
        <w:pStyle w:val="Notedefin"/>
        <w:suppressLineNumbers/>
        <w:spacing w:before="57" w:after="57"/>
        <w:ind w:left="339" w:right="0" w:hanging="339"/>
        <w:rPr/>
      </w:pPr>
      <w:r>
        <w:rPr>
          <w:rStyle w:val="Caractresdenotedefin"/>
        </w:rPr>
        <w:endnoteRef/>
      </w:r>
      <w:r>
        <w:rPr/>
        <w:tab/>
      </w:r>
      <w:r>
        <w:rPr/>
        <w:t>ECP2 7. ieteikums. Debates darba grupā.</w:t>
      </w:r>
    </w:p>
  </w:endnote>
  <w:endnote w:id="54">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55">
    <w:p>
      <w:pPr>
        <w:pStyle w:val="Notedefin"/>
        <w:suppressLineNumbers/>
        <w:spacing w:before="57" w:after="57"/>
        <w:ind w:left="339" w:right="0" w:hanging="339"/>
        <w:rPr/>
      </w:pPr>
      <w:r>
        <w:rPr>
          <w:rStyle w:val="Caractresdenotedefin"/>
        </w:rPr>
        <w:endnoteRef/>
      </w:r>
      <w:r>
        <w:rPr/>
        <w:tab/>
      </w:r>
      <w:r>
        <w:rPr/>
        <w:t>ECP2 9. ieteikums.</w:t>
      </w:r>
    </w:p>
  </w:endnote>
  <w:endnote w:id="56">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57">
    <w:p>
      <w:pPr>
        <w:pStyle w:val="Notedefin"/>
        <w:suppressLineNumbers/>
        <w:spacing w:before="57" w:after="57"/>
        <w:ind w:left="339" w:right="0" w:hanging="339"/>
        <w:rPr/>
      </w:pPr>
      <w:r>
        <w:rPr>
          <w:rStyle w:val="Caractresdenotedefin"/>
        </w:rPr>
        <w:endnoteRef/>
      </w:r>
      <w:r>
        <w:rPr/>
        <w:tab/>
      </w:r>
      <w:r>
        <w:rPr/>
        <w:t>ECP2 8. ieteikums. Nīderlandes VKP 1.3. un 4.3. ieteikums.</w:t>
      </w:r>
    </w:p>
  </w:endnote>
  <w:endnote w:id="58">
    <w:p>
      <w:pPr>
        <w:pStyle w:val="Notedefin"/>
        <w:suppressLineNumbers/>
        <w:spacing w:before="57" w:after="57"/>
        <w:ind w:left="339" w:right="0" w:hanging="339"/>
        <w:rPr/>
      </w:pPr>
      <w:r>
        <w:rPr>
          <w:rStyle w:val="Caractresdenotedefin"/>
        </w:rPr>
        <w:endnoteRef/>
      </w:r>
      <w:r>
        <w:rPr/>
        <w:tab/>
      </w:r>
      <w:r>
        <w:rPr/>
        <w:t>ECP2 7. un 8. ieteikums.</w:t>
      </w:r>
    </w:p>
  </w:endnote>
  <w:endnote w:id="59">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60">
    <w:p>
      <w:pPr>
        <w:pStyle w:val="Notedefin"/>
        <w:suppressLineNumbers/>
        <w:spacing w:before="57" w:after="57"/>
        <w:ind w:left="339" w:right="0" w:hanging="339"/>
        <w:rPr/>
      </w:pPr>
      <w:r>
        <w:rPr>
          <w:rStyle w:val="Caractresdenotedefin"/>
        </w:rPr>
        <w:endnoteRef/>
      </w:r>
      <w:r>
        <w:rPr/>
        <w:tab/>
      </w:r>
      <w:r>
        <w:rPr/>
        <w:t>Pilsoņu ieteikumi, kas ir priekšlikuma pamatā: PCE2: 5, 12, 13, 17, 28; Beļģijas VKP: 1.5.1., 2.1.1. līdz 2.4.3.; Nīderlandes VKP: 3.1.</w:t>
      </w:r>
    </w:p>
  </w:endnote>
  <w:endnote w:id="61">
    <w:p>
      <w:pPr>
        <w:pStyle w:val="Notedefin"/>
        <w:suppressLineNumbers/>
        <w:spacing w:before="57" w:after="57"/>
        <w:ind w:left="339" w:right="0" w:hanging="339"/>
        <w:rPr/>
      </w:pPr>
      <w:r>
        <w:rPr>
          <w:rStyle w:val="Caractresdenotedefin"/>
        </w:rPr>
        <w:endnoteRef/>
      </w:r>
      <w:r>
        <w:rPr/>
        <w:tab/>
      </w:r>
      <w:r>
        <w:rPr/>
        <w:t>ECP2 5. ieteikums. Beļģijas VKP 2.1.1. ieteikums. Nīderlandes VKP 3.1. ieteikums.</w:t>
      </w:r>
    </w:p>
  </w:endnote>
  <w:endnote w:id="62">
    <w:p>
      <w:pPr>
        <w:pStyle w:val="Notedefin"/>
        <w:suppressLineNumbers/>
        <w:spacing w:before="57" w:after="57"/>
        <w:ind w:left="339" w:right="0" w:hanging="339"/>
        <w:rPr/>
      </w:pPr>
      <w:r>
        <w:rPr>
          <w:rStyle w:val="Caractresdenotedefin"/>
        </w:rPr>
        <w:endnoteRef/>
      </w:r>
      <w:r>
        <w:rPr/>
        <w:tab/>
      </w:r>
      <w:r>
        <w:rPr/>
        <w:t>ECP Ieteikums Nr. 122. Beļģijas VKP 2.1.4. ieteikums.</w:t>
      </w:r>
    </w:p>
  </w:endnote>
  <w:endnote w:id="63">
    <w:p>
      <w:pPr>
        <w:pStyle w:val="Notedefin"/>
        <w:suppressLineNumbers/>
        <w:spacing w:before="57" w:after="57"/>
        <w:ind w:left="339" w:right="0" w:hanging="339"/>
        <w:rPr/>
      </w:pPr>
      <w:r>
        <w:rPr>
          <w:rStyle w:val="Caractresdenotedefin"/>
        </w:rPr>
        <w:endnoteRef/>
      </w:r>
      <w:r>
        <w:rPr/>
        <w:tab/>
      </w:r>
      <w:r>
        <w:rPr/>
        <w:t>PCE2 Ieteikumi Nr. 17 un 28. Beļģijas NKP 1.5.1., 2.1.3., 2.2.1. un 2.2.2. ieteikums.</w:t>
      </w:r>
    </w:p>
  </w:endnote>
  <w:endnote w:id="64">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65">
    <w:p>
      <w:pPr>
        <w:pStyle w:val="Notedefin"/>
        <w:suppressLineNumbers/>
        <w:spacing w:before="57" w:after="57"/>
        <w:ind w:left="339" w:right="0" w:hanging="339"/>
        <w:rPr/>
      </w:pPr>
      <w:r>
        <w:rPr>
          <w:rStyle w:val="Caractresdenotedefin"/>
        </w:rPr>
        <w:endnoteRef/>
      </w:r>
      <w:r>
        <w:rPr/>
        <w:tab/>
      </w:r>
      <w:r>
        <w:rPr/>
        <w:t>PCE2 Ieteikumi Nr. 5 un Nr. 28. Beļģijas VKP 2.3.2. un 2.3.3. ieteikums.</w:t>
      </w:r>
    </w:p>
  </w:endnote>
  <w:endnote w:id="66">
    <w:p>
      <w:pPr>
        <w:pStyle w:val="Notedefin"/>
        <w:suppressLineNumbers/>
        <w:spacing w:before="57" w:after="57"/>
        <w:ind w:left="339" w:right="0" w:hanging="339"/>
        <w:rPr/>
      </w:pPr>
      <w:r>
        <w:rPr>
          <w:rStyle w:val="Caractresdenotedefin"/>
        </w:rPr>
        <w:endnoteRef/>
      </w:r>
      <w:r>
        <w:rPr/>
        <w:tab/>
      </w:r>
      <w:r>
        <w:rPr/>
        <w:t>ECP Ieteikums Nr. 282. Beļģijas VKP 2.3.1., 2.4.1. un 2.4.2. ieteikums.</w:t>
      </w:r>
    </w:p>
  </w:endnote>
  <w:endnote w:id="67">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68">
    <w:p>
      <w:pPr>
        <w:pStyle w:val="Notedefin"/>
        <w:suppressLineNumbers/>
        <w:spacing w:before="57" w:after="57"/>
        <w:ind w:left="339" w:right="0" w:hanging="339"/>
        <w:rPr/>
      </w:pPr>
      <w:r>
        <w:rPr>
          <w:rStyle w:val="Caractresdenotedefin"/>
        </w:rPr>
        <w:endnoteRef/>
      </w:r>
      <w:r>
        <w:rPr/>
        <w:tab/>
      </w:r>
      <w:r>
        <w:rPr/>
        <w:t>ECP Ieteikums Nr. 132.</w:t>
      </w:r>
    </w:p>
  </w:endnote>
  <w:endnote w:id="69">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70">
    <w:p>
      <w:pPr>
        <w:pStyle w:val="Notedefin"/>
        <w:suppressLineNumbers/>
        <w:spacing w:before="57" w:after="57"/>
        <w:ind w:left="339" w:right="0" w:hanging="339"/>
        <w:rPr/>
      </w:pPr>
      <w:r>
        <w:rPr>
          <w:rStyle w:val="Caractresdenotedefin"/>
        </w:rPr>
        <w:endnoteRef/>
      </w:r>
      <w:r>
        <w:rPr/>
        <w:tab/>
      </w:r>
      <w:r>
        <w:rPr/>
        <w:t>ECP Ieteikums Nr. 132.</w:t>
      </w:r>
    </w:p>
  </w:endnote>
  <w:endnote w:id="71">
    <w:p>
      <w:pPr>
        <w:pStyle w:val="Notedefin"/>
        <w:suppressLineNumbers/>
        <w:spacing w:before="57" w:after="57"/>
        <w:ind w:left="339" w:right="0" w:hanging="339"/>
        <w:rPr/>
      </w:pPr>
      <w:r>
        <w:rPr>
          <w:rStyle w:val="Caractresdenotedefin"/>
        </w:rPr>
        <w:endnoteRef/>
      </w:r>
      <w:r>
        <w:rPr/>
        <w:tab/>
      </w:r>
      <w:r>
        <w:rPr/>
        <w:t>Jautājumu apsprieda arī Digitālās pārveides darba grupa.</w:t>
      </w:r>
    </w:p>
  </w:endnote>
  <w:endnote w:id="72">
    <w:p>
      <w:pPr>
        <w:pStyle w:val="Notedefin"/>
        <w:suppressLineNumbers/>
        <w:spacing w:before="57" w:after="57"/>
        <w:ind w:left="339" w:right="0" w:hanging="339"/>
        <w:rPr/>
      </w:pPr>
      <w:r>
        <w:rPr>
          <w:rStyle w:val="Caractresdenotedefin"/>
        </w:rPr>
        <w:endnoteRef/>
      </w:r>
      <w:r>
        <w:rPr/>
        <w:tab/>
      </w:r>
      <w:r>
        <w:rPr/>
        <w:t>Pilsoņu ieteikumi, kas ir priekšlikuma pamatā: PCE2: 1, 2, 21, 22, 23; Nīderlandes VKP: 1.1.</w:t>
      </w:r>
    </w:p>
  </w:endnote>
  <w:endnote w:id="73">
    <w:p>
      <w:pPr>
        <w:pStyle w:val="Notedefin"/>
        <w:suppressLineNumbers/>
        <w:spacing w:before="57" w:after="57"/>
        <w:ind w:left="339" w:right="0" w:hanging="339"/>
        <w:rPr/>
      </w:pPr>
      <w:r>
        <w:rPr>
          <w:rStyle w:val="Caractresdenotedefin"/>
        </w:rPr>
        <w:endnoteRef/>
      </w:r>
      <w:r>
        <w:rPr/>
        <w:tab/>
      </w:r>
      <w:r>
        <w:rPr/>
        <w:t>ECP Ieteikums Nr. 222. Debates darba grupā.</w:t>
      </w:r>
    </w:p>
  </w:endnote>
  <w:endnote w:id="74">
    <w:p>
      <w:pPr>
        <w:pStyle w:val="Notedefin"/>
        <w:suppressLineNumbers/>
        <w:spacing w:before="57" w:after="57"/>
        <w:ind w:left="339" w:right="0" w:hanging="339"/>
        <w:rPr/>
      </w:pPr>
      <w:r>
        <w:rPr>
          <w:rStyle w:val="Caractresdenotedefin"/>
        </w:rPr>
        <w:endnoteRef/>
      </w:r>
      <w:r>
        <w:rPr/>
        <w:tab/>
      </w:r>
      <w:r>
        <w:rPr/>
        <w:t>Jautājumu apsprieda arī darba grupa “Spēcīgāka ekonomika, sociālais taisnīgums un nodarbinātība”.</w:t>
      </w:r>
    </w:p>
  </w:endnote>
  <w:endnote w:id="75">
    <w:p>
      <w:pPr>
        <w:pStyle w:val="Notedefin"/>
        <w:suppressLineNumbers/>
        <w:spacing w:before="57" w:after="57"/>
        <w:ind w:left="339" w:right="0" w:hanging="339"/>
        <w:rPr/>
      </w:pPr>
      <w:r>
        <w:rPr>
          <w:rStyle w:val="Caractresdenotedefin"/>
        </w:rPr>
        <w:endnoteRef/>
      </w:r>
      <w:r>
        <w:rPr/>
        <w:tab/>
      </w:r>
      <w:r>
        <w:rPr/>
        <w:t>ECP Ieteikums Nr. 212. Nīderlandes VKP 1.1. ieteikums.</w:t>
      </w:r>
    </w:p>
  </w:endnote>
  <w:endnote w:id="76">
    <w:p>
      <w:pPr>
        <w:pStyle w:val="Notedefin"/>
        <w:suppressLineNumbers/>
        <w:spacing w:before="57" w:after="57"/>
        <w:ind w:left="339" w:right="0" w:hanging="339"/>
        <w:rPr/>
      </w:pPr>
      <w:r>
        <w:rPr>
          <w:rStyle w:val="Caractresdenotedefin"/>
        </w:rPr>
        <w:endnoteRef/>
      </w:r>
      <w:r>
        <w:rPr/>
        <w:tab/>
      </w:r>
      <w:r>
        <w:rPr/>
        <w:t>ECP Ieteikums Nr. 232.</w:t>
      </w:r>
    </w:p>
  </w:endnote>
  <w:endnote w:id="77">
    <w:p>
      <w:pPr>
        <w:pStyle w:val="Notedefin"/>
        <w:suppressLineNumbers/>
        <w:spacing w:before="57" w:after="57"/>
        <w:ind w:left="339" w:right="0" w:hanging="339"/>
        <w:rPr/>
      </w:pPr>
      <w:r>
        <w:rPr>
          <w:rStyle w:val="Caractresdenotedefin"/>
        </w:rPr>
        <w:endnoteRef/>
      </w:r>
      <w:r>
        <w:rPr/>
        <w:tab/>
      </w:r>
      <w:r>
        <w:rPr/>
        <w:t>Jautājumu apsprieda arī darba grupa “Spēcīgāka ekonomika, sociālais taisnīgums un nodarbinātība”.</w:t>
      </w:r>
    </w:p>
  </w:endnote>
  <w:endnote w:id="78">
    <w:p>
      <w:pPr>
        <w:pStyle w:val="Notedefin"/>
        <w:suppressLineNumbers/>
        <w:spacing w:before="57" w:after="57"/>
        <w:ind w:left="339" w:right="0" w:hanging="339"/>
        <w:rPr/>
      </w:pPr>
      <w:r>
        <w:rPr>
          <w:rStyle w:val="Caractresdenotedefin"/>
        </w:rPr>
        <w:endnoteRef/>
      </w:r>
      <w:r>
        <w:rPr/>
        <w:tab/>
      </w:r>
      <w:r>
        <w:rPr/>
        <w:t>ECP2 1. ieteikums. Debates darba grupā.</w:t>
      </w:r>
    </w:p>
  </w:endnote>
  <w:endnote w:id="79">
    <w:p>
      <w:pPr>
        <w:pStyle w:val="Notedefin"/>
        <w:suppressLineNumbers/>
        <w:spacing w:before="57" w:after="57"/>
        <w:ind w:left="339" w:right="0" w:hanging="339"/>
        <w:rPr/>
      </w:pPr>
      <w:r>
        <w:rPr>
          <w:rStyle w:val="Caractresdenotedefin"/>
        </w:rPr>
        <w:endnoteRef/>
      </w:r>
      <w:r>
        <w:rPr/>
        <w:tab/>
      </w:r>
      <w:r>
        <w:rPr/>
        <w:t>ECP2 2. ieteikums. Debates darba grupā.</w:t>
      </w:r>
    </w:p>
  </w:endnote>
  <w:endnote w:id="80">
    <w:p>
      <w:pPr>
        <w:pStyle w:val="Notedefin"/>
        <w:suppressLineNumbers/>
        <w:spacing w:before="57" w:after="57"/>
        <w:ind w:left="339" w:right="0" w:hanging="339"/>
        <w:rPr/>
      </w:pPr>
      <w:r>
        <w:rPr>
          <w:rStyle w:val="Caractresdenotedefin"/>
        </w:rPr>
        <w:endnoteRef/>
      </w:r>
      <w:r>
        <w:rPr/>
        <w:tab/>
      </w:r>
      <w:r>
        <w:rPr/>
        <w:t>Pilsoņu ieteikumi, kas ir priekšlikuma pamatā: PCE2: 3, 4, 6.</w:t>
      </w:r>
    </w:p>
  </w:endnote>
  <w:endnote w:id="81">
    <w:p>
      <w:pPr>
        <w:pStyle w:val="Notedefin"/>
        <w:suppressLineNumbers/>
        <w:spacing w:before="57" w:after="57"/>
        <w:ind w:left="339" w:right="0" w:hanging="339"/>
        <w:rPr/>
      </w:pPr>
      <w:r>
        <w:rPr>
          <w:rStyle w:val="Caractresdenotedefin"/>
        </w:rPr>
        <w:endnoteRef/>
      </w:r>
      <w:r>
        <w:rPr/>
        <w:tab/>
      </w:r>
      <w:r>
        <w:rPr/>
        <w:t>ECP2 3. ieteikums.</w:t>
      </w:r>
    </w:p>
  </w:endnote>
  <w:endnote w:id="82">
    <w:p>
      <w:pPr>
        <w:pStyle w:val="Notedefin"/>
        <w:suppressLineNumbers/>
        <w:spacing w:before="57" w:after="57"/>
        <w:ind w:left="339" w:right="0" w:hanging="339"/>
        <w:rPr/>
      </w:pPr>
      <w:r>
        <w:rPr>
          <w:rStyle w:val="Caractresdenotedefin"/>
        </w:rPr>
        <w:endnoteRef/>
      </w:r>
      <w:r>
        <w:rPr/>
        <w:tab/>
      </w:r>
      <w:r>
        <w:rPr/>
        <w:t>Jautājumu apsprieda arī Klimata pārmaiņu un vides jautājumu darba grupa.</w:t>
      </w:r>
    </w:p>
  </w:endnote>
  <w:endnote w:id="83">
    <w:p>
      <w:pPr>
        <w:pStyle w:val="Notedefin"/>
        <w:suppressLineNumbers/>
        <w:spacing w:before="57" w:after="57"/>
        <w:ind w:left="339" w:right="0" w:hanging="339"/>
        <w:rPr/>
      </w:pPr>
      <w:r>
        <w:rPr>
          <w:rStyle w:val="Caractresdenotedefin"/>
        </w:rPr>
        <w:endnoteRef/>
      </w:r>
      <w:r>
        <w:rPr/>
        <w:tab/>
      </w:r>
      <w:r>
        <w:rPr/>
        <w:t>ECP2 4. ieteikums.</w:t>
      </w:r>
    </w:p>
  </w:endnote>
  <w:endnote w:id="84">
    <w:p>
      <w:pPr>
        <w:pStyle w:val="Notedefin"/>
        <w:suppressLineNumbers/>
        <w:spacing w:before="57" w:after="57"/>
        <w:ind w:left="339" w:right="0" w:hanging="339"/>
        <w:rPr/>
      </w:pPr>
      <w:r>
        <w:rPr>
          <w:rStyle w:val="Caractresdenotedefin"/>
        </w:rPr>
        <w:endnoteRef/>
      </w:r>
      <w:r>
        <w:rPr/>
        <w:tab/>
      </w:r>
      <w:r>
        <w:rPr/>
        <w:t>ECP2 6. ieteikums.</w:t>
      </w:r>
    </w:p>
  </w:endnote>
  <w:endnote w:id="85">
    <w:p>
      <w:pPr>
        <w:pStyle w:val="Notedefin"/>
        <w:suppressLineNumbers/>
        <w:spacing w:before="57" w:after="57"/>
        <w:ind w:left="339" w:right="0" w:hanging="339"/>
        <w:rPr/>
      </w:pPr>
      <w:r>
        <w:rPr>
          <w:rStyle w:val="Caractresdenotedefin"/>
        </w:rPr>
        <w:endnoteRef/>
      </w:r>
      <w:r>
        <w:rPr/>
        <w:tab/>
      </w:r>
      <w:r>
        <w:rPr/>
        <w:t>Jautājumu apsprieda arī Klimata pārmaiņu un vides jautājumu darba grupa.</w:t>
      </w:r>
    </w:p>
  </w:endnote>
  <w:endnote w:id="86">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(ECP 1): 17, 40, 47; Nīderlandes Valsts pilsoņu paneļdiskusija (VKP) Nr. 1.</w:t>
      </w:r>
    </w:p>
  </w:endnote>
  <w:endnote w:id="87">
    <w:p>
      <w:pPr>
        <w:pStyle w:val="Notedefin"/>
        <w:suppressLineNumbers/>
        <w:spacing w:before="57" w:after="57"/>
        <w:ind w:left="339" w:right="0" w:hanging="339"/>
        <w:rPr/>
      </w:pPr>
      <w:r>
        <w:rPr>
          <w:rStyle w:val="Caractresdenotedefin"/>
        </w:rPr>
        <w:endnoteRef/>
      </w:r>
      <w:r>
        <w:rPr/>
        <w:tab/>
      </w:r>
      <w:r>
        <w:rPr/>
        <w:t>Skatīt saiti uz ECP 3 ieteikumu Nr. 38 attiecībā uz elektrotransportlīdzekļu infrastruktūru.</w:t>
      </w:r>
    </w:p>
  </w:endnote>
  <w:endnote w:id="88">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(ECP 1): 8, 34 un 47; Itālijas Valsts pilsoņu paneļdiskusija (VKP) 5.2.</w:t>
      </w:r>
    </w:p>
  </w:endnote>
  <w:endnote w:id="89">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paneļdiskusijas Nr. 1 (CEP 1) 39. un 46. ieteikums un Lietuvas Valsts pilsoņu paneļdiskusijas (NCP) un Nīderlandes NKP 2.6. ieteikums.</w:t>
      </w:r>
    </w:p>
  </w:endnote>
  <w:endnote w:id="90">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paneļdiskusijas Nr. 1 (PCE 1) 42., 43., 44. un 45. ieteikums un Nīderlandes Valsts pilsoņu paneļdiskusija (NCP) 2. ieteikums.</w:t>
      </w:r>
    </w:p>
  </w:endnote>
  <w:endnote w:id="91">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1 (PCE 1) Nr. 7, 16 un 17 un Vācijas un Itālijas valsts pilsoņu paneļdiskusija 1.3.</w:t>
      </w:r>
    </w:p>
  </w:endnote>
  <w:endnote w:id="92">
    <w:p>
      <w:pPr>
        <w:pStyle w:val="Notedefin"/>
        <w:suppressLineNumbers/>
        <w:spacing w:before="57" w:after="57"/>
        <w:ind w:left="339" w:right="0" w:hanging="339"/>
        <w:rPr/>
      </w:pPr>
      <w:r>
        <w:rPr>
          <w:rStyle w:val="Caractresdenotedefin"/>
        </w:rPr>
        <w:endnoteRef/>
      </w:r>
      <w:r>
        <w:rPr/>
        <w:tab/>
      </w:r>
      <w:r>
        <w:rPr/>
        <w:t>Jāapsver saistībā ar priekšlikumiem, ko izteikusi darba grupa par spēcīgāku ekonomiku.</w:t>
      </w:r>
    </w:p>
  </w:endnote>
  <w:endnote w:id="93">
    <w:p>
      <w:pPr>
        <w:pStyle w:val="Notedefin"/>
        <w:suppressLineNumbers/>
        <w:spacing w:before="57" w:after="57"/>
        <w:ind w:left="339" w:right="0" w:hanging="339"/>
        <w:rPr/>
      </w:pPr>
      <w:r>
        <w:rPr>
          <w:rStyle w:val="Caractresdenotedefin"/>
        </w:rPr>
        <w:endnoteRef/>
      </w:r>
      <w:r>
        <w:rPr/>
        <w:tab/>
      </w:r>
      <w:r>
        <w:rPr/>
        <w:t>Darba grupas grozījumi Nr. 3A un 3B.</w:t>
      </w:r>
    </w:p>
  </w:endnote>
  <w:endnote w:id="94">
    <w:p>
      <w:pPr>
        <w:pStyle w:val="Notedefin"/>
        <w:suppressLineNumbers/>
        <w:spacing w:before="57" w:after="57"/>
        <w:ind w:left="339" w:right="0" w:hanging="339"/>
        <w:rPr/>
      </w:pPr>
      <w:r>
        <w:rPr>
          <w:rStyle w:val="Caractresdenotedefin"/>
        </w:rPr>
        <w:endnoteRef/>
      </w:r>
      <w:r>
        <w:rPr/>
        <w:tab/>
      </w:r>
      <w:r>
        <w:rPr/>
        <w:t>Eiropas pilsoņu paneļdiskusijas Nr. 2 (PCE 2) 32. un 37. ieteikums; valstu paneļdiskusijās BE, FR un NL.</w:t>
      </w:r>
    </w:p>
  </w:endnote>
  <w:endnote w:id="95">
    <w:p>
      <w:pPr>
        <w:pStyle w:val="Notedefin"/>
        <w:suppressLineNumbers/>
        <w:spacing w:before="57" w:after="57"/>
        <w:ind w:left="339" w:right="0" w:hanging="339"/>
        <w:rPr/>
      </w:pPr>
      <w:r>
        <w:rPr>
          <w:rStyle w:val="Caractresdenotedefin"/>
        </w:rPr>
        <w:endnoteRef/>
      </w:r>
      <w:r>
        <w:rPr/>
        <w:tab/>
      </w:r>
      <w:r>
        <w:rPr/>
        <w:t>Valsts žūrija FR.</w:t>
      </w:r>
    </w:p>
  </w:endnote>
  <w:endnote w:id="96">
    <w:p>
      <w:pPr>
        <w:pStyle w:val="Notedefin"/>
        <w:suppressLineNumbers/>
        <w:spacing w:before="57" w:after="57"/>
        <w:ind w:left="339" w:right="0" w:hanging="339"/>
        <w:rPr/>
      </w:pPr>
      <w:r>
        <w:rPr>
          <w:rStyle w:val="Caractresdenotedefin"/>
        </w:rPr>
        <w:endnoteRef/>
      </w:r>
      <w:r>
        <w:rPr/>
        <w:tab/>
      </w:r>
      <w:r>
        <w:rPr/>
        <w:t>Darba grupas 8. grozījums, kodolīgāks formulējums.</w:t>
      </w:r>
    </w:p>
  </w:endnote>
  <w:endnote w:id="97">
    <w:p>
      <w:pPr>
        <w:pStyle w:val="Notedefin"/>
        <w:suppressLineNumbers/>
        <w:spacing w:before="57" w:after="57"/>
        <w:ind w:left="339" w:right="0" w:hanging="339"/>
        <w:rPr/>
      </w:pPr>
      <w:r>
        <w:rPr>
          <w:rStyle w:val="Caractresdenotedefin"/>
        </w:rPr>
        <w:endnoteRef/>
      </w:r>
      <w:r>
        <w:rPr/>
        <w:tab/>
      </w:r>
      <w:r>
        <w:rPr/>
        <w:t>ECP Ieteikums Nr. 29 2.</w:t>
      </w:r>
    </w:p>
  </w:endnote>
  <w:endnote w:id="98">
    <w:p>
      <w:pPr>
        <w:pStyle w:val="Notedefin"/>
        <w:suppressLineNumbers/>
        <w:spacing w:before="57" w:after="57"/>
        <w:ind w:left="339" w:right="0" w:hanging="339"/>
        <w:rPr/>
      </w:pPr>
      <w:r>
        <w:rPr>
          <w:rStyle w:val="Caractresdenotedefin"/>
        </w:rPr>
        <w:endnoteRef/>
      </w:r>
      <w:r>
        <w:rPr/>
        <w:tab/>
      </w:r>
      <w:r>
        <w:rPr/>
        <w:t>ECP 2 ieteikums Nr. 19 un 32; valsts BE un FR paneļdiskusija un DK pārstāvis valsts mēroga pasākumos.</w:t>
      </w:r>
    </w:p>
  </w:endnote>
  <w:endnote w:id="99">
    <w:p>
      <w:pPr>
        <w:pStyle w:val="Notedefin"/>
        <w:suppressLineNumbers/>
        <w:spacing w:before="57" w:after="57"/>
        <w:ind w:left="339" w:right="0" w:hanging="339"/>
        <w:rPr/>
      </w:pPr>
      <w:r>
        <w:rPr>
          <w:rStyle w:val="Caractresdenotedefin"/>
        </w:rPr>
        <w:endnoteRef/>
      </w:r>
      <w:r>
        <w:rPr/>
        <w:tab/>
      </w:r>
      <w:r>
        <w:rPr/>
        <w:t>Valsts žūrija BE.</w:t>
      </w:r>
    </w:p>
  </w:endnote>
  <w:endnote w:id="100">
    <w:p>
      <w:pPr>
        <w:pStyle w:val="Notedefin"/>
        <w:suppressLineNumbers/>
        <w:spacing w:before="57" w:after="57"/>
        <w:ind w:left="339" w:right="0" w:hanging="339"/>
        <w:rPr/>
      </w:pPr>
      <w:r>
        <w:rPr>
          <w:rStyle w:val="Caractresdenotedefin"/>
        </w:rPr>
        <w:endnoteRef/>
      </w:r>
      <w:r>
        <w:rPr/>
        <w:tab/>
      </w:r>
      <w:r>
        <w:rPr/>
        <w:t>Darba grupas grozījums Nr. 7B.</w:t>
      </w:r>
    </w:p>
  </w:endnote>
  <w:endnote w:id="101">
    <w:p>
      <w:pPr>
        <w:pStyle w:val="Notedefin"/>
        <w:suppressLineNumbers/>
        <w:spacing w:before="57" w:after="57"/>
        <w:ind w:left="339" w:right="0" w:hanging="339"/>
        <w:rPr/>
      </w:pPr>
      <w:r>
        <w:rPr>
          <w:rStyle w:val="Caractresdenotedefin"/>
        </w:rPr>
        <w:endnoteRef/>
      </w:r>
      <w:r>
        <w:rPr/>
        <w:tab/>
      </w:r>
      <w:r>
        <w:rPr/>
        <w:t>Valsts žūrija BE.</w:t>
      </w:r>
    </w:p>
  </w:endnote>
  <w:endnote w:id="102">
    <w:p>
      <w:pPr>
        <w:pStyle w:val="Notedefin"/>
        <w:suppressLineNumbers/>
        <w:spacing w:before="57" w:after="57"/>
        <w:ind w:left="339" w:right="0" w:hanging="339"/>
        <w:rPr/>
      </w:pPr>
      <w:r>
        <w:rPr>
          <w:rStyle w:val="Caractresdenotedefin"/>
        </w:rPr>
        <w:endnoteRef/>
      </w:r>
      <w:r>
        <w:rPr/>
        <w:tab/>
      </w:r>
      <w:r>
        <w:rPr/>
        <w:t>Kantar galīgais ziņojums, 85. lpp.</w:t>
      </w:r>
    </w:p>
  </w:endnote>
  <w:endnote w:id="103">
    <w:p>
      <w:pPr>
        <w:pStyle w:val="Notedefin"/>
        <w:suppressLineNumbers/>
        <w:spacing w:before="57" w:after="57"/>
        <w:ind w:left="339" w:right="0" w:hanging="339"/>
        <w:rPr/>
      </w:pPr>
      <w:r>
        <w:rPr>
          <w:rStyle w:val="Caractresdenotedefin"/>
        </w:rPr>
        <w:endnoteRef/>
      </w:r>
      <w:r>
        <w:rPr/>
        <w:tab/>
      </w:r>
      <w:r>
        <w:rPr/>
        <w:t>ECP 2 39. ieteikums; valsts žūrijas numurs 3 BE.</w:t>
      </w:r>
    </w:p>
  </w:endnote>
  <w:endnote w:id="104">
    <w:p>
      <w:pPr>
        <w:pStyle w:val="Notedefin"/>
        <w:suppressLineNumbers/>
        <w:spacing w:before="57" w:after="57"/>
        <w:ind w:left="339" w:right="0" w:hanging="339"/>
        <w:rPr/>
      </w:pPr>
      <w:r>
        <w:rPr>
          <w:rStyle w:val="Caractresdenotedefin"/>
        </w:rPr>
        <w:endnoteRef/>
      </w:r>
      <w:r>
        <w:rPr/>
        <w:tab/>
      </w:r>
      <w:r>
        <w:rPr/>
        <w:t>Darba grupas grozījums Nr. 10A, kodolīgāks formulējums.</w:t>
      </w:r>
    </w:p>
  </w:endnote>
  <w:endnote w:id="105">
    <w:p>
      <w:pPr>
        <w:pStyle w:val="Notedefin"/>
        <w:suppressLineNumbers/>
        <w:spacing w:before="57" w:after="57"/>
        <w:ind w:left="339" w:right="0" w:hanging="339"/>
        <w:rPr/>
      </w:pPr>
      <w:r>
        <w:rPr>
          <w:rStyle w:val="Caractresdenotedefin"/>
        </w:rPr>
        <w:endnoteRef/>
      </w:r>
      <w:r>
        <w:rPr/>
        <w:tab/>
      </w:r>
      <w:r>
        <w:rPr/>
        <w:t>DK pārstāvis valsts mēroga pasākumos.</w:t>
      </w:r>
    </w:p>
  </w:endnote>
  <w:endnote w:id="106">
    <w:p>
      <w:pPr>
        <w:pStyle w:val="Notedefin"/>
        <w:suppressLineNumbers/>
        <w:spacing w:before="57" w:after="57"/>
        <w:ind w:left="339" w:right="0" w:hanging="339"/>
        <w:rPr/>
      </w:pPr>
      <w:r>
        <w:rPr>
          <w:rStyle w:val="Caractresdenotedefin"/>
        </w:rPr>
        <w:endnoteRef/>
      </w:r>
      <w:r>
        <w:rPr/>
        <w:tab/>
      </w:r>
      <w:r>
        <w:rPr/>
        <w:t>Darba grupas grozījums Nr. 54C.</w:t>
      </w:r>
    </w:p>
  </w:endnote>
  <w:endnote w:id="107">
    <w:p>
      <w:pPr>
        <w:pStyle w:val="Notedefin"/>
        <w:suppressLineNumbers/>
        <w:spacing w:before="57" w:after="57"/>
        <w:ind w:left="339" w:right="0" w:hanging="339"/>
        <w:rPr/>
      </w:pPr>
      <w:r>
        <w:rPr>
          <w:rStyle w:val="Caractresdenotedefin"/>
        </w:rPr>
        <w:endnoteRef/>
      </w:r>
      <w:r>
        <w:rPr/>
        <w:tab/>
      </w:r>
      <w:r>
        <w:rPr/>
        <w:t>DK pārstāvis valsts mēroga pasākumos.</w:t>
      </w:r>
    </w:p>
  </w:endnote>
  <w:endnote w:id="108">
    <w:p>
      <w:pPr>
        <w:pStyle w:val="Notedefin"/>
        <w:suppressLineNumbers/>
        <w:spacing w:before="57" w:after="57"/>
        <w:ind w:left="339" w:right="0" w:hanging="339"/>
        <w:rPr/>
      </w:pPr>
      <w:r>
        <w:rPr>
          <w:rStyle w:val="Caractresdenotedefin"/>
        </w:rPr>
        <w:endnoteRef/>
      </w:r>
      <w:r>
        <w:rPr/>
        <w:tab/>
      </w:r>
      <w:r>
        <w:rPr/>
        <w:t>DK pārstāvis valsts mēroga pasākumos.</w:t>
      </w:r>
    </w:p>
  </w:endnote>
  <w:endnote w:id="109">
    <w:p>
      <w:pPr>
        <w:pStyle w:val="Notedefin"/>
        <w:suppressLineNumbers/>
        <w:spacing w:before="57" w:after="57"/>
        <w:ind w:left="339" w:right="0" w:hanging="339"/>
        <w:rPr/>
      </w:pPr>
      <w:r>
        <w:rPr>
          <w:rStyle w:val="Caractresdenotedefin"/>
        </w:rPr>
        <w:endnoteRef/>
      </w:r>
      <w:r>
        <w:rPr/>
        <w:tab/>
      </w:r>
      <w:r>
        <w:rPr/>
        <w:t>Darba grupas grozījums Nr. 15A, kompromisa formulējums.</w:t>
      </w:r>
    </w:p>
  </w:endnote>
  <w:endnote w:id="110">
    <w:p>
      <w:pPr>
        <w:pStyle w:val="Notedefin"/>
        <w:suppressLineNumbers/>
        <w:spacing w:before="57" w:after="57"/>
        <w:ind w:left="339" w:right="0" w:hanging="339"/>
        <w:rPr/>
      </w:pPr>
      <w:r>
        <w:rPr>
          <w:rStyle w:val="Caractresdenotedefin"/>
        </w:rPr>
        <w:endnoteRef/>
      </w:r>
      <w:r>
        <w:rPr/>
        <w:tab/>
      </w:r>
      <w:r>
        <w:rPr/>
        <w:t>PCE 2 24., 36. un 38. ieteikums; valsts žūrija BE.</w:t>
      </w:r>
    </w:p>
  </w:endnote>
  <w:endnote w:id="111">
    <w:p>
      <w:pPr>
        <w:pStyle w:val="Notedefin"/>
        <w:suppressLineNumbers/>
        <w:spacing w:before="57" w:after="57"/>
        <w:ind w:left="339" w:right="0" w:hanging="339"/>
        <w:rPr/>
      </w:pPr>
      <w:r>
        <w:rPr>
          <w:rStyle w:val="Caractresdenotedefin"/>
        </w:rPr>
        <w:endnoteRef/>
      </w:r>
      <w:r>
        <w:rPr/>
        <w:tab/>
      </w:r>
      <w:r>
        <w:rPr/>
        <w:t>Darba grupas grozījums Nr. 16C.</w:t>
      </w:r>
    </w:p>
  </w:endnote>
  <w:endnote w:id="112">
    <w:p>
      <w:pPr>
        <w:pStyle w:val="Notedefin"/>
        <w:suppressLineNumbers/>
        <w:spacing w:before="57" w:after="57"/>
        <w:ind w:left="339" w:right="0" w:hanging="339"/>
        <w:rPr/>
      </w:pPr>
      <w:r>
        <w:rPr>
          <w:rStyle w:val="Caractresdenotedefin"/>
        </w:rPr>
        <w:endnoteRef/>
      </w:r>
      <w:r>
        <w:rPr/>
        <w:tab/>
      </w:r>
      <w:r>
        <w:rPr/>
        <w:t>ECP 2 33. ieteikums; valstu paneļdiskusijās BE, FR un NL.</w:t>
      </w:r>
    </w:p>
  </w:endnote>
  <w:endnote w:id="113">
    <w:p>
      <w:pPr>
        <w:pStyle w:val="Notedefin"/>
        <w:suppressLineNumbers/>
        <w:spacing w:before="57" w:after="57"/>
        <w:ind w:left="339" w:right="0" w:hanging="339"/>
        <w:rPr/>
      </w:pPr>
      <w:r>
        <w:rPr>
          <w:rStyle w:val="Caractresdenotedefin"/>
        </w:rPr>
        <w:endnoteRef/>
      </w:r>
      <w:r>
        <w:rPr/>
        <w:tab/>
      </w:r>
      <w:r>
        <w:rPr/>
        <w:t>ECP Ieteikums Nr. 26 2.</w:t>
      </w:r>
    </w:p>
  </w:endnote>
  <w:endnote w:id="114">
    <w:p>
      <w:pPr>
        <w:pStyle w:val="Notedefin"/>
        <w:suppressLineNumbers/>
        <w:spacing w:before="57" w:after="57"/>
        <w:ind w:left="339" w:right="0" w:hanging="339"/>
        <w:rPr/>
      </w:pPr>
      <w:r>
        <w:rPr>
          <w:rStyle w:val="Caractresdenotedefin"/>
        </w:rPr>
        <w:endnoteRef/>
      </w:r>
      <w:r>
        <w:rPr/>
        <w:tab/>
      </w:r>
      <w:r>
        <w:rPr/>
        <w:t>Darba grupas 17. grozījums.</w:t>
      </w:r>
    </w:p>
  </w:endnote>
  <w:endnote w:id="115">
    <w:p>
      <w:pPr>
        <w:pStyle w:val="Notedefin"/>
        <w:suppressLineNumbers/>
        <w:spacing w:before="57" w:after="57"/>
        <w:ind w:left="339" w:right="0" w:hanging="339"/>
        <w:rPr/>
      </w:pPr>
      <w:r>
        <w:rPr>
          <w:rStyle w:val="Caractresdenotedefin"/>
        </w:rPr>
        <w:endnoteRef/>
      </w:r>
      <w:r>
        <w:rPr/>
        <w:tab/>
      </w:r>
      <w:r>
        <w:rPr/>
        <w:t>Valsts žūrija BE.</w:t>
      </w:r>
    </w:p>
  </w:endnote>
  <w:endnote w:id="116">
    <w:p>
      <w:pPr>
        <w:pStyle w:val="Notedefin"/>
        <w:suppressLineNumbers/>
        <w:spacing w:before="57" w:after="57"/>
        <w:ind w:left="339" w:right="0" w:hanging="339"/>
        <w:rPr/>
      </w:pPr>
      <w:r>
        <w:rPr>
          <w:rStyle w:val="Caractresdenotedefin"/>
        </w:rPr>
        <w:endnoteRef/>
      </w:r>
      <w:r>
        <w:rPr/>
        <w:tab/>
      </w:r>
      <w:r>
        <w:rPr/>
        <w:t>Darba grupas grozījums Nr. 18A.</w:t>
      </w:r>
    </w:p>
  </w:endnote>
  <w:endnote w:id="117">
    <w:p>
      <w:pPr>
        <w:pStyle w:val="Notedefin"/>
        <w:suppressLineNumbers/>
        <w:spacing w:before="57" w:after="57"/>
        <w:ind w:left="339" w:right="0" w:hanging="339"/>
        <w:rPr/>
      </w:pPr>
      <w:r>
        <w:rPr>
          <w:rStyle w:val="Caractresdenotedefin"/>
        </w:rPr>
        <w:endnoteRef/>
      </w:r>
      <w:r>
        <w:rPr/>
        <w:tab/>
      </w:r>
      <w:r>
        <w:rPr/>
        <w:t>ECP Ieteikums Nr. 252.</w:t>
      </w:r>
    </w:p>
  </w:endnote>
  <w:endnote w:id="118">
    <w:p>
      <w:pPr>
        <w:pStyle w:val="Notedefin"/>
        <w:suppressLineNumbers/>
        <w:spacing w:before="57" w:after="57"/>
        <w:ind w:left="339" w:right="0" w:hanging="339"/>
        <w:rPr/>
      </w:pPr>
      <w:r>
        <w:rPr>
          <w:rStyle w:val="Caractresdenotedefin"/>
        </w:rPr>
        <w:endnoteRef/>
      </w:r>
      <w:r>
        <w:rPr/>
        <w:tab/>
      </w:r>
      <w:r>
        <w:rPr/>
        <w:t>Darba grupas grozījums Nr. 18B.</w:t>
      </w:r>
    </w:p>
  </w:endnote>
  <w:endnote w:id="119">
    <w:p>
      <w:pPr>
        <w:pStyle w:val="Notedefin"/>
        <w:suppressLineNumbers/>
        <w:spacing w:before="57" w:after="57"/>
        <w:ind w:left="339" w:right="0" w:hanging="339"/>
        <w:rPr/>
      </w:pPr>
      <w:r>
        <w:rPr>
          <w:rStyle w:val="Caractresdenotedefin"/>
        </w:rPr>
        <w:endnoteRef/>
      </w:r>
      <w:r>
        <w:rPr/>
        <w:tab/>
      </w:r>
      <w:r>
        <w:rPr/>
        <w:t>ECP 2 31. ieteikums; valstu paneļdiskusijās BE un NL.</w:t>
      </w:r>
    </w:p>
  </w:endnote>
  <w:endnote w:id="120">
    <w:p>
      <w:pPr>
        <w:pStyle w:val="Notedefin"/>
        <w:suppressLineNumbers/>
        <w:spacing w:before="57" w:after="57"/>
        <w:ind w:left="339" w:right="0" w:hanging="339"/>
        <w:rPr/>
      </w:pPr>
      <w:r>
        <w:rPr>
          <w:rStyle w:val="Caractresdenotedefin"/>
        </w:rPr>
        <w:endnoteRef/>
      </w:r>
      <w:r>
        <w:rPr/>
        <w:tab/>
      </w:r>
      <w:r>
        <w:rPr/>
        <w:t>Darba grupas grozījumi Nr. 19A, kas pārstrādāti, lai izstrādātu atbilstošāku tekstu.</w:t>
      </w:r>
    </w:p>
  </w:endnote>
  <w:endnote w:id="121">
    <w:p>
      <w:pPr>
        <w:pStyle w:val="Notedefin"/>
        <w:suppressLineNumbers/>
        <w:spacing w:before="57" w:after="57"/>
        <w:ind w:left="339" w:right="0" w:hanging="339"/>
        <w:rPr/>
      </w:pPr>
      <w:r>
        <w:rPr>
          <w:rStyle w:val="Caractresdenotedefin"/>
        </w:rPr>
        <w:endnoteRef/>
      </w:r>
      <w:r>
        <w:rPr/>
        <w:tab/>
      </w:r>
      <w:r>
        <w:rPr/>
        <w:t>Darba grupas grozījums Nr. 21, kompromiss.</w:t>
      </w:r>
    </w:p>
  </w:endnote>
  <w:endnote w:id="122">
    <w:p>
      <w:pPr>
        <w:pStyle w:val="Notedefin"/>
        <w:suppressLineNumbers/>
        <w:spacing w:before="57" w:after="57"/>
        <w:ind w:left="339" w:right="0" w:hanging="339"/>
        <w:rPr/>
      </w:pPr>
      <w:r>
        <w:rPr>
          <w:rStyle w:val="Caractresdenotedefin"/>
        </w:rPr>
        <w:endnoteRef/>
      </w:r>
      <w:r>
        <w:rPr/>
        <w:tab/>
      </w:r>
      <w:r>
        <w:rPr/>
        <w:t>Valstu paneļdiskusijās BE un FR.</w:t>
      </w:r>
    </w:p>
  </w:endnote>
  <w:endnote w:id="123">
    <w:p>
      <w:pPr>
        <w:pStyle w:val="Notedefin"/>
        <w:suppressLineNumbers/>
        <w:spacing w:before="57" w:after="57"/>
        <w:ind w:left="339" w:right="0" w:hanging="339"/>
        <w:rPr/>
      </w:pPr>
      <w:r>
        <w:rPr>
          <w:rStyle w:val="Caractresdenotedefin"/>
        </w:rPr>
        <w:endnoteRef/>
      </w:r>
      <w:r>
        <w:rPr/>
        <w:tab/>
      </w:r>
      <w:r>
        <w:rPr/>
        <w:t>Darba grupas grozījums Nr. 23B.</w:t>
      </w:r>
    </w:p>
  </w:endnote>
  <w:endnote w:id="124">
    <w:p>
      <w:pPr>
        <w:pStyle w:val="Notedefin"/>
        <w:suppressLineNumbers/>
        <w:spacing w:before="57" w:after="57"/>
        <w:ind w:left="339" w:right="0" w:hanging="339"/>
        <w:rPr/>
      </w:pPr>
      <w:r>
        <w:rPr>
          <w:rStyle w:val="Caractresdenotedefin"/>
        </w:rPr>
        <w:endnoteRef/>
      </w:r>
      <w:r>
        <w:rPr/>
        <w:tab/>
      </w:r>
      <w:r>
        <w:rPr/>
        <w:t>ECP 2 27. ieteikums; valsts žūrija BE.</w:t>
      </w:r>
    </w:p>
  </w:endnote>
  <w:endnote w:id="125">
    <w:p>
      <w:pPr>
        <w:pStyle w:val="Notedefin"/>
        <w:suppressLineNumbers/>
        <w:spacing w:before="57" w:after="57"/>
        <w:ind w:left="339" w:right="0" w:hanging="339"/>
        <w:rPr/>
      </w:pPr>
      <w:r>
        <w:rPr>
          <w:rStyle w:val="Caractresdenotedefin"/>
        </w:rPr>
        <w:endnoteRef/>
      </w:r>
      <w:r>
        <w:rPr/>
        <w:tab/>
      </w:r>
      <w:r>
        <w:rPr/>
        <w:t>Darba grupas grozījums Nr. 25C.</w:t>
      </w:r>
    </w:p>
  </w:endnote>
  <w:endnote w:id="126">
    <w:p>
      <w:pPr>
        <w:pStyle w:val="Notedefin"/>
        <w:suppressLineNumbers/>
        <w:spacing w:before="57" w:after="57"/>
        <w:ind w:left="339" w:right="0" w:hanging="339"/>
        <w:rPr/>
      </w:pPr>
      <w:r>
        <w:rPr>
          <w:rStyle w:val="Caractresdenotedefin"/>
        </w:rPr>
        <w:endnoteRef/>
      </w:r>
      <w:r>
        <w:rPr/>
        <w:tab/>
      </w:r>
      <w:r>
        <w:rPr/>
        <w:t>ECP 14. ieteikums.</w:t>
      </w:r>
    </w:p>
  </w:endnote>
  <w:endnote w:id="127">
    <w:p>
      <w:pPr>
        <w:pStyle w:val="Notedefin"/>
        <w:suppressLineNumbers/>
        <w:spacing w:before="57" w:after="57"/>
        <w:ind w:left="339" w:right="0" w:hanging="339"/>
        <w:rPr/>
      </w:pPr>
      <w:r>
        <w:rPr>
          <w:rStyle w:val="Caractresdenotedefin"/>
        </w:rPr>
        <w:endnoteRef/>
      </w:r>
      <w:r>
        <w:rPr/>
        <w:tab/>
      </w:r>
      <w:r>
        <w:rPr/>
        <w:t>ECP Ieteikums Nr. 18. NB: NB! Pilsoņu pārstāvji paskaidroja, ka šis mehānisms būtu jāizstrādā un jāizmanto piesardzīgi.</w:t>
      </w:r>
    </w:p>
  </w:endnote>
  <w:endnote w:id="128">
    <w:p>
      <w:pPr>
        <w:pStyle w:val="Notedefin"/>
        <w:suppressLineNumbers/>
        <w:spacing w:before="57" w:after="57"/>
        <w:ind w:left="339" w:right="0" w:hanging="339"/>
        <w:rPr/>
      </w:pPr>
      <w:r>
        <w:rPr>
          <w:rStyle w:val="Caractresdenotedefin"/>
        </w:rPr>
        <w:endnoteRef/>
      </w:r>
      <w:r>
        <w:rPr/>
        <w:tab/>
      </w:r>
      <w:r>
        <w:rPr/>
        <w:t>Darba grupas grozījumi Nr. 28E, 28G un 28H.</w:t>
      </w:r>
    </w:p>
  </w:endnote>
  <w:endnote w:id="129">
    <w:p>
      <w:pPr>
        <w:pStyle w:val="Notedefin"/>
        <w:suppressLineNumbers/>
        <w:spacing w:before="57" w:after="57"/>
        <w:ind w:left="339" w:right="0" w:hanging="339"/>
        <w:rPr/>
      </w:pPr>
      <w:r>
        <w:rPr>
          <w:rStyle w:val="Caractresdenotedefin"/>
        </w:rPr>
        <w:endnoteRef/>
      </w:r>
      <w:r>
        <w:rPr/>
        <w:tab/>
      </w:r>
      <w:r>
        <w:rPr/>
        <w:t>ECP 2 16. ieteikums; NL valsts paneļdiskusija Nr. 20, kas sadalīta starpvalstu sarakstos.</w:t>
      </w:r>
    </w:p>
  </w:endnote>
  <w:endnote w:id="130">
    <w:p>
      <w:pPr>
        <w:pStyle w:val="Notedefin"/>
        <w:suppressLineNumbers/>
        <w:spacing w:before="57" w:after="57"/>
        <w:ind w:left="339" w:right="0" w:hanging="339"/>
        <w:rPr/>
      </w:pPr>
      <w:r>
        <w:rPr>
          <w:rStyle w:val="Caractresdenotedefin"/>
        </w:rPr>
        <w:endnoteRef/>
      </w:r>
      <w:r>
        <w:rPr/>
        <w:tab/>
      </w:r>
      <w:r>
        <w:rPr/>
        <w:t>Pamatojoties uz ECP 2 16. ieteikumu; diskusija GT.</w:t>
      </w:r>
    </w:p>
  </w:endnote>
  <w:endnote w:id="131">
    <w:p>
      <w:pPr>
        <w:pStyle w:val="Notedefin"/>
        <w:suppressLineNumbers/>
        <w:spacing w:before="57" w:after="57"/>
        <w:ind w:left="339" w:right="0" w:hanging="339"/>
        <w:rPr/>
      </w:pPr>
      <w:r>
        <w:rPr>
          <w:rStyle w:val="Caractresdenotedefin"/>
        </w:rPr>
        <w:endnoteRef/>
      </w:r>
      <w:r>
        <w:rPr/>
        <w:tab/>
      </w:r>
      <w:r>
        <w:rPr/>
        <w:t>ECP 2 ieteikums Nr. 19 un daudzvalodu digitālā platforma (MNP).</w:t>
      </w:r>
    </w:p>
  </w:endnote>
  <w:endnote w:id="132">
    <w:p>
      <w:pPr>
        <w:pStyle w:val="Notedefin"/>
        <w:suppressLineNumbers/>
        <w:spacing w:before="57" w:after="57"/>
        <w:ind w:left="339" w:right="0" w:hanging="339"/>
        <w:rPr/>
      </w:pPr>
      <w:r>
        <w:rPr>
          <w:rStyle w:val="Caractresdenotedefin"/>
        </w:rPr>
        <w:endnoteRef/>
      </w:r>
      <w:r>
        <w:rPr/>
        <w:tab/>
      </w:r>
      <w:r>
        <w:rPr/>
        <w:t>EESK.</w:t>
      </w:r>
    </w:p>
  </w:endnote>
  <w:endnote w:id="133">
    <w:p>
      <w:pPr>
        <w:pStyle w:val="Notedefin"/>
        <w:suppressLineNumbers/>
        <w:spacing w:before="57" w:after="57"/>
        <w:ind w:left="339" w:right="0" w:hanging="339"/>
        <w:rPr/>
      </w:pPr>
      <w:r>
        <w:rPr>
          <w:rStyle w:val="Caractresdenotedefin"/>
        </w:rPr>
        <w:endnoteRef/>
      </w:r>
      <w:r>
        <w:rPr/>
        <w:tab/>
      </w:r>
      <w:r>
        <w:rPr/>
        <w:t>Darba grupas grozījums Nr. 32B.</w:t>
      </w:r>
    </w:p>
  </w:endnote>
  <w:endnote w:id="134">
    <w:p>
      <w:pPr>
        <w:pStyle w:val="Notedefin"/>
        <w:suppressLineNumbers/>
        <w:spacing w:before="57" w:after="57"/>
        <w:ind w:left="339" w:right="0" w:hanging="339"/>
        <w:rPr/>
      </w:pPr>
      <w:r>
        <w:rPr>
          <w:rStyle w:val="Caractresdenotedefin"/>
        </w:rPr>
        <w:endnoteRef/>
      </w:r>
      <w:r>
        <w:rPr/>
        <w:tab/>
      </w:r>
      <w:r>
        <w:rPr/>
        <w:t>ECP 2 36. ieteikums; valstu paneļdiskusijās BE un FR.</w:t>
      </w:r>
    </w:p>
  </w:endnote>
  <w:endnote w:id="135">
    <w:p>
      <w:pPr>
        <w:pStyle w:val="Notedefin"/>
        <w:suppressLineNumbers/>
        <w:spacing w:before="57" w:after="57"/>
        <w:ind w:left="339" w:right="0" w:hanging="339"/>
        <w:rPr/>
      </w:pPr>
      <w:r>
        <w:rPr>
          <w:rStyle w:val="Caractresdenotedefin"/>
        </w:rPr>
        <w:endnoteRef/>
      </w:r>
      <w:r>
        <w:rPr/>
        <w:tab/>
      </w:r>
      <w:r>
        <w:rPr/>
        <w:t>Valsts žūrija FR (“Eiropas Komisijas priekšsēdētāja ievēlēšana vispārējās vēlēšanās”); PNM (Galīgais Kantar ziņojums: atbilžu grupa attiecas uz Komisijas priekšsēdētāja tiešu ievēlēšanu, ko veic pilsoņi).</w:t>
      </w:r>
    </w:p>
  </w:endnote>
  <w:endnote w:id="136">
    <w:p>
      <w:pPr>
        <w:pStyle w:val="Notedefin"/>
        <w:suppressLineNumbers/>
        <w:spacing w:before="57" w:after="57"/>
        <w:ind w:left="339" w:right="0" w:hanging="339"/>
        <w:rPr/>
      </w:pPr>
      <w:r>
        <w:rPr>
          <w:rStyle w:val="Caractresdenotedefin"/>
        </w:rPr>
        <w:endnoteRef/>
      </w:r>
      <w:r>
        <w:rPr/>
        <w:tab/>
      </w:r>
      <w:r>
        <w:rPr/>
        <w:t>Darba grupas grozījums Nr. 34C.</w:t>
      </w:r>
    </w:p>
  </w:endnote>
  <w:endnote w:id="137">
    <w:p>
      <w:pPr>
        <w:pStyle w:val="Notedefin"/>
        <w:suppressLineNumbers/>
        <w:spacing w:before="57" w:after="57"/>
        <w:ind w:left="339" w:right="0" w:hanging="339"/>
        <w:rPr/>
      </w:pPr>
      <w:r>
        <w:rPr>
          <w:rStyle w:val="Caractresdenotedefin"/>
        </w:rPr>
        <w:endnoteRef/>
      </w:r>
      <w:r>
        <w:rPr/>
        <w:tab/>
      </w:r>
      <w:r>
        <w:rPr/>
        <w:t>Valsts žūrija BE (3.2.), valsts žūrija FR (11) PNM (galīgais ziņojums Kantar: “Attiecībā uz Eiropas Parlamentu respondenti visbiežāk pieprasa, lai tam tiktu piešķirtas reālas likumdošanas iniciatīvas pilnvaras”.</w:t>
      </w:r>
    </w:p>
  </w:endnote>
  <w:endnote w:id="138">
    <w:p>
      <w:pPr>
        <w:pStyle w:val="Notedefin"/>
        <w:suppressLineNumbers/>
        <w:spacing w:before="57" w:after="57"/>
        <w:ind w:left="339" w:right="0" w:hanging="339"/>
        <w:rPr/>
      </w:pPr>
      <w:r>
        <w:rPr>
          <w:rStyle w:val="Caractresdenotedefin"/>
        </w:rPr>
        <w:endnoteRef/>
      </w:r>
      <w:r>
        <w:rPr/>
        <w:tab/>
      </w:r>
      <w:r>
        <w:rPr/>
        <w:t>PNM (Galīgais Kantar ziņojums: “Attiecībā uz Eiropas Parlamentu (..) ir arī pieprasījumi piešķirt tam budžeta pilnvaras”.</w:t>
      </w:r>
    </w:p>
  </w:endnote>
  <w:endnote w:id="139">
    <w:p>
      <w:pPr>
        <w:pStyle w:val="Notedefin"/>
        <w:suppressLineNumbers/>
        <w:spacing w:before="57" w:after="57"/>
        <w:ind w:left="339" w:right="0" w:hanging="339"/>
        <w:rPr/>
      </w:pPr>
      <w:r>
        <w:rPr>
          <w:rStyle w:val="Caractresdenotedefin"/>
        </w:rPr>
        <w:endnoteRef/>
      </w:r>
      <w:r>
        <w:rPr/>
        <w:tab/>
      </w:r>
      <w:r>
        <w:rPr/>
        <w:t>PNM (Galīgais Kantar ziņojums: Saskaņā ar citu ieguldījumu partijām būtu jākļūst pieejamākām cilvēkiem ar atšķirīgu kultūras vai sociālekonomisko izcelsmi.</w:t>
      </w:r>
    </w:p>
  </w:endnote>
  <w:endnote w:id="140">
    <w:p>
      <w:pPr>
        <w:pStyle w:val="Notedefin"/>
        <w:suppressLineNumbers/>
        <w:spacing w:before="57" w:after="57"/>
        <w:ind w:left="339" w:right="0" w:hanging="339"/>
        <w:rPr/>
      </w:pPr>
      <w:r>
        <w:rPr>
          <w:rStyle w:val="Caractresdenotedefin"/>
        </w:rPr>
        <w:endnoteRef/>
      </w:r>
      <w:r>
        <w:rPr/>
        <w:tab/>
      </w:r>
      <w:r>
        <w:rPr/>
        <w:t>RK darba grupā.</w:t>
      </w:r>
    </w:p>
  </w:endnote>
  <w:endnote w:id="141">
    <w:p>
      <w:pPr>
        <w:pStyle w:val="Notedefin"/>
        <w:suppressLineNumbers/>
        <w:spacing w:before="57" w:after="57"/>
        <w:ind w:left="339" w:right="0" w:hanging="339"/>
        <w:rPr/>
      </w:pPr>
      <w:r>
        <w:rPr>
          <w:rStyle w:val="Caractresdenotedefin"/>
        </w:rPr>
        <w:endnoteRef/>
      </w:r>
      <w:r>
        <w:rPr/>
        <w:tab/>
      </w:r>
      <w:r>
        <w:rPr/>
        <w:t>Darba grupas 38. grozījums, kompromisa formulējums.</w:t>
      </w:r>
    </w:p>
  </w:endnote>
  <w:endnote w:id="142">
    <w:p>
      <w:pPr>
        <w:pStyle w:val="Notedefin"/>
        <w:suppressLineNumbers/>
        <w:spacing w:before="57" w:after="57"/>
        <w:ind w:left="339" w:right="0" w:hanging="339"/>
        <w:rPr/>
      </w:pPr>
      <w:r>
        <w:rPr>
          <w:rStyle w:val="Caractresdenotedefin"/>
        </w:rPr>
        <w:endnoteRef/>
      </w:r>
      <w:r>
        <w:rPr/>
        <w:tab/>
      </w:r>
      <w:r>
        <w:rPr/>
        <w:t>ECP Ieteikums Nr. 20 2.</w:t>
      </w:r>
    </w:p>
  </w:endnote>
  <w:endnote w:id="143">
    <w:p>
      <w:pPr>
        <w:pStyle w:val="Notedefin"/>
        <w:suppressLineNumbers/>
        <w:spacing w:before="57" w:after="57"/>
        <w:ind w:left="339" w:right="0" w:hanging="339"/>
        <w:rPr/>
      </w:pPr>
      <w:r>
        <w:rPr>
          <w:rStyle w:val="Caractresdenotedefin"/>
        </w:rPr>
        <w:endnoteRef/>
      </w:r>
      <w:r>
        <w:rPr/>
        <w:tab/>
      </w:r>
      <w:r>
        <w:rPr/>
        <w:t>ECP Ieteikums Nr. 21 4.</w:t>
      </w:r>
    </w:p>
  </w:endnote>
  <w:endnote w:id="144">
    <w:p>
      <w:pPr>
        <w:pStyle w:val="Notedefin"/>
        <w:suppressLineNumbers/>
        <w:spacing w:before="57" w:after="57"/>
        <w:ind w:left="339" w:right="0" w:hanging="339"/>
        <w:rPr/>
      </w:pPr>
      <w:r>
        <w:rPr>
          <w:rStyle w:val="Caractresdenotedefin"/>
        </w:rPr>
        <w:endnoteRef/>
      </w:r>
      <w:r>
        <w:rPr/>
        <w:tab/>
      </w:r>
      <w:r>
        <w:rPr/>
        <w:t>Darba grupas 43. grozījums.</w:t>
      </w:r>
    </w:p>
  </w:endnote>
  <w:endnote w:id="145">
    <w:p>
      <w:pPr>
        <w:pStyle w:val="Notedefin"/>
        <w:suppressLineNumbers/>
        <w:spacing w:before="57" w:after="57"/>
        <w:ind w:left="339" w:right="0" w:hanging="339"/>
        <w:rPr/>
      </w:pPr>
      <w:r>
        <w:rPr>
          <w:rStyle w:val="Caractresdenotedefin"/>
        </w:rPr>
        <w:endnoteRef/>
      </w:r>
      <w:r>
        <w:rPr/>
        <w:tab/>
      </w:r>
      <w:r>
        <w:rPr/>
        <w:t>ECP 2 34. ieteikums; valsts ekspertu grupa NL.</w:t>
      </w:r>
    </w:p>
  </w:endnote>
  <w:endnote w:id="146">
    <w:p>
      <w:pPr>
        <w:pStyle w:val="Notedefin"/>
        <w:suppressLineNumbers/>
        <w:spacing w:before="57" w:after="57"/>
        <w:ind w:left="339" w:right="0" w:hanging="339"/>
        <w:rPr/>
      </w:pPr>
      <w:r>
        <w:rPr>
          <w:rStyle w:val="Caractresdenotedefin"/>
        </w:rPr>
        <w:endnoteRef/>
      </w:r>
      <w:r>
        <w:rPr/>
        <w:tab/>
      </w:r>
      <w:r>
        <w:rPr/>
        <w:t>Darba grupas debates, pamatojoties uz ECP 2 34. ieteikumu; valsts žūrija NL; PNM (Galīgais Kantar ziņojums: “Tiek atbalstīta arī pārredzamības palielināšana un pilsoņu lielāka līdzdalība ES lēmumu pieņemšanas procesā”.</w:t>
      </w:r>
    </w:p>
  </w:endnote>
  <w:endnote w:id="147">
    <w:p>
      <w:pPr>
        <w:pStyle w:val="Notedefin"/>
        <w:suppressLineNumbers/>
        <w:spacing w:before="57" w:after="57"/>
        <w:ind w:left="339" w:right="0" w:hanging="339"/>
        <w:rPr/>
      </w:pPr>
      <w:r>
        <w:rPr>
          <w:rStyle w:val="Caractresdenotedefin"/>
        </w:rPr>
        <w:endnoteRef/>
      </w:r>
      <w:r>
        <w:rPr/>
        <w:tab/>
      </w:r>
      <w:r>
        <w:rPr/>
        <w:t>Darba grupas grozījums Nr. 44A.</w:t>
      </w:r>
    </w:p>
  </w:endnote>
  <w:endnote w:id="148">
    <w:p>
      <w:pPr>
        <w:pStyle w:val="Notedefin"/>
        <w:suppressLineNumbers/>
        <w:spacing w:before="57" w:after="57"/>
        <w:ind w:left="339" w:right="0" w:hanging="339"/>
        <w:rPr/>
      </w:pPr>
      <w:r>
        <w:rPr>
          <w:rStyle w:val="Caractresdenotedefin"/>
        </w:rPr>
        <w:endnoteRef/>
      </w:r>
      <w:r>
        <w:rPr/>
        <w:tab/>
      </w:r>
      <w:r>
        <w:rPr/>
        <w:t>Darba grupas debates (valstu parlamentu un RK uzstāšanās).</w:t>
      </w:r>
    </w:p>
  </w:endnote>
  <w:endnote w:id="149">
    <w:p>
      <w:pPr>
        <w:pStyle w:val="Notedefin"/>
        <w:suppressLineNumbers/>
        <w:spacing w:before="57" w:after="57"/>
        <w:ind w:left="339" w:right="0" w:hanging="339"/>
        <w:rPr/>
      </w:pPr>
      <w:r>
        <w:rPr>
          <w:rStyle w:val="Caractresdenotedefin"/>
        </w:rPr>
        <w:endnoteRef/>
      </w:r>
      <w:r>
        <w:rPr/>
        <w:tab/>
      </w:r>
      <w:r>
        <w:rPr/>
        <w:t>Darba grupas grozījums Nr. 45C.</w:t>
      </w:r>
    </w:p>
  </w:endnote>
  <w:endnote w:id="150">
    <w:p>
      <w:pPr>
        <w:pStyle w:val="Notedefin"/>
        <w:suppressLineNumbers/>
        <w:spacing w:before="57" w:after="57"/>
        <w:ind w:left="339" w:right="0" w:hanging="339"/>
        <w:rPr/>
      </w:pPr>
      <w:r>
        <w:rPr>
          <w:rStyle w:val="Caractresdenotedefin"/>
        </w:rPr>
        <w:endnoteRef/>
      </w:r>
      <w:r>
        <w:rPr/>
        <w:tab/>
      </w:r>
      <w:r>
        <w:rPr/>
        <w:t>Darba grupas grozījums Nr. 46B.</w:t>
      </w:r>
    </w:p>
  </w:endnote>
  <w:endnote w:id="151">
    <w:p>
      <w:pPr>
        <w:pStyle w:val="Notedefin"/>
        <w:suppressLineNumbers/>
        <w:spacing w:before="57" w:after="57"/>
        <w:ind w:left="339" w:right="0" w:hanging="339"/>
        <w:rPr/>
      </w:pPr>
      <w:r>
        <w:rPr>
          <w:rStyle w:val="Caractresdenotedefin"/>
        </w:rPr>
        <w:endnoteRef/>
      </w:r>
      <w:r>
        <w:rPr/>
        <w:tab/>
      </w:r>
      <w:r>
        <w:rPr/>
        <w:t>ECP Ieteikums Nr. 15 2.</w:t>
      </w:r>
    </w:p>
  </w:endnote>
  <w:endnote w:id="152">
    <w:p>
      <w:pPr>
        <w:pStyle w:val="Notedefin"/>
        <w:suppressLineNumbers/>
        <w:spacing w:before="57" w:after="57"/>
        <w:ind w:left="339" w:right="0" w:hanging="339"/>
        <w:rPr/>
      </w:pPr>
      <w:r>
        <w:rPr>
          <w:rStyle w:val="Caractresdenotedefin"/>
        </w:rPr>
        <w:endnoteRef/>
      </w:r>
      <w:r>
        <w:rPr/>
        <w:tab/>
      </w:r>
      <w:r>
        <w:rPr/>
        <w:t>Darba grupas debates, pamatojoties uz ECP 2 15. ieteikumā pausto vajadzību “precizēt Eiropas iestāžu funkcijas”; PNM (Galīgais Kantar ziņojums: “Ir arī ierosinājumi, kā padziļināt divpalātu likumdošanas varu ES.”</w:t>
      </w:r>
    </w:p>
  </w:endnote>
  <w:endnote w:id="153">
    <w:p>
      <w:pPr>
        <w:pStyle w:val="Notedefin"/>
        <w:suppressLineNumbers/>
        <w:spacing w:before="57" w:after="57"/>
        <w:ind w:left="339" w:right="0" w:hanging="339"/>
        <w:rPr/>
      </w:pPr>
      <w:r>
        <w:rPr>
          <w:rStyle w:val="Caractresdenotedefin"/>
        </w:rPr>
        <w:endnoteRef/>
      </w:r>
      <w:r>
        <w:rPr/>
        <w:tab/>
      </w:r>
      <w:r>
        <w:rPr/>
        <w:t>Darba grupas grozījums Nr. 48B.</w:t>
      </w:r>
    </w:p>
  </w:endnote>
  <w:endnote w:id="154">
    <w:p>
      <w:pPr>
        <w:pStyle w:val="Notedefin"/>
        <w:suppressLineNumbers/>
        <w:spacing w:before="57" w:after="57"/>
        <w:ind w:left="339" w:right="0" w:hanging="339"/>
        <w:rPr/>
      </w:pPr>
      <w:r>
        <w:rPr>
          <w:rStyle w:val="Caractresdenotedefin"/>
        </w:rPr>
        <w:endnoteRef/>
      </w:r>
      <w:r>
        <w:rPr/>
        <w:tab/>
      </w:r>
      <w:r>
        <w:rPr/>
        <w:t>ECP Ieteikums Nr. 15 2.</w:t>
      </w:r>
    </w:p>
  </w:endnote>
  <w:endnote w:id="155">
    <w:p>
      <w:pPr>
        <w:pStyle w:val="Notedefin"/>
        <w:suppressLineNumbers/>
        <w:spacing w:before="57" w:after="57"/>
        <w:ind w:left="339" w:right="0" w:hanging="339"/>
        <w:rPr/>
      </w:pPr>
      <w:r>
        <w:rPr>
          <w:rStyle w:val="Caractresdenotedefin"/>
        </w:rPr>
        <w:endnoteRef/>
      </w:r>
      <w:r>
        <w:rPr/>
        <w:tab/>
      </w:r>
      <w:r>
        <w:rPr/>
        <w:t>Diskusijas darba grupā.</w:t>
      </w:r>
    </w:p>
  </w:endnote>
  <w:endnote w:id="156">
    <w:p>
      <w:pPr>
        <w:pStyle w:val="Notedefin"/>
        <w:suppressLineNumbers/>
        <w:spacing w:before="57" w:after="57"/>
        <w:ind w:left="339" w:right="0" w:hanging="339"/>
        <w:rPr/>
      </w:pPr>
      <w:r>
        <w:rPr>
          <w:rStyle w:val="Caractresdenotedefin"/>
        </w:rPr>
        <w:endnoteRef/>
      </w:r>
      <w:r>
        <w:rPr/>
        <w:tab/>
      </w:r>
      <w:r>
        <w:rPr/>
        <w:t>Darba grupas grozījums Nr. 52A.</w:t>
      </w:r>
    </w:p>
  </w:endnote>
  <w:endnote w:id="157">
    <w:p>
      <w:pPr>
        <w:pStyle w:val="Notedefin"/>
        <w:suppressLineNumbers/>
        <w:spacing w:before="57" w:after="57"/>
        <w:ind w:left="339" w:right="0" w:hanging="339"/>
        <w:rPr/>
      </w:pPr>
      <w:r>
        <w:rPr>
          <w:rStyle w:val="Caractresdenotedefin"/>
        </w:rPr>
        <w:endnoteRef/>
      </w:r>
      <w:r>
        <w:rPr/>
        <w:tab/>
      </w:r>
      <w:r>
        <w:rPr/>
        <w:t>EESK, kompromisa formulējums.</w:t>
      </w:r>
    </w:p>
  </w:endnote>
  <w:endnote w:id="158">
    <w:p>
      <w:pPr>
        <w:pStyle w:val="Notedefin"/>
        <w:suppressLineNumbers/>
        <w:spacing w:before="57" w:after="57"/>
        <w:ind w:left="339" w:right="0" w:hanging="339"/>
        <w:rPr/>
      </w:pPr>
      <w:r>
        <w:rPr>
          <w:rStyle w:val="Caractresdenotedefin"/>
        </w:rPr>
        <w:endnoteRef/>
      </w:r>
      <w:r>
        <w:rPr/>
        <w:tab/>
      </w:r>
      <w:r>
        <w:rPr/>
        <w:t>ECP ieteikums Nr. 35, FR Valsts ekspertu grupa un apvienotie 51C un 51D darba grupas grozījumi.</w:t>
      </w:r>
    </w:p>
  </w:endnote>
  <w:endnote w:id="159">
    <w:p>
      <w:pPr>
        <w:pStyle w:val="Notedefin"/>
        <w:suppressLineNumbers/>
        <w:spacing w:before="57" w:after="57"/>
        <w:ind w:left="339" w:right="0" w:hanging="339"/>
        <w:rPr/>
      </w:pPr>
      <w:r>
        <w:rPr>
          <w:rStyle w:val="Caractresdenotedefin"/>
        </w:rPr>
        <w:endnoteRef/>
      </w:r>
      <w:r>
        <w:rPr/>
        <w:tab/>
      </w:r>
      <w:r>
        <w:rPr/>
        <w:t>Darba grupas grozījums Nr. 53D.</w:t>
      </w:r>
    </w:p>
  </w:endnote>
  <w:endnote w:id="160">
    <w:p>
      <w:pPr>
        <w:pStyle w:val="Notedefin"/>
        <w:suppressLineNumbers/>
        <w:spacing w:before="57" w:after="57"/>
        <w:ind w:left="339" w:right="0" w:hanging="339"/>
        <w:rPr/>
      </w:pPr>
      <w:r>
        <w:rPr>
          <w:rStyle w:val="Caractresdenotedefin"/>
        </w:rPr>
        <w:endnoteRef/>
      </w:r>
      <w:r>
        <w:rPr/>
        <w:tab/>
      </w:r>
      <w:r>
        <w:rPr/>
        <w:t>Diskusija darba grupā; valstu parlamenti.</w:t>
      </w:r>
    </w:p>
  </w:endnote>
  <w:endnote w:id="161">
    <w:p>
      <w:pPr>
        <w:pStyle w:val="Notedefin"/>
        <w:spacing w:before="57" w:after="57"/>
        <w:rPr/>
      </w:pPr>
      <w:r>
        <w:rPr>
          <w:rStyle w:val="Caractresdenotedefin"/>
        </w:rPr>
        <w:endnoteRef/>
      </w:r>
      <w:r>
        <w:rPr/>
        <w:tab/>
      </w:r>
      <w:r>
        <w:rPr/>
        <w:t>Diskusija darba grupā; RK un EESK; Kantar galīgais ziņojums, 85. lpp.</w:t>
      </w:r>
    </w:p>
  </w:endnote>
  <w:endnote w:id="162">
    <w:p>
      <w:pPr>
        <w:pStyle w:val="Notedefin"/>
        <w:suppressLineNumbers/>
        <w:spacing w:before="57" w:after="57"/>
        <w:ind w:left="339" w:right="0" w:hanging="339"/>
        <w:rPr/>
      </w:pPr>
      <w:r>
        <w:rPr>
          <w:rStyle w:val="Caractresdenotedefin"/>
        </w:rPr>
        <w:endnoteRef/>
      </w:r>
      <w:r>
        <w:rPr/>
        <w:tab/>
      </w:r>
      <w:r>
        <w:rPr/>
        <w:t>Darba grupas grozījums Nr. 58B.</w:t>
      </w:r>
    </w:p>
  </w:endnote>
  <w:endnote w:id="163">
    <w:p>
      <w:pPr>
        <w:pStyle w:val="Notedefin"/>
        <w:suppressLineNumbers/>
        <w:spacing w:before="57" w:after="57"/>
        <w:ind w:left="339" w:right="0" w:hanging="339"/>
        <w:rPr/>
      </w:pPr>
      <w:r>
        <w:rPr>
          <w:rStyle w:val="Caractresdenotedefin"/>
        </w:rPr>
        <w:endnoteRef/>
      </w:r>
      <w:r>
        <w:rPr/>
        <w:tab/>
      </w:r>
      <w:r>
        <w:rPr/>
        <w:t>Darba grupas grozījums Nr. 59B.</w:t>
      </w:r>
    </w:p>
  </w:endnote>
  <w:endnote w:id="164">
    <w:p>
      <w:pPr>
        <w:pStyle w:val="Notedefin"/>
        <w:suppressLineNumbers/>
        <w:spacing w:before="57" w:after="57"/>
        <w:ind w:left="339" w:right="0" w:hanging="339"/>
        <w:rPr/>
      </w:pPr>
      <w:r>
        <w:rPr>
          <w:rStyle w:val="Caractresdenotedefin"/>
        </w:rPr>
        <w:endnoteRef/>
      </w:r>
      <w:r>
        <w:rPr/>
        <w:tab/>
      </w:r>
      <w:r>
        <w:rPr/>
        <w:t>Diskusija darba grupā; sociālie partneri un citi dalībnieki.</w:t>
      </w:r>
    </w:p>
  </w:endnote>
  <w:endnote w:id="165">
    <w:p>
      <w:pPr>
        <w:pStyle w:val="Notedefin"/>
        <w:suppressLineNumbers/>
        <w:spacing w:before="57" w:after="57"/>
        <w:ind w:left="339" w:right="0" w:hanging="339"/>
        <w:rPr/>
      </w:pPr>
      <w:r>
        <w:rPr>
          <w:rStyle w:val="Caractresdenotedefin"/>
        </w:rPr>
        <w:endnoteRef/>
      </w:r>
      <w:r>
        <w:rPr/>
        <w:tab/>
      </w:r>
      <w:r>
        <w:rPr/>
        <w:t>Darba grupas 63.A grozījums, kompromisa formulējums.</w:t>
      </w:r>
    </w:p>
  </w:endnote>
  <w:endnote w:id="166">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4 (ECP 4) Nr.</w:t>
      </w:r>
      <w:r>
        <w:rPr>
          <w:vertAlign w:val="superscript"/>
        </w:rPr>
        <w:t>6</w:t>
      </w:r>
      <w:r>
        <w:rPr/>
        <w:t>, 7, 9, 28 un 30, Lietuva Nr. 9.</w:t>
      </w:r>
    </w:p>
  </w:endnote>
  <w:endnote w:id="167">
    <w:p>
      <w:pPr>
        <w:pStyle w:val="Notedefin"/>
        <w:suppressLineNumbers/>
        <w:spacing w:before="57" w:after="57"/>
        <w:ind w:left="339" w:right="0" w:hanging="339"/>
        <w:rPr/>
      </w:pPr>
      <w:r>
        <w:rPr>
          <w:rStyle w:val="Caractresdenotedefin"/>
        </w:rPr>
        <w:endnoteRef/>
      </w:r>
      <w:r>
        <w:rPr/>
        <w:tab/>
      </w:r>
      <w:r>
        <w:rPr/>
        <w:t>Pilsoņu ieteikumi, kas ir priekšlikuma pamatā: Eiropas pilsoņu paneļdiskusija Nr. 4 (ECP 4) Nr.</w:t>
      </w:r>
      <w:r>
        <w:rPr>
          <w:vertAlign w:val="superscript"/>
        </w:rPr>
        <w:t>8</w:t>
      </w:r>
      <w:r>
        <w:rPr/>
        <w:t xml:space="preserve"> un 27, Lietuva Nr. 10, Nīderlande Nr. 3.</w:t>
      </w:r>
    </w:p>
  </w:endnote>
  <w:endnote w:id="168">
    <w:p>
      <w:pPr>
        <w:pStyle w:val="Notedefin"/>
        <w:suppressLineNumbers/>
        <w:spacing w:before="57" w:after="57"/>
        <w:ind w:left="339" w:right="0" w:hanging="339"/>
        <w:rPr/>
      </w:pPr>
      <w:r>
        <w:rPr>
          <w:rStyle w:val="Caractresdenotedefin"/>
        </w:rPr>
        <w:endnoteRef/>
      </w:r>
      <w:r>
        <w:rPr/>
        <w:tab/>
        <w:t xml:space="preserve"> </w:t>
      </w:r>
      <w:r>
        <w:rPr/>
        <w:t>Pilsoņu ieteikumi, kas ir priekšlikuma pamatā: Eiropas pilsoņu paneļdiskusija Nr. 4 (PCE 4)</w:t>
      </w:r>
      <w:r>
        <w:rPr>
          <w:vertAlign w:val="superscript"/>
        </w:rPr>
        <w:t>Nr.</w:t>
      </w:r>
      <w:r>
        <w:rPr/>
        <w:t xml:space="preserve"> 10, 35 un 38.</w:t>
      </w:r>
    </w:p>
  </w:endnote>
  <w:endnote w:id="169">
    <w:p>
      <w:pPr>
        <w:pStyle w:val="Notedefin"/>
        <w:suppressLineNumbers/>
        <w:spacing w:before="57" w:after="57"/>
        <w:ind w:left="339" w:right="0" w:hanging="339"/>
        <w:rPr/>
      </w:pPr>
      <w:r>
        <w:rPr>
          <w:rStyle w:val="Caractresdenotedefin"/>
        </w:rPr>
        <w:endnoteRef/>
      </w:r>
      <w:r>
        <w:rPr/>
        <w:tab/>
        <w:t xml:space="preserve"> </w:t>
      </w:r>
      <w:r>
        <w:rPr/>
        <w:t>Pilsoņu ieteikumi, kas ir priekšlikuma pamatā: Eiropas pilsoņu paneļdiskusija Nr. 4 (ECP 4) Nr.</w:t>
      </w:r>
      <w:r>
        <w:rPr>
          <w:vertAlign w:val="superscript"/>
        </w:rPr>
        <w:t>29</w:t>
      </w:r>
      <w:r>
        <w:rPr/>
        <w:t>, 31, 33, 36, 37, 38, 39 un 40, Itālija Nr.</w:t>
      </w:r>
      <w:r>
        <w:rPr>
          <w:vertAlign w:val="superscript"/>
        </w:rPr>
        <w:t>3.8, Nr.</w:t>
      </w:r>
      <w:r>
        <w:rPr/>
        <w:t xml:space="preserve"> 4.4 (15. lpp.) un 5.6. punkts (11. lpp.), Lietuva Nr.</w:t>
      </w:r>
      <w:r>
        <w:rPr>
          <w:vertAlign w:val="superscript"/>
        </w:rPr>
        <w:t>2</w:t>
      </w:r>
      <w:r>
        <w:rPr/>
        <w:t xml:space="preserve"> un 3, Nīderlande Nr. 1 un Nr. 2.</w:t>
      </w:r>
    </w:p>
  </w:endnote>
  <w:endnote w:id="170">
    <w:p>
      <w:pPr>
        <w:pStyle w:val="Notedefin"/>
        <w:spacing w:before="57" w:after="57"/>
        <w:rPr/>
      </w:pPr>
      <w:r>
        <w:rPr>
          <w:rStyle w:val="Caractresdenotedefin"/>
        </w:rPr>
        <w:endnoteRef/>
      </w:r>
      <w:r>
        <w:rPr/>
        <w:tab/>
        <w:t xml:space="preserve"> </w:t>
      </w:r>
      <w:r>
        <w:rPr/>
        <w:t>Pilsoņu ieteikumi, kas ir priekšlikuma pamatā: Eiropas pilsoņu paneļdiskusija Nr. 4 (PCE 4)</w:t>
      </w:r>
      <w:r>
        <w:rPr>
          <w:vertAlign w:val="superscript"/>
        </w:rPr>
        <w:t>Nr.</w:t>
      </w:r>
      <w:r>
        <w:rPr/>
        <w:t xml:space="preserve"> 7 un 32, Francija Nr. 13.</w:t>
      </w:r>
    </w:p>
  </w:endnote>
  <w:endnote w:id="171">
    <w:p>
      <w:pPr>
        <w:pStyle w:val="Notedefin"/>
        <w:suppressLineNumbers/>
        <w:spacing w:before="57" w:after="57"/>
        <w:ind w:left="339" w:right="0" w:hanging="339"/>
        <w:rPr/>
      </w:pPr>
      <w:r>
        <w:rPr>
          <w:rStyle w:val="Caractresdenotedefin"/>
        </w:rPr>
        <w:endnoteRef/>
      </w:r>
      <w:r>
        <w:rPr/>
        <w:tab/>
        <w:t xml:space="preserve"> </w:t>
      </w:r>
      <w:r>
        <w:rPr/>
        <w:t>Franču PKN, 6. grozījums.</w:t>
      </w:r>
    </w:p>
  </w:endnote>
  <w:endnote w:id="172">
    <w:p>
      <w:pPr>
        <w:pStyle w:val="Notedefin"/>
        <w:suppressLineNumbers/>
        <w:spacing w:before="57" w:after="57"/>
        <w:ind w:left="339" w:right="0" w:hanging="339"/>
        <w:rPr/>
      </w:pPr>
      <w:r>
        <w:rPr>
          <w:rStyle w:val="Caractresdenotedefin"/>
        </w:rPr>
        <w:endnoteRef/>
      </w:r>
      <w:r>
        <w:rPr/>
        <w:tab/>
      </w:r>
      <w:r>
        <w:rPr/>
        <w:t>ECP Ieteikums 37 1.</w:t>
      </w:r>
    </w:p>
  </w:endnote>
  <w:endnote w:id="173">
    <w:p>
      <w:pPr>
        <w:pStyle w:val="Notedefin"/>
        <w:suppressLineNumbers/>
        <w:spacing w:before="57" w:after="57"/>
        <w:ind w:left="339" w:right="0" w:hanging="339"/>
        <w:rPr/>
      </w:pPr>
      <w:r>
        <w:rPr>
          <w:rStyle w:val="Caractresdenotedefin"/>
        </w:rPr>
        <w:endnoteRef/>
      </w:r>
      <w:r>
        <w:rPr/>
        <w:tab/>
      </w:r>
      <w:r>
        <w:rPr/>
        <w:t>ECP 3. ieteikums. Franču PKN, 6. grozījums.</w:t>
      </w:r>
    </w:p>
  </w:endnote>
  <w:endnote w:id="174">
    <w:p>
      <w:pPr>
        <w:pStyle w:val="Notedefin"/>
        <w:suppressLineNumbers/>
        <w:spacing w:before="57" w:after="57"/>
        <w:ind w:left="339" w:right="0" w:hanging="339"/>
        <w:rPr/>
      </w:pPr>
      <w:r>
        <w:rPr>
          <w:rStyle w:val="Caractresdenotedefin"/>
        </w:rPr>
        <w:endnoteRef/>
      </w:r>
      <w:r>
        <w:rPr/>
        <w:tab/>
        <w:t xml:space="preserve"> </w:t>
      </w:r>
      <w:r>
        <w:rPr/>
        <w:t>ECP Ieteikums 41 1.</w:t>
      </w:r>
    </w:p>
  </w:endnote>
  <w:endnote w:id="175">
    <w:p>
      <w:pPr>
        <w:pStyle w:val="Notedefin"/>
        <w:suppressLineNumbers/>
        <w:spacing w:before="57" w:after="57"/>
        <w:ind w:left="339" w:right="0" w:hanging="339"/>
        <w:rPr/>
      </w:pPr>
      <w:r>
        <w:rPr>
          <w:rStyle w:val="Caractresdenotedefin"/>
        </w:rPr>
        <w:endnoteRef/>
      </w:r>
      <w:r>
        <w:rPr/>
        <w:tab/>
        <w:t xml:space="preserve"> </w:t>
      </w:r>
      <w:r>
        <w:rPr/>
        <w:t>To sīkāk apspriež Eiropas Demokrātijas darba grupa. Sk. ECP 2 ieteikumu Nr. 24, Beļģijas NKP 1.1., 1.2. un 2.12. ieteikumu un Itālijas NKP ieteikumu par “iekļaušanas politiku”.</w:t>
      </w:r>
    </w:p>
  </w:endnote>
  <w:endnote w:id="176">
    <w:p>
      <w:pPr>
        <w:pStyle w:val="Notedefin"/>
        <w:suppressLineNumbers/>
        <w:spacing w:before="57" w:after="57"/>
        <w:ind w:left="339" w:right="0" w:hanging="339"/>
        <w:rPr/>
      </w:pPr>
      <w:r>
        <w:rPr>
          <w:rStyle w:val="Caractresdenotedefin"/>
        </w:rPr>
        <w:endnoteRef/>
      </w:r>
      <w:r>
        <w:rPr/>
        <w:tab/>
      </w:r>
      <w:r>
        <w:rPr/>
        <w:t>Itālijas VKP ieteikums par “iekļaušanas politiku”.</w:t>
      </w:r>
    </w:p>
  </w:endnote>
  <w:endnote w:id="177">
    <w:p>
      <w:pPr>
        <w:pStyle w:val="Notedefin"/>
        <w:suppressLineNumbers/>
        <w:spacing w:before="57" w:after="57"/>
        <w:ind w:left="339" w:right="0" w:hanging="339"/>
        <w:rPr/>
      </w:pPr>
      <w:r>
        <w:rPr>
          <w:rStyle w:val="Caractresdenotedefin"/>
        </w:rPr>
        <w:endnoteRef/>
      </w:r>
      <w:r>
        <w:rPr/>
        <w:tab/>
      </w:r>
      <w:r>
        <w:rPr/>
        <w:t>To sīkāk apspriež Digitālās pārveides darba grupa. Skatīt ECP 1 8. un 34. ieteikumu.</w:t>
      </w:r>
    </w:p>
  </w:endnote>
  <w:endnote w:id="178">
    <w:p>
      <w:pPr>
        <w:pStyle w:val="Notedefin"/>
        <w:suppressLineNumbers/>
        <w:spacing w:before="57" w:after="57"/>
        <w:ind w:left="339" w:right="0" w:hanging="339"/>
        <w:rPr/>
      </w:pPr>
      <w:r>
        <w:rPr>
          <w:rStyle w:val="Caractresdenotedefin"/>
        </w:rPr>
        <w:endnoteRef/>
      </w:r>
      <w:r>
        <w:rPr/>
        <w:tab/>
      </w:r>
      <w:r>
        <w:rPr/>
        <w:t>Itālijas VKP ieteikums “Iedrošināt jauniešus studēt zinātnes priekšmetus”.</w:t>
      </w:r>
    </w:p>
  </w:endnote>
  <w:endnote w:id="179">
    <w:p>
      <w:pPr>
        <w:pStyle w:val="Notedefin"/>
        <w:suppressLineNumbers/>
        <w:spacing w:before="57" w:after="57"/>
        <w:ind w:left="339" w:right="0" w:hanging="339"/>
        <w:rPr/>
      </w:pPr>
      <w:r>
        <w:rPr>
          <w:rStyle w:val="Caractresdenotedefin"/>
        </w:rPr>
        <w:endnoteRef/>
      </w:r>
      <w:r>
        <w:rPr/>
        <w:tab/>
      </w:r>
      <w:r>
        <w:rPr/>
        <w:t>PCE 33. un 48. ieteikums 1. Pievērsās arī Digitālās pārveides darba grupai. Skatīt ECP 1 47. ieteikumu par veselīgu interneta izmantošanu.</w:t>
      </w:r>
    </w:p>
  </w:endnote>
  <w:endnote w:id="180">
    <w:p>
      <w:pPr>
        <w:pStyle w:val="Notedefin"/>
        <w:suppressLineNumbers/>
        <w:spacing w:before="57" w:after="57"/>
        <w:ind w:left="339" w:right="0" w:hanging="339"/>
        <w:rPr/>
      </w:pPr>
      <w:r>
        <w:rPr>
          <w:rStyle w:val="Caractresdenotedefin"/>
        </w:rPr>
        <w:endnoteRef/>
      </w:r>
      <w:r>
        <w:rPr/>
        <w:tab/>
      </w:r>
      <w:r>
        <w:rPr/>
        <w:t>ECP Nr. 1 5. ieteikums.</w:t>
      </w:r>
    </w:p>
  </w:endnote>
  <w:endnote w:id="181">
    <w:p>
      <w:pPr>
        <w:pStyle w:val="Notedefin"/>
        <w:suppressLineNumbers/>
        <w:spacing w:before="57" w:after="57"/>
        <w:ind w:left="339" w:right="0" w:hanging="339"/>
        <w:rPr/>
      </w:pPr>
      <w:r>
        <w:rPr>
          <w:rStyle w:val="Caractresdenotedefin"/>
        </w:rPr>
        <w:endnoteRef/>
      </w:r>
      <w:r>
        <w:rPr/>
        <w:tab/>
      </w:r>
      <w:r>
        <w:rPr/>
        <w:t>ECP 1 Ieteikums Nr. 15 un Nr. 18.</w:t>
      </w:r>
    </w:p>
  </w:endnote>
  <w:endnote w:id="182">
    <w:p>
      <w:pPr>
        <w:pStyle w:val="Notedefin"/>
        <w:suppressLineNumbers/>
        <w:spacing w:before="57" w:after="57"/>
        <w:ind w:left="339" w:right="0" w:hanging="339"/>
        <w:rPr/>
      </w:pPr>
      <w:r>
        <w:rPr>
          <w:rStyle w:val="Caractresdenotedefin"/>
        </w:rPr>
        <w:endnoteRef/>
      </w:r>
      <w:r>
        <w:rPr/>
        <w:tab/>
        <w:t xml:space="preserve"> </w:t>
      </w:r>
      <w:r>
        <w:rPr/>
        <w:t>Itālijas NKP ieteikums “Eiropa pasaulē”</w:t>
      </w:r>
    </w:p>
  </w:endnote>
  <w:endnote w:id="183">
    <w:p>
      <w:pPr>
        <w:pStyle w:val="Notedefin"/>
        <w:suppressLineNumbers/>
        <w:spacing w:before="57" w:after="57"/>
        <w:ind w:left="339" w:right="0" w:hanging="339"/>
        <w:rPr/>
      </w:pPr>
      <w:r>
        <w:rPr>
          <w:rStyle w:val="Caractresdenotedefin"/>
        </w:rPr>
        <w:endnoteRef/>
      </w:r>
      <w:r>
        <w:rPr/>
        <w:tab/>
      </w:r>
      <w:r>
        <w:rPr/>
        <w:t>ECP 1 18.</w:t>
      </w:r>
      <w:r>
        <w:rPr>
          <w:vertAlign w:val="superscript"/>
        </w:rPr>
        <w:t>un</w:t>
      </w:r>
      <w:r>
        <w:rPr/>
        <w:t xml:space="preserve"> 41. ieteikums un Itālijas VKP ieteikums “Ieguldījumi instruktoru apmācībā”.</w:t>
      </w:r>
    </w:p>
  </w:endnote>
  <w:endnote w:id="184">
    <w:p>
      <w:pPr>
        <w:pStyle w:val="Notedefin"/>
        <w:suppressLineNumbers/>
        <w:spacing w:before="57" w:after="57"/>
        <w:ind w:left="339" w:right="0" w:hanging="339"/>
        <w:rPr/>
      </w:pPr>
      <w:r>
        <w:rPr>
          <w:rStyle w:val="Caractresdenotedefin"/>
        </w:rPr>
        <w:endnoteRef/>
      </w:r>
      <w:r>
        <w:rPr/>
        <w:tab/>
      </w:r>
      <w:r>
        <w:rPr/>
        <w:t>PCE 1 Ieteikums Nr. 17, kas pilnībā adresēts Digitālās darba grupai.</w:t>
      </w:r>
    </w:p>
  </w:endnote>
  <w:endnote w:id="185">
    <w:p>
      <w:pPr>
        <w:pStyle w:val="Notedefin"/>
        <w:suppressLineNumbers/>
        <w:spacing w:before="57" w:after="57"/>
        <w:ind w:left="339" w:right="0" w:hanging="339"/>
        <w:rPr/>
      </w:pPr>
      <w:r>
        <w:rPr>
          <w:rStyle w:val="Caractresdenotedefin"/>
        </w:rPr>
        <w:endnoteRef/>
      </w:r>
      <w:r>
        <w:rPr/>
        <w:tab/>
        <w:t xml:space="preserve"> </w:t>
      </w:r>
      <w:r>
        <w:rPr/>
        <w:t>ECP Ieteikums Nr. 15 1. Vācijas VKP ieteikums par “informācijas platformu zināšanu un pieredzes apmaiņai ES līmenī”.</w:t>
      </w:r>
    </w:p>
  </w:endnote>
  <w:endnote w:id="186">
    <w:p>
      <w:pPr>
        <w:pStyle w:val="Notedefin"/>
        <w:suppressLineNumbers/>
        <w:spacing w:before="57" w:after="57"/>
        <w:ind w:left="339" w:right="0" w:hanging="339"/>
        <w:rPr/>
      </w:pPr>
      <w:r>
        <w:rPr>
          <w:rStyle w:val="Caractresdenotedefin"/>
        </w:rPr>
        <w:endnoteRef/>
      </w:r>
      <w:r>
        <w:rPr/>
        <w:tab/>
      </w:r>
      <w:r>
        <w:rPr/>
        <w:t>Beļģijas VKP 6.1. ieteikums. Franču PKN, izmaiņas 7.</w:t>
      </w:r>
    </w:p>
  </w:endnote>
  <w:endnote w:id="187">
    <w:p>
      <w:pPr>
        <w:pStyle w:val="Notedefin"/>
        <w:suppressLineNumbers/>
        <w:spacing w:before="57" w:after="57"/>
        <w:ind w:left="339" w:right="0" w:hanging="339"/>
        <w:rPr/>
      </w:pPr>
      <w:r>
        <w:rPr>
          <w:rStyle w:val="Caractresdenotedefin"/>
        </w:rPr>
        <w:endnoteRef/>
      </w:r>
      <w:r>
        <w:rPr/>
        <w:tab/>
        <w:t xml:space="preserve"> </w:t>
      </w:r>
      <w:r>
        <w:rPr/>
        <w:t>Beļģijas VKP 7.2. ieteikums.</w:t>
      </w:r>
    </w:p>
  </w:endnote>
  <w:endnote w:id="188">
    <w:p>
      <w:pPr>
        <w:pStyle w:val="Notedefin"/>
        <w:suppressLineNumbers/>
        <w:spacing w:before="57" w:after="57"/>
        <w:ind w:left="339" w:right="0" w:hanging="339"/>
        <w:rPr/>
      </w:pPr>
      <w:r>
        <w:rPr>
          <w:rStyle w:val="Caractresdenotedefin"/>
        </w:rPr>
        <w:endnoteRef/>
      </w:r>
      <w:r>
        <w:rPr/>
        <w:tab/>
      </w:r>
      <w:r>
        <w:rPr/>
        <w:t>ECP Nr. 1 4. ieteikums.</w:t>
      </w:r>
    </w:p>
  </w:endnote>
  <w:endnote w:id="189">
    <w:p>
      <w:pPr>
        <w:pStyle w:val="Notedefin"/>
        <w:suppressLineNumbers/>
        <w:spacing w:before="57" w:after="57"/>
        <w:ind w:left="339" w:right="0" w:hanging="339"/>
        <w:rPr/>
      </w:pPr>
      <w:r>
        <w:rPr>
          <w:rStyle w:val="Caractresdenotedefin"/>
        </w:rPr>
        <w:endnoteRef/>
      </w:r>
      <w:r>
        <w:rPr/>
        <w:tab/>
      </w:r>
      <w:r>
        <w:rPr/>
        <w:t>Priekšlikums papildināt EKP 1</w:t>
      </w:r>
      <w:r>
        <w:rPr>
          <w:vertAlign w:val="superscript"/>
        </w:rPr>
        <w:t>ieteikumu</w:t>
      </w:r>
      <w:r>
        <w:rPr/>
        <w:t xml:space="preserve"> Nr. 1 un Nr. 30, uz ko attiecas Stiprākas ekonomikas, sociālā taisnīguma un nodarbinātības jautājumu darba grupa.</w:t>
      </w:r>
    </w:p>
  </w:endnote>
  <w:endnote w:id="190">
    <w:p>
      <w:pPr>
        <w:pStyle w:val="Notedefin"/>
        <w:suppressLineNumbers/>
        <w:spacing w:before="57" w:after="57"/>
        <w:ind w:left="339" w:right="0" w:hanging="339"/>
        <w:rPr/>
      </w:pPr>
      <w:r>
        <w:rPr>
          <w:rStyle w:val="Caractresdenotedefin"/>
        </w:rPr>
        <w:endnoteRef/>
      </w:r>
      <w:r>
        <w:rPr/>
        <w:tab/>
        <w:t xml:space="preserve"> </w:t>
      </w:r>
      <w:r>
        <w:rPr/>
        <w:t>Priekšlikums papildināt ECP 1 25. ieteikumu, uz ko attiecas Stiprākas ekonomikas, sociālā taisnīguma un nodarbinātības jautājumu darba grupa.</w:t>
      </w:r>
    </w:p>
  </w:endnote>
  <w:endnote w:id="191">
    <w:p>
      <w:pPr>
        <w:pStyle w:val="Notedefin"/>
        <w:suppressLineNumbers/>
        <w:spacing w:before="57" w:after="57"/>
        <w:ind w:left="339" w:right="0" w:hanging="339"/>
        <w:rPr/>
      </w:pPr>
      <w:r>
        <w:rPr>
          <w:rStyle w:val="Caractresdenotedefin"/>
        </w:rPr>
        <w:endnoteRef/>
      </w:r>
      <w:r>
        <w:rPr/>
        <w:tab/>
        <w:t xml:space="preserve"> </w:t>
      </w:r>
      <w:r>
        <w:rPr/>
        <w:t>ECP Ieteikums Nr. 28 4. Nīderlandes VKP (“Mūsu redzējums par kultūru, jaunatni un sportu”), 1. ieteikums. Franču PKN, 6. grozījums.</w:t>
      </w:r>
    </w:p>
  </w:endnote>
  <w:endnote w:id="192">
    <w:p>
      <w:pPr>
        <w:pStyle w:val="Notedefin"/>
        <w:suppressLineNumbers/>
        <w:spacing w:before="57" w:after="57"/>
        <w:ind w:left="339" w:right="0" w:hanging="339"/>
        <w:rPr/>
      </w:pPr>
      <w:r>
        <w:rPr>
          <w:rStyle w:val="Caractresdenotedefin"/>
        </w:rPr>
        <w:endnoteRef/>
      </w:r>
      <w:r>
        <w:rPr/>
        <w:tab/>
        <w:t xml:space="preserve"> </w:t>
      </w:r>
      <w:r>
        <w:rPr/>
        <w:t>ECP Nr. 1 6. ieteikums.</w:t>
      </w:r>
    </w:p>
  </w:endnote>
  <w:endnote w:id="193">
    <w:p>
      <w:pPr>
        <w:pStyle w:val="Notedefin"/>
        <w:suppressLineNumbers/>
        <w:spacing w:before="57" w:after="57"/>
        <w:ind w:left="339" w:right="0" w:hanging="339"/>
        <w:rPr/>
      </w:pPr>
      <w:r>
        <w:rPr>
          <w:rStyle w:val="Caractresdenotedefin"/>
        </w:rPr>
        <w:endnoteRef/>
      </w:r>
      <w:r>
        <w:rPr/>
        <w:tab/>
      </w:r>
      <w:r>
        <w:rPr/>
        <w:t>Nīderlandes VKP (“Mūsu redzējums par kultūru, jaunatni un sportu”), Ieteikums Nr. 2.</w:t>
      </w:r>
    </w:p>
  </w:endnote>
  <w:endnote w:id="194">
    <w:p>
      <w:pPr>
        <w:pStyle w:val="Notedefin"/>
        <w:suppressLineNumbers/>
        <w:spacing w:before="57" w:after="57"/>
        <w:ind w:left="339" w:right="0" w:hanging="339"/>
        <w:rPr/>
      </w:pPr>
      <w:r>
        <w:rPr>
          <w:rStyle w:val="Caractresdenotedefin"/>
        </w:rPr>
        <w:endnoteRef/>
      </w:r>
      <w:r>
        <w:rPr/>
        <w:tab/>
      </w:r>
      <w:r>
        <w:rPr/>
        <w:t>ECP Ieteikums 36 1. Franču PKN, 6. grozījums. Beļģijas VKP ieteikumi Nr. 2.10. un 2.11. Vācijas NKP, “Izveidojot vairāk apmaiņas iespēju studentiem Eiropā”. Nīderlandes VKP (“Mūsu redzējums par kultūru, jaunatni un sportu”), 1.</w:t>
      </w:r>
      <w:r>
        <w:rPr>
          <w:vertAlign w:val="superscript"/>
        </w:rPr>
        <w:t>un</w:t>
      </w:r>
      <w:r>
        <w:rPr/>
        <w:t xml:space="preserve"> 3. ieteikums. Itālijas NKP, ieteikums “izveidot Austrumu vai Rietumu sadraudzības biroju, veicinot kultūras apmaiņu un kopīgas kultūras iniciatīvas”.</w:t>
      </w:r>
    </w:p>
  </w:endnote>
  <w:endnote w:id="195">
    <w:p>
      <w:pPr>
        <w:pStyle w:val="Notedefin"/>
        <w:suppressLineNumbers/>
        <w:spacing w:before="57" w:after="57"/>
        <w:ind w:left="339" w:right="0" w:hanging="339"/>
        <w:rPr/>
      </w:pPr>
      <w:r>
        <w:rPr>
          <w:rStyle w:val="Caractresdenotedefin"/>
        </w:rPr>
        <w:endnoteRef/>
      </w:r>
      <w:r>
        <w:rPr/>
        <w:tab/>
        <w:t xml:space="preserve"> </w:t>
      </w:r>
      <w:r>
        <w:rPr/>
        <w:t>ECP</w:t>
      </w:r>
      <w:r>
        <w:rPr>
          <w:vertAlign w:val="superscript"/>
        </w:rPr>
        <w:t>32. un 38. ieteikums</w:t>
      </w:r>
      <w:r>
        <w:rPr/>
        <w:t xml:space="preserve"> 1. Nīderlandes VKP (“Mūsu redzējums par kultūru, jaunatni un sportu”), 3. ieteikums.</w:t>
      </w:r>
    </w:p>
  </w:endnote>
  <w:endnote w:id="196">
    <w:p>
      <w:pPr>
        <w:pStyle w:val="Notedefin"/>
        <w:suppressLineNumbers/>
        <w:spacing w:before="57" w:after="57"/>
        <w:ind w:left="339" w:right="0" w:hanging="339"/>
        <w:rPr/>
      </w:pPr>
      <w:r>
        <w:rPr>
          <w:rStyle w:val="Caractresdenotedefin"/>
        </w:rPr>
        <w:endnoteRef/>
      </w:r>
      <w:r>
        <w:rPr/>
        <w:tab/>
      </w:r>
      <w:r>
        <w:rPr/>
        <w:t>Itālijas NKP ieteikums “Eiropa pasaulē”</w:t>
      </w:r>
    </w:p>
  </w:endnote>
  <w:endnote w:id="197">
    <w:p>
      <w:pPr>
        <w:pStyle w:val="Notedefin"/>
        <w:suppressLineNumbers/>
        <w:spacing w:before="57" w:after="57"/>
        <w:ind w:left="339" w:right="0" w:hanging="339"/>
        <w:rPr/>
      </w:pPr>
      <w:r>
        <w:rPr>
          <w:rStyle w:val="Caractresdenotedefin"/>
        </w:rPr>
        <w:endnoteRef/>
      </w:r>
      <w:r>
        <w:rPr/>
        <w:tab/>
      </w:r>
      <w:r>
        <w:rPr/>
        <w:t>Franču PKN, izmaiņas 7. Beļģijas VKP</w:t>
      </w:r>
      <w:r>
        <w:rPr>
          <w:vertAlign w:val="superscript"/>
        </w:rPr>
        <w:t>2.5</w:t>
      </w:r>
      <w:r>
        <w:rPr/>
        <w:t>., 6.1. un 8.7. ieteikums. Itālijas NKP, ieteikums “Eiropas kultūras vērtību un īpašību, kā arī reģionālo īpatnību stiprināšana”.</w:t>
      </w:r>
    </w:p>
  </w:endnote>
  <w:endnote w:id="198">
    <w:p>
      <w:pPr>
        <w:pStyle w:val="Notedefin"/>
        <w:suppressLineNumbers/>
        <w:spacing w:before="57" w:after="57"/>
        <w:ind w:left="339" w:right="0" w:hanging="339"/>
        <w:rPr/>
      </w:pPr>
      <w:r>
        <w:rPr>
          <w:rStyle w:val="Caractresdenotedefin"/>
        </w:rPr>
        <w:endnoteRef/>
      </w:r>
      <w:r>
        <w:rPr/>
        <w:tab/>
      </w:r>
      <w:r>
        <w:rPr/>
        <w:t>Nīderlandes VKP (“Mūsu redzējums par kultūru, jaunatni un sportu”), Ieteikums Nr. 2.</w:t>
      </w:r>
    </w:p>
  </w:endnote>
  <w:endnote w:id="199">
    <w:p>
      <w:pPr>
        <w:pStyle w:val="Notedefin"/>
        <w:suppressLineNumbers/>
        <w:spacing w:before="57" w:after="57"/>
        <w:ind w:left="339" w:right="0" w:hanging="339"/>
        <w:rPr/>
      </w:pPr>
      <w:r>
        <w:rPr>
          <w:rStyle w:val="Caractresdenotedefin"/>
        </w:rPr>
        <w:endnoteRef/>
      </w:r>
      <w:r>
        <w:rPr/>
        <w:tab/>
        <w:t xml:space="preserve"> </w:t>
      </w:r>
      <w:r>
        <w:rPr/>
        <w:t>Itālijas NKP ieteikums “Pārsniegt pagājušā gadsimta ražošanas modeli”</w:t>
      </w:r>
    </w:p>
  </w:endnote>
  <w:endnote w:id="200">
    <w:p>
      <w:pPr>
        <w:pStyle w:val="Notedefin"/>
        <w:suppressLineNumbers/>
        <w:spacing w:before="57" w:after="57"/>
        <w:ind w:left="339" w:right="0" w:hanging="339"/>
        <w:rPr/>
      </w:pPr>
      <w:r>
        <w:rPr>
          <w:rStyle w:val="Caractresdenotedefin"/>
        </w:rPr>
        <w:endnoteRef/>
      </w:r>
      <w:r>
        <w:rPr/>
        <w:tab/>
      </w:r>
      <w:r>
        <w:rPr/>
        <w:t>ECP Ieteikums Nr. 29 1.</w:t>
      </w:r>
    </w:p>
  </w:endnote>
  <w:endnote w:id="201">
    <w:p>
      <w:pPr>
        <w:pStyle w:val="Notedefin"/>
        <w:suppressLineNumbers/>
        <w:spacing w:before="57" w:after="57"/>
        <w:ind w:left="339" w:right="0" w:hanging="339"/>
        <w:rPr/>
      </w:pPr>
      <w:r>
        <w:rPr>
          <w:rStyle w:val="Caractresdenotedefin"/>
        </w:rPr>
        <w:endnoteRef/>
      </w:r>
      <w:r>
        <w:rPr/>
        <w:tab/>
      </w:r>
      <w:r>
        <w:rPr/>
        <w:t>ECP Ieteikums 36 1.</w:t>
      </w:r>
    </w:p>
  </w:endnote>
</w:endnotes>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Calibri">
    <w:charset w:val="00"/>
    <w:family w:val="roman"/>
    <w:pitch w:val="variable"/>
  </w:font>
  <w:font w:name="Garamond">
    <w:charset w:val="00"/>
    <w:family w:val="roman"/>
    <w:pitch w:val="variable"/>
  </w:font>
  <w:font w:name="Roboto">
    <w:charset w:val="00"/>
    <w:family w:val="roman"/>
    <w:pitch w:val="variable"/>
  </w:font>
  <w:font w:name="Wingdings">
    <w:charset w:val="00"/>
    <w:family w:val="roman"/>
    <w:pitch w:val="variable"/>
  </w:font>
  <w:font w:name="Symbol">
    <w:charset w:val="00"/>
    <w:family w:val="roman"/>
    <w:pitch w:val="variable"/>
  </w:font>
  <w:font w:name="Verdana">
    <w:charset w:val="00"/>
    <w:family w:val="roman"/>
    <w:pitch w:val="variable"/>
  </w:font>
  <w:font w:name="Cambria">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w:t>
    </w:r>
    <w:r>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spacing w:before="57" w:after="57"/>
      <w:jc w:val="center"/>
      <w:rPr/>
    </w:pPr>
    <w:r>
      <w:rPr/>
      <w:fldChar w:fldCharType="begin"/>
    </w:r>
    <w:r>
      <w:rPr/>
      <w:instrText> PAGE </w:instrText>
    </w:r>
    <w:r>
      <w:rPr/>
      <w:fldChar w:fldCharType="separate"/>
    </w:r>
    <w:r>
      <w:rPr/>
      <w:t>287</w:t>
    </w:r>
    <w:r>
      <w:rP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Notedebasdepage"/>
        <w:suppressLineNumbers/>
        <w:spacing w:before="57" w:after="57"/>
        <w:ind w:left="339" w:right="0" w:hanging="339"/>
        <w:rPr/>
      </w:pPr>
      <w:r>
        <w:rPr>
          <w:rStyle w:val="Caractresdenotedebasdepage"/>
        </w:rPr>
        <w:footnoteRef/>
      </w:r>
      <w:r>
        <w:rPr>
          <w:rStyle w:val="Caractresdenotedebasdepage"/>
        </w:rPr>
        <w:tab/>
      </w:r>
      <w:hyperlink r:id="rId1">
        <w:r>
          <w:rPr>
            <w:rStyle w:val="LienInternet"/>
          </w:rPr>
          <w:t>https://futureu.europa.eu/</w:t>
        </w:r>
      </w:hyperlink>
      <w:r>
        <w:rPr/>
        <w:t xml:space="preserve"> </w:t>
      </w:r>
    </w:p>
  </w:footnote>
  <w:footnote w:id="3">
    <w:p>
      <w:pPr>
        <w:pStyle w:val="Notedebasdepage"/>
        <w:suppressLineNumbers/>
        <w:spacing w:before="57" w:after="57"/>
        <w:ind w:left="339" w:right="0" w:hanging="339"/>
        <w:rPr/>
      </w:pPr>
      <w:r>
        <w:rPr>
          <w:rStyle w:val="Caractresdenotedebasdepage"/>
        </w:rPr>
        <w:footnoteRef/>
      </w:r>
      <w:r>
        <w:rPr>
          <w:rStyle w:val="Caractresdenotedebasdepage"/>
        </w:rPr>
        <w:tab/>
      </w:r>
      <w:hyperlink r:id="rId2">
        <w:r>
          <w:rPr>
            <w:rStyle w:val="LienInternet"/>
          </w:rPr>
          <w:t>https://futureu.europa.eu/uploads/decidim/attachment/file/4595/Conference_Charter_fr.pdf</w:t>
        </w:r>
      </w:hyperlink>
      <w:r>
        <w:rPr/>
        <w:t xml:space="preserve"> </w:t>
      </w:r>
    </w:p>
  </w:footnote>
  <w:footnote w:id="4">
    <w:p>
      <w:pPr>
        <w:pStyle w:val="Notedebasdepage"/>
        <w:suppressLineNumbers/>
        <w:spacing w:before="57" w:after="57"/>
        <w:ind w:left="339" w:right="0" w:hanging="339"/>
        <w:rPr/>
      </w:pPr>
      <w:r>
        <w:rPr>
          <w:rStyle w:val="Caractresdenotedebasdepage"/>
        </w:rPr>
        <w:footnoteRef/>
      </w:r>
      <w:r>
        <w:rPr/>
        <w:tab/>
      </w:r>
      <w:r>
        <w:rPr/>
        <w:t xml:space="preserve">ESAO, Inovatīva pilsoņu līdzdalība un jaunas demokrātiskas iestādes, 2020. gads - </w:t>
      </w:r>
      <w:hyperlink r:id="rId3">
        <w:r>
          <w:rPr>
            <w:rStyle w:val="LienInternet"/>
          </w:rPr>
          <w:t>https://www.oecd.org/gov/open-government/innovative-citizen-participation-new-democratic-institutions-catching-the-deliberative-wave-highlights.pdf</w:t>
        </w:r>
      </w:hyperlink>
      <w:r>
        <w:rPr/>
        <w:t>.</w:t>
      </w:r>
    </w:p>
  </w:footnote>
  <w:footnote w:id="5">
    <w:p>
      <w:pPr>
        <w:pStyle w:val="Notedebasdepage"/>
        <w:suppressLineNumbers/>
        <w:spacing w:before="57" w:after="57"/>
        <w:ind w:left="339" w:right="0" w:hanging="339"/>
        <w:rPr/>
      </w:pPr>
      <w:r>
        <w:rPr>
          <w:rStyle w:val="Caractresdenotedebasdepage"/>
        </w:rPr>
        <w:footnoteRef/>
      </w:r>
      <w:r>
        <w:rPr/>
        <w:tab/>
        <w:t xml:space="preserve"> </w:t>
      </w:r>
      <w:r>
        <w:rPr/>
        <w:t>ESAO, Inovatīva pilsoņu līdzdalība un jaunas demokrātiskas iestādes, 2020. gads – https://www.oecd.org/gov/open-government/innovative-citizen-participation-new-democratic-institutions-catching-the-deliberative-wave-highlights.pdf</w:t>
      </w:r>
      <w:hyperlink r:id="rId4">
        <w:r>
          <w:rPr>
            <w:rStyle w:val="LienInternet"/>
          </w:rPr>
          <w:t>.</w:t>
        </w:r>
      </w:hyperlink>
      <w:r>
        <w:rPr/>
        <w:t xml:space="preserve"> </w:t>
      </w:r>
    </w:p>
  </w:footnote>
  <w:footnote w:id="6">
    <w:p>
      <w:pPr>
        <w:pStyle w:val="Normal"/>
        <w:spacing w:before="57" w:after="57"/>
        <w:rPr/>
      </w:pPr>
      <w:r>
        <w:rPr>
          <w:rStyle w:val="Caractresdenotedebasdepage"/>
        </w:rPr>
        <w:footnoteRef/>
      </w:r>
      <w:r>
        <w:rPr/>
        <w:tab/>
      </w:r>
      <w:r>
        <w:rPr/>
        <w:t>Apmeklējiet daudzvalodu digitālo platformu, lai piekļūtu visai informācijai par šiem pasākumiem.</w:t>
      </w:r>
    </w:p>
  </w:footnote>
  <w:footnote w:id="7">
    <w:p>
      <w:pPr>
        <w:pStyle w:val="Notedebasdepage"/>
        <w:suppressLineNumbers/>
        <w:spacing w:before="57" w:after="57"/>
        <w:ind w:left="339" w:right="0" w:hanging="339"/>
        <w:rPr/>
      </w:pPr>
      <w:r>
        <w:rPr>
          <w:rStyle w:val="Caractresdenotedebasdepage"/>
        </w:rPr>
        <w:footnoteRef/>
      </w:r>
      <w:r>
        <w:rPr/>
        <w:tab/>
      </w:r>
      <w:r>
        <w:rPr/>
        <w:t>Bija jāpanāk vienprātība vismaz starp Eiropas Parlamenta, Padomes, Eiropas Komisijas un valstu parlamentu pārstāvjiem uz vienlīdzīgiem pamatiem. Ja pilsoņu pārstāvju nostāja valsts mēroga pasākumos un/vai Eiropas vai valstu pilsoņu paneļdiskusijās ir acīmredzami atšķirīga, šī nostāja būtu jāiekļauj šajā ziņojumā.</w:t>
      </w:r>
    </w:p>
  </w:footnote>
  <w:footnote w:id="8">
    <w:p>
      <w:pPr>
        <w:pStyle w:val="Notedebasdepage"/>
        <w:suppressLineNumbers/>
        <w:spacing w:before="57" w:after="57"/>
        <w:ind w:left="339" w:right="0" w:hanging="339"/>
        <w:rPr/>
      </w:pPr>
      <w:r>
        <w:rPr>
          <w:rStyle w:val="Caractresdenotedebasdepage"/>
        </w:rPr>
        <w:footnoteRef/>
      </w:r>
      <w:r>
        <w:rPr/>
        <w:tab/>
      </w:r>
      <w:r>
        <w:rPr/>
        <w:t>Citi Eiropas Komisijas locekļi tika uzaicināti uz plenārsēdi, jo īpaši tad, kad tika apspriesti viņu atbildības jomas jautājumi.</w:t>
      </w:r>
    </w:p>
  </w:footnote>
  <w:footnote w:id="9">
    <w:p>
      <w:pPr>
        <w:pStyle w:val="Notedebasdepage"/>
        <w:suppressLineNumbers/>
        <w:spacing w:before="57" w:after="57"/>
        <w:ind w:left="339" w:right="0" w:hanging="339"/>
        <w:rPr/>
      </w:pPr>
      <w:r>
        <w:rPr>
          <w:rStyle w:val="Caractresdenotedebasdepage"/>
        </w:rPr>
        <w:footnoteRef/>
      </w:r>
      <w:r>
        <w:rPr/>
        <w:tab/>
      </w:r>
      <w:r>
        <w:rPr/>
        <w:t>Pa vienam no katras dalībvalsts.</w:t>
      </w:r>
    </w:p>
  </w:footnote>
  <w:footnote w:id="10">
    <w:p>
      <w:pPr>
        <w:pStyle w:val="Notedebasdepage"/>
        <w:suppressLineNumbers/>
        <w:spacing w:before="57" w:after="57"/>
        <w:ind w:left="339" w:right="0" w:hanging="339"/>
        <w:rPr/>
      </w:pPr>
      <w:r>
        <w:rPr>
          <w:rStyle w:val="Caractresdenotedebasdepage"/>
        </w:rPr>
        <w:footnoteRef/>
      </w:r>
      <w:r>
        <w:rPr/>
        <w:tab/>
      </w:r>
      <w:r>
        <w:rPr/>
        <w:t>Pirmais pasākums, kas bija veltīts Eiropas pilsoņiem, notika 2021. gada 17. jūnijā Lisabonā hibrīdformātā pirms 19. jūnija konstitutīvās plenārsēdes, lai uzsāktu pilsoņu dalību konferencē.</w:t>
      </w:r>
    </w:p>
  </w:footnote>
  <w:footnote w:id="11">
    <w:p>
      <w:pPr>
        <w:pStyle w:val="Notedebasdepage"/>
        <w:suppressLineNumbers/>
        <w:spacing w:before="57" w:after="57"/>
        <w:ind w:left="339" w:right="0" w:hanging="339"/>
        <w:rPr/>
      </w:pPr>
      <w:r>
        <w:rPr>
          <w:rStyle w:val="Caractresdenotedebasdepage"/>
        </w:rPr>
        <w:footnoteRef/>
      </w:r>
      <w:r>
        <w:rPr/>
        <w:tab/>
        <w:t xml:space="preserve"> </w:t>
      </w:r>
      <w:r>
        <w:rPr/>
        <w:t>Eiropas Komisijas pārstāvji paskaidroja, ka būtu nepieciešams pārejas periods, lai izvairītos no pārāk straujas attīstības.</w:t>
      </w:r>
    </w:p>
  </w:footnote>
  <w:footnote w:id="12">
    <w:p>
      <w:pPr>
        <w:pStyle w:val="Notedebasdepage"/>
        <w:suppressLineNumbers/>
        <w:spacing w:before="57" w:after="57"/>
        <w:ind w:left="339" w:right="0" w:hanging="339"/>
        <w:rPr/>
      </w:pPr>
      <w:r>
        <w:rPr>
          <w:rStyle w:val="Caractresdenotedebasdepage"/>
        </w:rPr>
        <w:footnoteRef/>
      </w:r>
      <w:r>
        <w:rPr/>
        <w:tab/>
      </w:r>
      <w:r>
        <w:rPr/>
        <w:t xml:space="preserve">Parlamenta nostāja: Eiropas politiskās partijas ar vislielāko balsu skaitu Eiropas Parlamenta vēlēšanās un EP deputātu vairākuma atbalsts būtu jāievēl par Eiropas Komisijas priekšsēdētāju. Gadījumā, ja nenotiks uz koalīciju balstīts vairākums, šim amatam būtu jāatgriežas nākamajā saraksta augšgalā. Šajā nolūkā Eiropas politiskās partijas varētu izvirzīt kandidātus Komisijas priekšsēdētāja amatam. Paulo Rangel: lai stiprinātu vadošo kandidātu procesu, būtu jāmaina Eiropas Parlamenta un Eiropadomes loma, kas nozīmē Līgumu grozīšanu: Komisijas priekšsēdētāju ierosinās Parlaments un apstiprinās Eiropadome. PNM (Galīgais Kantar ziņojums: “ieguldījumu grupa aptver Komisijas priekšsēdētāja ievēlēšanu un komisāru iecelšanu, tostarp augstākā saraksta kandidātu sistēmu.” EYE, 23. lpp.: Kandidātus Komisijas priekšsēdētāja amatam nevajadzētu ievēlēt aizkulisēs starp uzvarējām partijām. Mums būtu jāpiemēro vadošo kandidātu sistēma, saskaņā ar kuru katra partija pirms vēlēšanu kampaņas paziņo kandidātu, kurš būs Komisijas priekšsēdētājs, ja šī partija uzvarēs vairākumā. Aktīvi piedaloties kampaņā un tieši sadarbojoties ar Eiropas pilsoņiem, nākamais priekšsēdētājs varētu būt viņiem tuvāks.” diskusija GT. </w:t>
      </w:r>
    </w:p>
  </w:footnote>
  <w:footnote w:id="13">
    <w:p>
      <w:pPr>
        <w:pStyle w:val="Notedebasdepage"/>
        <w:suppressLineNumbers/>
        <w:spacing w:before="57" w:after="57"/>
        <w:ind w:left="339" w:right="0" w:hanging="339"/>
        <w:rPr/>
      </w:pPr>
      <w:r>
        <w:rPr>
          <w:rStyle w:val="Caractresdenotedebasdepage"/>
        </w:rPr>
        <w:footnoteRef/>
      </w:r>
      <w:r>
        <w:rPr/>
        <w:tab/>
      </w:r>
      <w:r>
        <w:rPr/>
        <w:t>Padome uzskata, ka šis priekšlikums nav balstīts uz pilsoņu ieteikumu. Tāpēc tas neatbilst saskaņotajai metodikai. Skatīt arī iedzīvotāju daļas nostāju, kas pausta 42. lappusē.</w:t>
      </w:r>
    </w:p>
  </w:footnote>
  <w:footnote w:id="14">
    <w:p>
      <w:pPr>
        <w:pStyle w:val="Notedebasdepage"/>
        <w:suppressLineNumbers/>
        <w:spacing w:before="57" w:after="57"/>
        <w:ind w:left="339" w:right="0" w:hanging="339"/>
        <w:rPr/>
      </w:pPr>
      <w:r>
        <w:rPr>
          <w:rStyle w:val="Caractresdenotedebasdepage"/>
        </w:rPr>
        <w:footnoteRef/>
      </w:r>
      <w:r>
        <w:rPr>
          <w:rStyle w:val="Caractresdenotedebasdepage"/>
        </w:rPr>
        <w:tab/>
      </w:r>
      <w:hyperlink r:id="rId5">
        <w:r>
          <w:rPr>
            <w:rStyle w:val="LienInternet"/>
          </w:rPr>
          <w:t>www.participation-citoyenne.gouv.fr</w:t>
        </w:r>
      </w:hyperlink>
      <w:r>
        <w:rPr/>
        <w:t xml:space="preserve"> </w:t>
      </w:r>
    </w:p>
  </w:footnote>
  <w:footnote w:id="15">
    <w:p>
      <w:pPr>
        <w:pStyle w:val="Notedebasdepage"/>
        <w:suppressLineNumbers/>
        <w:spacing w:before="57" w:after="57"/>
        <w:ind w:left="339" w:right="0" w:hanging="339"/>
        <w:rPr/>
      </w:pPr>
      <w:r>
        <w:rPr>
          <w:rStyle w:val="Caractresdenotedebasdepage"/>
        </w:rPr>
        <w:footnoteRef/>
      </w:r>
      <w:r>
        <w:rPr/>
        <w:tab/>
        <w:t xml:space="preserve"> </w:t>
      </w:r>
      <w:hyperlink r:id="rId6">
        <w:r>
          <w:rPr>
            <w:rStyle w:val="LienInternet"/>
          </w:rPr>
          <w:t>https://futureu.europa.eu/processes?locale=fr</w:t>
        </w:r>
      </w:hyperlink>
      <w:r>
        <w:rPr/>
        <w:t xml:space="preserve"> </w:t>
      </w:r>
    </w:p>
  </w:footnote>
  <w:footnote w:id="16">
    <w:p>
      <w:pPr>
        <w:pStyle w:val="Notedebasdepage"/>
        <w:suppressLineNumbers/>
        <w:spacing w:before="57" w:after="57"/>
        <w:ind w:left="339" w:right="0" w:hanging="339"/>
        <w:rPr/>
      </w:pPr>
      <w:r>
        <w:rPr>
          <w:rStyle w:val="Caractresdenotedebasdepage"/>
        </w:rPr>
        <w:footnoteRef/>
      </w:r>
      <w:r>
        <w:rPr/>
        <w:tab/>
        <w:t xml:space="preserve"> </w:t>
      </w:r>
      <w:r>
        <w:rPr/>
        <w:t xml:space="preserve">To pilsoņu izlase, kuri pārstāv Viļņu, Kauņu, Klaipēdu, Šauļus un Panevėžys un rajonus (apskritis) Viļņā, Kauņā, Klaipēdā, Šauļos, Panevėžys, Alytus, Marijampolė, Tauragė, Telšiai un Utena, pamatojoties uz Lietuvas Statistikas departamenta (Lietuvos statistikos departamentas) datiem.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spacing w:before="57" w:after="57"/>
      <w:jc w:val="right"/>
      <w:rPr>
        <w:sz w:val="18"/>
      </w:rPr>
    </w:pPr>
    <w:r>
      <w:rPr>
        <w:sz w:val="18"/>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68B1DB1Entte134"/>
      <w:spacing w:before="57" w:after="57"/>
      <w:jc w:val="right"/>
      <w:rPr>
        <w:sz w:val="18"/>
      </w:rPr>
    </w:pPr>
    <w:r>
      <w:rPr/>
      <w:t>Konference par Eiropas nākotni | ZIŅOJUMS PAR PIEŅEMŠANAS REZULTĀTIem</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itre1"/>
      <w:numFmt w:val="none"/>
      <w:suff w:val="nothing"/>
      <w:lvlText w:val=""/>
      <w:lvlJc w:val="left"/>
      <w:pPr>
        <w:ind w:left="0" w:hanging="0"/>
      </w:pPr>
    </w:lvl>
    <w:lvl w:ilvl="1">
      <w:start w:val="1"/>
      <w:pStyle w:val="Titre2"/>
      <w:numFmt w:val="none"/>
      <w:suff w:val="nothing"/>
      <w:lvlText w:val=""/>
      <w:lvlJc w:val="left"/>
      <w:pPr>
        <w:ind w:left="0" w:hanging="0"/>
      </w:pPr>
    </w:lvl>
    <w:lvl w:ilvl="2">
      <w:start w:val="1"/>
      <w:pStyle w:val="Titre3"/>
      <w:numFmt w:val="none"/>
      <w:suff w:val="nothing"/>
      <w:lvlText w:val=""/>
      <w:lvlJc w:val="left"/>
      <w:pPr>
        <w:ind w:left="0" w:hanging="0"/>
      </w:pPr>
    </w:lvl>
    <w:lvl w:ilvl="3">
      <w:start w:val="1"/>
      <w:pStyle w:val="Titre4"/>
      <w:numFmt w:val="none"/>
      <w:suff w:val="nothing"/>
      <w:lvlText w:val=""/>
      <w:lvlJc w:val="left"/>
      <w:pPr>
        <w:ind w:left="0" w:hanging="0"/>
      </w:pPr>
    </w:lvl>
    <w:lvl w:ilvl="4">
      <w:start w:val="1"/>
      <w:pStyle w:val="Titre5"/>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3">
    <w:lvl w:ilvl="0">
      <w:start w:val="1"/>
      <w:numFmt w:val="bullet"/>
      <w:lvlText w:val=""/>
      <w:lvlJc w:val="left"/>
      <w:pPr>
        <w:tabs>
          <w:tab w:val="num" w:pos="227"/>
        </w:tabs>
        <w:ind w:left="227" w:hanging="227"/>
      </w:pPr>
      <w:rPr>
        <w:rFonts w:ascii="Symbol" w:hAnsi="Symbol" w:cs="Symbol" w:hint="default"/>
        <w:rFonts w:cs="Symbol"/>
      </w:rPr>
    </w:lvl>
    <w:lvl w:ilvl="1">
      <w:start w:val="1"/>
      <w:numFmt w:val="bullet"/>
      <w:lvlText w:val=""/>
      <w:lvlJc w:val="left"/>
      <w:pPr>
        <w:tabs>
          <w:tab w:val="num" w:pos="454"/>
        </w:tabs>
        <w:ind w:left="454" w:hanging="227"/>
      </w:pPr>
      <w:rPr>
        <w:rFonts w:ascii="Symbol" w:hAnsi="Symbol" w:cs="Symbol" w:hint="default"/>
        <w:rFonts w:cs="Symbol"/>
      </w:rPr>
    </w:lvl>
    <w:lvl w:ilvl="2">
      <w:start w:val="1"/>
      <w:numFmt w:val="bullet"/>
      <w:lvlText w:val=""/>
      <w:lvlJc w:val="left"/>
      <w:pPr>
        <w:tabs>
          <w:tab w:val="num" w:pos="680"/>
        </w:tabs>
        <w:ind w:left="680" w:hanging="227"/>
      </w:pPr>
      <w:rPr>
        <w:rFonts w:ascii="Symbol" w:hAnsi="Symbol" w:cs="Symbol" w:hint="default"/>
        <w:rFonts w:cs="Symbol"/>
      </w:rPr>
    </w:lvl>
    <w:lvl w:ilvl="3">
      <w:start w:val="1"/>
      <w:numFmt w:val="bullet"/>
      <w:lvlText w:val=""/>
      <w:lvlJc w:val="left"/>
      <w:pPr>
        <w:tabs>
          <w:tab w:val="num" w:pos="907"/>
        </w:tabs>
        <w:ind w:left="907" w:hanging="227"/>
      </w:pPr>
      <w:rPr>
        <w:rFonts w:ascii="Symbol" w:hAnsi="Symbol" w:cs="Symbol" w:hint="default"/>
        <w:rFonts w:cs="Symbol"/>
      </w:rPr>
    </w:lvl>
    <w:lvl w:ilvl="4">
      <w:start w:val="1"/>
      <w:numFmt w:val="bullet"/>
      <w:lvlText w:val=""/>
      <w:lvlJc w:val="left"/>
      <w:pPr>
        <w:tabs>
          <w:tab w:val="num" w:pos="1134"/>
        </w:tabs>
        <w:ind w:left="1134" w:hanging="227"/>
      </w:pPr>
      <w:rPr>
        <w:rFonts w:ascii="Symbol" w:hAnsi="Symbol" w:cs="Symbol" w:hint="default"/>
        <w:rFonts w:cs="Symbol"/>
      </w:rPr>
    </w:lvl>
    <w:lvl w:ilvl="5">
      <w:start w:val="1"/>
      <w:numFmt w:val="bullet"/>
      <w:lvlText w:val=""/>
      <w:lvlJc w:val="left"/>
      <w:pPr>
        <w:tabs>
          <w:tab w:val="num" w:pos="1361"/>
        </w:tabs>
        <w:ind w:left="1361" w:hanging="227"/>
      </w:pPr>
      <w:rPr>
        <w:rFonts w:ascii="Symbol" w:hAnsi="Symbol" w:cs="Symbol" w:hint="default"/>
        <w:rFonts w:cs="Symbol"/>
      </w:rPr>
    </w:lvl>
    <w:lvl w:ilvl="6">
      <w:start w:val="1"/>
      <w:numFmt w:val="bullet"/>
      <w:lvlText w:val=""/>
      <w:lvlJc w:val="left"/>
      <w:pPr>
        <w:tabs>
          <w:tab w:val="num" w:pos="1587"/>
        </w:tabs>
        <w:ind w:left="1587" w:hanging="227"/>
      </w:pPr>
      <w:rPr>
        <w:rFonts w:ascii="Symbol" w:hAnsi="Symbol" w:cs="Symbol" w:hint="default"/>
        <w:rFonts w:cs="Symbol"/>
      </w:rPr>
    </w:lvl>
    <w:lvl w:ilvl="7">
      <w:start w:val="1"/>
      <w:numFmt w:val="bullet"/>
      <w:lvlText w:val=""/>
      <w:lvlJc w:val="left"/>
      <w:pPr>
        <w:tabs>
          <w:tab w:val="num" w:pos="1814"/>
        </w:tabs>
        <w:ind w:left="1814" w:hanging="227"/>
      </w:pPr>
      <w:rPr>
        <w:rFonts w:ascii="Symbol" w:hAnsi="Symbol" w:cs="Symbol" w:hint="default"/>
        <w:rFonts w:cs="Symbol"/>
      </w:rPr>
    </w:lvl>
    <w:lvl w:ilvl="8">
      <w:start w:val="1"/>
      <w:numFmt w:val="bullet"/>
      <w:lvlText w:val=""/>
      <w:lvlJc w:val="left"/>
      <w:pPr>
        <w:tabs>
          <w:tab w:val="num" w:pos="2041"/>
        </w:tabs>
        <w:ind w:left="2041" w:hanging="227"/>
      </w:pPr>
      <w:rPr>
        <w:rFonts w:ascii="Symbol" w:hAnsi="Symbol" w:cs="Symbol" w:hint="default"/>
        <w:rFonts w:cs="Symbol"/>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100"/>
  <w:defaultTabStop w:val="720"/>
  <w:autoHyphenation w:val="false"/>
  <w:evenAndOddHeaders/>
  <w:footnotePr>
    <w:numFmt w:val="upperRoman"/>
    <w:footnote w:id="0"/>
    <w:footnote w:id="1"/>
  </w:footnotePr>
  <w:endnotePr>
    <w:numFmt w:val="decimal"/>
    <w:endnote w:id="0"/>
    <w:endnote w:id="1"/>
  </w:endnotePr>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SimSun" w:cs="Mangal"/>
        <w:kern w:val="2"/>
        <w:sz w:val="24"/>
        <w:lang w:val="lv" w:eastAsia="zh-CN" w:bidi="hi-IN"/>
      </w:rPr>
    </w:rPrDefault>
    <w:pPrDefault>
      <w:pPr/>
    </w:pPrDefault>
  </w:docDefaults>
  <w:style w:type="paragraph" w:styleId="Normal">
    <w:name w:val="Normal"/>
    <w:qFormat/>
    <w:pPr>
      <w:widowControl/>
      <w:suppressAutoHyphens w:val="true"/>
      <w:overflowPunct w:val="false"/>
      <w:bidi w:val="0"/>
      <w:spacing w:before="57" w:after="57"/>
      <w:ind w:left="0" w:right="0" w:hanging="0"/>
      <w:jc w:val="left"/>
    </w:pPr>
    <w:rPr>
      <w:rFonts w:ascii="Arial" w:hAnsi="Arial" w:eastAsia="SimSun" w:cs="Mangal"/>
      <w:color w:val="00000A"/>
      <w:kern w:val="2"/>
      <w:sz w:val="22"/>
      <w:szCs w:val="20"/>
      <w:lang w:val="lv" w:eastAsia="zh-CN" w:bidi="hi-IN"/>
    </w:rPr>
  </w:style>
  <w:style w:type="paragraph" w:styleId="Titre1">
    <w:name w:val="Heading 1"/>
    <w:basedOn w:val="Titre"/>
    <w:qFormat/>
    <w:pPr>
      <w:numPr>
        <w:ilvl w:val="0"/>
        <w:numId w:val="1"/>
      </w:numPr>
      <w:spacing w:before="238" w:after="567"/>
      <w:outlineLvl w:val="0"/>
    </w:pPr>
    <w:rPr>
      <w:b w:val="false"/>
      <w:color w:val="0066B3"/>
      <w:sz w:val="64"/>
    </w:rPr>
  </w:style>
  <w:style w:type="paragraph" w:styleId="Titre2">
    <w:name w:val="Heading 2"/>
    <w:basedOn w:val="Titre"/>
    <w:qFormat/>
    <w:pPr>
      <w:numPr>
        <w:ilvl w:val="1"/>
        <w:numId w:val="1"/>
      </w:numPr>
      <w:spacing w:before="200" w:after="120"/>
      <w:outlineLvl w:val="1"/>
    </w:pPr>
    <w:rPr>
      <w:b/>
      <w:sz w:val="28"/>
    </w:rPr>
  </w:style>
  <w:style w:type="paragraph" w:styleId="Titre3">
    <w:name w:val="Heading 3"/>
    <w:basedOn w:val="Titre"/>
    <w:qFormat/>
    <w:pPr>
      <w:numPr>
        <w:ilvl w:val="2"/>
        <w:numId w:val="1"/>
      </w:numPr>
      <w:spacing w:before="140" w:after="120"/>
      <w:outlineLvl w:val="2"/>
    </w:pPr>
    <w:rPr>
      <w:b/>
      <w:sz w:val="28"/>
    </w:rPr>
  </w:style>
  <w:style w:type="paragraph" w:styleId="Titre4">
    <w:name w:val="Heading 4"/>
    <w:basedOn w:val="Titre"/>
    <w:qFormat/>
    <w:pPr>
      <w:numPr>
        <w:ilvl w:val="3"/>
        <w:numId w:val="1"/>
      </w:numPr>
      <w:spacing w:before="120" w:after="120"/>
      <w:outlineLvl w:val="3"/>
    </w:pPr>
    <w:rPr>
      <w:b/>
      <w:i/>
      <w:sz w:val="24"/>
    </w:rPr>
  </w:style>
  <w:style w:type="paragraph" w:styleId="Titre5">
    <w:name w:val="Heading 5"/>
    <w:basedOn w:val="Titre"/>
    <w:qFormat/>
    <w:pPr>
      <w:numPr>
        <w:ilvl w:val="4"/>
        <w:numId w:val="1"/>
      </w:numPr>
      <w:spacing w:before="120" w:after="60"/>
      <w:outlineLvl w:val="4"/>
    </w:pPr>
    <w:rPr>
      <w:b/>
      <w:sz w:val="22"/>
      <w:u w:val="none"/>
    </w:rPr>
  </w:style>
  <w:style w:type="character" w:styleId="Caractresdenotedebasdepage">
    <w:name w:val="Caractères de note de bas de page"/>
    <w:qFormat/>
    <w:rPr/>
  </w:style>
  <w:style w:type="character" w:styleId="Ancredenotedebasdepage">
    <w:name w:val="Ancre de note de bas de page"/>
    <w:rPr>
      <w:vertAlign w:val="superscript"/>
    </w:rPr>
  </w:style>
  <w:style w:type="character" w:styleId="LienInternet">
    <w:name w:val="Lien Internet"/>
    <w:rPr>
      <w:color w:val="000080"/>
      <w:u w:val="single"/>
    </w:rPr>
  </w:style>
  <w:style w:type="character" w:styleId="Caractresdenumrotation">
    <w:name w:val="Caractères de numérotation"/>
    <w:qFormat/>
    <w:rPr/>
  </w:style>
  <w:style w:type="character" w:styleId="Ancredenotedefin">
    <w:name w:val="Ancre de note de fin"/>
    <w:rPr>
      <w:vertAlign w:val="superscript"/>
    </w:rPr>
  </w:style>
  <w:style w:type="character" w:styleId="Caractresdenotedefin">
    <w:name w:val="Caractères de note de fin"/>
    <w:qFormat/>
    <w:rPr/>
  </w:style>
  <w:style w:type="character" w:styleId="Accentuationforte">
    <w:name w:val="Accentuation forte"/>
    <w:qFormat/>
    <w:rPr>
      <w:b/>
    </w:rPr>
  </w:style>
  <w:style w:type="character" w:styleId="Sautdindex">
    <w:name w:val="Saut d'index"/>
    <w:qFormat/>
    <w:rPr/>
  </w:style>
  <w:style w:type="character" w:styleId="ListLabel1">
    <w:name w:val="ListLabel 1"/>
    <w:qFormat/>
    <w:rPr>
      <w:rFonts w:cs="Symbol"/>
    </w:rPr>
  </w:style>
  <w:style w:type="character" w:styleId="ListLabel2">
    <w:name w:val="ListLabel 2"/>
    <w:qFormat/>
    <w:rPr>
      <w:rFonts w:cs="Symbol"/>
    </w:rPr>
  </w:style>
  <w:style w:type="character" w:styleId="ListLabel3">
    <w:name w:val="ListLabel 3"/>
    <w:qFormat/>
    <w:rPr>
      <w:rFonts w:cs="Symbol"/>
    </w:rPr>
  </w:style>
  <w:style w:type="character" w:styleId="ListLabel4">
    <w:name w:val="ListLabel 4"/>
    <w:qFormat/>
    <w:rPr>
      <w:rFonts w:cs="Symbol"/>
    </w:rPr>
  </w:style>
  <w:style w:type="character" w:styleId="ListLabel5">
    <w:name w:val="ListLabel 5"/>
    <w:qFormat/>
    <w:rPr>
      <w:rFonts w:cs="Symbol"/>
    </w:rPr>
  </w:style>
  <w:style w:type="character" w:styleId="ListLabel6">
    <w:name w:val="ListLabel 6"/>
    <w:qFormat/>
    <w:rPr>
      <w:rFonts w:cs="Symbol"/>
    </w:rPr>
  </w:style>
  <w:style w:type="character" w:styleId="ListLabel7">
    <w:name w:val="ListLabel 7"/>
    <w:qFormat/>
    <w:rPr>
      <w:rFonts w:cs="Symbol"/>
    </w:rPr>
  </w:style>
  <w:style w:type="character" w:styleId="ListLabel8">
    <w:name w:val="ListLabel 8"/>
    <w:qFormat/>
    <w:rPr>
      <w:rFonts w:cs="Symbol"/>
    </w:rPr>
  </w:style>
  <w:style w:type="character" w:styleId="ListLabel9">
    <w:name w:val="ListLabel 9"/>
    <w:qFormat/>
    <w:rPr>
      <w:rFonts w:cs="Symbol"/>
    </w:rPr>
  </w:style>
  <w:style w:type="character" w:styleId="ListLabel10">
    <w:name w:val="ListLabel 10"/>
    <w:qFormat/>
    <w:rPr>
      <w:rFonts w:ascii="Times New Roman" w:hAnsi="Times New Roman"/>
      <w:sz w:val="24"/>
    </w:rPr>
  </w:style>
  <w:style w:type="character" w:styleId="ListLabel11">
    <w:name w:val="ListLabel 11"/>
    <w:qFormat/>
    <w:rPr/>
  </w:style>
  <w:style w:type="character" w:styleId="ListLabel12">
    <w:name w:val="ListLabel 12"/>
    <w:qFormat/>
    <w:rPr/>
  </w:style>
  <w:style w:type="character" w:styleId="ListLabel13">
    <w:name w:val="ListLabel 13"/>
    <w:qFormat/>
    <w:rPr>
      <w:color w:val="0563C1"/>
    </w:rPr>
  </w:style>
  <w:style w:type="character" w:styleId="ListLabel14">
    <w:name w:val="ListLabel 14"/>
    <w:qFormat/>
    <w:rPr>
      <w:rFonts w:ascii="Times New Roman" w:hAnsi="Times New Roman"/>
      <w:b/>
      <w:color w:val="0000FF"/>
    </w:rPr>
  </w:style>
  <w:style w:type="character" w:styleId="ListLabel15">
    <w:name w:val="ListLabel 15"/>
    <w:qFormat/>
    <w:rPr>
      <w:color w:val="0000FF"/>
      <w:sz w:val="24"/>
    </w:rPr>
  </w:style>
  <w:style w:type="paragraph" w:styleId="Titre">
    <w:name w:val="Titre"/>
    <w:basedOn w:val="Normal"/>
    <w:next w:val="Corpsdetexte"/>
    <w:qFormat/>
    <w:pPr>
      <w:keepNext w:val="true"/>
      <w:spacing w:before="240" w:after="120"/>
    </w:pPr>
    <w:rPr>
      <w:rFonts w:ascii="Arial" w:hAnsi="Arial" w:eastAsia="Microsoft YaHei" w:cs="Lucida Sans"/>
      <w:sz w:val="28"/>
    </w:rPr>
  </w:style>
  <w:style w:type="paragraph" w:styleId="Corpsdetexte">
    <w:name w:val="Body Text"/>
    <w:basedOn w:val="Normal"/>
    <w:pPr>
      <w:spacing w:lineRule="auto" w:line="240" w:before="57" w:after="57"/>
    </w:pPr>
    <w:rPr/>
  </w:style>
  <w:style w:type="paragraph" w:styleId="Liste">
    <w:name w:val="List"/>
    <w:basedOn w:val="Corpsdetexte"/>
    <w:pPr/>
    <w:rPr>
      <w:rFonts w:cs="Lucida Sans"/>
    </w:rPr>
  </w:style>
  <w:style w:type="paragraph" w:styleId="Lgende">
    <w:name w:val="Caption"/>
    <w:basedOn w:val="Normal"/>
    <w:qFormat/>
    <w:pPr>
      <w:suppressLineNumbers/>
      <w:spacing w:before="120" w:after="120"/>
    </w:pPr>
    <w:rPr>
      <w:rFonts w:cs="Lucida Sans"/>
      <w:i/>
      <w:sz w:val="24"/>
    </w:rPr>
  </w:style>
  <w:style w:type="paragraph" w:styleId="Index">
    <w:name w:val="Index"/>
    <w:basedOn w:val="Normal"/>
    <w:qFormat/>
    <w:pPr>
      <w:suppressLineNumbers/>
    </w:pPr>
    <w:rPr>
      <w:rFonts w:cs="Lucida Sans"/>
    </w:rPr>
  </w:style>
  <w:style w:type="paragraph" w:styleId="Contenudecadre">
    <w:name w:val="Contenu de cadre"/>
    <w:basedOn w:val="Normal"/>
    <w:qFormat/>
    <w:pPr/>
    <w:rPr/>
  </w:style>
  <w:style w:type="paragraph" w:styleId="Entteetpieddepage">
    <w:name w:val="En-tête et pied de page"/>
    <w:basedOn w:val="Normal"/>
    <w:qFormat/>
    <w:pPr>
      <w:suppressLineNumbers/>
      <w:tabs>
        <w:tab w:val="center" w:pos="4819" w:leader="none"/>
        <w:tab w:val="right" w:pos="9638" w:leader="none"/>
      </w:tabs>
    </w:pPr>
    <w:rPr/>
  </w:style>
  <w:style w:type="paragraph" w:styleId="Entte">
    <w:name w:val="Header"/>
    <w:basedOn w:val="Entteetpieddepage"/>
    <w:pPr>
      <w:suppressLineNumbers/>
    </w:pPr>
    <w:rPr>
      <w:rFonts w:ascii="Arial" w:hAnsi="Arial"/>
      <w:sz w:val="22"/>
    </w:rPr>
  </w:style>
  <w:style w:type="paragraph" w:styleId="Pieddepage">
    <w:name w:val="Footer"/>
    <w:basedOn w:val="Entteetpieddepage"/>
    <w:pPr>
      <w:suppressLineNumbers/>
    </w:pPr>
    <w:rPr/>
  </w:style>
  <w:style w:type="paragraph" w:styleId="Titre1sansnumro">
    <w:name w:val="Titre 1 sans numéro"/>
    <w:basedOn w:val="Titre1"/>
    <w:qFormat/>
    <w:pPr>
      <w:numPr>
        <w:ilvl w:val="0"/>
        <w:numId w:val="0"/>
      </w:numPr>
      <w:ind w:left="0" w:right="0" w:hanging="0"/>
    </w:pPr>
    <w:rPr>
      <w:color w:val="0066B3"/>
    </w:rPr>
  </w:style>
  <w:style w:type="paragraph" w:styleId="Notedebasdepage">
    <w:name w:val="Footnote Text"/>
    <w:basedOn w:val="Normal"/>
    <w:pPr>
      <w:suppressLineNumbers/>
      <w:ind w:left="339" w:right="0" w:hanging="339"/>
    </w:pPr>
    <w:rPr>
      <w:sz w:val="20"/>
    </w:rPr>
  </w:style>
  <w:style w:type="paragraph" w:styleId="Alinangatif">
    <w:name w:val="Alinéa négatif"/>
    <w:basedOn w:val="Corpsdetexte"/>
    <w:qFormat/>
    <w:pPr>
      <w:tabs>
        <w:tab w:val="left" w:pos="0" w:leader="none"/>
      </w:tabs>
      <w:ind w:left="567" w:right="0" w:hanging="283"/>
    </w:pPr>
    <w:rPr/>
  </w:style>
  <w:style w:type="paragraph" w:styleId="Alineanegatifpuce">
    <w:name w:val="Alinea negatif puce"/>
    <w:basedOn w:val="Normal"/>
    <w:qFormat/>
    <w:pPr/>
    <w:rPr/>
  </w:style>
  <w:style w:type="paragraph" w:styleId="Puce3">
    <w:name w:val="List Bullet 4"/>
    <w:basedOn w:val="Liste"/>
    <w:pPr>
      <w:spacing w:before="0" w:after="120"/>
      <w:ind w:left="360" w:right="0" w:hanging="360"/>
    </w:pPr>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rPr>
  </w:style>
  <w:style w:type="paragraph" w:styleId="Notedefin">
    <w:name w:val="Endnote Text"/>
    <w:basedOn w:val="Normal"/>
    <w:pPr>
      <w:suppressLineNumbers/>
      <w:ind w:left="339" w:right="0" w:hanging="339"/>
    </w:pPr>
    <w:rPr>
      <w:sz w:val="20"/>
    </w:rPr>
  </w:style>
  <w:style w:type="paragraph" w:styleId="StyleParDefautjustifie">
    <w:name w:val="StyleParDefaut_justifie"/>
    <w:basedOn w:val="Normal"/>
    <w:qFormat/>
    <w:pPr>
      <w:jc w:val="both"/>
    </w:pPr>
    <w:rPr/>
  </w:style>
  <w:style w:type="paragraph" w:styleId="Indexlexicaltitre">
    <w:name w:val="Index Heading"/>
    <w:basedOn w:val="Titre"/>
    <w:pPr>
      <w:suppressLineNumbers/>
      <w:ind w:left="0" w:right="0" w:hanging="0"/>
    </w:pPr>
    <w:rPr>
      <w:b/>
      <w:sz w:val="32"/>
    </w:rPr>
  </w:style>
  <w:style w:type="paragraph" w:styleId="TOAHeading">
    <w:name w:val="TOA Heading"/>
    <w:basedOn w:val="Titre"/>
    <w:qFormat/>
    <w:pPr>
      <w:suppressLineNumbers/>
      <w:ind w:left="0" w:right="0" w:hanging="0"/>
    </w:pPr>
    <w:rPr>
      <w:b/>
      <w:sz w:val="32"/>
    </w:rPr>
  </w:style>
  <w:style w:type="paragraph" w:styleId="Tabledesmatiresniveau1">
    <w:name w:val="TOC 1"/>
    <w:basedOn w:val="Index"/>
    <w:pPr>
      <w:tabs>
        <w:tab w:val="right" w:pos="9638" w:leader="dot"/>
      </w:tabs>
      <w:ind w:left="0" w:right="0" w:hanging="0"/>
    </w:pPr>
    <w:rPr/>
  </w:style>
  <w:style w:type="paragraph" w:styleId="Tabledesmatiresniveau2">
    <w:name w:val="TOC 2"/>
    <w:basedOn w:val="Index"/>
    <w:pPr>
      <w:tabs>
        <w:tab w:val="right" w:pos="9355" w:leader="dot"/>
      </w:tabs>
      <w:ind w:left="283" w:right="0" w:hanging="0"/>
    </w:pPr>
    <w:rPr/>
  </w:style>
  <w:style w:type="paragraph" w:styleId="Tabledesmatiresniveau3">
    <w:name w:val="TOC 3"/>
    <w:basedOn w:val="Index"/>
    <w:pPr>
      <w:tabs>
        <w:tab w:val="right" w:pos="9072" w:leader="dot"/>
      </w:tabs>
      <w:ind w:left="566" w:right="0" w:hanging="0"/>
    </w:pPr>
    <w:rPr/>
  </w:style>
  <w:style w:type="paragraph" w:styleId="Tabledesmatiresniveau4">
    <w:name w:val="TOC 4"/>
    <w:basedOn w:val="Index"/>
    <w:pPr>
      <w:tabs>
        <w:tab w:val="right" w:pos="8789" w:leader="dot"/>
      </w:tabs>
      <w:ind w:left="849" w:right="0" w:hanging="0"/>
    </w:pPr>
    <w:rPr/>
  </w:style>
  <w:style w:type="paragraph" w:styleId="Tabledesmatiresniveau5">
    <w:name w:val="TOC 5"/>
    <w:basedOn w:val="Index"/>
    <w:pPr>
      <w:tabs>
        <w:tab w:val="right" w:pos="8506" w:leader="dot"/>
      </w:tabs>
      <w:ind w:left="1132" w:right="0" w:hanging="0"/>
    </w:pPr>
    <w:rPr/>
  </w:style>
  <w:style w:type="paragraph" w:styleId="P68B1DB1Normal1">
    <w:name w:val="P68B1DB1-Normal1"/>
    <w:basedOn w:val="Normal"/>
    <w:qFormat/>
    <w:pPr/>
    <w:rPr>
      <w:rFonts w:ascii="Arial" w:hAnsi="Arial"/>
      <w:b/>
      <w:color w:val="000000"/>
      <w:sz w:val="76"/>
    </w:rPr>
  </w:style>
  <w:style w:type="paragraph" w:styleId="P68B1DB1Normal2">
    <w:name w:val="P68B1DB1-Normal2"/>
    <w:basedOn w:val="Normal"/>
    <w:qFormat/>
    <w:pPr/>
    <w:rPr>
      <w:rFonts w:ascii="Arial" w:hAnsi="Arial"/>
      <w:color w:val="0000BE"/>
      <w:sz w:val="44"/>
    </w:rPr>
  </w:style>
  <w:style w:type="paragraph" w:styleId="P68B1DB1Normal3">
    <w:name w:val="P68B1DB1-Normal3"/>
    <w:basedOn w:val="Normal"/>
    <w:qFormat/>
    <w:pPr/>
    <w:rPr>
      <w:color w:val="0000BE"/>
      <w:sz w:val="28"/>
    </w:rPr>
  </w:style>
  <w:style w:type="paragraph" w:styleId="P68B1DB1Normal4">
    <w:name w:val="P68B1DB1-Normal4"/>
    <w:basedOn w:val="Normal"/>
    <w:qFormat/>
    <w:pPr/>
    <w:rPr>
      <w:rFonts w:ascii="Arial" w:hAnsi="Arial"/>
      <w:color w:val="414345"/>
      <w:sz w:val="32"/>
    </w:rPr>
  </w:style>
  <w:style w:type="paragraph" w:styleId="P68B1DB1Normal5">
    <w:name w:val="P68B1DB1-Normal5"/>
    <w:basedOn w:val="Normal"/>
    <w:qFormat/>
    <w:pPr/>
    <w:rPr>
      <w:rFonts w:ascii="Arial" w:hAnsi="Arial"/>
      <w:b/>
      <w:color w:val="0000BE"/>
      <w:sz w:val="48"/>
    </w:rPr>
  </w:style>
  <w:style w:type="paragraph" w:styleId="P68B1DB1Normal6">
    <w:name w:val="P68B1DB1-Normal6"/>
    <w:basedOn w:val="Normal"/>
    <w:qFormat/>
    <w:pPr/>
    <w:rPr>
      <w:rFonts w:ascii="Times New Roman" w:hAnsi="Times New Roman"/>
      <w:b/>
      <w:sz w:val="24"/>
    </w:rPr>
  </w:style>
  <w:style w:type="paragraph" w:styleId="P68B1DB1Normal7">
    <w:name w:val="P68B1DB1-Normal7"/>
    <w:basedOn w:val="Normal"/>
    <w:qFormat/>
    <w:pPr/>
    <w:rPr>
      <w:rFonts w:ascii="Times New Roman" w:hAnsi="Times New Roman"/>
      <w:sz w:val="24"/>
    </w:rPr>
  </w:style>
  <w:style w:type="paragraph" w:styleId="P68B1DB1Contenudetableau8">
    <w:name w:val="P68B1DB1-Contenudetableau8"/>
    <w:basedOn w:val="Contenudetableau"/>
    <w:qFormat/>
    <w:pPr/>
    <w:rPr>
      <w:sz w:val="32"/>
    </w:rPr>
  </w:style>
  <w:style w:type="paragraph" w:styleId="P68B1DB1Contenudetableau9">
    <w:name w:val="P68B1DB1-Contenudetableau9"/>
    <w:basedOn w:val="Contenudetableau"/>
    <w:qFormat/>
    <w:pPr/>
    <w:rPr>
      <w:sz w:val="16"/>
    </w:rPr>
  </w:style>
  <w:style w:type="paragraph" w:styleId="P68B1DB1Contenudetableau10">
    <w:name w:val="P68B1DB1-Contenudetableau10"/>
    <w:basedOn w:val="Contenudetableau"/>
    <w:qFormat/>
    <w:pPr/>
    <w:rPr>
      <w:b/>
    </w:rPr>
  </w:style>
  <w:style w:type="paragraph" w:styleId="P68B1DB1Lgende11">
    <w:name w:val="P68B1DB1-Lgende11"/>
    <w:basedOn w:val="Lgende"/>
    <w:qFormat/>
    <w:pPr/>
    <w:rPr>
      <w:sz w:val="18"/>
    </w:rPr>
  </w:style>
  <w:style w:type="paragraph" w:styleId="P68B1DB1Corpsdetexte12">
    <w:name w:val="P68B1DB1-Corpsdetexte12"/>
    <w:basedOn w:val="Corpsdetexte"/>
    <w:qFormat/>
    <w:pPr/>
    <w:rPr>
      <w:b/>
      <w:i/>
      <w:u w:val="single"/>
    </w:rPr>
  </w:style>
  <w:style w:type="paragraph" w:styleId="P68B1DB1Normal13">
    <w:name w:val="P68B1DB1-Normal13"/>
    <w:basedOn w:val="Normal"/>
    <w:qFormat/>
    <w:pPr/>
    <w:rPr>
      <w:i/>
      <w:sz w:val="20"/>
    </w:rPr>
  </w:style>
  <w:style w:type="paragraph" w:styleId="P68B1DB1Normal14">
    <w:name w:val="P68B1DB1-Normal14"/>
    <w:basedOn w:val="Normal"/>
    <w:qFormat/>
    <w:pPr/>
    <w:rPr>
      <w:sz w:val="20"/>
    </w:rPr>
  </w:style>
  <w:style w:type="paragraph" w:styleId="P68B1DB1Normal15">
    <w:name w:val="P68B1DB1-Normal15"/>
    <w:basedOn w:val="Normal"/>
    <w:qFormat/>
    <w:pPr/>
    <w:rPr>
      <w:b/>
    </w:rPr>
  </w:style>
  <w:style w:type="paragraph" w:styleId="P68B1DB1Normal16">
    <w:name w:val="P68B1DB1-Normal16"/>
    <w:basedOn w:val="Normal"/>
    <w:qFormat/>
    <w:pPr/>
    <w:rPr>
      <w:color w:val="FFFFFF"/>
      <w:sz w:val="72"/>
    </w:rPr>
  </w:style>
  <w:style w:type="paragraph" w:styleId="P68B1DB1Normal17">
    <w:name w:val="P68B1DB1-Normal17"/>
    <w:basedOn w:val="Normal"/>
    <w:qFormat/>
    <w:pPr/>
    <w:rPr>
      <w:color w:val="FFFFFF"/>
    </w:rPr>
  </w:style>
  <w:style w:type="paragraph" w:styleId="P68B1DB1Normal18">
    <w:name w:val="P68B1DB1-Normal18"/>
    <w:basedOn w:val="Normal"/>
    <w:qFormat/>
    <w:pPr/>
    <w:rPr>
      <w:rFonts w:ascii="Calibri" w:hAnsi="Calibri"/>
      <w:sz w:val="28"/>
    </w:rPr>
  </w:style>
  <w:style w:type="paragraph" w:styleId="P68B1DB1Normal19">
    <w:name w:val="P68B1DB1-Normal19"/>
    <w:basedOn w:val="Normal"/>
    <w:qFormat/>
    <w:pPr/>
    <w:rPr>
      <w:rFonts w:ascii="Times New Roman" w:hAnsi="Times New Roman"/>
      <w:color w:val="000000"/>
      <w:sz w:val="24"/>
    </w:rPr>
  </w:style>
  <w:style w:type="paragraph" w:styleId="P68B1DB1Normal20">
    <w:name w:val="P68B1DB1-Normal20"/>
    <w:basedOn w:val="Normal"/>
    <w:qFormat/>
    <w:pPr/>
    <w:rPr>
      <w:rFonts w:ascii="Calibri" w:hAnsi="Calibri"/>
      <w:color w:val="000000"/>
      <w:sz w:val="24"/>
    </w:rPr>
  </w:style>
  <w:style w:type="paragraph" w:styleId="P68B1DB1Normal21">
    <w:name w:val="P68B1DB1-Normal21"/>
    <w:basedOn w:val="Normal"/>
    <w:qFormat/>
    <w:pPr/>
    <w:rPr>
      <w:rFonts w:ascii="Calibri" w:hAnsi="Calibri"/>
      <w:sz w:val="24"/>
    </w:rPr>
  </w:style>
  <w:style w:type="paragraph" w:styleId="P68B1DB1Contenudecadre22">
    <w:name w:val="P68B1DB1-Contenudecadre22"/>
    <w:basedOn w:val="Contenudecadre"/>
    <w:qFormat/>
    <w:pPr/>
    <w:rPr>
      <w:color w:val="FFFFFF"/>
    </w:rPr>
  </w:style>
  <w:style w:type="paragraph" w:styleId="P68B1DB1Normal23">
    <w:name w:val="P68B1DB1-Normal23"/>
    <w:basedOn w:val="Normal"/>
    <w:qFormat/>
    <w:pPr/>
    <w:rPr>
      <w:rFonts w:ascii="Times New Roman" w:hAnsi="Times New Roman"/>
      <w:color w:val="000000"/>
      <w:sz w:val="24"/>
      <w:u w:val="single"/>
    </w:rPr>
  </w:style>
  <w:style w:type="paragraph" w:styleId="P68B1DB1Normal24">
    <w:name w:val="P68B1DB1-Normal24"/>
    <w:basedOn w:val="Normal"/>
    <w:qFormat/>
    <w:pPr/>
    <w:rPr>
      <w:rFonts w:ascii="Times New Roman" w:hAnsi="Times New Roman"/>
      <w:color w:val="000000"/>
    </w:rPr>
  </w:style>
  <w:style w:type="paragraph" w:styleId="P68B1DB1style25">
    <w:name w:val="P68B1DB1-style25"/>
    <w:qFormat/>
    <w:pPr>
      <w:widowControl/>
      <w:bidi w:val="0"/>
      <w:jc w:val="left"/>
    </w:pPr>
    <w:rPr>
      <w:rFonts w:ascii="Arial" w:hAnsi="Arial" w:eastAsia="Microsoft YaHei" w:cs="Mangal"/>
      <w:color w:val="00000A"/>
      <w:kern w:val="2"/>
      <w:sz w:val="52"/>
      <w:szCs w:val="20"/>
      <w:lang w:val="lv" w:eastAsia="zh-CN" w:bidi="hi-IN"/>
    </w:rPr>
  </w:style>
  <w:style w:type="paragraph" w:styleId="P68B1DB1style26">
    <w:name w:val="P68B1DB1-style26"/>
    <w:qFormat/>
    <w:pPr>
      <w:widowControl/>
      <w:bidi w:val="0"/>
      <w:jc w:val="left"/>
    </w:pPr>
    <w:rPr>
      <w:rFonts w:ascii="Arial" w:hAnsi="Arial" w:eastAsia="Microsoft YaHei" w:cs="Mangal"/>
      <w:color w:val="00000A"/>
      <w:kern w:val="2"/>
      <w:sz w:val="36"/>
      <w:szCs w:val="20"/>
      <w:lang w:val="lv" w:eastAsia="zh-CN" w:bidi="hi-IN"/>
    </w:rPr>
  </w:style>
  <w:style w:type="paragraph" w:styleId="P68B1DB1style27">
    <w:name w:val="P68B1DB1-style27"/>
    <w:qFormat/>
    <w:pPr>
      <w:widowControl/>
      <w:bidi w:val="0"/>
      <w:jc w:val="left"/>
    </w:pPr>
    <w:rPr>
      <w:rFonts w:ascii="Arial" w:hAnsi="Arial" w:eastAsia="Microsoft YaHei" w:cs="Mangal"/>
      <w:color w:val="00000A"/>
      <w:kern w:val="2"/>
      <w:sz w:val="21"/>
      <w:szCs w:val="20"/>
      <w:lang w:val="lv" w:eastAsia="zh-CN" w:bidi="hi-IN"/>
    </w:rPr>
  </w:style>
  <w:style w:type="paragraph" w:styleId="P68B1DB1style28">
    <w:name w:val="P68B1DB1-style28"/>
    <w:qFormat/>
    <w:pPr>
      <w:widowControl/>
      <w:bidi w:val="0"/>
      <w:jc w:val="left"/>
    </w:pPr>
    <w:rPr>
      <w:rFonts w:ascii="Arial" w:hAnsi="Arial" w:eastAsia="Microsoft YaHei" w:cs="Mangal"/>
      <w:color w:val="00000A"/>
      <w:kern w:val="2"/>
      <w:sz w:val="48"/>
      <w:szCs w:val="20"/>
      <w:lang w:val="lv" w:eastAsia="zh-CN" w:bidi="hi-IN"/>
    </w:rPr>
  </w:style>
  <w:style w:type="paragraph" w:styleId="P68B1DB1style29">
    <w:name w:val="P68B1DB1-style29"/>
    <w:qFormat/>
    <w:pPr>
      <w:widowControl/>
      <w:bidi w:val="0"/>
      <w:jc w:val="left"/>
    </w:pPr>
    <w:rPr>
      <w:rFonts w:ascii="Arial" w:hAnsi="Arial" w:eastAsia="Microsoft YaHei" w:cs="Mangal"/>
      <w:color w:val="CE181E"/>
      <w:kern w:val="2"/>
      <w:sz w:val="44"/>
      <w:szCs w:val="20"/>
      <w:lang w:val="lv" w:eastAsia="zh-CN" w:bidi="hi-IN"/>
    </w:rPr>
  </w:style>
  <w:style w:type="paragraph" w:styleId="P68B1DB1style30">
    <w:name w:val="P68B1DB1-style30"/>
    <w:qFormat/>
    <w:pPr>
      <w:widowControl/>
      <w:bidi w:val="0"/>
      <w:jc w:val="left"/>
    </w:pPr>
    <w:rPr>
      <w:rFonts w:ascii="Arial" w:hAnsi="Arial" w:eastAsia="Microsoft YaHei" w:cs="Mangal"/>
      <w:color w:val="00000A"/>
      <w:kern w:val="2"/>
      <w:sz w:val="28"/>
      <w:szCs w:val="20"/>
      <w:lang w:val="lv" w:eastAsia="zh-CN" w:bidi="hi-IN"/>
    </w:rPr>
  </w:style>
  <w:style w:type="paragraph" w:styleId="P68B1DB1style31">
    <w:name w:val="P68B1DB1-style31"/>
    <w:qFormat/>
    <w:pPr>
      <w:widowControl/>
      <w:bidi w:val="0"/>
      <w:jc w:val="left"/>
    </w:pPr>
    <w:rPr>
      <w:rFonts w:ascii="Arial" w:hAnsi="Arial" w:eastAsia="Microsoft YaHei" w:cs="Mangal"/>
      <w:b/>
      <w:color w:val="00000A"/>
      <w:kern w:val="2"/>
      <w:sz w:val="36"/>
      <w:szCs w:val="20"/>
      <w:lang w:val="lv" w:eastAsia="zh-CN" w:bidi="hi-IN"/>
    </w:rPr>
  </w:style>
  <w:style w:type="paragraph" w:styleId="P68B1DB1Normal32">
    <w:name w:val="P68B1DB1-Normal32"/>
    <w:basedOn w:val="Normal"/>
    <w:qFormat/>
    <w:pPr/>
    <w:rPr>
      <w:b/>
      <w:color w:val="000000"/>
      <w:sz w:val="24"/>
    </w:rPr>
  </w:style>
  <w:style w:type="paragraph" w:styleId="P68B1DB1Normal33">
    <w:name w:val="P68B1DB1-Normal33"/>
    <w:basedOn w:val="Normal"/>
    <w:qFormat/>
    <w:pPr/>
    <w:rPr>
      <w:rFonts w:ascii="Times New Roman" w:hAnsi="Times New Roman"/>
      <w:b/>
      <w:color w:val="000000"/>
      <w:sz w:val="24"/>
    </w:rPr>
  </w:style>
  <w:style w:type="paragraph" w:styleId="P68B1DB1Normal34">
    <w:name w:val="P68B1DB1-Normal34"/>
    <w:basedOn w:val="Normal"/>
    <w:qFormat/>
    <w:pPr/>
    <w:rPr>
      <w:color w:val="000000"/>
      <w:sz w:val="24"/>
    </w:rPr>
  </w:style>
  <w:style w:type="paragraph" w:styleId="P68B1DB1Normal35">
    <w:name w:val="P68B1DB1-Normal35"/>
    <w:basedOn w:val="Normal"/>
    <w:qFormat/>
    <w:pPr/>
    <w:rPr>
      <w:b/>
      <w:color w:val="000000"/>
    </w:rPr>
  </w:style>
  <w:style w:type="paragraph" w:styleId="P68B1DB1Titre236">
    <w:name w:val="P68B1DB1-Titre236"/>
    <w:basedOn w:val="Titre2"/>
    <w:qFormat/>
    <w:pPr>
      <w:numPr>
        <w:ilvl w:val="0"/>
        <w:numId w:val="0"/>
      </w:numPr>
      <w:ind w:left="0" w:right="0" w:hanging="0"/>
    </w:pPr>
    <w:rPr>
      <w:rFonts w:ascii="Times New Roman" w:hAnsi="Times New Roman"/>
      <w:color w:val="000070"/>
      <w:sz w:val="36"/>
    </w:rPr>
  </w:style>
  <w:style w:type="paragraph" w:styleId="P68B1DB1style37">
    <w:name w:val="P68B1DB1-style37"/>
    <w:qFormat/>
    <w:pPr>
      <w:widowControl/>
      <w:bidi w:val="0"/>
      <w:jc w:val="left"/>
    </w:pPr>
    <w:rPr>
      <w:rFonts w:ascii="Arial" w:hAnsi="Arial" w:eastAsia="Microsoft YaHei" w:cs="Mangal"/>
      <w:color w:val="FFFFFF"/>
      <w:kern w:val="2"/>
      <w:sz w:val="24"/>
      <w:szCs w:val="20"/>
      <w:lang w:val="lv" w:eastAsia="zh-CN" w:bidi="hi-IN"/>
    </w:rPr>
  </w:style>
  <w:style w:type="paragraph" w:styleId="P68B1DB1style38">
    <w:name w:val="P68B1DB1-style38"/>
    <w:qFormat/>
    <w:pPr>
      <w:widowControl/>
      <w:bidi w:val="0"/>
      <w:jc w:val="left"/>
    </w:pPr>
    <w:rPr>
      <w:rFonts w:ascii="Arial" w:hAnsi="Arial" w:eastAsia="Microsoft YaHei" w:cs="Mangal"/>
      <w:color w:val="00000A"/>
      <w:kern w:val="2"/>
      <w:sz w:val="18"/>
      <w:szCs w:val="20"/>
      <w:lang w:val="lv" w:eastAsia="zh-CN" w:bidi="hi-IN"/>
    </w:rPr>
  </w:style>
  <w:style w:type="paragraph" w:styleId="P68B1DB1Normal39">
    <w:name w:val="P68B1DB1-Normal39"/>
    <w:basedOn w:val="Normal"/>
    <w:qFormat/>
    <w:pPr/>
    <w:rPr>
      <w:rFonts w:ascii="Times New Roman" w:hAnsi="Times New Roman"/>
      <w:b/>
      <w:color w:val="000000"/>
      <w:sz w:val="12"/>
    </w:rPr>
  </w:style>
  <w:style w:type="paragraph" w:styleId="P68B1DB1Normal40">
    <w:name w:val="P68B1DB1-Normal40"/>
    <w:basedOn w:val="Normal"/>
    <w:qFormat/>
    <w:pPr/>
    <w:rPr>
      <w:color w:val="273375"/>
    </w:rPr>
  </w:style>
  <w:style w:type="paragraph" w:styleId="P68B1DB1Normal41">
    <w:name w:val="P68B1DB1-Normal41"/>
    <w:basedOn w:val="Normal"/>
    <w:qFormat/>
    <w:pPr/>
    <w:rPr>
      <w:sz w:val="18"/>
    </w:rPr>
  </w:style>
  <w:style w:type="paragraph" w:styleId="P68B1DB1Normal42">
    <w:name w:val="P68B1DB1-Normal42"/>
    <w:basedOn w:val="Normal"/>
    <w:qFormat/>
    <w:pPr/>
    <w:rPr>
      <w:rFonts w:ascii="Times New Roman" w:hAnsi="Times New Roman"/>
      <w:b/>
      <w:color w:val="000000"/>
      <w:sz w:val="28"/>
    </w:rPr>
  </w:style>
  <w:style w:type="paragraph" w:styleId="P68B1DB1Normal43">
    <w:name w:val="P68B1DB1-Normal43"/>
    <w:basedOn w:val="Normal"/>
    <w:qFormat/>
    <w:pPr/>
    <w:rPr>
      <w:rFonts w:ascii="Times New Roman" w:hAnsi="Times New Roman"/>
      <w:b/>
      <w:i/>
      <w:color w:val="808080"/>
      <w:sz w:val="24"/>
    </w:rPr>
  </w:style>
  <w:style w:type="paragraph" w:styleId="P68B1DB1Normal44">
    <w:name w:val="P68B1DB1-Normal44"/>
    <w:basedOn w:val="Normal"/>
    <w:qFormat/>
    <w:pPr/>
    <w:rPr>
      <w:rFonts w:ascii="Times New Roman" w:hAnsi="Times New Roman"/>
      <w:i/>
      <w:color w:val="000000"/>
      <w:sz w:val="24"/>
    </w:rPr>
  </w:style>
  <w:style w:type="paragraph" w:styleId="P68B1DB1Normal45">
    <w:name w:val="P68B1DB1-Normal45"/>
    <w:basedOn w:val="Normal"/>
    <w:qFormat/>
    <w:pPr/>
    <w:rPr>
      <w:rFonts w:ascii="Times New Roman" w:hAnsi="Times New Roman"/>
      <w:color w:val="000000"/>
      <w:sz w:val="20"/>
    </w:rPr>
  </w:style>
  <w:style w:type="paragraph" w:styleId="P68B1DB1Normal46">
    <w:name w:val="P68B1DB1-Normal46"/>
    <w:basedOn w:val="Normal"/>
    <w:qFormat/>
    <w:pPr/>
    <w:rPr>
      <w:rFonts w:ascii="Times New Roman" w:hAnsi="Times New Roman"/>
      <w:b/>
      <w:color w:val="F79646"/>
      <w:sz w:val="24"/>
    </w:rPr>
  </w:style>
  <w:style w:type="paragraph" w:styleId="P68B1DB1Normal47">
    <w:name w:val="P68B1DB1-Normal47"/>
    <w:basedOn w:val="Normal"/>
    <w:qFormat/>
    <w:pPr/>
    <w:rPr>
      <w:rFonts w:ascii="Times New Roman" w:hAnsi="Times New Roman"/>
      <w:b/>
      <w:color w:val="1F497D"/>
      <w:sz w:val="12"/>
    </w:rPr>
  </w:style>
  <w:style w:type="paragraph" w:styleId="P68B1DB1Normal48">
    <w:name w:val="P68B1DB1-Normal48"/>
    <w:basedOn w:val="Normal"/>
    <w:qFormat/>
    <w:pPr/>
    <w:rPr>
      <w:rFonts w:ascii="Times New Roman" w:hAnsi="Times New Roman"/>
      <w:color w:val="F79646"/>
      <w:sz w:val="24"/>
    </w:rPr>
  </w:style>
  <w:style w:type="paragraph" w:styleId="P68B1DB1Normal49">
    <w:name w:val="P68B1DB1-Normal49"/>
    <w:basedOn w:val="Normal"/>
    <w:qFormat/>
    <w:pPr/>
    <w:rPr>
      <w:rFonts w:ascii="Times New Roman" w:hAnsi="Times New Roman"/>
      <w:color w:val="000000"/>
      <w:sz w:val="12"/>
    </w:rPr>
  </w:style>
  <w:style w:type="paragraph" w:styleId="P68B1DB1Normal50">
    <w:name w:val="P68B1DB1-Normal50"/>
    <w:basedOn w:val="Normal"/>
    <w:qFormat/>
    <w:pPr/>
    <w:rPr>
      <w:rFonts w:ascii="Times New Roman" w:hAnsi="Times New Roman"/>
      <w:color w:val="222222"/>
      <w:sz w:val="24"/>
    </w:rPr>
  </w:style>
  <w:style w:type="paragraph" w:styleId="P68B1DB1Normal51">
    <w:name w:val="P68B1DB1-Normal51"/>
    <w:basedOn w:val="Normal"/>
    <w:qFormat/>
    <w:pPr/>
    <w:rPr>
      <w:rFonts w:ascii="Times New Roman" w:hAnsi="Times New Roman"/>
      <w:b/>
      <w:color w:val="222222"/>
      <w:sz w:val="24"/>
    </w:rPr>
  </w:style>
  <w:style w:type="paragraph" w:styleId="P68B1DB1Normal52">
    <w:name w:val="P68B1DB1-Normal52"/>
    <w:basedOn w:val="Normal"/>
    <w:qFormat/>
    <w:pPr/>
    <w:rPr>
      <w:rFonts w:ascii="Times New Roman" w:hAnsi="Times New Roman"/>
      <w:i/>
      <w:sz w:val="24"/>
    </w:rPr>
  </w:style>
  <w:style w:type="paragraph" w:styleId="P68B1DB1Contenudetableau53">
    <w:name w:val="P68B1DB1-Contenudetableau53"/>
    <w:basedOn w:val="Contenudetableau"/>
    <w:qFormat/>
    <w:pPr/>
    <w:rPr>
      <w:color w:val="FFFFFF"/>
      <w:sz w:val="18"/>
      <w:shd w:fill="00A65D" w:val="clear"/>
    </w:rPr>
  </w:style>
  <w:style w:type="paragraph" w:styleId="P68B1DB1Contenudetableau54">
    <w:name w:val="P68B1DB1-Contenudetableau54"/>
    <w:basedOn w:val="Contenudetableau"/>
    <w:qFormat/>
    <w:pPr/>
    <w:rPr>
      <w:sz w:val="18"/>
    </w:rPr>
  </w:style>
  <w:style w:type="paragraph" w:styleId="P68B1DB1Contenudetableau55">
    <w:name w:val="P68B1DB1-Contenudetableau55"/>
    <w:basedOn w:val="Contenudetableau"/>
    <w:qFormat/>
    <w:pPr/>
    <w:rPr>
      <w:color w:val="FFFFFF"/>
      <w:sz w:val="18"/>
      <w:shd w:fill="0066B3" w:val="clear"/>
    </w:rPr>
  </w:style>
  <w:style w:type="paragraph" w:styleId="P68B1DB1Contenudetableau56">
    <w:name w:val="P68B1DB1-Contenudetableau56"/>
    <w:basedOn w:val="Contenudetableau"/>
    <w:qFormat/>
    <w:pPr/>
    <w:rPr>
      <w:color w:val="FFFFFF"/>
      <w:sz w:val="18"/>
      <w:shd w:fill="ED1C24" w:val="clear"/>
    </w:rPr>
  </w:style>
  <w:style w:type="paragraph" w:styleId="P68B1DB1Contenudetableau57">
    <w:name w:val="P68B1DB1-Contenudetableau57"/>
    <w:basedOn w:val="Contenudetableau"/>
    <w:qFormat/>
    <w:pPr/>
    <w:rPr>
      <w:rFonts w:ascii="Arial" w:hAnsi="Arial"/>
      <w:color w:val="FFFFFF"/>
      <w:sz w:val="18"/>
      <w:shd w:fill="7DA7D8" w:val="clear"/>
    </w:rPr>
  </w:style>
  <w:style w:type="paragraph" w:styleId="P68B1DB1Contenudetableau58">
    <w:name w:val="P68B1DB1-Contenudetableau58"/>
    <w:basedOn w:val="Contenudetableau"/>
    <w:qFormat/>
    <w:pPr/>
    <w:rPr>
      <w:rFonts w:ascii="Arial" w:hAnsi="Arial"/>
      <w:color w:val="FFFFFF"/>
      <w:sz w:val="18"/>
      <w:shd w:fill="A3238E" w:val="clear"/>
    </w:rPr>
  </w:style>
  <w:style w:type="paragraph" w:styleId="P68B1DB1Contenudetableau59">
    <w:name w:val="P68B1DB1-Contenudetableau59"/>
    <w:basedOn w:val="Contenudetableau"/>
    <w:qFormat/>
    <w:pPr/>
    <w:rPr>
      <w:color w:val="F58220"/>
      <w:sz w:val="18"/>
    </w:rPr>
  </w:style>
  <w:style w:type="paragraph" w:styleId="P68B1DB1Contenudetableau60">
    <w:name w:val="P68B1DB1-Contenudetableau60"/>
    <w:basedOn w:val="Contenudetableau"/>
    <w:qFormat/>
    <w:pPr/>
    <w:rPr>
      <w:rFonts w:ascii="Arial" w:hAnsi="Arial"/>
      <w:color w:val="FFFFFF"/>
      <w:sz w:val="18"/>
      <w:shd w:fill="ADC5E7" w:val="clear"/>
    </w:rPr>
  </w:style>
  <w:style w:type="paragraph" w:styleId="P68B1DB1Contenudetableau61">
    <w:name w:val="P68B1DB1-Contenudetableau61"/>
    <w:basedOn w:val="Contenudetableau"/>
    <w:qFormat/>
    <w:pPr/>
    <w:rPr>
      <w:rFonts w:ascii="Arial" w:hAnsi="Arial"/>
      <w:color w:val="FFFFFF"/>
      <w:sz w:val="18"/>
      <w:shd w:fill="21409A" w:val="clear"/>
    </w:rPr>
  </w:style>
  <w:style w:type="paragraph" w:styleId="P68B1DB1Contenudetableau62">
    <w:name w:val="P68B1DB1-Contenudetableau62"/>
    <w:basedOn w:val="Contenudetableau"/>
    <w:qFormat/>
    <w:pPr/>
    <w:rPr>
      <w:rFonts w:ascii="Arial" w:hAnsi="Arial"/>
      <w:color w:val="FFFFFF"/>
      <w:sz w:val="18"/>
      <w:shd w:fill="8CCFB7" w:val="clear"/>
    </w:rPr>
  </w:style>
  <w:style w:type="paragraph" w:styleId="P68B1DB1Contenudetableau63">
    <w:name w:val="P68B1DB1-Contenudetableau63"/>
    <w:basedOn w:val="Contenudetableau"/>
    <w:qFormat/>
    <w:pPr/>
    <w:rPr>
      <w:rFonts w:ascii="Arial" w:hAnsi="Arial"/>
      <w:color w:val="FFFFFF"/>
      <w:sz w:val="18"/>
      <w:shd w:fill="F58220" w:val="clear"/>
    </w:rPr>
  </w:style>
  <w:style w:type="paragraph" w:styleId="P68B1DB1Contenudetableau64">
    <w:name w:val="P68B1DB1-Contenudetableau64"/>
    <w:basedOn w:val="Contenudetableau"/>
    <w:qFormat/>
    <w:pPr/>
    <w:rPr>
      <w:color w:val="000000"/>
      <w:sz w:val="18"/>
    </w:rPr>
  </w:style>
  <w:style w:type="paragraph" w:styleId="P68B1DB1Normal65">
    <w:name w:val="P68B1DB1-Normal65"/>
    <w:basedOn w:val="Normal"/>
    <w:qFormat/>
    <w:pPr/>
    <w:rPr>
      <w:rFonts w:ascii="Times New Roman" w:hAnsi="Times New Roman"/>
      <w:b/>
      <w:i/>
      <w:color w:val="273375"/>
      <w:sz w:val="26"/>
    </w:rPr>
  </w:style>
  <w:style w:type="paragraph" w:styleId="P68B1DB1Normal66">
    <w:name w:val="P68B1DB1-Normal66"/>
    <w:basedOn w:val="Normal"/>
    <w:qFormat/>
    <w:pPr/>
    <w:rPr>
      <w:rFonts w:ascii="Times New Roman" w:hAnsi="Times New Roman"/>
      <w:i/>
      <w:color w:val="632423"/>
      <w:sz w:val="24"/>
    </w:rPr>
  </w:style>
  <w:style w:type="paragraph" w:styleId="P68B1DB1Normal67">
    <w:name w:val="P68B1DB1-Normal67"/>
    <w:basedOn w:val="Normal"/>
    <w:qFormat/>
    <w:pPr/>
    <w:rPr>
      <w:rFonts w:ascii="Calibri" w:hAnsi="Calibri"/>
      <w:b/>
      <w:color w:val="000000"/>
      <w:sz w:val="36"/>
    </w:rPr>
  </w:style>
  <w:style w:type="paragraph" w:styleId="P68B1DB1Normal68">
    <w:name w:val="P68B1DB1-Normal68"/>
    <w:basedOn w:val="Normal"/>
    <w:qFormat/>
    <w:pPr/>
    <w:rPr>
      <w:rFonts w:ascii="Calibri" w:hAnsi="Calibri"/>
      <w:b/>
      <w:color w:val="000000"/>
      <w:sz w:val="24"/>
    </w:rPr>
  </w:style>
  <w:style w:type="paragraph" w:styleId="P68B1DB1Normal69">
    <w:name w:val="P68B1DB1-Normal69"/>
    <w:basedOn w:val="Normal"/>
    <w:qFormat/>
    <w:pPr/>
    <w:rPr>
      <w:rFonts w:ascii="Calibri" w:hAnsi="Calibri"/>
      <w:b/>
      <w:color w:val="000000"/>
      <w:sz w:val="20"/>
    </w:rPr>
  </w:style>
  <w:style w:type="paragraph" w:styleId="P68B1DB1Normal70">
    <w:name w:val="P68B1DB1-Normal70"/>
    <w:basedOn w:val="Normal"/>
    <w:qFormat/>
    <w:pPr/>
    <w:rPr>
      <w:color w:val="000000"/>
      <w:sz w:val="44"/>
    </w:rPr>
  </w:style>
  <w:style w:type="paragraph" w:styleId="P68B1DB1Normal71">
    <w:name w:val="P68B1DB1-Normal71"/>
    <w:basedOn w:val="Normal"/>
    <w:qFormat/>
    <w:pPr/>
    <w:rPr>
      <w:color w:val="BD1271"/>
      <w:sz w:val="56"/>
    </w:rPr>
  </w:style>
  <w:style w:type="paragraph" w:styleId="P68B1DB1Normal72">
    <w:name w:val="P68B1DB1-Normal72"/>
    <w:basedOn w:val="Normal"/>
    <w:qFormat/>
    <w:pPr/>
    <w:rPr>
      <w:color w:val="BD1271"/>
      <w:sz w:val="44"/>
    </w:rPr>
  </w:style>
  <w:style w:type="paragraph" w:styleId="P68B1DB1Titre273">
    <w:name w:val="P68B1DB1-Titre273"/>
    <w:basedOn w:val="Titre2"/>
    <w:qFormat/>
    <w:pPr>
      <w:numPr>
        <w:ilvl w:val="0"/>
        <w:numId w:val="0"/>
      </w:numPr>
      <w:ind w:left="0" w:right="0" w:hanging="0"/>
    </w:pPr>
    <w:rPr>
      <w:rFonts w:ascii="Arial" w:hAnsi="Arial"/>
      <w:color w:val="BD1271"/>
      <w:sz w:val="34"/>
    </w:rPr>
  </w:style>
  <w:style w:type="paragraph" w:styleId="P68B1DB1Normal74">
    <w:name w:val="P68B1DB1-Normal74"/>
    <w:basedOn w:val="Normal"/>
    <w:qFormat/>
    <w:pPr/>
    <w:rPr>
      <w:color w:val="2E74B5"/>
    </w:rPr>
  </w:style>
  <w:style w:type="paragraph" w:styleId="P68B1DB1Normal75">
    <w:name w:val="P68B1DB1-Normal75"/>
    <w:basedOn w:val="Normal"/>
    <w:qFormat/>
    <w:pPr/>
    <w:rPr>
      <w:sz w:val="24"/>
    </w:rPr>
  </w:style>
  <w:style w:type="paragraph" w:styleId="P68B1DB1Normal76">
    <w:name w:val="P68B1DB1-Normal76"/>
    <w:basedOn w:val="Normal"/>
    <w:qFormat/>
    <w:pPr/>
    <w:rPr>
      <w:color w:val="000000"/>
    </w:rPr>
  </w:style>
  <w:style w:type="paragraph" w:styleId="P68B1DB1Titre277">
    <w:name w:val="P68B1DB1-Titre277"/>
    <w:basedOn w:val="Titre2"/>
    <w:qFormat/>
    <w:pPr>
      <w:numPr>
        <w:ilvl w:val="0"/>
        <w:numId w:val="0"/>
      </w:numPr>
      <w:ind w:left="0" w:right="0" w:hanging="0"/>
    </w:pPr>
    <w:rPr>
      <w:color w:val="BD1271"/>
    </w:rPr>
  </w:style>
  <w:style w:type="paragraph" w:styleId="P68B1DB1style78">
    <w:name w:val="P68B1DB1-style78"/>
    <w:qFormat/>
    <w:pPr>
      <w:widowControl/>
      <w:bidi w:val="0"/>
      <w:jc w:val="left"/>
    </w:pPr>
    <w:rPr>
      <w:rFonts w:ascii="Arial" w:hAnsi="Arial" w:eastAsia="Microsoft YaHei" w:cs="Mangal"/>
      <w:color w:val="00000A"/>
      <w:kern w:val="2"/>
      <w:sz w:val="24"/>
      <w:szCs w:val="20"/>
      <w:lang w:val="lv" w:eastAsia="zh-CN" w:bidi="hi-IN"/>
    </w:rPr>
  </w:style>
  <w:style w:type="paragraph" w:styleId="P68B1DB1style79">
    <w:name w:val="P68B1DB1-style79"/>
    <w:qFormat/>
    <w:pPr>
      <w:widowControl/>
      <w:bidi w:val="0"/>
      <w:jc w:val="left"/>
    </w:pPr>
    <w:rPr>
      <w:rFonts w:ascii="Arial" w:hAnsi="Arial" w:eastAsia="Microsoft YaHei" w:cs="Mangal"/>
      <w:i/>
      <w:color w:val="00000A"/>
      <w:kern w:val="2"/>
      <w:sz w:val="24"/>
      <w:szCs w:val="20"/>
      <w:lang w:val="lv" w:eastAsia="zh-CN" w:bidi="hi-IN"/>
    </w:rPr>
  </w:style>
  <w:style w:type="paragraph" w:styleId="P68B1DB1Normal80">
    <w:name w:val="P68B1DB1-Normal80"/>
    <w:basedOn w:val="Normal"/>
    <w:qFormat/>
    <w:pPr/>
    <w:rPr>
      <w:color w:val="116E9A"/>
      <w:sz w:val="24"/>
    </w:rPr>
  </w:style>
  <w:style w:type="paragraph" w:styleId="P68B1DB1Titre481">
    <w:name w:val="P68B1DB1-Titre481"/>
    <w:basedOn w:val="Titre4"/>
    <w:qFormat/>
    <w:pPr>
      <w:numPr>
        <w:ilvl w:val="0"/>
        <w:numId w:val="0"/>
      </w:numPr>
      <w:ind w:left="0" w:right="0" w:hanging="0"/>
    </w:pPr>
    <w:rPr>
      <w:color w:val="0066B3"/>
    </w:rPr>
  </w:style>
  <w:style w:type="paragraph" w:styleId="P68B1DB1Normal82">
    <w:name w:val="P68B1DB1-Normal82"/>
    <w:basedOn w:val="Normal"/>
    <w:qFormat/>
    <w:pPr/>
    <w:rPr>
      <w:color w:val="2E74B5"/>
      <w:sz w:val="24"/>
    </w:rPr>
  </w:style>
  <w:style w:type="paragraph" w:styleId="P68B1DB1Normal83">
    <w:name w:val="P68B1DB1-Normal83"/>
    <w:basedOn w:val="Normal"/>
    <w:qFormat/>
    <w:pPr/>
    <w:rPr>
      <w:b/>
      <w:color w:val="2E74B5"/>
      <w:sz w:val="24"/>
    </w:rPr>
  </w:style>
  <w:style w:type="paragraph" w:styleId="P68B1DB1Normal84">
    <w:name w:val="P68B1DB1-Normal84"/>
    <w:basedOn w:val="Normal"/>
    <w:qFormat/>
    <w:pPr/>
    <w:rPr>
      <w:b/>
      <w:sz w:val="24"/>
    </w:rPr>
  </w:style>
  <w:style w:type="paragraph" w:styleId="P68B1DB1Normal85">
    <w:name w:val="P68B1DB1-Normal85"/>
    <w:basedOn w:val="Normal"/>
    <w:qFormat/>
    <w:pPr/>
    <w:rPr>
      <w:color w:val="FFFFFF"/>
      <w:sz w:val="28"/>
    </w:rPr>
  </w:style>
  <w:style w:type="paragraph" w:styleId="P68B1DB1Normal86">
    <w:name w:val="P68B1DB1-Normal86"/>
    <w:basedOn w:val="Normal"/>
    <w:qFormat/>
    <w:pPr/>
    <w:rPr>
      <w:color w:val="2E74B5"/>
      <w:sz w:val="28"/>
    </w:rPr>
  </w:style>
  <w:style w:type="paragraph" w:styleId="P68B1DB1Titre487">
    <w:name w:val="P68B1DB1-Titre487"/>
    <w:basedOn w:val="Titre4"/>
    <w:qFormat/>
    <w:pPr>
      <w:numPr>
        <w:ilvl w:val="0"/>
        <w:numId w:val="0"/>
      </w:numPr>
      <w:ind w:left="0" w:right="0" w:hanging="0"/>
    </w:pPr>
    <w:rPr>
      <w:rFonts w:ascii="Arial" w:hAnsi="Arial"/>
      <w:color w:val="365F91"/>
    </w:rPr>
  </w:style>
  <w:style w:type="paragraph" w:styleId="P68B1DB1Normal88">
    <w:name w:val="P68B1DB1-Normal88"/>
    <w:basedOn w:val="Normal"/>
    <w:qFormat/>
    <w:pPr/>
    <w:rPr>
      <w:color w:val="000000"/>
      <w:sz w:val="18"/>
    </w:rPr>
  </w:style>
  <w:style w:type="paragraph" w:styleId="P68B1DB1Normal89">
    <w:name w:val="P68B1DB1-Normal89"/>
    <w:basedOn w:val="Normal"/>
    <w:qFormat/>
    <w:pPr/>
    <w:rPr>
      <w:b/>
      <w:color w:val="BD1271"/>
      <w:sz w:val="24"/>
    </w:rPr>
  </w:style>
  <w:style w:type="paragraph" w:styleId="P68B1DB1Normal90">
    <w:name w:val="P68B1DB1-Normal90"/>
    <w:basedOn w:val="Normal"/>
    <w:qFormat/>
    <w:pPr/>
    <w:rPr>
      <w:color w:val="000000"/>
      <w:sz w:val="16"/>
    </w:rPr>
  </w:style>
  <w:style w:type="paragraph" w:styleId="P68B1DB1Normal91">
    <w:name w:val="P68B1DB1-Normal91"/>
    <w:basedOn w:val="Normal"/>
    <w:qFormat/>
    <w:pPr/>
    <w:rPr>
      <w:color w:val="000000"/>
      <w:sz w:val="28"/>
    </w:rPr>
  </w:style>
  <w:style w:type="paragraph" w:styleId="P68B1DB1Titre392">
    <w:name w:val="P68B1DB1-Titre392"/>
    <w:basedOn w:val="Titre3"/>
    <w:qFormat/>
    <w:pPr>
      <w:numPr>
        <w:ilvl w:val="0"/>
        <w:numId w:val="0"/>
      </w:numPr>
      <w:ind w:left="0" w:right="0" w:hanging="0"/>
    </w:pPr>
    <w:rPr>
      <w:color w:val="FFFFFF"/>
      <w:shd w:fill="0066B3" w:val="clear"/>
    </w:rPr>
  </w:style>
  <w:style w:type="paragraph" w:styleId="P68B1DB1style93">
    <w:name w:val="P68B1DB1-style93"/>
    <w:qFormat/>
    <w:pPr>
      <w:widowControl/>
      <w:bidi w:val="0"/>
      <w:jc w:val="left"/>
    </w:pPr>
    <w:rPr>
      <w:rFonts w:ascii="Times New Roman" w:hAnsi="Times New Roman" w:eastAsia="Microsoft YaHei" w:cs="Mangal"/>
      <w:color w:val="00000A"/>
      <w:kern w:val="2"/>
      <w:sz w:val="26"/>
      <w:szCs w:val="20"/>
      <w:lang w:val="lv" w:eastAsia="zh-CN" w:bidi="hi-IN"/>
    </w:rPr>
  </w:style>
  <w:style w:type="paragraph" w:styleId="P68B1DB1style94">
    <w:name w:val="P68B1DB1-style94"/>
    <w:qFormat/>
    <w:pPr>
      <w:widowControl/>
      <w:bidi w:val="0"/>
      <w:jc w:val="left"/>
    </w:pPr>
    <w:rPr>
      <w:rFonts w:ascii="Arial" w:hAnsi="Arial" w:eastAsia="Microsoft YaHei" w:cs="Mangal"/>
      <w:color w:val="00000A"/>
      <w:kern w:val="2"/>
      <w:sz w:val="20"/>
      <w:szCs w:val="20"/>
      <w:lang w:val="lv" w:eastAsia="zh-CN" w:bidi="hi-IN"/>
    </w:rPr>
  </w:style>
  <w:style w:type="paragraph" w:styleId="P68B1DB1Normal95">
    <w:name w:val="P68B1DB1-Normal95"/>
    <w:basedOn w:val="Normal"/>
    <w:qFormat/>
    <w:pPr/>
    <w:rPr>
      <w:color w:val="5A5A5A"/>
      <w:sz w:val="28"/>
    </w:rPr>
  </w:style>
  <w:style w:type="paragraph" w:styleId="P68B1DB1Normal96">
    <w:name w:val="P68B1DB1-Normal96"/>
    <w:basedOn w:val="Normal"/>
    <w:qFormat/>
    <w:pPr/>
    <w:rPr>
      <w:i/>
      <w:color w:val="404040"/>
      <w:sz w:val="32"/>
    </w:rPr>
  </w:style>
  <w:style w:type="paragraph" w:styleId="P68B1DB1Normal97">
    <w:name w:val="P68B1DB1-Normal97"/>
    <w:basedOn w:val="Normal"/>
    <w:qFormat/>
    <w:pPr/>
    <w:rPr>
      <w:rFonts w:ascii="Garamond" w:hAnsi="Garamond"/>
      <w:color w:val="000000"/>
    </w:rPr>
  </w:style>
  <w:style w:type="paragraph" w:styleId="P68B1DB1Normal98">
    <w:name w:val="P68B1DB1-Normal98"/>
    <w:basedOn w:val="Normal"/>
    <w:qFormat/>
    <w:pPr/>
    <w:rPr>
      <w:color w:val="404040"/>
      <w:sz w:val="32"/>
    </w:rPr>
  </w:style>
  <w:style w:type="paragraph" w:styleId="P68B1DB1Normal99">
    <w:name w:val="P68B1DB1-Normal99"/>
    <w:basedOn w:val="Normal"/>
    <w:qFormat/>
    <w:pPr/>
    <w:rPr>
      <w:color w:val="000000"/>
      <w:sz w:val="20"/>
    </w:rPr>
  </w:style>
  <w:style w:type="paragraph" w:styleId="P68B1DB1Normal100">
    <w:name w:val="P68B1DB1-Normal100"/>
    <w:basedOn w:val="Normal"/>
    <w:qFormat/>
    <w:pPr/>
    <w:rPr>
      <w:b/>
      <w:i/>
      <w:color w:val="000000"/>
    </w:rPr>
  </w:style>
  <w:style w:type="paragraph" w:styleId="P68B1DB1Contenudetableau101">
    <w:name w:val="P68B1DB1-Contenudetableau101"/>
    <w:basedOn w:val="Contenudetableau"/>
    <w:qFormat/>
    <w:pPr/>
    <w:rPr>
      <w:rFonts w:ascii="Garamond" w:hAnsi="Garamond"/>
      <w:b/>
      <w:color w:val="000000"/>
    </w:rPr>
  </w:style>
  <w:style w:type="paragraph" w:styleId="P68B1DB1Contenudetableau102">
    <w:name w:val="P68B1DB1-Contenudetableau102"/>
    <w:basedOn w:val="Contenudetableau"/>
    <w:qFormat/>
    <w:pPr/>
    <w:rPr>
      <w:rFonts w:ascii="Garamond" w:hAnsi="Garamond"/>
      <w:color w:val="000000"/>
    </w:rPr>
  </w:style>
  <w:style w:type="paragraph" w:styleId="P68B1DB1Normal103">
    <w:name w:val="P68B1DB1-Normal103"/>
    <w:basedOn w:val="Normal"/>
    <w:qFormat/>
    <w:pPr/>
    <w:rPr>
      <w:rFonts w:ascii="Calibri" w:hAnsi="Calibri"/>
      <w:i/>
      <w:color w:val="000000"/>
      <w:sz w:val="32"/>
    </w:rPr>
  </w:style>
  <w:style w:type="paragraph" w:styleId="P68B1DB1Normal104">
    <w:name w:val="P68B1DB1-Normal104"/>
    <w:basedOn w:val="Normal"/>
    <w:qFormat/>
    <w:pPr/>
    <w:rPr>
      <w:rFonts w:ascii="Calibri" w:hAnsi="Calibri"/>
      <w:color w:val="000000"/>
      <w:sz w:val="21"/>
    </w:rPr>
  </w:style>
  <w:style w:type="paragraph" w:styleId="P68B1DB1Normal105">
    <w:name w:val="P68B1DB1-Normal105"/>
    <w:basedOn w:val="Normal"/>
    <w:qFormat/>
    <w:pPr/>
    <w:rPr>
      <w:color w:val="000000"/>
      <w:sz w:val="21"/>
    </w:rPr>
  </w:style>
  <w:style w:type="paragraph" w:styleId="P68B1DB1Normal106">
    <w:name w:val="P68B1DB1-Normal106"/>
    <w:basedOn w:val="Normal"/>
    <w:qFormat/>
    <w:pPr/>
    <w:rPr>
      <w:rFonts w:ascii="Calibri" w:hAnsi="Calibri"/>
      <w:b/>
      <w:i/>
      <w:color w:val="000000"/>
      <w:sz w:val="36"/>
    </w:rPr>
  </w:style>
  <w:style w:type="paragraph" w:styleId="P68B1DB1Normal107">
    <w:name w:val="P68B1DB1-Normal107"/>
    <w:basedOn w:val="Normal"/>
    <w:qFormat/>
    <w:pPr/>
    <w:rPr>
      <w:rFonts w:ascii="Calibri" w:hAnsi="Calibri"/>
      <w:i/>
      <w:color w:val="000000"/>
      <w:sz w:val="24"/>
    </w:rPr>
  </w:style>
  <w:style w:type="paragraph" w:styleId="P68B1DB1Normal108">
    <w:name w:val="P68B1DB1-Normal108"/>
    <w:basedOn w:val="Normal"/>
    <w:qFormat/>
    <w:pPr/>
    <w:rPr>
      <w:rFonts w:ascii="Calibri" w:hAnsi="Calibri"/>
      <w:b/>
      <w:i/>
      <w:color w:val="000000"/>
      <w:sz w:val="24"/>
    </w:rPr>
  </w:style>
  <w:style w:type="paragraph" w:styleId="P68B1DB1Normal109">
    <w:name w:val="P68B1DB1-Normal109"/>
    <w:basedOn w:val="Normal"/>
    <w:qFormat/>
    <w:pPr/>
    <w:rPr>
      <w:rFonts w:ascii="Calibri" w:hAnsi="Calibri"/>
      <w:b/>
      <w:i/>
      <w:color w:val="000000"/>
      <w:sz w:val="32"/>
    </w:rPr>
  </w:style>
  <w:style w:type="paragraph" w:styleId="P68B1DB1Normal110">
    <w:name w:val="P68B1DB1-Normal110"/>
    <w:basedOn w:val="Normal"/>
    <w:qFormat/>
    <w:pPr/>
    <w:rPr>
      <w:rFonts w:ascii="Calibri" w:hAnsi="Calibri"/>
      <w:color w:val="000000"/>
    </w:rPr>
  </w:style>
  <w:style w:type="paragraph" w:styleId="P68B1DB1Normal111">
    <w:name w:val="P68B1DB1-Normal111"/>
    <w:basedOn w:val="Normal"/>
    <w:qFormat/>
    <w:pPr/>
    <w:rPr>
      <w:rFonts w:ascii="Calibri" w:hAnsi="Calibri"/>
      <w:b/>
      <w:color w:val="000000"/>
    </w:rPr>
  </w:style>
  <w:style w:type="paragraph" w:styleId="P68B1DB1Normal112">
    <w:name w:val="P68B1DB1-Normal112"/>
    <w:basedOn w:val="Normal"/>
    <w:qFormat/>
    <w:pPr/>
    <w:rPr>
      <w:rFonts w:ascii="Times New Roman" w:hAnsi="Times New Roman"/>
      <w:color w:val="000000"/>
      <w:sz w:val="16"/>
    </w:rPr>
  </w:style>
  <w:style w:type="paragraph" w:styleId="P68B1DB1Normal113">
    <w:name w:val="P68B1DB1-Normal113"/>
    <w:basedOn w:val="Normal"/>
    <w:qFormat/>
    <w:pPr/>
    <w:rPr>
      <w:rFonts w:ascii="Calibri" w:hAnsi="Calibri"/>
      <w:i/>
      <w:color w:val="000000"/>
      <w:sz w:val="26"/>
    </w:rPr>
  </w:style>
  <w:style w:type="paragraph" w:styleId="P68B1DB1Normal114">
    <w:name w:val="P68B1DB1-Normal114"/>
    <w:basedOn w:val="Normal"/>
    <w:qFormat/>
    <w:pPr/>
    <w:rPr>
      <w:rFonts w:ascii="Calibri" w:hAnsi="Calibri"/>
      <w:b/>
      <w:color w:val="000000"/>
      <w:sz w:val="21"/>
    </w:rPr>
  </w:style>
  <w:style w:type="paragraph" w:styleId="P68B1DB1Contenudetableau115">
    <w:name w:val="P68B1DB1-Contenudetableau115"/>
    <w:basedOn w:val="Contenudetableau"/>
    <w:qFormat/>
    <w:pPr/>
    <w:rPr>
      <w:rFonts w:ascii="Times New Roman" w:hAnsi="Times New Roman"/>
      <w:color w:val="000000"/>
      <w:sz w:val="16"/>
    </w:rPr>
  </w:style>
  <w:style w:type="paragraph" w:styleId="P68B1DB1Contenudetableau116">
    <w:name w:val="P68B1DB1-Contenudetableau116"/>
    <w:basedOn w:val="Contenudetableau"/>
    <w:qFormat/>
    <w:pPr/>
    <w:rPr>
      <w:color w:val="000000"/>
      <w:sz w:val="16"/>
    </w:rPr>
  </w:style>
  <w:style w:type="paragraph" w:styleId="P68B1DB1Normal117">
    <w:name w:val="P68B1DB1-Normal117"/>
    <w:basedOn w:val="Normal"/>
    <w:qFormat/>
    <w:pPr/>
    <w:rPr>
      <w:rFonts w:ascii="Calibri" w:hAnsi="Calibri"/>
      <w:b/>
      <w:i/>
      <w:color w:val="000000"/>
      <w:sz w:val="28"/>
    </w:rPr>
  </w:style>
  <w:style w:type="paragraph" w:styleId="P68B1DB1Normal118">
    <w:name w:val="P68B1DB1-Normal118"/>
    <w:basedOn w:val="Normal"/>
    <w:qFormat/>
    <w:pPr/>
    <w:rPr>
      <w:rFonts w:ascii="Calibri" w:hAnsi="Calibri"/>
      <w:i/>
      <w:color w:val="000000"/>
      <w:sz w:val="21"/>
    </w:rPr>
  </w:style>
  <w:style w:type="paragraph" w:styleId="P68B1DB1Normal119">
    <w:name w:val="P68B1DB1-Normal119"/>
    <w:basedOn w:val="Normal"/>
    <w:qFormat/>
    <w:pPr/>
    <w:rPr>
      <w:b/>
      <w:color w:val="000000"/>
      <w:sz w:val="21"/>
    </w:rPr>
  </w:style>
  <w:style w:type="paragraph" w:styleId="P68B1DB1Normal120">
    <w:name w:val="P68B1DB1-Normal120"/>
    <w:basedOn w:val="Normal"/>
    <w:qFormat/>
    <w:pPr/>
    <w:rPr>
      <w:rFonts w:ascii="Calibri" w:hAnsi="Calibri"/>
      <w:b/>
      <w:color w:val="000000"/>
      <w:sz w:val="21"/>
    </w:rPr>
  </w:style>
  <w:style w:type="paragraph" w:styleId="P68B1DB1Contenudetableau121">
    <w:name w:val="P68B1DB1-Contenudetableau121"/>
    <w:basedOn w:val="Contenudetableau"/>
    <w:qFormat/>
    <w:pPr/>
    <w:rPr>
      <w:color w:val="000000"/>
    </w:rPr>
  </w:style>
  <w:style w:type="paragraph" w:styleId="P68B1DB1Contenudetableau122">
    <w:name w:val="P68B1DB1-Contenudetableau122"/>
    <w:basedOn w:val="Contenudetableau"/>
    <w:qFormat/>
    <w:pPr/>
    <w:rPr>
      <w:b/>
      <w:color w:val="000000"/>
    </w:rPr>
  </w:style>
  <w:style w:type="paragraph" w:styleId="P68B1DB1Normal123">
    <w:name w:val="P68B1DB1-Normal123"/>
    <w:basedOn w:val="Normal"/>
    <w:qFormat/>
    <w:pPr/>
    <w:rPr>
      <w:rFonts w:ascii="Calibri" w:hAnsi="Calibri"/>
      <w:color w:val="000000"/>
      <w:sz w:val="32"/>
    </w:rPr>
  </w:style>
  <w:style w:type="paragraph" w:styleId="P68B1DB1Normal124">
    <w:name w:val="P68B1DB1-Normal124"/>
    <w:basedOn w:val="Normal"/>
    <w:qFormat/>
    <w:pPr/>
    <w:rPr>
      <w:rFonts w:ascii="Calibri" w:hAnsi="Calibri"/>
      <w:b/>
      <w:color w:val="0070C0"/>
      <w:sz w:val="72"/>
    </w:rPr>
  </w:style>
  <w:style w:type="paragraph" w:styleId="P68B1DB1Normal125">
    <w:name w:val="P68B1DB1-Normal125"/>
    <w:basedOn w:val="Normal"/>
    <w:qFormat/>
    <w:pPr/>
    <w:rPr>
      <w:rFonts w:ascii="Calibri" w:hAnsi="Calibri"/>
      <w:b/>
      <w:color w:val="0070C0"/>
      <w:sz w:val="32"/>
    </w:rPr>
  </w:style>
  <w:style w:type="paragraph" w:styleId="P68B1DB1Normal126">
    <w:name w:val="P68B1DB1-Normal126"/>
    <w:basedOn w:val="Normal"/>
    <w:qFormat/>
    <w:pPr/>
    <w:rPr>
      <w:rFonts w:ascii="Calibri" w:hAnsi="Calibri"/>
      <w:color w:val="0070C0"/>
      <w:sz w:val="24"/>
    </w:rPr>
  </w:style>
  <w:style w:type="paragraph" w:styleId="P68B1DB1Normal127">
    <w:name w:val="P68B1DB1-Normal127"/>
    <w:basedOn w:val="Normal"/>
    <w:qFormat/>
    <w:pPr/>
    <w:rPr>
      <w:rFonts w:ascii="Calibri" w:hAnsi="Calibri"/>
    </w:rPr>
  </w:style>
  <w:style w:type="paragraph" w:styleId="P68B1DB1Contenudetableau128">
    <w:name w:val="P68B1DB1-Contenudetableau128"/>
    <w:basedOn w:val="Contenudetableau"/>
    <w:qFormat/>
    <w:pPr/>
    <w:rPr>
      <w:color w:val="000000"/>
      <w:sz w:val="14"/>
    </w:rPr>
  </w:style>
  <w:style w:type="paragraph" w:styleId="P68B1DB1Normal129">
    <w:name w:val="P68B1DB1-Normal129"/>
    <w:basedOn w:val="Normal"/>
    <w:qFormat/>
    <w:pPr/>
    <w:rPr>
      <w:rFonts w:ascii="Calibri" w:hAnsi="Calibri"/>
      <w:i/>
      <w:color w:val="000000"/>
    </w:rPr>
  </w:style>
  <w:style w:type="paragraph" w:styleId="P68B1DB1Normal130">
    <w:name w:val="P68B1DB1-Normal130"/>
    <w:basedOn w:val="Normal"/>
    <w:qFormat/>
    <w:pPr/>
    <w:rPr>
      <w:rFonts w:ascii="Calibri" w:hAnsi="Calibri"/>
      <w:color w:val="0070C0"/>
      <w:sz w:val="21"/>
    </w:rPr>
  </w:style>
  <w:style w:type="paragraph" w:styleId="P68B1DB1Normal131">
    <w:name w:val="P68B1DB1-Normal131"/>
    <w:basedOn w:val="Normal"/>
    <w:qFormat/>
    <w:pPr/>
    <w:rPr>
      <w:color w:val="0000FF"/>
      <w:sz w:val="24"/>
    </w:rPr>
  </w:style>
  <w:style w:type="paragraph" w:styleId="P68B1DB1Normal132">
    <w:name w:val="P68B1DB1-Normal132"/>
    <w:basedOn w:val="Normal"/>
    <w:qFormat/>
    <w:pPr/>
    <w:rPr>
      <w:rFonts w:ascii="Roboto" w:hAnsi="Roboto"/>
      <w:color w:val="000000"/>
      <w:sz w:val="16"/>
    </w:rPr>
  </w:style>
  <w:style w:type="paragraph" w:styleId="P68B1DB1style133">
    <w:name w:val="P68B1DB1-style133"/>
    <w:qFormat/>
    <w:pPr>
      <w:widowControl/>
      <w:bidi w:val="0"/>
      <w:jc w:val="left"/>
    </w:pPr>
    <w:rPr>
      <w:rFonts w:ascii="Times New Roman" w:hAnsi="Times New Roman" w:eastAsia="SimSun" w:cs="Mangal"/>
      <w:color w:val="00000A"/>
      <w:kern w:val="2"/>
      <w:sz w:val="20"/>
      <w:szCs w:val="20"/>
      <w:lang w:val="lv" w:eastAsia="zh-CN" w:bidi="hi-IN"/>
    </w:rPr>
  </w:style>
  <w:style w:type="paragraph" w:styleId="P68B1DB1Entte134">
    <w:name w:val="P68B1DB1-Entte134"/>
    <w:basedOn w:val="Entte"/>
    <w:qFormat/>
    <w:pPr/>
    <w:rPr>
      <w:sz w:val="18"/>
    </w:rPr>
  </w:style>
  <w:style w:type="numbering" w:styleId="Puce">
    <w:name w:val="Puce •"/>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6" Type="http://schemas.openxmlformats.org/officeDocument/2006/relationships/hyperlink" Target="https://webgate.ec.europa.eu/etranslation" TargetMode="External"/><Relationship Id="rId7" Type="http://schemas.openxmlformats.org/officeDocument/2006/relationships/hyperlink" Target="https://e-d-e.org/" TargetMode="External"/><Relationship Id="rId8" Type="http://schemas.openxmlformats.org/officeDocument/2006/relationships/hyperlink" Target="http://www.demokratio.eu/" TargetMode="External"/><Relationship Id="rId9" Type="http://schemas.openxmlformats.org/officeDocument/2006/relationships/hyperlink" Target="https://e-d-e.fr/" TargetMode="External"/><Relationship Id="rId10" Type="http://schemas.openxmlformats.org/officeDocument/2006/relationships/hyperlink" Target="http://www.europokune.eu/" TargetMode="External"/><Relationship Id="rId11" Type="http://schemas.openxmlformats.org/officeDocument/2006/relationships/hyperlink" Target="https://futureu.europa.eu/rails/active_storage/blobs/redirect/eyJfcmFpbHMiOnsibWVzc2FnZSI6IkJBaHBBMEl0QVE9PSIsImV4cCI6bnVsbCwicHVyIjoiYmxvYl9pZCJ9fQ==--f1e6ee90810e761866cf2b290e381a77ea51de72/CoFE_Report_FR_with annexes.pdf" TargetMode="External"/><Relationship Id="rId12" Type="http://schemas.openxmlformats.org/officeDocument/2006/relationships/hyperlink" Target="https://webgate.ec.europa.eu/etranslation" TargetMode="External"/><Relationship Id="rId13" Type="http://schemas.openxmlformats.org/officeDocument/2006/relationships/hyperlink" Target="https://e-d-e.org/" TargetMode="External"/><Relationship Id="rId14" Type="http://schemas.openxmlformats.org/officeDocument/2006/relationships/hyperlink" Target="http://www.demokratio.eu/" TargetMode="External"/><Relationship Id="rId15" Type="http://schemas.openxmlformats.org/officeDocument/2006/relationships/hyperlink" Target="https://e-d-e.fr/" TargetMode="External"/><Relationship Id="rId16" Type="http://schemas.openxmlformats.org/officeDocument/2006/relationships/hyperlink" Target="http://www.europokune.eu/" TargetMode="External"/><Relationship Id="rId17" Type="http://schemas.openxmlformats.org/officeDocument/2006/relationships/image" Target="media/image4.png"/><Relationship Id="rId18" Type="http://schemas.openxmlformats.org/officeDocument/2006/relationships/header" Target="header1.xml"/><Relationship Id="rId19" Type="http://schemas.openxmlformats.org/officeDocument/2006/relationships/header" Target="header2.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5.png"/><Relationship Id="rId23" Type="http://schemas.openxmlformats.org/officeDocument/2006/relationships/hyperlink" Target="https://futureu.europa.eu/pages/our-guides" TargetMode="External"/><Relationship Id="rId24" Type="http://schemas.openxmlformats.org/officeDocument/2006/relationships/hyperlink" Target="https://futureu.europa.eu/assemblies/citizens-panels" TargetMode="External"/><Relationship Id="rId25" Type="http://schemas.openxmlformats.org/officeDocument/2006/relationships/hyperlink" Target="https://futureu.europa.eu/pages/ms-section" TargetMode="External"/><Relationship Id="rId26" Type="http://schemas.openxmlformats.org/officeDocument/2006/relationships/hyperlink" Target="https://futureu.europa.eu/pages/executive-board" TargetMode="External"/><Relationship Id="rId27" Type="http://schemas.openxmlformats.org/officeDocument/2006/relationships/hyperlink" Target="https://futureu.europa.eu/rails/active_storage/blobs/eyJfcmFpbHMiOnsibWVzc2FnZSI6IkJBaHBBcEVXIiwiZXhwIjpudWxsLCJwdXIiOiJibG9iX2lkIn19--ccb2609f3433ec020b3055170aacd363d84503e7/sn03411-re01.en21(1).pdf" TargetMode="External"/><Relationship Id="rId28" Type="http://schemas.openxmlformats.org/officeDocument/2006/relationships/hyperlink" Target="https://futureu.europa.eu/rails/active_storage/blobs/eyJfcmFpbHMiOnsibWVzc2FnZSI6IkJBaHBBbjFCIiwiZXhwIjpudWxsLCJwdXIiOiJibG9iX2lkIn19--f97dae84e07fcf9ea4e9276dd4b33fb3fd823dd6/COFE Second Interim Report September Kantar final.pdf" TargetMode="External"/><Relationship Id="rId29" Type="http://schemas.openxmlformats.org/officeDocument/2006/relationships/hyperlink" Target="https://futureu.europa.eu/rails/active_storage/blobs/eyJfcmFpbHMiOnsibWVzc2FnZSI6IkJBaHBBdWlFIiwiZXhwIjpudWxsLCJwdXIiOiJibG9iX2lkIn19--3fe1bd5c838d6e007a595afd9beefa8b4df1fb3f/Kantar Third Interim Report final version EN.pdf" TargetMode="External"/><Relationship Id="rId30" Type="http://schemas.openxmlformats.org/officeDocument/2006/relationships/image" Target="media/image6.png"/><Relationship Id="rId31" Type="http://schemas.openxmlformats.org/officeDocument/2006/relationships/hyperlink" Target="https://futureu.europa.eu/?locale=fr" TargetMode="External"/><Relationship Id="rId32" Type="http://schemas.openxmlformats.org/officeDocument/2006/relationships/hyperlink" Target="https://futureu.europa.eu/?locale=fr" TargetMode="External"/><Relationship Id="rId33" Type="http://schemas.openxmlformats.org/officeDocument/2006/relationships/hyperlink" Target="https://futureu.europa.eu/pages/charter" TargetMode="External"/><Relationship Id="rId34" Type="http://schemas.openxmlformats.org/officeDocument/2006/relationships/hyperlink" Target="https://futureu.europa.eu/pages/rules-of-participation" TargetMode="External"/><Relationship Id="rId35" Type="http://schemas.openxmlformats.org/officeDocument/2006/relationships/hyperlink" Target="https://futureu.europa.eu/pages/faq" TargetMode="External"/><Relationship Id="rId36" Type="http://schemas.openxmlformats.org/officeDocument/2006/relationships/image" Target="media/image7.png"/><Relationship Id="rId37" Type="http://schemas.openxmlformats.org/officeDocument/2006/relationships/image" Target="media/image8.png"/><Relationship Id="rId38" Type="http://schemas.openxmlformats.org/officeDocument/2006/relationships/image" Target="media/image9.png"/><Relationship Id="rId39" Type="http://schemas.openxmlformats.org/officeDocument/2006/relationships/image" Target="media/image10.png"/><Relationship Id="rId40" Type="http://schemas.openxmlformats.org/officeDocument/2006/relationships/image" Target="media/image11.png"/><Relationship Id="rId41" Type="http://schemas.openxmlformats.org/officeDocument/2006/relationships/image" Target="media/image12.png"/><Relationship Id="rId42" Type="http://schemas.openxmlformats.org/officeDocument/2006/relationships/image" Target="media/image13.png"/><Relationship Id="rId43" Type="http://schemas.openxmlformats.org/officeDocument/2006/relationships/image" Target="media/image14.png"/><Relationship Id="rId44" Type="http://schemas.openxmlformats.org/officeDocument/2006/relationships/image" Target="media/image15.png"/><Relationship Id="rId45" Type="http://schemas.openxmlformats.org/officeDocument/2006/relationships/image" Target="media/image16.png"/><Relationship Id="rId46" Type="http://schemas.openxmlformats.org/officeDocument/2006/relationships/image" Target="media/image17.png"/><Relationship Id="rId47" Type="http://schemas.openxmlformats.org/officeDocument/2006/relationships/hyperlink" Target="https://futureu.europa.eu/pages/ms-section" TargetMode="External"/><Relationship Id="rId48" Type="http://schemas.openxmlformats.org/officeDocument/2006/relationships/hyperlink" Target="https://futureu.europa.eu/pages/reporting" TargetMode="External"/><Relationship Id="rId49" Type="http://schemas.openxmlformats.org/officeDocument/2006/relationships/image" Target="media/image18.png"/><Relationship Id="rId50" Type="http://schemas.openxmlformats.org/officeDocument/2006/relationships/image" Target="media/image19.png"/><Relationship Id="rId51" Type="http://schemas.openxmlformats.org/officeDocument/2006/relationships/hyperlink" Target="http://www.eye2021.eu/" TargetMode="External"/><Relationship Id="rId52" Type="http://schemas.openxmlformats.org/officeDocument/2006/relationships/image" Target="media/image20.png"/><Relationship Id="rId53" Type="http://schemas.openxmlformats.org/officeDocument/2006/relationships/hyperlink" Target="https://european-youth-event.europarl.europa.eu/wp-content/uploads/2021/10/2021_EYE_Report-Booklet_A5_20-10-Accessible.pdf" TargetMode="External"/><Relationship Id="rId54" Type="http://schemas.openxmlformats.org/officeDocument/2006/relationships/hyperlink" Target="https://search.youthideas.eu/" TargetMode="External"/><Relationship Id="rId55" Type="http://schemas.openxmlformats.org/officeDocument/2006/relationships/hyperlink" Target="https://www.eesc.europa.eu/en/agenda/our-events/events/kickoff-event-conference-future-europe" TargetMode="External"/><Relationship Id="rId56" Type="http://schemas.openxmlformats.org/officeDocument/2006/relationships/hyperlink" Target="https://www.eesc.europa.eu/en/agenda/our-events/events/connecting-eu-2021" TargetMode="External"/><Relationship Id="rId57" Type="http://schemas.openxmlformats.org/officeDocument/2006/relationships/hyperlink" Target="https://www.eesc.europa.eu/en/agenda/our-events/events/shaping-europe-together" TargetMode="External"/><Relationship Id="rId58" Type="http://schemas.openxmlformats.org/officeDocument/2006/relationships/hyperlink" Target="https://cor.europa.eu/en/our-work/Pages/EURegionalBarometer-Survey-2021.aspx" TargetMode="External"/><Relationship Id="rId59" Type="http://schemas.openxmlformats.org/officeDocument/2006/relationships/hyperlink" Target="https://futureu.europa.eu/profiles/EU_COMMITTEE_REGIONS/activity" TargetMode="External"/><Relationship Id="rId60" Type="http://schemas.openxmlformats.org/officeDocument/2006/relationships/hyperlink" Target="https://cor.europa.eu/en/news/Pages/Report-of-the-High-Level-Group-on-European-Democracy.aspx" TargetMode="External"/><Relationship Id="rId61" Type="http://schemas.openxmlformats.org/officeDocument/2006/relationships/hyperlink" Target="https://cor.europa.eu/en/summits/2022" TargetMode="External"/><Relationship Id="rId62" Type="http://schemas.openxmlformats.org/officeDocument/2006/relationships/hyperlink" Target="https://cor.europa.eu/en/engage/brochures/Documents/Citizens, local politicians and the future of Europe/4666-final report lowres FIN.pdf" TargetMode="External"/><Relationship Id="rId63" Type="http://schemas.openxmlformats.org/officeDocument/2006/relationships/hyperlink" Target="https://urldefense.com/v3/__https:/eur01.safelinks.protection.outlook.com/?url=https*3A*2F*2Fwww.businesseurope.eu*2Fpublications*2Fconference-future-europe&amp;data=05*7C01*7Clrepetti*40etuc.org*7Cd0bf6bce94584f609b7f08da2436f672*7C7a57d45075f34a4da90dac04a367b91a*7C0*7C0*7C637862115734132632*7CUnknown*7CTWFpbGZsb3d8eyJWIjoiMC4wLjAwMDAiLCJQIjoiV2luMzIiLCJBTiI6Ik1haWwiLCJXVCI6Mn0*3D*7C3000*7C*7C*7C&amp;sdata=R0ZPyMIpzVtyVKxslbwXDoXM*2BAyxIZsOnd1d87UgzYk*3D&amp;reserved=0__;JSUlJSUlJSUlJSUlJSUlJSUlJSUlJQ!!DOxrgLBm!EVXnpmdPMnr1b8zwRLNfRbrIUw0-wYmbVL-_FRTf4p4-H6cCU3xBRXl67BONxyxUt7bSc5ygS0GnATILPoBus7eKzgaBFQ$" TargetMode="External"/><Relationship Id="rId64" Type="http://schemas.openxmlformats.org/officeDocument/2006/relationships/hyperlink" Target="https://urldefense.com/v3/__https:/eur01.safelinks.protection.outlook.com/?url=https*3A*2F*2Fsgieurope.org*2Fnews*2Fsgi-europe-contributions-to-the-digital-platform-of-the-conference-on-the-future-of-europe*2F&amp;data=05*7C01*7Clrepetti*40etuc.org*7Cd0bf6bce94584f609b7f08da2436f672*7C7a57d45075f34a4da90dac04a367b91a*7C0*7C0*7C637862115734132632*7CUnknown*7CTWFpbGZsb3d8eyJWIjoiMC4wLjAwMDAiLCJQIjoiV2luMzIiLCJBTiI6Ik1haWwiLCJXVCI6Mn0*3D*7C3000*7C*7C*7C&amp;sdata=*2FkaIN9DU1n02W6lwYRXRWxjl3k3NXQfTh4MXMd9o5ec*3D&amp;reserved=0__;JSUlJSUlJSUlJSUlJSUlJSUlJSUlJSU!!DOxrgLBm!EVXnpmdPMnr1b8zwRLNfRbrIUw0-wYmbVL-_FRTf4p4-H6cCU3xBRXl67BONxyxUt7bSc5ygS0GnATILPoBus7eSbklT4g$" TargetMode="External"/><Relationship Id="rId65" Type="http://schemas.openxmlformats.org/officeDocument/2006/relationships/hyperlink" Target="https://urldefense.com/v3/__https:/eur01.safelinks.protection.outlook.com/?url=https*3A*2F*2Fwww.smeunited.eu*2Fnews*2Fsmes-set-priorities-to-empower-the-future-of-europe&amp;data=05*7C01*7Clrepetti*40etuc.org*7Cd0bf6bce94584f609b7f08da2436f672*7C7a57d45075f34a4da90dac04a367b91a*7C0*7C0*7C637862115734132632*7CUnknown*7CTWFpbGZsb3d8eyJWIjoiMC4wLjAwMDAiLCJQIjoiV2luMzIiLCJBTiI6Ik1haWwiLCJXVCI6Mn0*3D*7C3000*7C*7C*7C&amp;sdata=UDlDXYbVN5kYwkeyMWsIBYVF*2BdigrVxYhjV2WuFcn4M*3D&amp;reserved=0__;JSUlJSUlJSUlJSUlJSUlJSUlJSUlJQ!!DOxrgLBm!EVXnpmdPMnr1b8zwRLNfRbrIUw0-wYmbVL-_FRTf4p4-H6cCU3xBRXl67BONxyxUt7bSc5ygS0GnATILPoBus7furzkJBA$" TargetMode="External"/><Relationship Id="rId66" Type="http://schemas.openxmlformats.org/officeDocument/2006/relationships/hyperlink" Target="https://urldefense.com/v3/__http:/civilsocietyeurope.eu/civil-society-convention-on-the-future-of-europe/__;!!DOxrgLBm!USrgw0ykk4Rr_7OEucFYoNO-h98D1sH5xfD-7Qmm48-t_TKrps6LcRBXC7_VkAjjVVGY7-clIExnQQ$" TargetMode="External"/><Relationship Id="rId67" Type="http://schemas.openxmlformats.org/officeDocument/2006/relationships/hyperlink" Target="https://urldefense.com/v3/__https:/europeanmovement.eu/__;!!DOxrgLBm!USrgw0ykk4Rr_7OEucFYoNO-h98D1sH5xfD-7Qmm48-t_TKrps6LcRBXC7_VkAjjVVGY7-cLezPKmw$" TargetMode="External"/><Relationship Id="rId68" Type="http://schemas.openxmlformats.org/officeDocument/2006/relationships/hyperlink" Target="https://urldefense.com/v3/__https:/europeanmovement.eu/event-category/emi-events/?content_type=event&amp;tax_id=44&amp;showpastevents=1&amp;eventdatedesc=1__;!!DOxrgLBm!USrgw0ykk4Rr_7OEucFYoNO-h98D1sH5xfD-7Qmm48-t_TKrps6LcRBXC7_VkAjjVVGY7-duHAsLmg$" TargetMode="External"/><Relationship Id="rId69" Type="http://schemas.openxmlformats.org/officeDocument/2006/relationships/hyperlink" Target="https://urldefense.com/v3/__http:/civilsocietyeurope.eu/4th-conference-on-the-future-of-europe-plenary/__;!!DOxrgLBm!USrgw0ykk4Rr_7OEucFYoNO-h98D1sH5xfD-7Qmm48-t_TKrps6LcRBXC7_VkAjjVVGY7-fF2tswkA$" TargetMode="External"/><Relationship Id="rId70" Type="http://schemas.openxmlformats.org/officeDocument/2006/relationships/hyperlink" Target="https://urldefense.com/v3/__http:/civilsocietyeurope.eu/civil-society-convention-on-the-future-of-europe/thematic-clusters/__;!!DOxrgLBm!USrgw0ykk4Rr_7OEucFYoNO-h98D1sH5xfD-7Qmm48-t_TKrps6LcRBXC7_VkAjjVVGY7-fwba3XGA$" TargetMode="External"/><Relationship Id="rId71" Type="http://schemas.openxmlformats.org/officeDocument/2006/relationships/hyperlink" Target="https://urldefense.com/v3/__https:/europeanmovement.eu/conference-on-the-future-of-europe/__;!!DOxrgLBm!USrgw0ykk4Rr_7OEucFYoNO-h98D1sH5xfD-7Qmm48-t_TKrps6LcRBXC7_VkAjjVVGY7-coTvKNzA$" TargetMode="External"/><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image" Target="media/image25.png"/><Relationship Id="rId77" Type="http://schemas.openxmlformats.org/officeDocument/2006/relationships/image" Target="media/image26.png"/><Relationship Id="rId78" Type="http://schemas.openxmlformats.org/officeDocument/2006/relationships/image" Target="media/image27.png"/><Relationship Id="rId79" Type="http://schemas.openxmlformats.org/officeDocument/2006/relationships/image" Target="media/image28.png"/><Relationship Id="rId80" Type="http://schemas.openxmlformats.org/officeDocument/2006/relationships/image" Target="media/image29.png"/><Relationship Id="rId81" Type="http://schemas.openxmlformats.org/officeDocument/2006/relationships/image" Target="media/image30.png"/><Relationship Id="rId82" Type="http://schemas.openxmlformats.org/officeDocument/2006/relationships/image" Target="media/image31.png"/><Relationship Id="rId83" Type="http://schemas.openxmlformats.org/officeDocument/2006/relationships/image" Target="media/image32.png"/><Relationship Id="rId84" Type="http://schemas.openxmlformats.org/officeDocument/2006/relationships/image" Target="media/image33.png"/><Relationship Id="rId85" Type="http://schemas.openxmlformats.org/officeDocument/2006/relationships/hyperlink" Target="https://participation-citoyenne.gouv.fr/sites/default/files/2021-11/20211126 - COFE - Rapport final.pdf" TargetMode="External"/><Relationship Id="rId86" Type="http://schemas.openxmlformats.org/officeDocument/2006/relationships/hyperlink" Target="https://participation-citoyenne.gouv.fr/sites/default/files/2021-11/20211126 - COFE - Rapport final.pdf" TargetMode="External"/><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image" Target="media/image38.png"/><Relationship Id="rId92" Type="http://schemas.openxmlformats.org/officeDocument/2006/relationships/image" Target="media/image39.png"/><Relationship Id="rId93" Type="http://schemas.openxmlformats.org/officeDocument/2006/relationships/image" Target="media/image40.png"/><Relationship Id="rId94" Type="http://schemas.openxmlformats.org/officeDocument/2006/relationships/image" Target="media/image41.png"/><Relationship Id="rId95" Type="http://schemas.openxmlformats.org/officeDocument/2006/relationships/image" Target="media/image42.png"/><Relationship Id="rId96" Type="http://schemas.openxmlformats.org/officeDocument/2006/relationships/image" Target="media/image43.png"/><Relationship Id="rId97" Type="http://schemas.openxmlformats.org/officeDocument/2006/relationships/image" Target="media/image44.png"/><Relationship Id="rId98" Type="http://schemas.openxmlformats.org/officeDocument/2006/relationships/image" Target="media/image45.wmf"/><Relationship Id="rId99" Type="http://schemas.openxmlformats.org/officeDocument/2006/relationships/image" Target="media/image46.png"/><Relationship Id="rId100" Type="http://schemas.openxmlformats.org/officeDocument/2006/relationships/image" Target="media/image47.png"/><Relationship Id="rId101" Type="http://schemas.openxmlformats.org/officeDocument/2006/relationships/image" Target="media/image48.png"/><Relationship Id="rId102" Type="http://schemas.openxmlformats.org/officeDocument/2006/relationships/image" Target="media/image49.png"/><Relationship Id="rId103" Type="http://schemas.openxmlformats.org/officeDocument/2006/relationships/image" Target="media/image50.png"/><Relationship Id="rId104" Type="http://schemas.openxmlformats.org/officeDocument/2006/relationships/image" Target="media/image51.png"/><Relationship Id="rId105" Type="http://schemas.openxmlformats.org/officeDocument/2006/relationships/image" Target="media/image52.png"/><Relationship Id="rId106" Type="http://schemas.openxmlformats.org/officeDocument/2006/relationships/image" Target="media/image53.png"/><Relationship Id="rId107" Type="http://schemas.openxmlformats.org/officeDocument/2006/relationships/image" Target="media/image54.png"/><Relationship Id="rId108" Type="http://schemas.openxmlformats.org/officeDocument/2006/relationships/image" Target="media/image55.png"/><Relationship Id="rId109" Type="http://schemas.openxmlformats.org/officeDocument/2006/relationships/image" Target="media/image56.png"/><Relationship Id="rId110" Type="http://schemas.openxmlformats.org/officeDocument/2006/relationships/image" Target="media/image57.png"/><Relationship Id="rId111" Type="http://schemas.openxmlformats.org/officeDocument/2006/relationships/image" Target="media/image58.png"/><Relationship Id="rId112" Type="http://schemas.openxmlformats.org/officeDocument/2006/relationships/image" Target="media/image59.png"/><Relationship Id="rId113" Type="http://schemas.openxmlformats.org/officeDocument/2006/relationships/hyperlink" Target="https://europa.eu/eurobarometer/surveys/detail/2256" TargetMode="External"/><Relationship Id="rId114" Type="http://schemas.openxmlformats.org/officeDocument/2006/relationships/hyperlink" Target="https://europa.eu/eurobarometer/surveys/detail/2256" TargetMode="External"/><Relationship Id="rId115" Type="http://schemas.openxmlformats.org/officeDocument/2006/relationships/hyperlink" Target="https://europa.eu/eurobarometer/surveys/detail/2256" TargetMode="External"/><Relationship Id="rId116" Type="http://schemas.openxmlformats.org/officeDocument/2006/relationships/hyperlink" Target="https://europa.eu/eurobarometer/surveys/detail/2532" TargetMode="External"/><Relationship Id="rId117" Type="http://schemas.openxmlformats.org/officeDocument/2006/relationships/image" Target="media/image60.png"/><Relationship Id="rId118" Type="http://schemas.openxmlformats.org/officeDocument/2006/relationships/hyperlink" Target="http://www.kijkopeuropa.nl/" TargetMode="External"/><Relationship Id="rId119" Type="http://schemas.openxmlformats.org/officeDocument/2006/relationships/image" Target="media/image61.png"/><Relationship Id="rId120" Type="http://schemas.openxmlformats.org/officeDocument/2006/relationships/hyperlink" Target="https://futureu.europa.eu/pages/belgium" TargetMode="External"/><Relationship Id="rId121" Type="http://schemas.openxmlformats.org/officeDocument/2006/relationships/hyperlink" Target="https://futureu.europa.eu/pages/bulgaria" TargetMode="External"/><Relationship Id="rId122" Type="http://schemas.openxmlformats.org/officeDocument/2006/relationships/hyperlink" Target="https://futureu.europa.eu/pages/czechia" TargetMode="External"/><Relationship Id="rId123" Type="http://schemas.openxmlformats.org/officeDocument/2006/relationships/hyperlink" Target="https://futureu.europa.eu/pages/czechia" TargetMode="External"/><Relationship Id="rId124" Type="http://schemas.openxmlformats.org/officeDocument/2006/relationships/hyperlink" Target="https://futureu.europa.eu/pages/denmark" TargetMode="External"/><Relationship Id="rId125" Type="http://schemas.openxmlformats.org/officeDocument/2006/relationships/hyperlink" Target="https://futureu.europa.eu/pages/germany" TargetMode="External"/><Relationship Id="rId126" Type="http://schemas.openxmlformats.org/officeDocument/2006/relationships/hyperlink" Target="https://futureu.europa.eu/pages/germany" TargetMode="External"/><Relationship Id="rId127" Type="http://schemas.openxmlformats.org/officeDocument/2006/relationships/hyperlink" Target="https://futureu.europa.eu/pages/estonia" TargetMode="External"/><Relationship Id="rId128" Type="http://schemas.openxmlformats.org/officeDocument/2006/relationships/hyperlink" Target="https://futureu.europa.eu/pages/ireland" TargetMode="External"/><Relationship Id="rId129" Type="http://schemas.openxmlformats.org/officeDocument/2006/relationships/hyperlink" Target="https://futureu.europa.eu/pages/greece" TargetMode="External"/><Relationship Id="rId130" Type="http://schemas.openxmlformats.org/officeDocument/2006/relationships/hyperlink" Target="https://futureu.europa.eu/pages/spain" TargetMode="External"/><Relationship Id="rId131" Type="http://schemas.openxmlformats.org/officeDocument/2006/relationships/hyperlink" Target="https://futureu.europa.eu/pages/france" TargetMode="External"/><Relationship Id="rId132" Type="http://schemas.openxmlformats.org/officeDocument/2006/relationships/hyperlink" Target="https://futureu.europa.eu/pages/croatia" TargetMode="External"/><Relationship Id="rId133" Type="http://schemas.openxmlformats.org/officeDocument/2006/relationships/hyperlink" Target="https://futureu.europa.eu/pages/italy" TargetMode="External"/><Relationship Id="rId134" Type="http://schemas.openxmlformats.org/officeDocument/2006/relationships/hyperlink" Target="https://futureu.europa.eu/pages/cyprus" TargetMode="External"/><Relationship Id="rId135" Type="http://schemas.openxmlformats.org/officeDocument/2006/relationships/hyperlink" Target="https://futureu.europa.eu/pages/latvia" TargetMode="External"/><Relationship Id="rId136" Type="http://schemas.openxmlformats.org/officeDocument/2006/relationships/hyperlink" Target="https://futureu.europa.eu/pages/lithuania" TargetMode="External"/><Relationship Id="rId137" Type="http://schemas.openxmlformats.org/officeDocument/2006/relationships/hyperlink" Target="https://futureu.europa.eu/pages/luxembourg" TargetMode="External"/><Relationship Id="rId138" Type="http://schemas.openxmlformats.org/officeDocument/2006/relationships/hyperlink" Target="https://futureu.europa.eu/pages/hungary" TargetMode="External"/><Relationship Id="rId139" Type="http://schemas.openxmlformats.org/officeDocument/2006/relationships/hyperlink" Target="https://futureu.europa.eu/pages/malta" TargetMode="External"/><Relationship Id="rId140" Type="http://schemas.openxmlformats.org/officeDocument/2006/relationships/hyperlink" Target="https://futureu.europa.eu/pages/netherlands" TargetMode="External"/><Relationship Id="rId141" Type="http://schemas.openxmlformats.org/officeDocument/2006/relationships/hyperlink" Target="https://futureu.europa.eu/pages/austria" TargetMode="External"/><Relationship Id="rId142" Type="http://schemas.openxmlformats.org/officeDocument/2006/relationships/hyperlink" Target="https://futureu.europa.eu/pages/poland" TargetMode="External"/><Relationship Id="rId143" Type="http://schemas.openxmlformats.org/officeDocument/2006/relationships/hyperlink" Target="https://futureu.europa.eu/pages/portugal" TargetMode="External"/><Relationship Id="rId144" Type="http://schemas.openxmlformats.org/officeDocument/2006/relationships/hyperlink" Target="https://futureu.europa.eu/pages/romania" TargetMode="External"/><Relationship Id="rId145" Type="http://schemas.openxmlformats.org/officeDocument/2006/relationships/hyperlink" Target="https://futureu.europa.eu/pages/slovenia" TargetMode="External"/><Relationship Id="rId146" Type="http://schemas.openxmlformats.org/officeDocument/2006/relationships/hyperlink" Target="https://futureu.europa.eu/pages/slovakia" TargetMode="External"/><Relationship Id="rId147" Type="http://schemas.openxmlformats.org/officeDocument/2006/relationships/hyperlink" Target="https://futureu.europa.eu/pages/finland" TargetMode="External"/><Relationship Id="rId148" Type="http://schemas.openxmlformats.org/officeDocument/2006/relationships/hyperlink" Target="https://futureu.europa.eu/pages/sweden" TargetMode="External"/><Relationship Id="rId149"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0" Type="http://schemas.openxmlformats.org/officeDocument/2006/relationships/hyperlink" Target="https://futureu.europa.eu/rails/active_storage/blobs/eyJfcmFpbHMiOnsibWVzc2FnZSI6IkJBaHBBcm4rIiwiZXhwIjpudWxsLCJwdXIiOiJibG9iX2lkIn19--1ea88b90a6936d6de6f7774d037d12937083f5a2/Kantar Report March 2022 Final.en22.pdf" TargetMode="External"/><Relationship Id="rId151" Type="http://schemas.openxmlformats.org/officeDocument/2006/relationships/image" Target="media/image62.png"/><Relationship Id="rId152" Type="http://schemas.openxmlformats.org/officeDocument/2006/relationships/footnotes" Target="footnotes.xml"/><Relationship Id="rId153" Type="http://schemas.openxmlformats.org/officeDocument/2006/relationships/endnotes" Target="endnotes.xml"/><Relationship Id="rId154" Type="http://schemas.openxmlformats.org/officeDocument/2006/relationships/comments" Target="comments.xml"/><Relationship Id="rId155" Type="http://schemas.openxmlformats.org/officeDocument/2006/relationships/numbering" Target="numbering.xml"/><Relationship Id="rId156" Type="http://schemas.openxmlformats.org/officeDocument/2006/relationships/fontTable" Target="fontTable.xml"/><Relationship Id="rId157" Type="http://schemas.openxmlformats.org/officeDocument/2006/relationships/settings" Target="settings.xml"/>
</Relationships>
</file>

<file path=word/_rels/endnotes.xml.rels><?xml version="1.0" encoding="UTF-8"?>
<Relationships xmlns="http://schemas.openxmlformats.org/package/2006/relationships"><Relationship Id="rId1" Type="http://schemas.openxmlformats.org/officeDocument/2006/relationships/hyperlink" Target="https://futureu.europa.eu/processes/EUInTheWorld/f/16/proposals/197870?locale=fr" TargetMode="External"/>
</Relationships>
</file>

<file path=word/_rels/footnotes.xml.rels><?xml version="1.0" encoding="UTF-8"?>
<Relationships xmlns="http://schemas.openxmlformats.org/package/2006/relationships"><Relationship Id="rId1" Type="http://schemas.openxmlformats.org/officeDocument/2006/relationships/hyperlink" Target="https://futureu.europa.eu/" TargetMode="External"/><Relationship Id="rId2" Type="http://schemas.openxmlformats.org/officeDocument/2006/relationships/hyperlink" Target="https://futureu.europa.eu/uploads/decidim/attachment/file/4595/Conference_Charter_fr.pdf" TargetMode="External"/><Relationship Id="rId3" Type="http://schemas.openxmlformats.org/officeDocument/2006/relationships/hyperlink" Target="https://www.oecd.org/gov/open-government/innovative-citizen-participation-new-democratic-institutions-catching-the-deliberative-wave-highlights.pdf" TargetMode="External"/><Relationship Id="rId4" Type="http://schemas.openxmlformats.org/officeDocument/2006/relationships/hyperlink" Target="https://www.oecd.org/gov/open-government/innovative-citizen-participation-new-democratic-institutions-catching-the-deliberative-wave-highlights.pdf" TargetMode="External"/><Relationship Id="rId5" Type="http://schemas.openxmlformats.org/officeDocument/2006/relationships/hyperlink" Target="http://www.participation-citoyenne.gouv.fr/" TargetMode="External"/><Relationship Id="rId6" Type="http://schemas.openxmlformats.org/officeDocument/2006/relationships/hyperlink" Target="https://futureu.europa.eu/processes?locale=fr" TargetMode="External"/>
</Relationships>
</file>

<file path=docProps/app.xml><?xml version="1.0" encoding="utf-8"?>
<Properties xmlns="http://schemas.openxmlformats.org/officeDocument/2006/extended-properties" xmlns:vt="http://schemas.openxmlformats.org/officeDocument/2006/docPropsVTypes">
  <Template/>
  <TotalTime>2159</TotalTime>
  <Application>LibreOffice/6.0.2.1$Windows_x86 LibreOffice_project/f7f06a8f319e4b62f9bc5095aa112a65d2f3ac89</Application>
  <Pages>292</Pages>
  <Words>88818</Words>
  <Characters>588960</Characters>
  <CharactersWithSpaces>674676</CharactersWithSpaces>
  <Paragraphs>6027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2022-05-31T09:31:16Z</dcterms:created>
  <dc:creator>Pierre Dieumegard</dc:creator>
  <dc:description/>
  <dc:language>fr-FR</dc:language>
  <cp:lastModifiedBy>Pierre Dieumegard</cp:lastModifiedBy>
  <dcterms:modified xsi:type="dcterms:W3CDTF">2022-09-01T15:55:19Z</dcterms:modified>
  <cp:revision>68</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